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2"/>
        </w:rPr>
      </w:pPr>
      <w:r>
        <w:rPr/>
        <w:pict>
          <v:group style="position:absolute;margin-left:108.943298pt;margin-top:.001001pt;width:732.95pt;height:595.3pt;mso-position-horizontal-relative:page;mso-position-vertical-relative:page;z-index:-711472" coordorigin="2179,0" coordsize="14659,11906">
            <v:shape style="position:absolute;left:2383;top:0;width:14454;height:11906" type="#_x0000_t75" stroked="false">
              <v:imagedata r:id="rId5" o:title=""/>
            </v:shape>
            <v:shape style="position:absolute;left:1476;top:21366;width:4153;height:4153" coordorigin="1476,21366" coordsize="4153,4153" path="m11574,3405l11988,3818m11278,3219l12174,4115m11077,3128l12264,4315m10910,3071l12321,4483m10762,3034l12358,4630m10628,3010l12382,4765m10503,2996l12396,4889m10386,2989l12403,5006m10276,2989l12403,5116m10171,2994l12398,5222m10070,3004l12388,5322m9974,3019l12374,5418m9882,3036l12356,5511m9793,3058l12334,5599m9707,3083l12310,5685m9625,3110l12282,5768m9545,3141l12251,5848m9468,3174l12218,5925m9393,3210l12182,5999m9321,3248l12144,6071m9251,3289l12104,6141m9184,3332l12061,6209m9118,3376l12016,6274m9055,3424l11969,6337m8994,3473l11920,6398m8935,3524l11868,6458m8878,3578l11815,6514m8823,3633l11759,6569m8770,3691l11702,6622m8720,3750l11642,6673m8671,3812l11580,6721m8625,3876l11517,6768m8580,3942l11451,6812m8538,4010l11382,6854m8498,4080l11312,6894m8461,4153l11239,6932m8426,4229l11164,6967m8393,4307l11086,6999m8364,4387l11005,7029m8337,4471l10922,7056m8313,4557l10835,7080m8292,4647l10745,7100m8276,4741l10652,7117m8262,4838l10554,7130m8254,4940l10452,7138m8250,5047l10346,7142m8252,5159l10233,7140m8261,5278l10114,7131m8278,5405l9987,7114m8306,5543l9849,7087m8348,5696l9697,7045m8412,5870l9522,6980m8519,6088l9305,6873e" filled="false" stroked="true" strokeweight=".25pt" strokecolor="#aebd37">
              <v:path arrowok="t"/>
              <v:stroke dashstyle="solid"/>
            </v:shape>
            <v:shape style="position:absolute;left:131;top:24011;width:1064;height:1062" coordorigin="132,24012" coordsize="1064,1062" path="m6029,7349l6255,7575m5864,7295l6309,7740m5749,7290l6314,7855m5653,7305l6299,7951m5570,7332l6272,8033m5498,7370l6233,8105m5435,7418l6186,8168m5380,7473l6131,8224m5333,7536l6068,8271m5295,7608l5996,8310m5267,7690l5914,8338m5251,7785l5818,8352m5257,7901l5704,8349m5307,8062l5540,8295e" filled="false" stroked="true" strokeweight=".25pt" strokecolor="#bbbcbb">
              <v:path arrowok="t"/>
              <v:stroke dashstyle="solid"/>
            </v:shape>
            <v:shape style="position:absolute;left:4244;top:20820;width:1483;height:1473" coordorigin="4245,20821" coordsize="1483,1473" path="m12140,2536l12400,2796m11950,2456l12479,2985m11827,2444l12501,3118m11717,2444l12501,3228m11610,2447l12488,3326m11523,2471l12464,3412m11445,2503l12432,3490m11373,2541l12394,3562m11308,2586l12348,3627m11248,2637l12298,3687m11194,2694l12241,3740m11147,2757l12178,3788m11105,2826l12109,3830m11071,2901l12034,3864m11044,2985l11950,3891m11026,3077l11858,3910m11019,3180l11755,3916m11030,3302l11633,3905m11075,3457l11478,3860e" filled="false" stroked="true" strokeweight=".25pt" strokecolor="#6f2770">
              <v:path arrowok="t"/>
              <v:stroke dashstyle="solid"/>
            </v:shape>
            <v:shape style="position:absolute;left:2178;top:1280;width:3654;height:494" type="#_x0000_t75" stroked="false">
              <v:imagedata r:id="rId6" o:title=""/>
            </v:shape>
            <v:line style="position:absolute" from="5878,1283" to="5878,1468" stroked="true" strokeweight="1.773pt" strokecolor="#360f41">
              <v:stroke dashstyle="solid"/>
            </v:line>
            <v:shape style="position:absolute;left:5931;top:1283;width:189;height:188" type="#_x0000_t75" stroked="false">
              <v:imagedata r:id="rId7" o:title=""/>
            </v:shape>
            <v:shape style="position:absolute;left:16356;top:10411;width:482;height:831" coordorigin="16357,10412" coordsize="482,831" path="m16772,10412l16697,10418,16627,10438,16562,10468,16504,10509,16454,10559,16413,10617,16383,10682,16363,10752,16357,10827,16363,10901,16383,10972,16413,11036,16454,11094,16504,11144,16562,11185,16627,11216,16697,11235,16772,11242,16789,11242,16805,11240,16822,11239,16838,11236,16838,10417,16822,10415,16805,10413,16789,10412,16772,10412xe" filled="true" fillcolor="#ffffff" stroked="false">
              <v:path arrowok="t"/>
              <v:fill type="solid"/>
            </v:shape>
            <v:shape style="position:absolute;left:16356;top:10411;width:482;height:831" coordorigin="16357,10412" coordsize="482,831" path="m16772,10412l16697,10418,16627,10438,16562,10468,16504,10509,16454,10559,16413,10617,16383,10682,16363,10752,16357,10827,16363,10901,16383,10972,16413,11036,16454,11094,16504,11144,16562,11185,16627,11216,16697,11235,16772,11242,16789,11242,16805,11240,16822,11239,16838,11236,16838,10417,16822,10415,16805,10413,16789,10412,16772,10412xe" filled="true" fillcolor="#aebd37" stroked="false">
              <v:path arrowok="t"/>
              <v:fill opacity="13107f" type="solid"/>
            </v:shape>
            <v:shape style="position:absolute;left:16571;top:10740;width:93;height:171" coordorigin="16571,10741" coordsize="93,171" path="m16590,10741l16582,10741,16571,10751,16571,10759,16638,10826,16638,10828,16571,10894,16571,10903,16579,10910,16582,10912,16589,10912,16592,10910,16655,10847,16662,10838,16664,10828,16664,10826,16662,10816,16655,10807,16590,10741xe" filled="true" fillcolor="#000000" stroked="false">
              <v:path arrowok="t"/>
              <v:fill type="solid"/>
            </v:shape>
            <w10:wrap type="none"/>
          </v:group>
        </w:pict>
      </w:r>
    </w:p>
    <w:p>
      <w:pPr>
        <w:pStyle w:val="BodyText"/>
        <w:ind w:left="793"/>
        <w:rPr>
          <w:rFonts w:ascii="Times New Roman"/>
          <w:sz w:val="20"/>
        </w:rPr>
      </w:pPr>
      <w:r>
        <w:rPr>
          <w:rFonts w:ascii="Times New Roman"/>
          <w:sz w:val="20"/>
        </w:rPr>
        <w:drawing>
          <wp:inline distT="0" distB="0" distL="0" distR="0">
            <wp:extent cx="819480" cy="595312"/>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819480" cy="59531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spacing w:before="90"/>
        <w:ind w:left="793" w:right="0" w:firstLine="0"/>
        <w:jc w:val="left"/>
        <w:rPr>
          <w:sz w:val="96"/>
        </w:rPr>
      </w:pPr>
      <w:r>
        <w:rPr>
          <w:color w:val="6F2770"/>
          <w:sz w:val="96"/>
        </w:rPr>
        <w:t>Department of Finance</w:t>
      </w:r>
    </w:p>
    <w:p>
      <w:pPr>
        <w:spacing w:before="105"/>
        <w:ind w:left="793" w:right="0" w:firstLine="0"/>
        <w:jc w:val="left"/>
        <w:rPr>
          <w:sz w:val="56"/>
        </w:rPr>
      </w:pPr>
      <w:r>
        <w:rPr>
          <w:color w:val="5D883C"/>
          <w:sz w:val="56"/>
        </w:rPr>
        <w:t>Annual Report 2017-18</w:t>
      </w:r>
    </w:p>
    <w:p>
      <w:pPr>
        <w:spacing w:after="0"/>
        <w:jc w:val="left"/>
        <w:rPr>
          <w:sz w:val="56"/>
        </w:rPr>
        <w:sectPr>
          <w:type w:val="continuous"/>
          <w:pgSz w:w="16840" w:h="11910" w:orient="landscape"/>
          <w:pgMar w:top="1100" w:bottom="280" w:left="0" w:right="0"/>
        </w:sectPr>
      </w:pPr>
    </w:p>
    <w:p>
      <w:pPr>
        <w:pStyle w:val="Heading4"/>
        <w:spacing w:before="198"/>
      </w:pPr>
      <w:r>
        <w:rPr>
          <w:color w:val="6F2770"/>
        </w:rPr>
        <w:t>Statement</w:t>
      </w:r>
      <w:r>
        <w:rPr>
          <w:color w:val="6F2770"/>
          <w:spacing w:val="-42"/>
        </w:rPr>
        <w:t> </w:t>
      </w:r>
      <w:r>
        <w:rPr>
          <w:color w:val="6F2770"/>
        </w:rPr>
        <w:t>of</w:t>
      </w:r>
      <w:r>
        <w:rPr>
          <w:color w:val="6F2770"/>
          <w:spacing w:val="-42"/>
        </w:rPr>
        <w:t> </w:t>
      </w:r>
      <w:r>
        <w:rPr>
          <w:color w:val="6F2770"/>
        </w:rPr>
        <w:t>Compliance</w:t>
      </w:r>
    </w:p>
    <w:p>
      <w:pPr>
        <w:spacing w:before="198"/>
        <w:ind w:left="765" w:right="0" w:firstLine="0"/>
        <w:jc w:val="left"/>
        <w:rPr>
          <w:sz w:val="36"/>
        </w:rPr>
      </w:pPr>
      <w:r>
        <w:rPr/>
        <w:br w:type="column"/>
      </w:r>
      <w:r>
        <w:rPr>
          <w:color w:val="6F2770"/>
          <w:sz w:val="36"/>
        </w:rPr>
        <w:t>About This Report</w:t>
      </w:r>
    </w:p>
    <w:p>
      <w:pPr>
        <w:pStyle w:val="BodyText"/>
        <w:spacing w:line="249" w:lineRule="auto" w:before="245"/>
        <w:ind w:left="765" w:right="59"/>
      </w:pPr>
      <w:r>
        <w:rPr/>
        <w:pict>
          <v:group style="position:absolute;margin-left:38.518002pt;margin-top:13.997158pt;width:239.95pt;height:433.05pt;mso-position-horizontal-relative:page;mso-position-vertical-relative:paragraph;z-index:1144" coordorigin="770,280" coordsize="4799,8661">
            <v:rect style="position:absolute;left:770;top:279;width:4799;height:8661" filled="true" fillcolor="#c4cd71" stroked="false">
              <v:fill opacity="13107f" type="solid"/>
            </v:rect>
            <v:shape style="position:absolute;left:1033;top:6414;width:1928;height:545" type="#_x0000_t75" stroked="false">
              <v:imagedata r:id="rId9" o:title=""/>
            </v:shape>
            <v:shapetype id="_x0000_t202" o:spt="202" coordsize="21600,21600" path="m,l,21600r21600,l21600,xe">
              <v:stroke joinstyle="miter"/>
              <v:path gradientshapeok="t" o:connecttype="rect"/>
            </v:shapetype>
            <v:shape style="position:absolute;left:770;top:279;width:4799;height:8661" type="#_x0000_t202" filled="false" stroked="false">
              <v:textbox inset="0,0,0,0">
                <w:txbxContent>
                  <w:p>
                    <w:pPr>
                      <w:spacing w:line="240" w:lineRule="auto" w:before="0"/>
                      <w:rPr>
                        <w:sz w:val="26"/>
                      </w:rPr>
                    </w:pPr>
                  </w:p>
                  <w:p>
                    <w:pPr>
                      <w:spacing w:line="501" w:lineRule="auto" w:before="194"/>
                      <w:ind w:left="278" w:right="1101" w:firstLine="0"/>
                      <w:jc w:val="left"/>
                      <w:rPr>
                        <w:b/>
                        <w:sz w:val="22"/>
                      </w:rPr>
                    </w:pPr>
                    <w:r>
                      <w:rPr>
                        <w:b/>
                        <w:sz w:val="22"/>
                      </w:rPr>
                      <w:t>For the year ended 30 June 2018 HON BEN WYATT MLA</w:t>
                    </w:r>
                  </w:p>
                  <w:p>
                    <w:pPr>
                      <w:spacing w:line="249" w:lineRule="auto" w:before="0"/>
                      <w:ind w:left="278" w:right="0" w:firstLine="0"/>
                      <w:jc w:val="left"/>
                      <w:rPr>
                        <w:b/>
                        <w:sz w:val="22"/>
                      </w:rPr>
                    </w:pPr>
                    <w:r>
                      <w:rPr>
                        <w:b/>
                        <w:sz w:val="22"/>
                      </w:rPr>
                      <w:t>TREASURER; MINISTER FOR FINANCE; ENERGY; ABORIGINAL AFFAIRS</w:t>
                    </w:r>
                  </w:p>
                  <w:p>
                    <w:pPr>
                      <w:spacing w:line="240" w:lineRule="auto" w:before="11"/>
                      <w:rPr>
                        <w:sz w:val="22"/>
                      </w:rPr>
                    </w:pPr>
                  </w:p>
                  <w:p>
                    <w:pPr>
                      <w:spacing w:line="249" w:lineRule="auto" w:before="0"/>
                      <w:ind w:left="278" w:right="327" w:firstLine="0"/>
                      <w:jc w:val="left"/>
                      <w:rPr>
                        <w:sz w:val="22"/>
                      </w:rPr>
                    </w:pPr>
                    <w:r>
                      <w:rPr>
                        <w:sz w:val="22"/>
                      </w:rPr>
                      <w:t>In accordance with section 63 of the </w:t>
                    </w:r>
                    <w:r>
                      <w:rPr>
                        <w:i/>
                        <w:sz w:val="22"/>
                      </w:rPr>
                      <w:t>Financial Management Act 2006</w:t>
                    </w:r>
                    <w:r>
                      <w:rPr>
                        <w:sz w:val="22"/>
                      </w:rPr>
                      <w:t>, I hereby submit</w:t>
                    </w:r>
                    <w:r>
                      <w:rPr>
                        <w:spacing w:val="-19"/>
                        <w:sz w:val="22"/>
                      </w:rPr>
                      <w:t> </w:t>
                    </w:r>
                    <w:r>
                      <w:rPr>
                        <w:sz w:val="22"/>
                      </w:rPr>
                      <w:t>for</w:t>
                    </w:r>
                    <w:r>
                      <w:rPr>
                        <w:spacing w:val="-19"/>
                        <w:sz w:val="22"/>
                      </w:rPr>
                      <w:t> </w:t>
                    </w:r>
                    <w:r>
                      <w:rPr>
                        <w:sz w:val="22"/>
                      </w:rPr>
                      <w:t>your</w:t>
                    </w:r>
                    <w:r>
                      <w:rPr>
                        <w:spacing w:val="-19"/>
                        <w:sz w:val="22"/>
                      </w:rPr>
                      <w:t> </w:t>
                    </w:r>
                    <w:r>
                      <w:rPr>
                        <w:sz w:val="22"/>
                      </w:rPr>
                      <w:t>information</w:t>
                    </w:r>
                    <w:r>
                      <w:rPr>
                        <w:spacing w:val="-19"/>
                        <w:sz w:val="22"/>
                      </w:rPr>
                      <w:t> </w:t>
                    </w:r>
                    <w:r>
                      <w:rPr>
                        <w:sz w:val="22"/>
                      </w:rPr>
                      <w:t>and</w:t>
                    </w:r>
                    <w:r>
                      <w:rPr>
                        <w:spacing w:val="-19"/>
                        <w:sz w:val="22"/>
                      </w:rPr>
                      <w:t> </w:t>
                    </w:r>
                    <w:r>
                      <w:rPr>
                        <w:spacing w:val="-3"/>
                        <w:sz w:val="22"/>
                      </w:rPr>
                      <w:t>presentation </w:t>
                    </w:r>
                    <w:r>
                      <w:rPr>
                        <w:sz w:val="22"/>
                      </w:rPr>
                      <w:t>to Parliament, the Annual Report of the Department</w:t>
                    </w:r>
                    <w:r>
                      <w:rPr>
                        <w:spacing w:val="-24"/>
                        <w:sz w:val="22"/>
                      </w:rPr>
                      <w:t> </w:t>
                    </w:r>
                    <w:r>
                      <w:rPr>
                        <w:sz w:val="22"/>
                      </w:rPr>
                      <w:t>of</w:t>
                    </w:r>
                    <w:r>
                      <w:rPr>
                        <w:spacing w:val="-24"/>
                        <w:sz w:val="22"/>
                      </w:rPr>
                      <w:t> </w:t>
                    </w:r>
                    <w:r>
                      <w:rPr>
                        <w:sz w:val="22"/>
                      </w:rPr>
                      <w:t>Finance</w:t>
                    </w:r>
                    <w:r>
                      <w:rPr>
                        <w:spacing w:val="-23"/>
                        <w:sz w:val="22"/>
                      </w:rPr>
                      <w:t> </w:t>
                    </w:r>
                    <w:r>
                      <w:rPr>
                        <w:sz w:val="22"/>
                      </w:rPr>
                      <w:t>for</w:t>
                    </w:r>
                    <w:r>
                      <w:rPr>
                        <w:spacing w:val="-24"/>
                        <w:sz w:val="22"/>
                      </w:rPr>
                      <w:t> </w:t>
                    </w:r>
                    <w:r>
                      <w:rPr>
                        <w:sz w:val="22"/>
                      </w:rPr>
                      <w:t>the</w:t>
                    </w:r>
                    <w:r>
                      <w:rPr>
                        <w:spacing w:val="-23"/>
                        <w:sz w:val="22"/>
                      </w:rPr>
                      <w:t> </w:t>
                    </w:r>
                    <w:r>
                      <w:rPr>
                        <w:sz w:val="22"/>
                      </w:rPr>
                      <w:t>financial</w:t>
                    </w:r>
                    <w:r>
                      <w:rPr>
                        <w:spacing w:val="-24"/>
                        <w:sz w:val="22"/>
                      </w:rPr>
                      <w:t> </w:t>
                    </w:r>
                    <w:r>
                      <w:rPr>
                        <w:sz w:val="22"/>
                      </w:rPr>
                      <w:t>year ended 30 June</w:t>
                    </w:r>
                    <w:r>
                      <w:rPr>
                        <w:spacing w:val="-3"/>
                        <w:sz w:val="22"/>
                      </w:rPr>
                      <w:t> </w:t>
                    </w:r>
                    <w:r>
                      <w:rPr>
                        <w:sz w:val="22"/>
                      </w:rPr>
                      <w:t>2018.</w:t>
                    </w:r>
                  </w:p>
                  <w:p>
                    <w:pPr>
                      <w:spacing w:line="240" w:lineRule="auto" w:before="5"/>
                      <w:rPr>
                        <w:sz w:val="23"/>
                      </w:rPr>
                    </w:pPr>
                  </w:p>
                  <w:p>
                    <w:pPr>
                      <w:spacing w:line="249" w:lineRule="auto" w:before="0"/>
                      <w:ind w:left="278" w:right="760" w:firstLine="0"/>
                      <w:jc w:val="left"/>
                      <w:rPr>
                        <w:sz w:val="22"/>
                      </w:rPr>
                    </w:pPr>
                    <w:r>
                      <w:rPr>
                        <w:sz w:val="22"/>
                      </w:rPr>
                      <w:t>The</w:t>
                    </w:r>
                    <w:r>
                      <w:rPr>
                        <w:spacing w:val="-20"/>
                        <w:sz w:val="22"/>
                      </w:rPr>
                      <w:t> </w:t>
                    </w:r>
                    <w:r>
                      <w:rPr>
                        <w:sz w:val="22"/>
                      </w:rPr>
                      <w:t>Annual</w:t>
                    </w:r>
                    <w:r>
                      <w:rPr>
                        <w:spacing w:val="-19"/>
                        <w:sz w:val="22"/>
                      </w:rPr>
                      <w:t> </w:t>
                    </w:r>
                    <w:r>
                      <w:rPr>
                        <w:sz w:val="22"/>
                      </w:rPr>
                      <w:t>Report</w:t>
                    </w:r>
                    <w:r>
                      <w:rPr>
                        <w:spacing w:val="-19"/>
                        <w:sz w:val="22"/>
                      </w:rPr>
                      <w:t> </w:t>
                    </w:r>
                    <w:r>
                      <w:rPr>
                        <w:sz w:val="22"/>
                      </w:rPr>
                      <w:t>has</w:t>
                    </w:r>
                    <w:r>
                      <w:rPr>
                        <w:spacing w:val="-19"/>
                        <w:sz w:val="22"/>
                      </w:rPr>
                      <w:t> </w:t>
                    </w:r>
                    <w:r>
                      <w:rPr>
                        <w:sz w:val="22"/>
                      </w:rPr>
                      <w:t>been</w:t>
                    </w:r>
                    <w:r>
                      <w:rPr>
                        <w:spacing w:val="-19"/>
                        <w:sz w:val="22"/>
                      </w:rPr>
                      <w:t> </w:t>
                    </w:r>
                    <w:r>
                      <w:rPr>
                        <w:sz w:val="22"/>
                      </w:rPr>
                      <w:t>prepared in</w:t>
                    </w:r>
                    <w:r>
                      <w:rPr>
                        <w:spacing w:val="-16"/>
                        <w:sz w:val="22"/>
                      </w:rPr>
                      <w:t> </w:t>
                    </w:r>
                    <w:r>
                      <w:rPr>
                        <w:sz w:val="22"/>
                      </w:rPr>
                      <w:t>accordance</w:t>
                    </w:r>
                    <w:r>
                      <w:rPr>
                        <w:spacing w:val="-16"/>
                        <w:sz w:val="22"/>
                      </w:rPr>
                      <w:t> </w:t>
                    </w:r>
                    <w:r>
                      <w:rPr>
                        <w:sz w:val="22"/>
                      </w:rPr>
                      <w:t>with</w:t>
                    </w:r>
                    <w:r>
                      <w:rPr>
                        <w:spacing w:val="-15"/>
                        <w:sz w:val="22"/>
                      </w:rPr>
                      <w:t> </w:t>
                    </w:r>
                    <w:r>
                      <w:rPr>
                        <w:sz w:val="22"/>
                      </w:rPr>
                      <w:t>the</w:t>
                    </w:r>
                    <w:r>
                      <w:rPr>
                        <w:spacing w:val="-16"/>
                        <w:sz w:val="22"/>
                      </w:rPr>
                      <w:t> </w:t>
                    </w:r>
                    <w:r>
                      <w:rPr>
                        <w:sz w:val="22"/>
                      </w:rPr>
                      <w:t>provisions</w:t>
                    </w:r>
                    <w:r>
                      <w:rPr>
                        <w:spacing w:val="-15"/>
                        <w:sz w:val="22"/>
                      </w:rPr>
                      <w:t> </w:t>
                    </w:r>
                    <w:r>
                      <w:rPr>
                        <w:sz w:val="22"/>
                      </w:rPr>
                      <w:t>of</w:t>
                    </w:r>
                    <w:r>
                      <w:rPr>
                        <w:spacing w:val="-16"/>
                        <w:sz w:val="22"/>
                      </w:rPr>
                      <w:t> </w:t>
                    </w:r>
                    <w:r>
                      <w:rPr>
                        <w:spacing w:val="-6"/>
                        <w:sz w:val="22"/>
                      </w:rPr>
                      <w:t>the </w:t>
                    </w:r>
                    <w:r>
                      <w:rPr>
                        <w:i/>
                        <w:sz w:val="22"/>
                      </w:rPr>
                      <w:t>Financial Management Act</w:t>
                    </w:r>
                    <w:r>
                      <w:rPr>
                        <w:i/>
                        <w:spacing w:val="-22"/>
                        <w:sz w:val="22"/>
                      </w:rPr>
                      <w:t> </w:t>
                    </w:r>
                    <w:r>
                      <w:rPr>
                        <w:i/>
                        <w:sz w:val="22"/>
                      </w:rPr>
                      <w:t>2006</w:t>
                    </w:r>
                    <w:r>
                      <w:rPr>
                        <w:sz w:val="22"/>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1"/>
                      <w:rPr>
                        <w:sz w:val="30"/>
                      </w:rPr>
                    </w:pPr>
                  </w:p>
                  <w:p>
                    <w:pPr>
                      <w:spacing w:before="0"/>
                      <w:ind w:left="278" w:right="0" w:firstLine="0"/>
                      <w:jc w:val="left"/>
                      <w:rPr>
                        <w:sz w:val="22"/>
                      </w:rPr>
                    </w:pPr>
                    <w:r>
                      <w:rPr>
                        <w:w w:val="95"/>
                        <w:sz w:val="22"/>
                      </w:rPr>
                      <w:t>Stephanie</w:t>
                    </w:r>
                    <w:r>
                      <w:rPr>
                        <w:spacing w:val="26"/>
                        <w:w w:val="95"/>
                        <w:sz w:val="22"/>
                      </w:rPr>
                      <w:t> </w:t>
                    </w:r>
                    <w:r>
                      <w:rPr>
                        <w:w w:val="95"/>
                        <w:sz w:val="22"/>
                      </w:rPr>
                      <w:t>Black</w:t>
                    </w:r>
                  </w:p>
                  <w:p>
                    <w:pPr>
                      <w:spacing w:line="249" w:lineRule="auto" w:before="11"/>
                      <w:ind w:left="278" w:right="2309" w:firstLine="0"/>
                      <w:jc w:val="left"/>
                      <w:rPr>
                        <w:sz w:val="22"/>
                      </w:rPr>
                    </w:pPr>
                    <w:r>
                      <w:rPr>
                        <w:sz w:val="22"/>
                      </w:rPr>
                      <w:t>Acting</w:t>
                    </w:r>
                    <w:r>
                      <w:rPr>
                        <w:spacing w:val="-37"/>
                        <w:sz w:val="22"/>
                      </w:rPr>
                      <w:t> </w:t>
                    </w:r>
                    <w:r>
                      <w:rPr>
                        <w:sz w:val="22"/>
                      </w:rPr>
                      <w:t>Director</w:t>
                    </w:r>
                    <w:r>
                      <w:rPr>
                        <w:spacing w:val="-37"/>
                        <w:sz w:val="22"/>
                      </w:rPr>
                      <w:t> </w:t>
                    </w:r>
                    <w:r>
                      <w:rPr>
                        <w:spacing w:val="-3"/>
                        <w:sz w:val="22"/>
                      </w:rPr>
                      <w:t>General </w:t>
                    </w:r>
                    <w:r>
                      <w:rPr>
                        <w:sz w:val="22"/>
                      </w:rPr>
                      <w:t>20 August</w:t>
                    </w:r>
                    <w:r>
                      <w:rPr>
                        <w:spacing w:val="-3"/>
                        <w:sz w:val="22"/>
                      </w:rPr>
                      <w:t> </w:t>
                    </w:r>
                    <w:r>
                      <w:rPr>
                        <w:sz w:val="22"/>
                      </w:rPr>
                      <w:t>2018</w:t>
                    </w:r>
                  </w:p>
                </w:txbxContent>
              </v:textbox>
              <w10:wrap type="none"/>
            </v:shape>
            <w10:wrap type="none"/>
          </v:group>
        </w:pict>
      </w:r>
      <w:r>
        <w:rPr/>
        <w:t>Every</w:t>
      </w:r>
      <w:r>
        <w:rPr>
          <w:spacing w:val="-24"/>
        </w:rPr>
        <w:t> </w:t>
      </w:r>
      <w:r>
        <w:rPr/>
        <w:t>effort</w:t>
      </w:r>
      <w:r>
        <w:rPr>
          <w:spacing w:val="-24"/>
        </w:rPr>
        <w:t> </w:t>
      </w:r>
      <w:r>
        <w:rPr/>
        <w:t>has</w:t>
      </w:r>
      <w:r>
        <w:rPr>
          <w:spacing w:val="-23"/>
        </w:rPr>
        <w:t> </w:t>
      </w:r>
      <w:r>
        <w:rPr/>
        <w:t>been</w:t>
      </w:r>
      <w:r>
        <w:rPr>
          <w:spacing w:val="-24"/>
        </w:rPr>
        <w:t> </w:t>
      </w:r>
      <w:r>
        <w:rPr/>
        <w:t>made</w:t>
      </w:r>
      <w:r>
        <w:rPr>
          <w:spacing w:val="-23"/>
        </w:rPr>
        <w:t> </w:t>
      </w:r>
      <w:r>
        <w:rPr/>
        <w:t>to</w:t>
      </w:r>
      <w:r>
        <w:rPr>
          <w:spacing w:val="-24"/>
        </w:rPr>
        <w:t> </w:t>
      </w:r>
      <w:r>
        <w:rPr/>
        <w:t>improve</w:t>
      </w:r>
      <w:r>
        <w:rPr>
          <w:spacing w:val="-24"/>
        </w:rPr>
        <w:t> </w:t>
      </w:r>
      <w:r>
        <w:rPr>
          <w:spacing w:val="-3"/>
        </w:rPr>
        <w:t>readability </w:t>
      </w:r>
      <w:r>
        <w:rPr/>
        <w:t>and</w:t>
      </w:r>
      <w:r>
        <w:rPr>
          <w:spacing w:val="-17"/>
        </w:rPr>
        <w:t> </w:t>
      </w:r>
      <w:r>
        <w:rPr/>
        <w:t>accessibility</w:t>
      </w:r>
      <w:r>
        <w:rPr>
          <w:spacing w:val="-16"/>
        </w:rPr>
        <w:t> </w:t>
      </w:r>
      <w:r>
        <w:rPr/>
        <w:t>of</w:t>
      </w:r>
      <w:r>
        <w:rPr>
          <w:spacing w:val="-16"/>
        </w:rPr>
        <w:t> </w:t>
      </w:r>
      <w:r>
        <w:rPr/>
        <w:t>this</w:t>
      </w:r>
      <w:r>
        <w:rPr>
          <w:spacing w:val="-16"/>
        </w:rPr>
        <w:t> </w:t>
      </w:r>
      <w:r>
        <w:rPr/>
        <w:t>report</w:t>
      </w:r>
      <w:r>
        <w:rPr>
          <w:spacing w:val="-16"/>
        </w:rPr>
        <w:t> </w:t>
      </w:r>
      <w:r>
        <w:rPr/>
        <w:t>in</w:t>
      </w:r>
      <w:r>
        <w:rPr>
          <w:spacing w:val="-17"/>
        </w:rPr>
        <w:t> </w:t>
      </w:r>
      <w:r>
        <w:rPr/>
        <w:t>print</w:t>
      </w:r>
      <w:r>
        <w:rPr>
          <w:spacing w:val="-16"/>
        </w:rPr>
        <w:t> </w:t>
      </w:r>
      <w:r>
        <w:rPr/>
        <w:t>and</w:t>
      </w:r>
      <w:r>
        <w:rPr>
          <w:spacing w:val="-16"/>
        </w:rPr>
        <w:t> </w:t>
      </w:r>
      <w:r>
        <w:rPr/>
        <w:t>online.</w:t>
      </w:r>
    </w:p>
    <w:p>
      <w:pPr>
        <w:pStyle w:val="BodyText"/>
        <w:spacing w:before="1"/>
        <w:rPr>
          <w:sz w:val="23"/>
        </w:rPr>
      </w:pPr>
    </w:p>
    <w:p>
      <w:pPr>
        <w:pStyle w:val="BodyText"/>
        <w:spacing w:line="249" w:lineRule="auto"/>
        <w:ind w:left="765" w:right="-11"/>
      </w:pPr>
      <w:r>
        <w:rPr/>
        <w:t>The</w:t>
      </w:r>
      <w:r>
        <w:rPr>
          <w:spacing w:val="-36"/>
        </w:rPr>
        <w:t> </w:t>
      </w:r>
      <w:r>
        <w:rPr/>
        <w:t>Department</w:t>
      </w:r>
      <w:r>
        <w:rPr>
          <w:spacing w:val="-35"/>
        </w:rPr>
        <w:t> </w:t>
      </w:r>
      <w:r>
        <w:rPr/>
        <w:t>of</w:t>
      </w:r>
      <w:r>
        <w:rPr>
          <w:spacing w:val="-36"/>
        </w:rPr>
        <w:t> </w:t>
      </w:r>
      <w:r>
        <w:rPr/>
        <w:t>Finance</w:t>
      </w:r>
      <w:r>
        <w:rPr>
          <w:spacing w:val="-35"/>
        </w:rPr>
        <w:t> </w:t>
      </w:r>
      <w:r>
        <w:rPr/>
        <w:t>supports</w:t>
      </w:r>
      <w:r>
        <w:rPr>
          <w:spacing w:val="-36"/>
        </w:rPr>
        <w:t> </w:t>
      </w:r>
      <w:r>
        <w:rPr/>
        <w:t>sustainability and</w:t>
      </w:r>
      <w:r>
        <w:rPr>
          <w:spacing w:val="-15"/>
        </w:rPr>
        <w:t> </w:t>
      </w:r>
      <w:r>
        <w:rPr/>
        <w:t>encourages</w:t>
      </w:r>
      <w:r>
        <w:rPr>
          <w:spacing w:val="-15"/>
        </w:rPr>
        <w:t> </w:t>
      </w:r>
      <w:r>
        <w:rPr/>
        <w:t>readers</w:t>
      </w:r>
      <w:r>
        <w:rPr>
          <w:spacing w:val="-14"/>
        </w:rPr>
        <w:t> </w:t>
      </w:r>
      <w:r>
        <w:rPr/>
        <w:t>to</w:t>
      </w:r>
      <w:r>
        <w:rPr>
          <w:spacing w:val="-15"/>
        </w:rPr>
        <w:t> </w:t>
      </w:r>
      <w:r>
        <w:rPr/>
        <w:t>view</w:t>
      </w:r>
      <w:r>
        <w:rPr>
          <w:spacing w:val="-15"/>
        </w:rPr>
        <w:t> </w:t>
      </w:r>
      <w:r>
        <w:rPr/>
        <w:t>the</w:t>
      </w:r>
      <w:r>
        <w:rPr>
          <w:spacing w:val="-14"/>
        </w:rPr>
        <w:t> </w:t>
      </w:r>
      <w:r>
        <w:rPr/>
        <w:t>report</w:t>
      </w:r>
      <w:r>
        <w:rPr>
          <w:spacing w:val="-15"/>
        </w:rPr>
        <w:t> </w:t>
      </w:r>
      <w:r>
        <w:rPr/>
        <w:t>on</w:t>
      </w:r>
      <w:r>
        <w:rPr>
          <w:spacing w:val="-15"/>
        </w:rPr>
        <w:t> </w:t>
      </w:r>
      <w:r>
        <w:rPr/>
        <w:t>the </w:t>
      </w:r>
      <w:r>
        <w:rPr>
          <w:spacing w:val="-3"/>
        </w:rPr>
        <w:t>Department’s </w:t>
      </w:r>
      <w:r>
        <w:rPr/>
        <w:t>website. Only limited professional printed copies have been</w:t>
      </w:r>
      <w:r>
        <w:rPr>
          <w:spacing w:val="-12"/>
        </w:rPr>
        <w:t> </w:t>
      </w:r>
      <w:r>
        <w:rPr/>
        <w:t>produced.</w:t>
      </w:r>
    </w:p>
    <w:p>
      <w:pPr>
        <w:pStyle w:val="BodyText"/>
        <w:spacing w:before="3"/>
        <w:rPr>
          <w:sz w:val="23"/>
        </w:rPr>
      </w:pPr>
    </w:p>
    <w:p>
      <w:pPr>
        <w:pStyle w:val="BodyText"/>
        <w:spacing w:line="249" w:lineRule="auto"/>
        <w:ind w:left="765" w:right="6"/>
      </w:pPr>
      <w:r>
        <w:rPr/>
        <w:t>As part of the </w:t>
      </w:r>
      <w:r>
        <w:rPr>
          <w:spacing w:val="-3"/>
        </w:rPr>
        <w:t>Department’s </w:t>
      </w:r>
      <w:r>
        <w:rPr/>
        <w:t>focus on continuous improvement,</w:t>
      </w:r>
      <w:r>
        <w:rPr>
          <w:spacing w:val="-21"/>
        </w:rPr>
        <w:t> </w:t>
      </w:r>
      <w:r>
        <w:rPr/>
        <w:t>we</w:t>
      </w:r>
      <w:r>
        <w:rPr>
          <w:spacing w:val="-20"/>
        </w:rPr>
        <w:t> </w:t>
      </w:r>
      <w:r>
        <w:rPr/>
        <w:t>encourage</w:t>
      </w:r>
      <w:r>
        <w:rPr>
          <w:spacing w:val="-20"/>
        </w:rPr>
        <w:t> </w:t>
      </w:r>
      <w:r>
        <w:rPr/>
        <w:t>your</w:t>
      </w:r>
      <w:r>
        <w:rPr>
          <w:spacing w:val="-20"/>
        </w:rPr>
        <w:t> </w:t>
      </w:r>
      <w:r>
        <w:rPr/>
        <w:t>feedback</w:t>
      </w:r>
      <w:r>
        <w:rPr>
          <w:spacing w:val="-21"/>
        </w:rPr>
        <w:t> </w:t>
      </w:r>
      <w:r>
        <w:rPr>
          <w:spacing w:val="-4"/>
        </w:rPr>
        <w:t>about </w:t>
      </w:r>
      <w:r>
        <w:rPr/>
        <w:t>this</w:t>
      </w:r>
      <w:r>
        <w:rPr>
          <w:spacing w:val="-1"/>
        </w:rPr>
        <w:t> </w:t>
      </w:r>
      <w:r>
        <w:rPr/>
        <w:t>document.</w:t>
      </w:r>
    </w:p>
    <w:p>
      <w:pPr>
        <w:pStyle w:val="BodyText"/>
        <w:spacing w:before="2"/>
        <w:rPr>
          <w:sz w:val="23"/>
        </w:rPr>
      </w:pPr>
    </w:p>
    <w:p>
      <w:pPr>
        <w:pStyle w:val="BodyText"/>
        <w:spacing w:line="249" w:lineRule="auto" w:before="1"/>
        <w:ind w:left="765"/>
      </w:pPr>
      <w:r>
        <w:rPr/>
        <w:t>Email feedback to: </w:t>
      </w:r>
      <w:hyperlink r:id="rId10">
        <w:r>
          <w:rPr>
            <w:color w:val="6F2770"/>
            <w:w w:val="95"/>
            <w:u w:val="single" w:color="6F2770"/>
          </w:rPr>
          <w:t>Corporate.Communications@finance.wa.gov.au</w:t>
        </w:r>
      </w:hyperlink>
    </w:p>
    <w:p>
      <w:pPr>
        <w:pStyle w:val="BodyText"/>
        <w:spacing w:before="1"/>
        <w:rPr>
          <w:sz w:val="23"/>
        </w:rPr>
      </w:pPr>
    </w:p>
    <w:p>
      <w:pPr>
        <w:pStyle w:val="BodyText"/>
        <w:spacing w:line="249" w:lineRule="auto"/>
        <w:ind w:left="765" w:right="243"/>
      </w:pPr>
      <w:r>
        <w:rPr/>
        <w:pict>
          <v:group style="position:absolute;margin-left:559.107056pt;margin-top:30.570187pt;width:282.8pt;height:268.6pt;mso-position-horizontal-relative:page;mso-position-vertical-relative:paragraph;z-index:1096" coordorigin="11182,611" coordsize="5656,5372">
            <v:shape style="position:absolute;left:12504;top:2339;width:4334;height:3644" type="#_x0000_t75" stroked="false">
              <v:imagedata r:id="rId11" o:title=""/>
            </v:shape>
            <v:shape style="position:absolute;left:3428;top:14156;width:3806;height:3786" coordorigin="3429,14157" coordsize="3806,3786" path="m14111,892l14692,1473m13870,761l14823,1714m13689,691l14894,1896m13535,646l14938,2050m13397,619l14966,2188m13281,614l14982,2315m13171,614l14990,2433m13061,614l14990,2543m12950,614l14985,2649m12840,614l14974,2748m12741,625l14959,2844m12650,644l14940,2935m12562,667l14917,3022m12478,694l14891,3106m12397,723l14862,3187m12319,755l14829,3265m12244,790l14794,3340m12172,828l14756,3413m12102,869l14716,3483m12034,912l14673,3550m11969,957l14628,3615m11907,1005l14580,3678m11846,1055l14530,3738m11788,1107l14478,3797m11732,1161l14423,3852m11678,1218l14367,3906m11627,1277l14308,3958m11578,1338l14247,4007m11531,1402l14183,4053m11487,1468l14117,4098m11445,1536l14049,4140m11405,1607l13978,4179m11368,1680l13904,4216m11334,1756l13828,4250m11303,1835l13749,4282m11275,1917l13667,4310m11250,2003l13582,4335m11228,2092l13493,4356m11210,2184l13400,4374m11197,2281l13303,4388m11188,2383l13202,4396m11185,2490l13095,4400m11188,2603l12981,4397m11198,2724l12861,4387m11218,2854l12730,4366m11251,2998l12587,4333m11303,3160l12424,4281m11389,3356l12228,4195m11577,3654l11930,4008e" filled="false" stroked="true" strokeweight=".25pt" strokecolor="#aebd37">
              <v:path arrowok="t"/>
              <v:stroke dashstyle="solid"/>
            </v:shape>
            <v:shape style="position:absolute;left:16356;top:5009;width:482;height:831" coordorigin="16357,5009" coordsize="482,831" path="m16772,5009l16697,5016,16627,5035,16562,5066,16504,5107,16454,5157,16413,5215,16383,5279,16363,5350,16357,5424,16363,5499,16383,5569,16413,5634,16454,5692,16504,5742,16562,5783,16627,5813,16697,5833,16772,5839,16789,5839,16805,5838,16822,5836,16838,5834,16838,5015,16822,5012,16805,5011,16789,5009,16772,5009xe" filled="true" fillcolor="#ffffff" stroked="false">
              <v:path arrowok="t"/>
              <v:fill type="solid"/>
            </v:shape>
            <v:shape style="position:absolute;left:16356;top:5009;width:482;height:831" coordorigin="16357,5009" coordsize="482,831" path="m16772,5009l16697,5016,16627,5035,16562,5066,16504,5107,16454,5157,16413,5215,16383,5279,16363,5350,16357,5424,16363,5499,16383,5569,16413,5634,16454,5692,16504,5742,16562,5783,16627,5813,16697,5833,16772,5839,16789,5839,16805,5838,16822,5836,16838,5834,16838,5015,16822,5012,16805,5011,16789,5009,16772,5009xe" filled="true" fillcolor="#aebd37" stroked="false">
              <v:path arrowok="t"/>
              <v:fill opacity="13107f" type="solid"/>
            </v:shape>
            <v:shape style="position:absolute;left:16571;top:5338;width:93;height:171" coordorigin="16571,5338" coordsize="93,171" path="m16590,5338l16582,5338,16571,5348,16571,5357,16638,5423,16638,5425,16571,5492,16571,5500,16579,5508,16582,5509,16589,5509,16592,5508,16655,5445,16662,5435,16664,5425,16664,5423,16662,5413,16655,5404,16590,5338xe" filled="true" fillcolor="#000000" stroked="false">
              <v:path arrowok="t"/>
              <v:fill type="solid"/>
            </v:shape>
            <w10:wrap type="none"/>
          </v:group>
        </w:pict>
      </w:r>
      <w:r>
        <w:rPr/>
        <w:t>Contact</w:t>
      </w:r>
      <w:r>
        <w:rPr>
          <w:spacing w:val="-18"/>
        </w:rPr>
        <w:t> </w:t>
      </w:r>
      <w:r>
        <w:rPr/>
        <w:t>details</w:t>
      </w:r>
      <w:r>
        <w:rPr>
          <w:spacing w:val="-17"/>
        </w:rPr>
        <w:t> </w:t>
      </w:r>
      <w:r>
        <w:rPr/>
        <w:t>for</w:t>
      </w:r>
      <w:r>
        <w:rPr>
          <w:spacing w:val="-17"/>
        </w:rPr>
        <w:t> </w:t>
      </w:r>
      <w:r>
        <w:rPr/>
        <w:t>the</w:t>
      </w:r>
      <w:r>
        <w:rPr>
          <w:spacing w:val="-17"/>
        </w:rPr>
        <w:t> </w:t>
      </w:r>
      <w:r>
        <w:rPr/>
        <w:t>Department</w:t>
      </w:r>
      <w:r>
        <w:rPr>
          <w:spacing w:val="-18"/>
        </w:rPr>
        <w:t> </w:t>
      </w:r>
      <w:r>
        <w:rPr/>
        <w:t>are</w:t>
      </w:r>
      <w:r>
        <w:rPr>
          <w:spacing w:val="-17"/>
        </w:rPr>
        <w:t> </w:t>
      </w:r>
      <w:r>
        <w:rPr/>
        <w:t>listed</w:t>
      </w:r>
      <w:r>
        <w:rPr>
          <w:spacing w:val="-17"/>
        </w:rPr>
        <w:t> </w:t>
      </w:r>
      <w:r>
        <w:rPr>
          <w:spacing w:val="-9"/>
        </w:rPr>
        <w:t>on </w:t>
      </w:r>
      <w:r>
        <w:rPr/>
        <w:t>the last page of this</w:t>
      </w:r>
      <w:r>
        <w:rPr>
          <w:spacing w:val="-9"/>
        </w:rPr>
        <w:t> </w:t>
      </w:r>
      <w:r>
        <w:rPr/>
        <w:t>report.</w:t>
      </w:r>
    </w:p>
    <w:p>
      <w:pPr>
        <w:pStyle w:val="BodyText"/>
        <w:spacing w:before="1"/>
        <w:rPr>
          <w:sz w:val="23"/>
        </w:rPr>
      </w:pPr>
    </w:p>
    <w:p>
      <w:pPr>
        <w:pStyle w:val="BodyText"/>
        <w:ind w:left="765"/>
      </w:pPr>
      <w:r>
        <w:rPr/>
        <w:t>Department of Finance Annual Report 2017-18</w:t>
      </w:r>
    </w:p>
    <w:p>
      <w:pPr>
        <w:pStyle w:val="BodyText"/>
        <w:spacing w:line="249" w:lineRule="auto" w:before="11"/>
        <w:ind w:left="765" w:right="1703"/>
      </w:pPr>
      <w:r>
        <w:rPr/>
        <w:t>© Department of Finance 2018 ISSN 2203-594X (Print)</w:t>
      </w:r>
    </w:p>
    <w:p>
      <w:pPr>
        <w:pStyle w:val="BodyText"/>
        <w:spacing w:before="2"/>
        <w:ind w:left="765"/>
      </w:pPr>
      <w:r>
        <w:rPr/>
        <w:t>ISSN 2203-5958 (Online)</w:t>
      </w:r>
    </w:p>
    <w:p>
      <w:pPr>
        <w:pStyle w:val="Heading4"/>
        <w:spacing w:before="198"/>
        <w:ind w:left="469"/>
      </w:pPr>
      <w:r>
        <w:rPr/>
        <w:br w:type="column"/>
      </w:r>
      <w:r>
        <w:rPr>
          <w:color w:val="6F2770"/>
        </w:rPr>
        <w:t>Key Legislation</w:t>
      </w:r>
    </w:p>
    <w:p>
      <w:pPr>
        <w:pStyle w:val="BodyText"/>
        <w:spacing w:line="249" w:lineRule="auto" w:before="245"/>
        <w:ind w:left="469" w:right="1356"/>
      </w:pPr>
      <w:r>
        <w:rPr/>
        <w:t>The</w:t>
      </w:r>
      <w:r>
        <w:rPr>
          <w:spacing w:val="-24"/>
        </w:rPr>
        <w:t> </w:t>
      </w:r>
      <w:r>
        <w:rPr/>
        <w:t>Department</w:t>
      </w:r>
      <w:r>
        <w:rPr>
          <w:spacing w:val="-23"/>
        </w:rPr>
        <w:t> </w:t>
      </w:r>
      <w:r>
        <w:rPr/>
        <w:t>of</w:t>
      </w:r>
      <w:r>
        <w:rPr>
          <w:spacing w:val="-23"/>
        </w:rPr>
        <w:t> </w:t>
      </w:r>
      <w:r>
        <w:rPr/>
        <w:t>Finance</w:t>
      </w:r>
      <w:r>
        <w:rPr>
          <w:spacing w:val="-23"/>
        </w:rPr>
        <w:t> </w:t>
      </w:r>
      <w:r>
        <w:rPr/>
        <w:t>complies</w:t>
      </w:r>
      <w:r>
        <w:rPr>
          <w:spacing w:val="-24"/>
        </w:rPr>
        <w:t> </w:t>
      </w:r>
      <w:r>
        <w:rPr/>
        <w:t>with</w:t>
      </w:r>
      <w:r>
        <w:rPr>
          <w:spacing w:val="-23"/>
        </w:rPr>
        <w:t> </w:t>
      </w:r>
      <w:r>
        <w:rPr/>
        <w:t>all relevant</w:t>
      </w:r>
      <w:r>
        <w:rPr>
          <w:spacing w:val="-34"/>
        </w:rPr>
        <w:t> </w:t>
      </w:r>
      <w:r>
        <w:rPr/>
        <w:t>legislation</w:t>
      </w:r>
      <w:r>
        <w:rPr>
          <w:spacing w:val="-33"/>
        </w:rPr>
        <w:t> </w:t>
      </w:r>
      <w:r>
        <w:rPr/>
        <w:t>that</w:t>
      </w:r>
      <w:r>
        <w:rPr>
          <w:spacing w:val="-33"/>
        </w:rPr>
        <w:t> </w:t>
      </w:r>
      <w:r>
        <w:rPr/>
        <w:t>governs</w:t>
      </w:r>
      <w:r>
        <w:rPr>
          <w:spacing w:val="-33"/>
        </w:rPr>
        <w:t> </w:t>
      </w:r>
      <w:r>
        <w:rPr/>
        <w:t>its</w:t>
      </w:r>
      <w:r>
        <w:rPr>
          <w:spacing w:val="-34"/>
        </w:rPr>
        <w:t> </w:t>
      </w:r>
      <w:r>
        <w:rPr/>
        <w:t>functions.</w:t>
      </w:r>
    </w:p>
    <w:p>
      <w:pPr>
        <w:pStyle w:val="BodyText"/>
        <w:spacing w:before="1"/>
        <w:rPr>
          <w:sz w:val="23"/>
        </w:rPr>
      </w:pPr>
    </w:p>
    <w:p>
      <w:pPr>
        <w:pStyle w:val="BodyText"/>
        <w:spacing w:line="249" w:lineRule="auto"/>
        <w:ind w:left="469" w:right="1104"/>
      </w:pPr>
      <w:r>
        <w:rPr/>
        <w:t>The</w:t>
      </w:r>
      <w:r>
        <w:rPr>
          <w:spacing w:val="-20"/>
        </w:rPr>
        <w:t> </w:t>
      </w:r>
      <w:r>
        <w:rPr/>
        <w:t>Department</w:t>
      </w:r>
      <w:r>
        <w:rPr>
          <w:spacing w:val="-19"/>
        </w:rPr>
        <w:t> </w:t>
      </w:r>
      <w:r>
        <w:rPr/>
        <w:t>also</w:t>
      </w:r>
      <w:r>
        <w:rPr>
          <w:spacing w:val="-19"/>
        </w:rPr>
        <w:t> </w:t>
      </w:r>
      <w:r>
        <w:rPr/>
        <w:t>has</w:t>
      </w:r>
      <w:r>
        <w:rPr>
          <w:spacing w:val="-20"/>
        </w:rPr>
        <w:t> </w:t>
      </w:r>
      <w:r>
        <w:rPr/>
        <w:t>responsibility</w:t>
      </w:r>
      <w:r>
        <w:rPr>
          <w:spacing w:val="-19"/>
        </w:rPr>
        <w:t> </w:t>
      </w:r>
      <w:r>
        <w:rPr/>
        <w:t>for</w:t>
      </w:r>
      <w:r>
        <w:rPr>
          <w:spacing w:val="-19"/>
        </w:rPr>
        <w:t> </w:t>
      </w:r>
      <w:r>
        <w:rPr/>
        <w:t>the administration of 20 Acts and collected taxes, duties</w:t>
      </w:r>
      <w:r>
        <w:rPr>
          <w:spacing w:val="-17"/>
        </w:rPr>
        <w:t> </w:t>
      </w:r>
      <w:r>
        <w:rPr/>
        <w:t>and</w:t>
      </w:r>
      <w:r>
        <w:rPr>
          <w:spacing w:val="-17"/>
        </w:rPr>
        <w:t> </w:t>
      </w:r>
      <w:r>
        <w:rPr/>
        <w:t>fees,</w:t>
      </w:r>
      <w:r>
        <w:rPr>
          <w:spacing w:val="-17"/>
        </w:rPr>
        <w:t> </w:t>
      </w:r>
      <w:r>
        <w:rPr/>
        <w:t>and</w:t>
      </w:r>
      <w:r>
        <w:rPr>
          <w:spacing w:val="-17"/>
        </w:rPr>
        <w:t> </w:t>
      </w:r>
      <w:r>
        <w:rPr/>
        <w:t>paid</w:t>
      </w:r>
      <w:r>
        <w:rPr>
          <w:spacing w:val="-17"/>
        </w:rPr>
        <w:t> </w:t>
      </w:r>
      <w:r>
        <w:rPr/>
        <w:t>subsidies,</w:t>
      </w:r>
      <w:r>
        <w:rPr>
          <w:spacing w:val="-16"/>
        </w:rPr>
        <w:t> </w:t>
      </w:r>
      <w:r>
        <w:rPr/>
        <w:t>grants</w:t>
      </w:r>
      <w:r>
        <w:rPr>
          <w:spacing w:val="-17"/>
        </w:rPr>
        <w:t> </w:t>
      </w:r>
      <w:r>
        <w:rPr>
          <w:spacing w:val="-6"/>
        </w:rPr>
        <w:t>and </w:t>
      </w:r>
      <w:r>
        <w:rPr/>
        <w:t>rebates during 2017-18 in accordance with legislation.</w:t>
      </w:r>
    </w:p>
    <w:p>
      <w:pPr>
        <w:pStyle w:val="BodyText"/>
        <w:spacing w:before="4"/>
        <w:rPr>
          <w:sz w:val="23"/>
        </w:rPr>
      </w:pPr>
    </w:p>
    <w:p>
      <w:pPr>
        <w:pStyle w:val="BodyText"/>
        <w:ind w:left="469"/>
      </w:pPr>
      <w:r>
        <w:rPr/>
        <w:t>These are listed in the Appendix on page </w:t>
      </w:r>
      <w:hyperlink w:history="true" w:anchor="_bookmark52">
        <w:r>
          <w:rPr>
            <w:color w:val="6F2770"/>
            <w:u w:val="single" w:color="6F2770"/>
          </w:rPr>
          <w:t>120</w:t>
        </w:r>
      </w:hyperlink>
      <w:r>
        <w:rPr/>
        <w:t>.</w:t>
      </w:r>
    </w:p>
    <w:p>
      <w:pPr>
        <w:spacing w:after="0"/>
        <w:sectPr>
          <w:pgSz w:w="16840" w:h="11910" w:orient="landscape"/>
          <w:pgMar w:top="1100" w:bottom="0" w:left="0" w:right="0"/>
          <w:cols w:num="3" w:equalWidth="0">
            <w:col w:w="4747" w:space="497"/>
            <w:col w:w="5500" w:space="40"/>
            <w:col w:w="6056"/>
          </w:cols>
        </w:sectPr>
      </w:pPr>
    </w:p>
    <w:p>
      <w:pPr>
        <w:pStyle w:val="BodyText"/>
        <w:spacing w:before="6" w:after="1"/>
        <w:rPr>
          <w:sz w:val="25"/>
        </w:rPr>
      </w:pPr>
    </w:p>
    <w:p>
      <w:pPr>
        <w:pStyle w:val="BodyText"/>
        <w:ind w:left="8497"/>
        <w:rPr>
          <w:sz w:val="20"/>
        </w:rPr>
      </w:pPr>
      <w:r>
        <w:rPr>
          <w:sz w:val="20"/>
        </w:rPr>
        <w:pict>
          <v:group style="width:88.05pt;height:89.65pt;mso-position-horizontal-relative:char;mso-position-vertical-relative:line" coordorigin="0,0" coordsize="1761,1793">
            <v:line style="position:absolute" from="1080,380" to="1407,706" stroked="true" strokeweight=".25pt" strokecolor="#bbbcbb">
              <v:stroke dashstyle="solid"/>
            </v:line>
            <v:line style="position:absolute" from="907,317" to="1470,879" stroked="true" strokeweight=".25pt" strokecolor="#bbbcbb">
              <v:stroke dashstyle="solid"/>
            </v:line>
            <v:line style="position:absolute" from="780,300" to="1487,1007" stroked="true" strokeweight=".25pt" strokecolor="#bbbcbb">
              <v:stroke dashstyle="solid"/>
            </v:line>
            <v:line style="position:absolute" from="671,302" to="1485,1115" stroked="true" strokeweight=".25pt" strokecolor="#bbbcbb">
              <v:stroke dashstyle="solid"/>
            </v:line>
            <v:line style="position:absolute" from="577,317" to="1469,1210" stroked="true" strokeweight=".25pt" strokecolor="#bbbcbb">
              <v:stroke dashstyle="solid"/>
            </v:line>
            <v:line style="position:absolute" from="491,342" to="1444,1295" stroked="true" strokeweight=".25pt" strokecolor="#bbbcbb">
              <v:stroke dashstyle="solid"/>
            </v:line>
            <v:line style="position:absolute" from="414,375" to="1412,1373" stroked="true" strokeweight=".25pt" strokecolor="#bbbcbb">
              <v:stroke dashstyle="solid"/>
            </v:line>
            <v:line style="position:absolute" from="343,415" to="1372,1444" stroked="true" strokeweight=".25pt" strokecolor="#bbbcbb">
              <v:stroke dashstyle="solid"/>
            </v:line>
            <v:line style="position:absolute" from="278,460" to="1326,1508" stroked="true" strokeweight=".25pt" strokecolor="#bbbcbb">
              <v:stroke dashstyle="solid"/>
            </v:line>
            <v:line style="position:absolute" from="220,512" to="1275,1567" stroked="true" strokeweight=".25pt" strokecolor="#bbbcbb">
              <v:stroke dashstyle="solid"/>
            </v:line>
            <v:line style="position:absolute" from="167,570" to="1217,1620" stroked="true" strokeweight=".25pt" strokecolor="#bbbcbb">
              <v:stroke dashstyle="solid"/>
            </v:line>
            <v:line style="position:absolute" from="120,633" to="1154,1667" stroked="true" strokeweight=".25pt" strokecolor="#bbbcbb">
              <v:stroke dashstyle="solid"/>
            </v:line>
            <v:line style="position:absolute" from="80,703" to="1084,1707" stroked="true" strokeweight=".25pt" strokecolor="#bbbcbb">
              <v:stroke dashstyle="solid"/>
            </v:line>
            <v:line style="position:absolute" from="46,779" to="1007,1741" stroked="true" strokeweight=".25pt" strokecolor="#bbbcbb">
              <v:stroke dashstyle="solid"/>
            </v:line>
            <v:line style="position:absolute" from="19,863" to="923,1768" stroked="true" strokeweight=".25pt" strokecolor="#bbbcbb">
              <v:stroke dashstyle="solid"/>
            </v:line>
            <v:line style="position:absolute" from="3,957" to="830,1785" stroked="true" strokeweight=".25pt" strokecolor="#bbbcbb">
              <v:stroke dashstyle="solid"/>
            </v:line>
            <v:line style="position:absolute" from="3,1067" to="725,1790" stroked="true" strokeweight=".25pt" strokecolor="#bbbcbb">
              <v:stroke dashstyle="solid"/>
            </v:line>
            <v:line style="position:absolute" from="10,1186" to="602,1777" stroked="true" strokeweight=".25pt" strokecolor="#bbbcbb">
              <v:stroke dashstyle="solid"/>
            </v:line>
            <v:line style="position:absolute" from="59,1345" to="441,1726" stroked="true" strokeweight=".25pt" strokecolor="#bbbcbb">
              <v:stroke dashstyle="solid"/>
            </v:line>
            <v:line style="position:absolute" from="1515,42" to="1719,245" stroked="true" strokeweight=".25pt" strokecolor="#6f2770">
              <v:stroke dashstyle="solid"/>
            </v:line>
            <v:line style="position:absolute" from="1365,3" to="1758,395" stroked="true" strokeweight=".25pt" strokecolor="#6f2770">
              <v:stroke dashstyle="solid"/>
            </v:line>
            <v:line style="position:absolute" from="1259,6" to="1754,502" stroked="true" strokeweight=".25pt" strokecolor="#6f2770">
              <v:stroke dashstyle="solid"/>
            </v:line>
            <v:line style="position:absolute" from="1173,31" to="1729,587" stroked="true" strokeweight=".25pt" strokecolor="#6f2770">
              <v:stroke dashstyle="solid"/>
            </v:line>
            <v:line style="position:absolute" from="1101,70" to="1691,659" stroked="true" strokeweight=".25pt" strokecolor="#6f2770">
              <v:stroke dashstyle="solid"/>
            </v:line>
            <v:line style="position:absolute" from="1040,118" to="1642,721" stroked="true" strokeweight=".25pt" strokecolor="#6f2770">
              <v:stroke dashstyle="solid"/>
            </v:line>
            <v:line style="position:absolute" from="988,177" to="1583,772" stroked="true" strokeweight=".25pt" strokecolor="#6f2770">
              <v:stroke dashstyle="solid"/>
            </v:line>
            <v:line style="position:absolute" from="947,247" to="1514,813" stroked="true" strokeweight=".25pt" strokecolor="#6f2770">
              <v:stroke dashstyle="solid"/>
            </v:line>
            <v:line style="position:absolute" from="919,328" to="1432,842" stroked="true" strokeweight=".25pt" strokecolor="#6f2770">
              <v:stroke dashstyle="solid"/>
            </v:line>
            <v:line style="position:absolute" from="906,426" to="1334,854" stroked="true" strokeweight=".25pt" strokecolor="#6f2770">
              <v:stroke dashstyle="solid"/>
            </v:line>
            <v:line style="position:absolute" from="927,558" to="1203,833" stroked="true" strokeweight=".25pt" strokecolor="#6f2770">
              <v:stroke dashstyle="solid"/>
            </v:line>
          </v:group>
        </w:pict>
      </w:r>
      <w:r>
        <w:rPr>
          <w:sz w:val="20"/>
        </w:rPr>
      </w:r>
    </w:p>
    <w:p>
      <w:pPr>
        <w:pStyle w:val="BodyText"/>
        <w:rPr>
          <w:sz w:val="20"/>
        </w:rPr>
      </w:pPr>
    </w:p>
    <w:p>
      <w:pPr>
        <w:pStyle w:val="BodyText"/>
        <w:rPr>
          <w:sz w:val="20"/>
        </w:rPr>
      </w:pPr>
    </w:p>
    <w:p>
      <w:pPr>
        <w:pStyle w:val="BodyText"/>
        <w:rPr>
          <w:sz w:val="20"/>
        </w:rPr>
      </w:pPr>
    </w:p>
    <w:p>
      <w:pPr>
        <w:pStyle w:val="BodyText"/>
        <w:spacing w:before="8"/>
        <w:rPr>
          <w:sz w:val="27"/>
        </w:rPr>
      </w:pPr>
      <w:r>
        <w:rPr/>
        <w:pict>
          <v:group style="position:absolute;margin-left:0pt;margin-top:17.897917pt;width:24.1pt;height:41.55pt;mso-position-horizontal-relative:page;mso-position-vertical-relative:paragraph;z-index:-976;mso-wrap-distance-left:0;mso-wrap-distance-right:0" coordorigin="0,358" coordsize="482,831">
            <v:shape style="position:absolute;left:0;top:357;width:482;height:831" coordorigin="0,358" coordsize="482,831" path="m66,358l49,358,33,360,16,361,0,364,0,1183,16,1185,33,1187,49,1188,66,1188,140,1182,211,1162,275,1132,333,1091,383,1041,424,983,455,918,474,848,481,773,474,699,455,628,424,564,383,506,333,456,275,415,211,384,140,365,66,358xe" filled="true" fillcolor="#ffffff" stroked="false">
              <v:path arrowok="t"/>
              <v:fill type="solid"/>
            </v:shape>
            <v:shape style="position:absolute;left:0;top:357;width:482;height:831" coordorigin="0,358" coordsize="482,831" path="m66,358l49,358,33,360,16,361,0,364,0,1183,16,1185,33,1187,49,1188,66,1188,140,1182,211,1162,275,1132,333,1091,383,1041,424,983,455,918,474,848,481,773,474,699,455,628,424,564,383,506,333,456,275,415,211,384,140,365,66,358xe" filled="true" fillcolor="#aebd37" stroked="false">
              <v:path arrowok="t"/>
              <v:fill opacity="13107f" type="solid"/>
            </v:shape>
            <v:shape style="position:absolute;left:174;top:687;width:93;height:171" coordorigin="174,687" coordsize="93,171" path="m256,687l248,687,182,753,176,762,174,772,174,774,176,784,182,793,245,857,249,858,256,858,259,857,267,849,267,841,200,774,200,772,267,706,267,697,256,687xe" filled="true" fillcolor="#000000" stroked="false">
              <v:path arrowok="t"/>
              <v:fill type="solid"/>
            </v:shape>
            <w10:wrap type="topAndBottom"/>
          </v:group>
        </w:pict>
      </w:r>
    </w:p>
    <w:p>
      <w:pPr>
        <w:spacing w:after="0"/>
        <w:rPr>
          <w:sz w:val="27"/>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0" w:id="1"/>
      <w:bookmarkEnd w:id="1"/>
      <w:r>
        <w:rPr/>
      </w:r>
      <w:r>
        <w:rPr>
          <w:sz w:val="20"/>
        </w:rPr>
        <w:pict>
          <v:shape style="width:120.3pt;height:42.55pt;mso-position-horizontal-relative:char;mso-position-vertical-relative:line" type="#_x0000_t202" filled="true" fillcolor="#d4d896"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3"/>
        <w:rPr>
          <w:sz w:val="29"/>
        </w:rPr>
      </w:pPr>
    </w:p>
    <w:p>
      <w:pPr>
        <w:pStyle w:val="Heading4"/>
        <w:spacing w:before="111"/>
      </w:pPr>
      <w:r>
        <w:rPr/>
        <w:pict>
          <v:shape style="position:absolute;margin-left:601.348999pt;margin-top:-60.616932pt;width:120.3pt;height:42.55pt;mso-position-horizontal-relative:page;mso-position-vertical-relative:paragraph;z-index:1408"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0.616932pt;width:120.3pt;height:42.55pt;mso-position-horizontal-relative:page;mso-position-vertical-relative:paragraph;z-index:143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0.616932pt;width:120.3pt;height:42.55pt;mso-position-horizontal-relative:page;mso-position-vertical-relative:paragraph;z-index:1456"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CONTENTS</w:t>
      </w:r>
    </w:p>
    <w:p>
      <w:pPr>
        <w:pStyle w:val="BodyText"/>
        <w:spacing w:before="6"/>
        <w:rPr>
          <w:sz w:val="25"/>
        </w:rPr>
      </w:pPr>
    </w:p>
    <w:p>
      <w:pPr>
        <w:spacing w:after="0"/>
        <w:rPr>
          <w:sz w:val="25"/>
        </w:rPr>
        <w:sectPr>
          <w:pgSz w:w="16840" w:h="11910" w:orient="landscape"/>
          <w:pgMar w:top="0" w:bottom="0" w:left="0" w:right="0"/>
        </w:sectPr>
      </w:pPr>
    </w:p>
    <w:p>
      <w:pPr>
        <w:spacing w:before="108"/>
        <w:ind w:left="765" w:right="0" w:firstLine="0"/>
        <w:jc w:val="left"/>
        <w:rPr>
          <w:b/>
          <w:sz w:val="22"/>
        </w:rPr>
      </w:pPr>
      <w:r>
        <w:rPr/>
        <w:pict>
          <v:line style="position:absolute;mso-position-horizontal-relative:page;mso-position-vertical-relative:paragraph;z-index:1288" from="38.2677pt,20.420971pt" to="272.1257pt,20.420971pt" stroked="true" strokeweight=".5pt" strokecolor="#6f2770">
            <v:stroke dashstyle="solid"/>
            <w10:wrap type="none"/>
          </v:line>
        </w:pict>
      </w:r>
      <w:r>
        <w:rPr>
          <w:b/>
          <w:color w:val="6F2770"/>
          <w:sz w:val="22"/>
        </w:rPr>
        <w:t>OVERVIEW</w:t>
      </w:r>
    </w:p>
    <w:sdt>
      <w:sdtPr>
        <w:docPartObj>
          <w:docPartGallery w:val="Table of Contents"/>
          <w:docPartUnique/>
        </w:docPartObj>
      </w:sdtPr>
      <w:sdtEndPr/>
      <w:sdtContent>
        <w:p>
          <w:pPr>
            <w:pStyle w:val="TOC4"/>
            <w:tabs>
              <w:tab w:pos="5442" w:val="right" w:leader="none"/>
            </w:tabs>
          </w:pPr>
          <w:r>
            <w:rPr/>
            <w:pict>
              <v:group style="position:absolute;margin-left:0pt;margin-top:7.121287pt;width:503.05pt;height:468.6pt;mso-position-horizontal-relative:page;mso-position-vertical-relative:paragraph;z-index:-711232" coordorigin="0,142" coordsize="10061,9372">
                <v:shape style="position:absolute;left:0;top:142;width:10061;height:9372" type="#_x0000_t75" stroked="false">
                  <v:imagedata r:id="rId12" o:title=""/>
                </v:shape>
                <v:line style="position:absolute" from="765,1997" to="5443,1997" stroked="true" strokeweight=".5pt" strokecolor="#6f2770">
                  <v:stroke dashstyle="solid"/>
                </v:line>
                <v:shape style="position:absolute;left:0;top:8540;width:482;height:831" coordorigin="0,8540" coordsize="482,831" path="m66,8540l49,8540,33,8542,16,8543,0,8546,0,9365,16,9367,33,9369,49,9370,66,9370,140,9364,211,9344,275,9314,333,9273,383,9223,424,9165,455,9100,474,9030,481,8955,474,8881,455,8810,424,8746,383,8688,333,8638,275,8597,211,8566,140,8547,66,8540xe" filled="true" fillcolor="#ffffff" stroked="false">
                  <v:path arrowok="t"/>
                  <v:fill type="solid"/>
                </v:shape>
                <v:shape style="position:absolute;left:0;top:8540;width:482;height:831" coordorigin="0,8540" coordsize="482,831" path="m66,8540l49,8540,33,8542,16,8543,0,8546,0,9365,16,9367,33,9369,49,9370,66,9370,140,9364,211,9344,275,9314,333,9273,383,9223,424,9165,455,9100,474,9030,481,8955,474,8881,455,8810,424,8746,383,8688,333,8638,275,8597,211,8566,140,8547,66,8540xe" filled="true" fillcolor="#aebd37" stroked="false">
                  <v:path arrowok="t"/>
                  <v:fill opacity="13107f" type="solid"/>
                </v:shape>
                <v:shape style="position:absolute;left:174;top:8869;width:93;height:171" coordorigin="174,8869" coordsize="93,171" path="m256,8869l248,8869,182,8935,176,8944,174,8954,174,8956,176,8966,182,8976,245,9039,249,9040,256,9040,259,9039,267,9031,267,9023,200,8956,200,8954,267,8888,267,8879,256,8869xe" filled="true" fillcolor="#000000" stroked="false">
                  <v:path arrowok="t"/>
                  <v:fill type="solid"/>
                </v:shape>
                <w10:wrap type="none"/>
              </v:group>
            </w:pict>
          </w:r>
          <w:r>
            <w:rPr/>
            <w:t>What</w:t>
          </w:r>
          <w:r>
            <w:rPr>
              <w:spacing w:val="-1"/>
            </w:rPr>
            <w:t> </w:t>
          </w:r>
          <w:r>
            <w:rPr/>
            <w:t>We</w:t>
          </w:r>
          <w:r>
            <w:rPr>
              <w:spacing w:val="-1"/>
            </w:rPr>
            <w:t> </w:t>
          </w:r>
          <w:r>
            <w:rPr/>
            <w:t>Do</w:t>
            <w:tab/>
          </w:r>
          <w:hyperlink w:history="true" w:anchor="_bookmark1">
            <w:r>
              <w:rPr>
                <w:color w:val="6F2770"/>
              </w:rPr>
              <w:t>2</w:t>
            </w:r>
          </w:hyperlink>
        </w:p>
        <w:p>
          <w:pPr>
            <w:pStyle w:val="TOC4"/>
            <w:tabs>
              <w:tab w:pos="5442" w:val="right" w:leader="none"/>
            </w:tabs>
          </w:pPr>
          <w:r>
            <w:rPr/>
            <w:t>Director</w:t>
          </w:r>
          <w:r>
            <w:rPr>
              <w:spacing w:val="-4"/>
            </w:rPr>
            <w:t> </w:t>
          </w:r>
          <w:r>
            <w:rPr>
              <w:spacing w:val="-3"/>
            </w:rPr>
            <w:t>General’s</w:t>
          </w:r>
          <w:r>
            <w:rPr>
              <w:spacing w:val="-4"/>
            </w:rPr>
            <w:t> </w:t>
          </w:r>
          <w:r>
            <w:rPr/>
            <w:t>Overview</w:t>
            <w:tab/>
          </w:r>
          <w:hyperlink w:history="true" w:anchor="_bookmark2">
            <w:r>
              <w:rPr>
                <w:color w:val="6F2770"/>
              </w:rPr>
              <w:t>3</w:t>
            </w:r>
          </w:hyperlink>
        </w:p>
        <w:p>
          <w:pPr>
            <w:pStyle w:val="TOC4"/>
            <w:tabs>
              <w:tab w:pos="5442" w:val="right" w:leader="none"/>
            </w:tabs>
          </w:pPr>
          <w:r>
            <w:rPr/>
            <w:t>Organisational</w:t>
          </w:r>
          <w:r>
            <w:rPr>
              <w:spacing w:val="-3"/>
            </w:rPr>
            <w:t> </w:t>
          </w:r>
          <w:r>
            <w:rPr/>
            <w:t>Structure</w:t>
            <w:tab/>
          </w:r>
          <w:hyperlink w:history="true" w:anchor="_bookmark3">
            <w:r>
              <w:rPr>
                <w:color w:val="6F2770"/>
              </w:rPr>
              <w:t>5</w:t>
            </w:r>
          </w:hyperlink>
        </w:p>
        <w:p>
          <w:pPr>
            <w:pStyle w:val="TOC2"/>
          </w:pPr>
          <w:r>
            <w:rPr>
              <w:color w:val="6F2770"/>
            </w:rPr>
            <w:t>AGENCY PERFORMANCE</w:t>
          </w:r>
        </w:p>
        <w:p>
          <w:pPr>
            <w:pStyle w:val="TOC4"/>
            <w:tabs>
              <w:tab w:pos="5442" w:val="right" w:leader="none"/>
            </w:tabs>
          </w:pPr>
          <w:r>
            <w:rPr/>
            <w:t>Delivering</w:t>
          </w:r>
          <w:r>
            <w:rPr>
              <w:spacing w:val="-3"/>
            </w:rPr>
            <w:t> Value</w:t>
            <w:tab/>
          </w:r>
          <w:hyperlink w:history="true" w:anchor="_bookmark5">
            <w:r>
              <w:rPr>
                <w:color w:val="6F2770"/>
              </w:rPr>
              <w:t>8</w:t>
            </w:r>
          </w:hyperlink>
        </w:p>
        <w:p>
          <w:pPr>
            <w:pStyle w:val="TOC4"/>
          </w:pPr>
          <w:r>
            <w:rPr/>
            <w:t>Leading and Supporting</w:t>
          </w:r>
        </w:p>
        <w:p>
          <w:pPr>
            <w:pStyle w:val="TOC4"/>
            <w:tabs>
              <w:tab w:pos="5442" w:val="right" w:leader="none"/>
            </w:tabs>
            <w:spacing w:before="11"/>
          </w:pPr>
          <w:r>
            <w:rPr/>
            <w:t>Cross-Government</w:t>
          </w:r>
          <w:r>
            <w:rPr>
              <w:spacing w:val="-5"/>
            </w:rPr>
            <w:t> </w:t>
          </w:r>
          <w:r>
            <w:rPr/>
            <w:t>Initiatives</w:t>
            <w:tab/>
          </w:r>
          <w:hyperlink w:history="true" w:anchor="_bookmark7">
            <w:r>
              <w:rPr>
                <w:color w:val="6F2770"/>
              </w:rPr>
              <w:t>10</w:t>
            </w:r>
          </w:hyperlink>
        </w:p>
        <w:p>
          <w:pPr>
            <w:pStyle w:val="TOC4"/>
            <w:tabs>
              <w:tab w:pos="5442" w:val="right" w:leader="none"/>
            </w:tabs>
          </w:pPr>
          <w:r>
            <w:rPr/>
            <w:pict>
              <v:shape style="position:absolute;margin-left:49.770699pt;margin-top:15.829865pt;width:753.9pt;height:144.4pt;mso-position-horizontal-relative:page;mso-position-vertical-relative:paragraph;z-index:1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7"/>
                        <w:gridCol w:w="889"/>
                        <w:gridCol w:w="4192"/>
                        <w:gridCol w:w="1303"/>
                        <w:gridCol w:w="3879"/>
                        <w:gridCol w:w="800"/>
                      </w:tblGrid>
                      <w:tr>
                        <w:trPr>
                          <w:trHeight w:val="572" w:hRule="atLeast"/>
                        </w:trPr>
                        <w:tc>
                          <w:tcPr>
                            <w:tcW w:w="4017" w:type="dxa"/>
                          </w:tcPr>
                          <w:p>
                            <w:pPr>
                              <w:pStyle w:val="TableParagraph"/>
                              <w:spacing w:before="5"/>
                              <w:rPr>
                                <w:b/>
                                <w:sz w:val="23"/>
                              </w:rPr>
                            </w:pPr>
                          </w:p>
                          <w:p>
                            <w:pPr>
                              <w:pStyle w:val="TableParagraph"/>
                              <w:spacing w:before="1"/>
                              <w:ind w:left="50"/>
                              <w:rPr>
                                <w:sz w:val="22"/>
                              </w:rPr>
                            </w:pPr>
                            <w:r>
                              <w:rPr>
                                <w:sz w:val="22"/>
                              </w:rPr>
                              <w:t>Building for the Community</w:t>
                            </w:r>
                          </w:p>
                        </w:tc>
                        <w:tc>
                          <w:tcPr>
                            <w:tcW w:w="889" w:type="dxa"/>
                          </w:tcPr>
                          <w:p>
                            <w:pPr>
                              <w:pStyle w:val="TableParagraph"/>
                              <w:spacing w:before="5"/>
                              <w:rPr>
                                <w:b/>
                                <w:sz w:val="23"/>
                              </w:rPr>
                            </w:pPr>
                          </w:p>
                          <w:p>
                            <w:pPr>
                              <w:pStyle w:val="TableParagraph"/>
                              <w:spacing w:before="1"/>
                              <w:ind w:left="185"/>
                              <w:rPr>
                                <w:sz w:val="22"/>
                              </w:rPr>
                            </w:pPr>
                            <w:hyperlink w:history="true" w:anchor="_bookmark11">
                              <w:r>
                                <w:rPr>
                                  <w:color w:val="6F2770"/>
                                  <w:sz w:val="22"/>
                                </w:rPr>
                                <w:t>19</w:t>
                              </w:r>
                            </w:hyperlink>
                          </w:p>
                        </w:tc>
                        <w:tc>
                          <w:tcPr>
                            <w:tcW w:w="4192" w:type="dxa"/>
                          </w:tcPr>
                          <w:p>
                            <w:pPr>
                              <w:pStyle w:val="TableParagraph"/>
                              <w:spacing w:line="249" w:lineRule="auto" w:before="6"/>
                              <w:ind w:left="458" w:right="570"/>
                              <w:rPr>
                                <w:sz w:val="22"/>
                              </w:rPr>
                            </w:pPr>
                            <w:r>
                              <w:rPr>
                                <w:sz w:val="22"/>
                              </w:rPr>
                              <w:t>Schedule</w:t>
                            </w:r>
                            <w:r>
                              <w:rPr>
                                <w:spacing w:val="-34"/>
                                <w:sz w:val="22"/>
                              </w:rPr>
                              <w:t> </w:t>
                            </w:r>
                            <w:r>
                              <w:rPr>
                                <w:sz w:val="22"/>
                              </w:rPr>
                              <w:t>of</w:t>
                            </w:r>
                            <w:r>
                              <w:rPr>
                                <w:spacing w:val="-33"/>
                                <w:sz w:val="22"/>
                              </w:rPr>
                              <w:t> </w:t>
                            </w:r>
                            <w:r>
                              <w:rPr>
                                <w:sz w:val="22"/>
                              </w:rPr>
                              <w:t>Assets</w:t>
                            </w:r>
                            <w:r>
                              <w:rPr>
                                <w:spacing w:val="-34"/>
                                <w:sz w:val="22"/>
                              </w:rPr>
                              <w:t> </w:t>
                            </w:r>
                            <w:r>
                              <w:rPr>
                                <w:sz w:val="22"/>
                              </w:rPr>
                              <w:t>and</w:t>
                            </w:r>
                            <w:r>
                              <w:rPr>
                                <w:spacing w:val="-33"/>
                                <w:sz w:val="22"/>
                              </w:rPr>
                              <w:t> </w:t>
                            </w:r>
                            <w:r>
                              <w:rPr>
                                <w:sz w:val="22"/>
                              </w:rPr>
                              <w:t>Liabilities by</w:t>
                            </w:r>
                            <w:r>
                              <w:rPr>
                                <w:spacing w:val="-2"/>
                                <w:sz w:val="22"/>
                              </w:rPr>
                              <w:t> </w:t>
                            </w:r>
                            <w:r>
                              <w:rPr>
                                <w:sz w:val="22"/>
                              </w:rPr>
                              <w:t>Service</w:t>
                            </w:r>
                          </w:p>
                        </w:tc>
                        <w:tc>
                          <w:tcPr>
                            <w:tcW w:w="1303" w:type="dxa"/>
                          </w:tcPr>
                          <w:p>
                            <w:pPr>
                              <w:pStyle w:val="TableParagraph"/>
                              <w:spacing w:before="5"/>
                              <w:rPr>
                                <w:b/>
                                <w:sz w:val="23"/>
                              </w:rPr>
                            </w:pPr>
                          </w:p>
                          <w:p>
                            <w:pPr>
                              <w:pStyle w:val="TableParagraph"/>
                              <w:spacing w:before="1"/>
                              <w:ind w:left="419"/>
                              <w:rPr>
                                <w:sz w:val="22"/>
                              </w:rPr>
                            </w:pPr>
                            <w:hyperlink w:history="true" w:anchor="_bookmark23">
                              <w:r>
                                <w:rPr>
                                  <w:color w:val="6F2770"/>
                                  <w:sz w:val="22"/>
                                </w:rPr>
                                <w:t>42</w:t>
                              </w:r>
                            </w:hyperlink>
                          </w:p>
                        </w:tc>
                        <w:tc>
                          <w:tcPr>
                            <w:tcW w:w="3879" w:type="dxa"/>
                            <w:tcBorders>
                              <w:bottom w:val="single" w:sz="4" w:space="0" w:color="6F2770"/>
                            </w:tcBorders>
                          </w:tcPr>
                          <w:p>
                            <w:pPr>
                              <w:pStyle w:val="TableParagraph"/>
                              <w:spacing w:before="5"/>
                              <w:rPr>
                                <w:b/>
                                <w:sz w:val="23"/>
                              </w:rPr>
                            </w:pPr>
                          </w:p>
                          <w:p>
                            <w:pPr>
                              <w:pStyle w:val="TableParagraph"/>
                              <w:spacing w:before="1"/>
                              <w:ind w:left="-2"/>
                              <w:rPr>
                                <w:b/>
                                <w:sz w:val="22"/>
                              </w:rPr>
                            </w:pPr>
                            <w:r>
                              <w:rPr>
                                <w:b/>
                                <w:color w:val="6F2770"/>
                                <w:sz w:val="22"/>
                              </w:rPr>
                              <w:t>DISCLOSURES</w:t>
                            </w:r>
                          </w:p>
                        </w:tc>
                        <w:tc>
                          <w:tcPr>
                            <w:tcW w:w="800" w:type="dxa"/>
                            <w:tcBorders>
                              <w:bottom w:val="single" w:sz="4" w:space="0" w:color="6F2770"/>
                            </w:tcBorders>
                          </w:tcPr>
                          <w:p>
                            <w:pPr>
                              <w:pStyle w:val="TableParagraph"/>
                              <w:spacing w:before="0"/>
                              <w:rPr>
                                <w:rFonts w:ascii="Times New Roman"/>
                                <w:sz w:val="20"/>
                              </w:rPr>
                            </w:pPr>
                          </w:p>
                        </w:tc>
                      </w:tr>
                      <w:tr>
                        <w:trPr>
                          <w:trHeight w:val="441" w:hRule="atLeast"/>
                        </w:trPr>
                        <w:tc>
                          <w:tcPr>
                            <w:tcW w:w="4017" w:type="dxa"/>
                          </w:tcPr>
                          <w:p>
                            <w:pPr>
                              <w:pStyle w:val="TableParagraph"/>
                              <w:spacing w:before="108"/>
                              <w:ind w:left="50"/>
                              <w:rPr>
                                <w:sz w:val="22"/>
                              </w:rPr>
                            </w:pPr>
                            <w:r>
                              <w:rPr>
                                <w:sz w:val="22"/>
                              </w:rPr>
                              <w:t>Our People and Organisation</w:t>
                            </w:r>
                          </w:p>
                        </w:tc>
                        <w:tc>
                          <w:tcPr>
                            <w:tcW w:w="889" w:type="dxa"/>
                          </w:tcPr>
                          <w:p>
                            <w:pPr>
                              <w:pStyle w:val="TableParagraph"/>
                              <w:spacing w:before="108"/>
                              <w:ind w:left="185"/>
                              <w:rPr>
                                <w:sz w:val="22"/>
                              </w:rPr>
                            </w:pPr>
                            <w:hyperlink w:history="true" w:anchor="_bookmark12">
                              <w:r>
                                <w:rPr>
                                  <w:color w:val="6F2770"/>
                                  <w:sz w:val="22"/>
                                </w:rPr>
                                <w:t>26</w:t>
                              </w:r>
                            </w:hyperlink>
                          </w:p>
                        </w:tc>
                        <w:tc>
                          <w:tcPr>
                            <w:tcW w:w="4192" w:type="dxa"/>
                          </w:tcPr>
                          <w:p>
                            <w:pPr>
                              <w:pStyle w:val="TableParagraph"/>
                              <w:spacing w:before="108"/>
                              <w:ind w:left="458"/>
                              <w:rPr>
                                <w:sz w:val="22"/>
                              </w:rPr>
                            </w:pPr>
                            <w:r>
                              <w:rPr>
                                <w:sz w:val="22"/>
                              </w:rPr>
                              <w:t>Summary of Consolidated Account</w:t>
                            </w:r>
                          </w:p>
                        </w:tc>
                        <w:tc>
                          <w:tcPr>
                            <w:tcW w:w="1303" w:type="dxa"/>
                          </w:tcPr>
                          <w:p>
                            <w:pPr>
                              <w:pStyle w:val="TableParagraph"/>
                              <w:spacing w:before="0"/>
                              <w:rPr>
                                <w:rFonts w:ascii="Times New Roman"/>
                                <w:sz w:val="20"/>
                              </w:rPr>
                            </w:pPr>
                          </w:p>
                        </w:tc>
                        <w:tc>
                          <w:tcPr>
                            <w:tcW w:w="3879" w:type="dxa"/>
                            <w:tcBorders>
                              <w:top w:val="single" w:sz="4" w:space="0" w:color="6F2770"/>
                            </w:tcBorders>
                          </w:tcPr>
                          <w:p>
                            <w:pPr>
                              <w:pStyle w:val="TableParagraph"/>
                              <w:spacing w:before="108"/>
                              <w:ind w:left="278"/>
                              <w:rPr>
                                <w:sz w:val="22"/>
                              </w:rPr>
                            </w:pPr>
                            <w:r>
                              <w:rPr>
                                <w:sz w:val="22"/>
                              </w:rPr>
                              <w:t>Ministerial Directives</w:t>
                            </w:r>
                          </w:p>
                        </w:tc>
                        <w:tc>
                          <w:tcPr>
                            <w:tcW w:w="800" w:type="dxa"/>
                            <w:tcBorders>
                              <w:top w:val="single" w:sz="4" w:space="0" w:color="6F2770"/>
                            </w:tcBorders>
                          </w:tcPr>
                          <w:p>
                            <w:pPr>
                              <w:pStyle w:val="TableParagraph"/>
                              <w:spacing w:before="108"/>
                              <w:jc w:val="right"/>
                              <w:rPr>
                                <w:sz w:val="22"/>
                              </w:rPr>
                            </w:pPr>
                            <w:hyperlink w:history="true" w:anchor="_bookmark47">
                              <w:r>
                                <w:rPr>
                                  <w:color w:val="6F2770"/>
                                  <w:w w:val="95"/>
                                  <w:sz w:val="22"/>
                                </w:rPr>
                                <w:t>108</w:t>
                              </w:r>
                            </w:hyperlink>
                          </w:p>
                        </w:tc>
                      </w:tr>
                      <w:tr>
                        <w:trPr>
                          <w:trHeight w:val="419" w:hRule="atLeast"/>
                        </w:trPr>
                        <w:tc>
                          <w:tcPr>
                            <w:tcW w:w="4017" w:type="dxa"/>
                          </w:tcPr>
                          <w:p>
                            <w:pPr>
                              <w:pStyle w:val="TableParagraph"/>
                              <w:spacing w:before="86"/>
                              <w:ind w:left="50"/>
                              <w:rPr>
                                <w:sz w:val="22"/>
                              </w:rPr>
                            </w:pPr>
                            <w:r>
                              <w:rPr>
                                <w:sz w:val="22"/>
                              </w:rPr>
                              <w:t>Significant Issues and Future Outlook</w:t>
                            </w:r>
                          </w:p>
                        </w:tc>
                        <w:tc>
                          <w:tcPr>
                            <w:tcW w:w="889" w:type="dxa"/>
                          </w:tcPr>
                          <w:p>
                            <w:pPr>
                              <w:pStyle w:val="TableParagraph"/>
                              <w:spacing w:before="86"/>
                              <w:ind w:left="185"/>
                              <w:rPr>
                                <w:sz w:val="22"/>
                              </w:rPr>
                            </w:pPr>
                            <w:hyperlink w:history="true" w:anchor="_bookmark13">
                              <w:r>
                                <w:rPr>
                                  <w:color w:val="6F2770"/>
                                  <w:sz w:val="22"/>
                                </w:rPr>
                                <w:t>29</w:t>
                              </w:r>
                            </w:hyperlink>
                          </w:p>
                        </w:tc>
                        <w:tc>
                          <w:tcPr>
                            <w:tcW w:w="4192" w:type="dxa"/>
                          </w:tcPr>
                          <w:p>
                            <w:pPr>
                              <w:pStyle w:val="TableParagraph"/>
                              <w:spacing w:line="183" w:lineRule="exact" w:before="0"/>
                              <w:ind w:left="458"/>
                              <w:rPr>
                                <w:sz w:val="22"/>
                              </w:rPr>
                            </w:pPr>
                            <w:r>
                              <w:rPr>
                                <w:sz w:val="22"/>
                              </w:rPr>
                              <w:t>Appropriations and Income Estimates</w:t>
                            </w:r>
                          </w:p>
                        </w:tc>
                        <w:tc>
                          <w:tcPr>
                            <w:tcW w:w="1303" w:type="dxa"/>
                          </w:tcPr>
                          <w:p>
                            <w:pPr>
                              <w:pStyle w:val="TableParagraph"/>
                              <w:spacing w:line="183" w:lineRule="exact" w:before="0"/>
                              <w:ind w:left="419"/>
                              <w:rPr>
                                <w:sz w:val="22"/>
                              </w:rPr>
                            </w:pPr>
                            <w:hyperlink w:history="true" w:anchor="_bookmark24">
                              <w:r>
                                <w:rPr>
                                  <w:color w:val="6F2770"/>
                                  <w:sz w:val="22"/>
                                </w:rPr>
                                <w:t>43</w:t>
                              </w:r>
                            </w:hyperlink>
                          </w:p>
                        </w:tc>
                        <w:tc>
                          <w:tcPr>
                            <w:tcW w:w="3879" w:type="dxa"/>
                          </w:tcPr>
                          <w:p>
                            <w:pPr>
                              <w:pStyle w:val="TableParagraph"/>
                              <w:spacing w:before="86"/>
                              <w:ind w:left="278"/>
                              <w:rPr>
                                <w:sz w:val="22"/>
                              </w:rPr>
                            </w:pPr>
                            <w:r>
                              <w:rPr>
                                <w:sz w:val="22"/>
                              </w:rPr>
                              <w:t>Other Financial Disclosures</w:t>
                            </w:r>
                          </w:p>
                        </w:tc>
                        <w:tc>
                          <w:tcPr>
                            <w:tcW w:w="800" w:type="dxa"/>
                          </w:tcPr>
                          <w:p>
                            <w:pPr>
                              <w:pStyle w:val="TableParagraph"/>
                              <w:spacing w:before="86"/>
                              <w:jc w:val="right"/>
                              <w:rPr>
                                <w:sz w:val="22"/>
                              </w:rPr>
                            </w:pPr>
                            <w:hyperlink w:history="true" w:anchor="_bookmark47">
                              <w:r>
                                <w:rPr>
                                  <w:color w:val="6F2770"/>
                                  <w:w w:val="95"/>
                                  <w:sz w:val="22"/>
                                </w:rPr>
                                <w:t>108</w:t>
                              </w:r>
                            </w:hyperlink>
                          </w:p>
                        </w:tc>
                      </w:tr>
                      <w:tr>
                        <w:trPr>
                          <w:trHeight w:val="419" w:hRule="atLeast"/>
                        </w:trPr>
                        <w:tc>
                          <w:tcPr>
                            <w:tcW w:w="4017" w:type="dxa"/>
                          </w:tcPr>
                          <w:p>
                            <w:pPr>
                              <w:pStyle w:val="TableParagraph"/>
                              <w:spacing w:before="86"/>
                              <w:ind w:left="50"/>
                              <w:rPr>
                                <w:sz w:val="22"/>
                              </w:rPr>
                            </w:pPr>
                            <w:r>
                              <w:rPr>
                                <w:sz w:val="22"/>
                              </w:rPr>
                              <w:t>Performance Management Framework</w:t>
                            </w:r>
                          </w:p>
                        </w:tc>
                        <w:tc>
                          <w:tcPr>
                            <w:tcW w:w="889" w:type="dxa"/>
                          </w:tcPr>
                          <w:p>
                            <w:pPr>
                              <w:pStyle w:val="TableParagraph"/>
                              <w:spacing w:before="86"/>
                              <w:ind w:left="185"/>
                              <w:rPr>
                                <w:sz w:val="22"/>
                              </w:rPr>
                            </w:pPr>
                            <w:hyperlink w:history="true" w:anchor="_bookmark14">
                              <w:r>
                                <w:rPr>
                                  <w:color w:val="6F2770"/>
                                  <w:sz w:val="22"/>
                                </w:rPr>
                                <w:t>31</w:t>
                              </w:r>
                            </w:hyperlink>
                          </w:p>
                        </w:tc>
                        <w:tc>
                          <w:tcPr>
                            <w:tcW w:w="4192" w:type="dxa"/>
                          </w:tcPr>
                          <w:p>
                            <w:pPr>
                              <w:pStyle w:val="TableParagraph"/>
                              <w:spacing w:line="183" w:lineRule="exact" w:before="0"/>
                              <w:ind w:left="458"/>
                              <w:rPr>
                                <w:sz w:val="22"/>
                              </w:rPr>
                            </w:pPr>
                            <w:r>
                              <w:rPr>
                                <w:sz w:val="22"/>
                              </w:rPr>
                              <w:t>Notes to the Financial Statements</w:t>
                            </w:r>
                          </w:p>
                        </w:tc>
                        <w:tc>
                          <w:tcPr>
                            <w:tcW w:w="1303" w:type="dxa"/>
                          </w:tcPr>
                          <w:p>
                            <w:pPr>
                              <w:pStyle w:val="TableParagraph"/>
                              <w:spacing w:line="183" w:lineRule="exact" w:before="0"/>
                              <w:ind w:left="419"/>
                              <w:rPr>
                                <w:sz w:val="22"/>
                              </w:rPr>
                            </w:pPr>
                            <w:hyperlink w:history="true" w:anchor="_bookmark25">
                              <w:r>
                                <w:rPr>
                                  <w:color w:val="6F2770"/>
                                  <w:sz w:val="22"/>
                                </w:rPr>
                                <w:t>46</w:t>
                              </w:r>
                            </w:hyperlink>
                          </w:p>
                        </w:tc>
                        <w:tc>
                          <w:tcPr>
                            <w:tcW w:w="3879" w:type="dxa"/>
                          </w:tcPr>
                          <w:p>
                            <w:pPr>
                              <w:pStyle w:val="TableParagraph"/>
                              <w:spacing w:before="86"/>
                              <w:ind w:left="278"/>
                              <w:rPr>
                                <w:sz w:val="22"/>
                              </w:rPr>
                            </w:pPr>
                            <w:r>
                              <w:rPr>
                                <w:sz w:val="22"/>
                              </w:rPr>
                              <w:t>Governance Disclosures</w:t>
                            </w:r>
                          </w:p>
                        </w:tc>
                        <w:tc>
                          <w:tcPr>
                            <w:tcW w:w="800" w:type="dxa"/>
                          </w:tcPr>
                          <w:p>
                            <w:pPr>
                              <w:pStyle w:val="TableParagraph"/>
                              <w:spacing w:before="86"/>
                              <w:jc w:val="right"/>
                              <w:rPr>
                                <w:sz w:val="22"/>
                              </w:rPr>
                            </w:pPr>
                            <w:hyperlink w:history="true" w:anchor="_bookmark48">
                              <w:r>
                                <w:rPr>
                                  <w:color w:val="6F2770"/>
                                  <w:w w:val="95"/>
                                  <w:sz w:val="22"/>
                                </w:rPr>
                                <w:t>110</w:t>
                              </w:r>
                            </w:hyperlink>
                          </w:p>
                        </w:tc>
                      </w:tr>
                      <w:tr>
                        <w:trPr>
                          <w:trHeight w:val="419" w:hRule="atLeast"/>
                        </w:trPr>
                        <w:tc>
                          <w:tcPr>
                            <w:tcW w:w="4017" w:type="dxa"/>
                          </w:tcPr>
                          <w:p>
                            <w:pPr>
                              <w:pStyle w:val="TableParagraph"/>
                              <w:spacing w:before="86"/>
                              <w:ind w:left="50"/>
                              <w:rPr>
                                <w:sz w:val="22"/>
                              </w:rPr>
                            </w:pPr>
                            <w:r>
                              <w:rPr>
                                <w:sz w:val="22"/>
                              </w:rPr>
                              <w:t>Summary of Non-Financial Performance</w:t>
                            </w:r>
                          </w:p>
                        </w:tc>
                        <w:tc>
                          <w:tcPr>
                            <w:tcW w:w="889" w:type="dxa"/>
                          </w:tcPr>
                          <w:p>
                            <w:pPr>
                              <w:pStyle w:val="TableParagraph"/>
                              <w:spacing w:before="0"/>
                              <w:rPr>
                                <w:rFonts w:ascii="Times New Roman"/>
                                <w:sz w:val="20"/>
                              </w:rPr>
                            </w:pPr>
                          </w:p>
                        </w:tc>
                        <w:tc>
                          <w:tcPr>
                            <w:tcW w:w="4192" w:type="dxa"/>
                          </w:tcPr>
                          <w:p>
                            <w:pPr>
                              <w:pStyle w:val="TableParagraph"/>
                              <w:spacing w:before="0"/>
                              <w:rPr>
                                <w:rFonts w:ascii="Times New Roman"/>
                                <w:sz w:val="20"/>
                              </w:rPr>
                            </w:pPr>
                          </w:p>
                        </w:tc>
                        <w:tc>
                          <w:tcPr>
                            <w:tcW w:w="1303" w:type="dxa"/>
                          </w:tcPr>
                          <w:p>
                            <w:pPr>
                              <w:pStyle w:val="TableParagraph"/>
                              <w:spacing w:before="0"/>
                              <w:rPr>
                                <w:rFonts w:ascii="Times New Roman"/>
                                <w:sz w:val="20"/>
                              </w:rPr>
                            </w:pPr>
                          </w:p>
                        </w:tc>
                        <w:tc>
                          <w:tcPr>
                            <w:tcW w:w="3879" w:type="dxa"/>
                          </w:tcPr>
                          <w:p>
                            <w:pPr>
                              <w:pStyle w:val="TableParagraph"/>
                              <w:spacing w:before="86"/>
                              <w:ind w:left="278"/>
                              <w:rPr>
                                <w:sz w:val="22"/>
                              </w:rPr>
                            </w:pPr>
                            <w:r>
                              <w:rPr>
                                <w:sz w:val="22"/>
                              </w:rPr>
                              <w:t>Other Legal Requirements</w:t>
                            </w:r>
                          </w:p>
                        </w:tc>
                        <w:tc>
                          <w:tcPr>
                            <w:tcW w:w="800" w:type="dxa"/>
                          </w:tcPr>
                          <w:p>
                            <w:pPr>
                              <w:pStyle w:val="TableParagraph"/>
                              <w:spacing w:before="86"/>
                              <w:jc w:val="right"/>
                              <w:rPr>
                                <w:sz w:val="22"/>
                              </w:rPr>
                            </w:pPr>
                            <w:hyperlink w:history="true" w:anchor="_bookmark50">
                              <w:r>
                                <w:rPr>
                                  <w:color w:val="6F2770"/>
                                  <w:w w:val="95"/>
                                  <w:sz w:val="22"/>
                                </w:rPr>
                                <w:t>113</w:t>
                              </w:r>
                            </w:hyperlink>
                          </w:p>
                        </w:tc>
                      </w:tr>
                      <w:tr>
                        <w:trPr>
                          <w:trHeight w:val="603" w:hRule="atLeast"/>
                        </w:trPr>
                        <w:tc>
                          <w:tcPr>
                            <w:tcW w:w="4017" w:type="dxa"/>
                          </w:tcPr>
                          <w:p>
                            <w:pPr>
                              <w:pStyle w:val="TableParagraph"/>
                              <w:spacing w:line="183" w:lineRule="exact" w:before="0"/>
                              <w:ind w:left="50"/>
                              <w:rPr>
                                <w:sz w:val="22"/>
                              </w:rPr>
                            </w:pPr>
                            <w:r>
                              <w:rPr>
                                <w:sz w:val="22"/>
                              </w:rPr>
                              <w:t>for 2017-18</w:t>
                            </w:r>
                          </w:p>
                          <w:p>
                            <w:pPr>
                              <w:pStyle w:val="TableParagraph"/>
                              <w:spacing w:line="233" w:lineRule="exact" w:before="167"/>
                              <w:ind w:left="50"/>
                              <w:rPr>
                                <w:sz w:val="22"/>
                              </w:rPr>
                            </w:pPr>
                            <w:r>
                              <w:rPr>
                                <w:sz w:val="22"/>
                              </w:rPr>
                              <w:t>Summary of Financial Performance</w:t>
                            </w:r>
                          </w:p>
                        </w:tc>
                        <w:tc>
                          <w:tcPr>
                            <w:tcW w:w="889" w:type="dxa"/>
                          </w:tcPr>
                          <w:p>
                            <w:pPr>
                              <w:pStyle w:val="TableParagraph"/>
                              <w:spacing w:line="183" w:lineRule="exact" w:before="0"/>
                              <w:ind w:left="185"/>
                              <w:rPr>
                                <w:sz w:val="22"/>
                              </w:rPr>
                            </w:pPr>
                            <w:hyperlink w:history="true" w:anchor="_bookmark15">
                              <w:r>
                                <w:rPr>
                                  <w:color w:val="6F2770"/>
                                  <w:sz w:val="22"/>
                                </w:rPr>
                                <w:t>32</w:t>
                              </w:r>
                            </w:hyperlink>
                          </w:p>
                        </w:tc>
                        <w:tc>
                          <w:tcPr>
                            <w:tcW w:w="4192" w:type="dxa"/>
                          </w:tcPr>
                          <w:p>
                            <w:pPr>
                              <w:pStyle w:val="TableParagraph"/>
                              <w:spacing w:before="0"/>
                              <w:rPr>
                                <w:rFonts w:ascii="Times New Roman"/>
                                <w:sz w:val="20"/>
                              </w:rPr>
                            </w:pPr>
                          </w:p>
                        </w:tc>
                        <w:tc>
                          <w:tcPr>
                            <w:tcW w:w="1303" w:type="dxa"/>
                          </w:tcPr>
                          <w:p>
                            <w:pPr>
                              <w:pStyle w:val="TableParagraph"/>
                              <w:spacing w:before="0"/>
                              <w:rPr>
                                <w:rFonts w:ascii="Times New Roman"/>
                                <w:sz w:val="20"/>
                              </w:rPr>
                            </w:pPr>
                          </w:p>
                        </w:tc>
                        <w:tc>
                          <w:tcPr>
                            <w:tcW w:w="3879" w:type="dxa"/>
                          </w:tcPr>
                          <w:p>
                            <w:pPr>
                              <w:pStyle w:val="TableParagraph"/>
                              <w:spacing w:before="86"/>
                              <w:ind w:left="278"/>
                              <w:rPr>
                                <w:sz w:val="22"/>
                              </w:rPr>
                            </w:pPr>
                            <w:r>
                              <w:rPr>
                                <w:sz w:val="22"/>
                              </w:rPr>
                              <w:t>Government Policy Requirements</w:t>
                            </w:r>
                          </w:p>
                        </w:tc>
                        <w:tc>
                          <w:tcPr>
                            <w:tcW w:w="800" w:type="dxa"/>
                          </w:tcPr>
                          <w:p>
                            <w:pPr>
                              <w:pStyle w:val="TableParagraph"/>
                              <w:spacing w:before="86"/>
                              <w:jc w:val="right"/>
                              <w:rPr>
                                <w:sz w:val="22"/>
                              </w:rPr>
                            </w:pPr>
                            <w:hyperlink w:history="true" w:anchor="_bookmark51">
                              <w:r>
                                <w:rPr>
                                  <w:color w:val="6F2770"/>
                                  <w:w w:val="95"/>
                                  <w:sz w:val="22"/>
                                </w:rPr>
                                <w:t>117</w:t>
                              </w:r>
                            </w:hyperlink>
                          </w:p>
                        </w:tc>
                      </w:tr>
                    </w:tbl>
                    <w:p>
                      <w:pPr>
                        <w:pStyle w:val="BodyText"/>
                      </w:pPr>
                    </w:p>
                  </w:txbxContent>
                </v:textbox>
                <w10:wrap type="none"/>
              </v:shape>
            </w:pict>
          </w:r>
          <w:r>
            <w:rPr/>
            <w:t>Quality</w:t>
          </w:r>
          <w:r>
            <w:rPr>
              <w:spacing w:val="-2"/>
            </w:rPr>
            <w:t> </w:t>
          </w:r>
          <w:r>
            <w:rPr/>
            <w:t>Services</w:t>
            <w:tab/>
          </w:r>
          <w:hyperlink w:history="true" w:anchor="_bookmark9">
            <w:r>
              <w:rPr>
                <w:color w:val="6F2770"/>
              </w:rPr>
              <w:t>15</w:t>
            </w:r>
          </w:hyperlink>
        </w:p>
        <w:p>
          <w:pPr>
            <w:pStyle w:val="TOC1"/>
            <w:ind w:left="597"/>
          </w:pPr>
          <w:r>
            <w:rPr>
              <w:b w:val="0"/>
            </w:rPr>
            <w:br w:type="column"/>
          </w:r>
          <w:r>
            <w:rPr>
              <w:color w:val="6F2770"/>
            </w:rPr>
            <w:t>FINANCIAL STATEMENTS</w:t>
          </w:r>
        </w:p>
        <w:p>
          <w:pPr>
            <w:pStyle w:val="TOC3"/>
            <w:tabs>
              <w:tab w:pos="5030" w:val="left" w:leader="none"/>
            </w:tabs>
          </w:pPr>
          <w:r>
            <w:rPr/>
            <w:pict>
              <v:line style="position:absolute;mso-position-horizontal-relative:page;mso-position-vertical-relative:paragraph;z-index:1312" from="304.015686pt,2.371977pt" to="537.873686pt,2.371977pt" stroked="true" strokeweight=".5pt" strokecolor="#6f2770">
                <v:stroke dashstyle="solid"/>
                <w10:wrap type="none"/>
              </v:line>
            </w:pict>
          </w:r>
          <w:r>
            <w:rPr/>
            <w:t>Certification</w:t>
          </w:r>
          <w:r>
            <w:rPr>
              <w:spacing w:val="-28"/>
            </w:rPr>
            <w:t> </w:t>
          </w:r>
          <w:r>
            <w:rPr/>
            <w:t>of</w:t>
          </w:r>
          <w:r>
            <w:rPr>
              <w:spacing w:val="-28"/>
            </w:rPr>
            <w:t> </w:t>
          </w:r>
          <w:r>
            <w:rPr/>
            <w:t>Financial</w:t>
          </w:r>
          <w:r>
            <w:rPr>
              <w:spacing w:val="-27"/>
            </w:rPr>
            <w:t> </w:t>
          </w:r>
          <w:r>
            <w:rPr/>
            <w:t>Statements</w:t>
            <w:tab/>
          </w:r>
          <w:hyperlink w:history="true" w:anchor="_bookmark17">
            <w:r>
              <w:rPr>
                <w:color w:val="6F2770"/>
                <w:spacing w:val="-10"/>
              </w:rPr>
              <w:t>34</w:t>
            </w:r>
          </w:hyperlink>
        </w:p>
        <w:p>
          <w:pPr>
            <w:pStyle w:val="TOC3"/>
            <w:tabs>
              <w:tab w:pos="5030" w:val="left" w:leader="none"/>
            </w:tabs>
          </w:pPr>
          <w:r>
            <w:rPr/>
            <w:t>Independent</w:t>
          </w:r>
          <w:r>
            <w:rPr>
              <w:spacing w:val="-19"/>
            </w:rPr>
            <w:t> </w:t>
          </w:r>
          <w:r>
            <w:rPr/>
            <w:t>Audit</w:t>
          </w:r>
          <w:r>
            <w:rPr>
              <w:spacing w:val="-18"/>
            </w:rPr>
            <w:t> </w:t>
          </w:r>
          <w:r>
            <w:rPr/>
            <w:t>Opinion</w:t>
            <w:tab/>
          </w:r>
          <w:hyperlink w:history="true" w:anchor="_bookmark17">
            <w:r>
              <w:rPr>
                <w:color w:val="6F2770"/>
                <w:spacing w:val="-10"/>
              </w:rPr>
              <w:t>34</w:t>
            </w:r>
          </w:hyperlink>
        </w:p>
        <w:p>
          <w:pPr>
            <w:pStyle w:val="TOC3"/>
            <w:tabs>
              <w:tab w:pos="5030" w:val="left" w:leader="none"/>
            </w:tabs>
          </w:pPr>
          <w:r>
            <w:rPr/>
            <w:t>Statement of</w:t>
          </w:r>
          <w:r>
            <w:rPr>
              <w:spacing w:val="-44"/>
            </w:rPr>
            <w:t> </w:t>
          </w:r>
          <w:r>
            <w:rPr/>
            <w:t>Comprehensive</w:t>
          </w:r>
          <w:r>
            <w:rPr>
              <w:spacing w:val="-22"/>
            </w:rPr>
            <w:t> </w:t>
          </w:r>
          <w:r>
            <w:rPr/>
            <w:t>Income</w:t>
            <w:tab/>
          </w:r>
          <w:hyperlink w:history="true" w:anchor="_bookmark18">
            <w:r>
              <w:rPr>
                <w:color w:val="6F2770"/>
                <w:spacing w:val="-10"/>
              </w:rPr>
              <w:t>36</w:t>
            </w:r>
          </w:hyperlink>
        </w:p>
        <w:p>
          <w:pPr>
            <w:pStyle w:val="TOC3"/>
            <w:tabs>
              <w:tab w:pos="5030" w:val="left" w:leader="none"/>
            </w:tabs>
          </w:pPr>
          <w:r>
            <w:rPr/>
            <w:t>Statement of</w:t>
          </w:r>
          <w:r>
            <w:rPr>
              <w:spacing w:val="-48"/>
            </w:rPr>
            <w:t> </w:t>
          </w:r>
          <w:r>
            <w:rPr/>
            <w:t>Financial</w:t>
          </w:r>
          <w:r>
            <w:rPr>
              <w:spacing w:val="-23"/>
            </w:rPr>
            <w:t> </w:t>
          </w:r>
          <w:r>
            <w:rPr/>
            <w:t>Position</w:t>
            <w:tab/>
          </w:r>
          <w:hyperlink w:history="true" w:anchor="_bookmark19">
            <w:r>
              <w:rPr>
                <w:color w:val="6F2770"/>
                <w:spacing w:val="-10"/>
              </w:rPr>
              <w:t>37</w:t>
            </w:r>
          </w:hyperlink>
        </w:p>
        <w:p>
          <w:pPr>
            <w:pStyle w:val="TOC3"/>
            <w:tabs>
              <w:tab w:pos="5030" w:val="left" w:leader="none"/>
            </w:tabs>
          </w:pPr>
          <w:r>
            <w:rPr/>
            <w:t>Statement</w:t>
          </w:r>
          <w:r>
            <w:rPr>
              <w:spacing w:val="-18"/>
            </w:rPr>
            <w:t> </w:t>
          </w:r>
          <w:r>
            <w:rPr/>
            <w:t>of</w:t>
          </w:r>
          <w:r>
            <w:rPr>
              <w:spacing w:val="-17"/>
            </w:rPr>
            <w:t> </w:t>
          </w:r>
          <w:r>
            <w:rPr/>
            <w:t>Changes</w:t>
          </w:r>
          <w:r>
            <w:rPr>
              <w:spacing w:val="-17"/>
            </w:rPr>
            <w:t> </w:t>
          </w:r>
          <w:r>
            <w:rPr/>
            <w:t>in</w:t>
          </w:r>
          <w:r>
            <w:rPr>
              <w:spacing w:val="-17"/>
            </w:rPr>
            <w:t> </w:t>
          </w:r>
          <w:r>
            <w:rPr/>
            <w:t>Equity</w:t>
            <w:tab/>
          </w:r>
          <w:hyperlink w:history="true" w:anchor="_bookmark20">
            <w:r>
              <w:rPr>
                <w:color w:val="6F2770"/>
                <w:spacing w:val="-10"/>
              </w:rPr>
              <w:t>38</w:t>
            </w:r>
          </w:hyperlink>
        </w:p>
        <w:p>
          <w:pPr>
            <w:pStyle w:val="TOC3"/>
            <w:tabs>
              <w:tab w:pos="5030" w:val="left" w:leader="none"/>
            </w:tabs>
          </w:pPr>
          <w:r>
            <w:rPr/>
            <w:t>Statement of</w:t>
          </w:r>
          <w:r>
            <w:rPr>
              <w:spacing w:val="-30"/>
            </w:rPr>
            <w:t> </w:t>
          </w:r>
          <w:r>
            <w:rPr/>
            <w:t>Cash</w:t>
          </w:r>
          <w:r>
            <w:rPr>
              <w:spacing w:val="-14"/>
            </w:rPr>
            <w:t> </w:t>
          </w:r>
          <w:r>
            <w:rPr/>
            <w:t>Flows</w:t>
            <w:tab/>
          </w:r>
          <w:hyperlink w:history="true" w:anchor="_bookmark21">
            <w:r>
              <w:rPr>
                <w:color w:val="6F2770"/>
                <w:spacing w:val="-10"/>
              </w:rPr>
              <w:t>39</w:t>
            </w:r>
          </w:hyperlink>
        </w:p>
        <w:p>
          <w:pPr>
            <w:pStyle w:val="TOC3"/>
          </w:pPr>
          <w:r>
            <w:rPr/>
            <w:t>Schedule of Income and Expenses</w:t>
          </w:r>
        </w:p>
        <w:p>
          <w:pPr>
            <w:pStyle w:val="TOC3"/>
            <w:tabs>
              <w:tab w:pos="5030" w:val="left" w:leader="none"/>
            </w:tabs>
            <w:spacing w:before="11"/>
          </w:pPr>
          <w:r>
            <w:rPr/>
            <w:t>by</w:t>
          </w:r>
          <w:r>
            <w:rPr>
              <w:spacing w:val="-15"/>
            </w:rPr>
            <w:t> </w:t>
          </w:r>
          <w:r>
            <w:rPr/>
            <w:t>Service</w:t>
            <w:tab/>
          </w:r>
          <w:hyperlink w:history="true" w:anchor="_bookmark22">
            <w:r>
              <w:rPr>
                <w:color w:val="6F2770"/>
                <w:spacing w:val="-10"/>
              </w:rPr>
              <w:t>40</w:t>
            </w:r>
          </w:hyperlink>
        </w:p>
        <w:p>
          <w:pPr>
            <w:pStyle w:val="TOC1"/>
            <w:ind w:right="1760"/>
            <w:jc w:val="center"/>
          </w:pPr>
          <w:r>
            <w:rPr>
              <w:b w:val="0"/>
            </w:rPr>
            <w:br w:type="column"/>
          </w:r>
          <w:r>
            <w:rPr>
              <w:color w:val="6F2770"/>
            </w:rPr>
            <w:t>KEY PERFORMANCE INDICATORS</w:t>
          </w:r>
        </w:p>
        <w:p>
          <w:pPr>
            <w:pStyle w:val="TOC3"/>
          </w:pPr>
          <w:r>
            <w:rPr/>
            <w:pict>
              <v:line style="position:absolute;mso-position-horizontal-relative:page;mso-position-vertical-relative:paragraph;z-index:1336" from="569.763794pt,2.371977pt" to="803.621794pt,2.371977pt" stroked="true" strokeweight=".5pt" strokecolor="#6f2770">
                <v:stroke dashstyle="solid"/>
                <w10:wrap type="none"/>
              </v:line>
            </w:pict>
          </w:r>
          <w:r>
            <w:rPr/>
            <w:t>Certification of Key Performance</w:t>
          </w:r>
        </w:p>
        <w:p>
          <w:pPr>
            <w:pStyle w:val="TOC3"/>
            <w:tabs>
              <w:tab w:pos="5030" w:val="left" w:leader="none"/>
            </w:tabs>
            <w:spacing w:before="11"/>
          </w:pPr>
          <w:r>
            <w:rPr/>
            <w:t>Indicators</w:t>
            <w:tab/>
          </w:r>
          <w:hyperlink w:history="true" w:anchor="_bookmark37">
            <w:r>
              <w:rPr>
                <w:color w:val="6F2770"/>
              </w:rPr>
              <w:t>98</w:t>
            </w:r>
          </w:hyperlink>
        </w:p>
        <w:p>
          <w:pPr>
            <w:pStyle w:val="TOC3"/>
            <w:tabs>
              <w:tab w:pos="5030" w:val="left" w:leader="none"/>
            </w:tabs>
          </w:pPr>
          <w:r>
            <w:rPr/>
            <w:t>Performance</w:t>
          </w:r>
          <w:r>
            <w:rPr>
              <w:spacing w:val="-29"/>
            </w:rPr>
            <w:t> </w:t>
          </w:r>
          <w:r>
            <w:rPr/>
            <w:t>Assessment</w:t>
            <w:tab/>
          </w:r>
          <w:hyperlink w:history="true" w:anchor="_bookmark38">
            <w:r>
              <w:rPr>
                <w:color w:val="6F2770"/>
              </w:rPr>
              <w:t>99</w:t>
            </w:r>
          </w:hyperlink>
        </w:p>
        <w:p>
          <w:pPr>
            <w:pStyle w:val="TOC3"/>
            <w:tabs>
              <w:tab w:pos="4907" w:val="left" w:leader="none"/>
            </w:tabs>
          </w:pPr>
          <w:r>
            <w:rPr/>
            <w:t>State</w:t>
          </w:r>
          <w:r>
            <w:rPr>
              <w:spacing w:val="-23"/>
            </w:rPr>
            <w:t> </w:t>
          </w:r>
          <w:r>
            <w:rPr/>
            <w:t>Revenue</w:t>
            <w:tab/>
          </w:r>
          <w:hyperlink w:history="true" w:anchor="_bookmark39">
            <w:r>
              <w:rPr>
                <w:color w:val="6F2770"/>
              </w:rPr>
              <w:t>100</w:t>
            </w:r>
          </w:hyperlink>
        </w:p>
        <w:p>
          <w:pPr>
            <w:pStyle w:val="TOC3"/>
            <w:tabs>
              <w:tab w:pos="4907" w:val="left" w:leader="none"/>
            </w:tabs>
          </w:pPr>
          <w:r>
            <w:rPr/>
            <w:t>Government</w:t>
          </w:r>
          <w:r>
            <w:rPr>
              <w:spacing w:val="-26"/>
            </w:rPr>
            <w:t> </w:t>
          </w:r>
          <w:r>
            <w:rPr/>
            <w:t>Procurement</w:t>
            <w:tab/>
          </w:r>
          <w:hyperlink w:history="true" w:anchor="_bookmark41">
            <w:r>
              <w:rPr>
                <w:color w:val="6F2770"/>
              </w:rPr>
              <w:t>102</w:t>
            </w:r>
          </w:hyperlink>
        </w:p>
        <w:p>
          <w:pPr>
            <w:pStyle w:val="TOC3"/>
            <w:tabs>
              <w:tab w:pos="4907" w:val="left" w:leader="none"/>
            </w:tabs>
          </w:pPr>
          <w:r>
            <w:rPr/>
            <w:t>Corporate</w:t>
          </w:r>
          <w:r>
            <w:rPr>
              <w:spacing w:val="-22"/>
            </w:rPr>
            <w:t> </w:t>
          </w:r>
          <w:r>
            <w:rPr/>
            <w:t>Services</w:t>
            <w:tab/>
          </w:r>
          <w:hyperlink w:history="true" w:anchor="_bookmark43">
            <w:r>
              <w:rPr>
                <w:color w:val="6F2770"/>
              </w:rPr>
              <w:t>104</w:t>
            </w:r>
          </w:hyperlink>
        </w:p>
        <w:p>
          <w:pPr>
            <w:pStyle w:val="TOC3"/>
            <w:tabs>
              <w:tab w:pos="4907" w:val="left" w:leader="none"/>
            </w:tabs>
          </w:pPr>
          <w:r>
            <w:rPr/>
            <w:t>Building Management</w:t>
          </w:r>
          <w:r>
            <w:rPr>
              <w:spacing w:val="-38"/>
            </w:rPr>
            <w:t> </w:t>
          </w:r>
          <w:r>
            <w:rPr/>
            <w:t>and</w:t>
          </w:r>
          <w:r>
            <w:rPr>
              <w:spacing w:val="-19"/>
            </w:rPr>
            <w:t> </w:t>
          </w:r>
          <w:r>
            <w:rPr/>
            <w:t>Works</w:t>
            <w:tab/>
          </w:r>
          <w:hyperlink w:history="true" w:anchor="_bookmark43">
            <w:r>
              <w:rPr>
                <w:color w:val="6F2770"/>
              </w:rPr>
              <w:t>104</w:t>
            </w:r>
          </w:hyperlink>
        </w:p>
        <w:p>
          <w:pPr>
            <w:pStyle w:val="TOC3"/>
            <w:tabs>
              <w:tab w:pos="4907" w:val="left" w:leader="none"/>
            </w:tabs>
          </w:pPr>
          <w:r>
            <w:rPr/>
            <w:t>Strategic</w:t>
          </w:r>
          <w:r>
            <w:rPr>
              <w:spacing w:val="-18"/>
            </w:rPr>
            <w:t> </w:t>
          </w:r>
          <w:r>
            <w:rPr/>
            <w:t>Projects</w:t>
            <w:tab/>
          </w:r>
          <w:hyperlink w:history="true" w:anchor="_bookmark45">
            <w:r>
              <w:rPr>
                <w:color w:val="6F2770"/>
              </w:rPr>
              <w:t>106</w:t>
            </w:r>
          </w:hyperlink>
        </w:p>
      </w:sdtContent>
    </w:sdt>
    <w:p>
      <w:pPr>
        <w:spacing w:after="0"/>
        <w:sectPr>
          <w:type w:val="continuous"/>
          <w:pgSz w:w="16840" w:h="11910" w:orient="landscape"/>
          <w:pgMar w:top="1100" w:bottom="280" w:left="0" w:right="0"/>
          <w:cols w:num="3" w:equalWidth="0">
            <w:col w:w="5443" w:space="40"/>
            <w:col w:w="5275" w:space="39"/>
            <w:col w:w="6043"/>
          </w:cols>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5"/>
        </w:rPr>
      </w:pPr>
    </w:p>
    <w:p>
      <w:pPr>
        <w:pStyle w:val="BodyText"/>
        <w:tabs>
          <w:tab w:pos="5197" w:val="left" w:leader="none"/>
        </w:tabs>
        <w:spacing w:before="1"/>
        <w:ind w:left="1045"/>
      </w:pPr>
      <w:r>
        <w:rPr/>
        <w:t>for</w:t>
      </w:r>
      <w:r>
        <w:rPr>
          <w:spacing w:val="-1"/>
        </w:rPr>
        <w:t> </w:t>
      </w:r>
      <w:r>
        <w:rPr/>
        <w:t>2017-18</w:t>
        <w:tab/>
      </w:r>
      <w:hyperlink w:history="true" w:anchor="_bookmark16">
        <w:r>
          <w:rPr>
            <w:color w:val="6F2770"/>
          </w:rPr>
          <w:t>33</w:t>
        </w:r>
      </w:hyperlink>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pPr>
    </w:p>
    <w:p>
      <w:pPr>
        <w:spacing w:before="0"/>
        <w:ind w:left="1045" w:right="0" w:firstLine="0"/>
        <w:jc w:val="left"/>
        <w:rPr>
          <w:b/>
          <w:sz w:val="22"/>
        </w:rPr>
      </w:pPr>
      <w:r>
        <w:rPr/>
        <w:pict>
          <v:line style="position:absolute;mso-position-horizontal-relative:page;mso-position-vertical-relative:paragraph;z-index:1360" from="569.763794pt,15.326072pt" to="803.621794pt,15.326072pt" stroked="true" strokeweight=".5pt" strokecolor="#6f2770">
            <v:stroke dashstyle="solid"/>
            <w10:wrap type="none"/>
          </v:line>
        </w:pict>
      </w:r>
      <w:r>
        <w:rPr>
          <w:b/>
          <w:color w:val="6F2770"/>
          <w:sz w:val="22"/>
        </w:rPr>
        <w:t>APPENDIX</w:t>
      </w:r>
    </w:p>
    <w:p>
      <w:pPr>
        <w:pStyle w:val="BodyText"/>
        <w:tabs>
          <w:tab w:pos="5722" w:val="right" w:leader="none"/>
        </w:tabs>
        <w:spacing w:before="167"/>
        <w:ind w:left="1325"/>
      </w:pPr>
      <w:r>
        <w:rPr/>
        <w:t>Legislation</w:t>
      </w:r>
      <w:r>
        <w:rPr>
          <w:spacing w:val="-4"/>
        </w:rPr>
        <w:t> </w:t>
      </w:r>
      <w:r>
        <w:rPr/>
        <w:t>Administered</w:t>
        <w:tab/>
      </w:r>
      <w:hyperlink w:history="true" w:anchor="_bookmark52">
        <w:r>
          <w:rPr>
            <w:color w:val="6F2770"/>
          </w:rPr>
          <w:t>120</w:t>
        </w:r>
      </w:hyperlink>
    </w:p>
    <w:p>
      <w:pPr>
        <w:pStyle w:val="BodyText"/>
        <w:tabs>
          <w:tab w:pos="5722" w:val="right" w:leader="none"/>
        </w:tabs>
        <w:spacing w:before="167"/>
        <w:ind w:left="1325"/>
      </w:pPr>
      <w:r>
        <w:rPr/>
        <w:t>Contacts</w:t>
        <w:tab/>
      </w:r>
      <w:hyperlink w:history="true" w:anchor="_bookmark53">
        <w:r>
          <w:rPr>
            <w:color w:val="6F2770"/>
          </w:rPr>
          <w:t>121</w:t>
        </w:r>
      </w:hyperlink>
    </w:p>
    <w:p>
      <w:pPr>
        <w:spacing w:after="0"/>
        <w:sectPr>
          <w:type w:val="continuous"/>
          <w:pgSz w:w="16840" w:h="11910" w:orient="landscape"/>
          <w:pgMar w:top="1100" w:bottom="280" w:left="0" w:right="0"/>
          <w:cols w:num="2" w:equalWidth="0">
            <w:col w:w="5483" w:space="4867"/>
            <w:col w:w="6490"/>
          </w:cols>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19"/>
        </w:rPr>
      </w:pPr>
    </w:p>
    <w:p>
      <w:pPr>
        <w:tabs>
          <w:tab w:pos="10886" w:val="left" w:leader="none"/>
          <w:tab w:pos="11199" w:val="left" w:leader="none"/>
          <w:tab w:pos="15961"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1384"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1</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1" w:id="2"/>
      <w:bookmarkEnd w:id="2"/>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spacing w:after="0"/>
        <w:rPr>
          <w:sz w:val="20"/>
        </w:rPr>
        <w:sectPr>
          <w:pgSz w:w="16840" w:h="11910" w:orient="landscape"/>
          <w:pgMar w:top="0" w:bottom="0" w:left="0" w:right="0"/>
        </w:sectPr>
      </w:pPr>
    </w:p>
    <w:p>
      <w:pPr>
        <w:pStyle w:val="Heading1"/>
        <w:spacing w:before="254"/>
      </w:pPr>
      <w:r>
        <w:rPr/>
        <w:pict>
          <v:shape style="position:absolute;margin-left:601.348999pt;margin-top:-55.274212pt;width:120.3pt;height:42.55pt;mso-position-horizontal-relative:page;mso-position-vertical-relative:paragraph;z-index:174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176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5.274212pt;width:120.3pt;height:42.55pt;mso-position-horizontal-relative:page;mso-position-vertical-relative:paragraph;z-index:1792" type="#_x0000_t202" filled="true" fillcolor="#d4d896"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What We Do</w:t>
      </w:r>
    </w:p>
    <w:p>
      <w:pPr>
        <w:spacing w:before="274"/>
        <w:ind w:left="765" w:right="0" w:firstLine="0"/>
        <w:jc w:val="left"/>
        <w:rPr>
          <w:sz w:val="36"/>
        </w:rPr>
      </w:pPr>
      <w:r>
        <w:rPr/>
        <w:pict>
          <v:group style="position:absolute;margin-left:0pt;margin-top:30.132706pt;width:567.25pt;height:455.8pt;mso-position-horizontal-relative:page;mso-position-vertical-relative:paragraph;z-index:-710896" coordorigin="0,603" coordsize="11345,9116">
            <v:shape style="position:absolute;left:0;top:1995;width:10946;height:7723" type="#_x0000_t75" stroked="false">
              <v:imagedata r:id="rId13" o:title=""/>
            </v:shape>
            <v:shape style="position:absolute;left:-1785;top:4969;width:3543;height:3543" coordorigin="-1785,4970" coordsize="3543,3543" path="m8328,8297l8064,8033m8608,8483l7878,7753m8785,8566l7795,7576m8930,8616l7745,7431m9058,8650l7711,7303m9173,8671l7690,7188m9281,8684l7677,7080m9381,8690l7671,6980m9476,8691l7670,6885m9567,8687l7674,6794m9653,8679l7682,6708m9736,8667l7694,6625m9815,8652l7709,6546m9891,8634l7727,6470m9965,8613l7748,6396m10036,8589l7772,6325m10104,8563l7798,6257m10170,8535l7826,6191m10234,8504l7857,6127m10296,8472l7889,6065m10356,8437l7924,6005m10414,8401l7960,5947m10470,8362l7999,5891m10524,8322l8039,5837m10576,8280l8081,5785m10627,8236l8125,5734m10675,8190l8171,5686m10722,8143l8218,5639m10768,8094l8267,5594m10811,8043l8318,5550m10853,7990l8371,5508m10893,7936l8425,5469m10931,7879l8482,5431m10967,7821l8540,5394m11001,7761l8600,5360m11033,7698l8663,5328m11063,7634l8727,5298m11091,7567l8794,5270m11116,7498l8863,5245m11139,7427l8934,5222m11159,7353l9008,5202m11177,7276l9085,5184m11191,7196l9165,5170m11202,7112l9249,5159m11209,7025l9336,5152m11213,6934l9427,5148m11211,6838l9523,5150m11203,6736l9625,5158m11189,6627l9734,5172m11165,6508l9853,5197m11128,6377l9984,5233m11072,6227l10134,5289m10978,6039l10322,5383e" filled="false" stroked="true" strokeweight=".25pt" strokecolor="#6f2770">
              <v:path arrowok="t"/>
              <v:stroke dashstyle="solid"/>
            </v:shape>
            <v:shape style="position:absolute;left:7882;top:5360;width:3119;height:3119" coordorigin="7882,5361" coordsize="3119,3119" path="m9441,5361l9366,5363,9291,5368,9218,5377,9145,5389,9074,5404,9004,5423,8935,5445,8868,5470,8802,5498,8737,5528,8675,5562,8614,5598,8555,5637,8498,5678,8443,5722,8390,5769,8339,5817,8290,5868,8244,5921,8200,5976,8158,6034,8120,6093,8083,6153,8050,6216,8019,6280,7991,6346,7966,6413,7945,6482,7926,6552,7910,6624,7898,6696,7889,6770,7884,6844,7882,6920,7884,6995,7889,7070,7898,7144,7910,7216,7926,7287,7945,7357,7966,7426,7991,7494,8019,7559,8050,7624,8083,7686,8120,7747,8158,7806,8200,7863,8244,7918,8290,7971,8339,8022,8390,8071,8443,8117,8498,8161,8555,8203,8614,8242,8675,8278,8737,8311,8802,8342,8868,8370,8935,8395,9004,8417,9074,8435,9145,8451,9218,8463,9291,8472,9366,8477,9441,8479,9517,8477,9591,8472,9665,8463,9738,8451,9809,8435,9879,8417,9948,8395,10015,8370,10081,8342,10145,8311,10208,8278,10269,8242,10328,8203,10385,8161,10440,8117,10493,8071,10544,8022,10592,7971,10639,7918,10683,7863,10724,7806,10763,7747,10799,7686,10833,7624,10864,7559,10891,7494,10916,7426,10938,7357,10957,7287,10972,7216,10984,7144,10993,7070,10999,6995,11000,6920,10999,6844,10993,6770,10984,6696,10972,6624,10957,6552,10938,6482,10916,6413,10891,6346,10864,6280,10833,6216,10799,6153,10763,6093,10724,6034,10683,5976,10639,5921,10592,5868,10544,5817,10493,5769,10440,5722,10385,5678,10328,5637,10269,5598,10208,5562,10145,5528,10081,5498,10015,5470,9948,5445,9879,5423,9809,5404,9738,5389,9665,5377,9591,5368,9517,5363,9441,5361xe" filled="true" fillcolor="#ffffff" stroked="false">
              <v:path arrowok="t"/>
              <v:fill type="solid"/>
            </v:shape>
            <v:shape style="position:absolute;left:-1785;top:4969;width:3543;height:3543" coordorigin="-1785,4970" coordsize="3543,3543" path="m8457,3754l8193,3490m8738,3940l8007,3210m8915,4023l7925,3033m9060,4073l7874,2888m9187,4106l7841,2760m9303,4128l7820,2645m9411,4141l7807,2537m9511,4147l7801,2436m9606,4147l7800,2342m9696,4143l7804,2251m9783,4135l7812,2165m9865,4124l7824,2082m9945,4109l7839,2003m10021,4090l7857,1926m10094,4069l7878,1853m10165,4046l7902,1782m10234,4020l7928,1714m10300,3992l7956,1648m10364,3961l7986,1584m10426,3929l8019,1522m10486,3894l8053,1462m10543,3858l8090,1404m10599,3819l8128,1348m10653,3779l8169,1294m10706,3737l8211,1242m10756,3693l8255,1191m10805,3647l8300,1142m10852,3600l8348,1095m10897,3551l8397,1050m10941,3500l8448,1007m10982,3447l8501,965m11022,3392l8555,925m11060,3336l8611,887m11096,3278l8670,851m11130,3217l8730,817m11163,3155l8792,785m11193,3091l8857,755m11220,3024l8923,727m11246,2955l8992,702m11269,2884l9064,679m11289,2810l9138,658m11306,2733l9215,641m11321,2653l9295,627m11332,2569l9378,616m11339,2482l9465,608m11342,2391l9557,605m11341,2295l9653,607m11333,2192l9755,615m11318,2084l9864,629m11294,1965l9982,653m11258,1834l10113,690m11202,1684l10264,746m11108,1496l10452,839e" filled="false" stroked="true" strokeweight=".25pt" strokecolor="#5d883c">
              <v:path arrowok="t"/>
              <v:stroke dashstyle="solid"/>
            </v:shape>
            <v:shape style="position:absolute;left:8011;top:817;width:3119;height:3119" coordorigin="8012,817" coordsize="3119,3119" path="m9571,817l9495,819,9421,825,9347,833,9275,846,9203,861,9133,880,9065,902,8997,926,8931,954,8867,985,8805,1019,8744,1055,8685,1094,8628,1135,8572,1179,8519,1225,8469,1274,8420,1325,8374,1378,8330,1433,8288,1490,8249,1549,8213,1610,8179,1673,8149,1737,8121,1803,8096,1870,8074,1939,8055,2009,8040,2080,8028,2153,8019,2226,8014,2301,8012,2377,8014,2452,8019,2527,8028,2600,8040,2673,8055,2744,8074,2814,8096,2883,8121,2950,8149,3016,8179,3080,8213,3143,8249,3204,8288,3263,8330,3320,8374,3375,8420,3428,8469,3479,8519,3528,8572,3574,8628,3618,8685,3659,8744,3698,8805,3734,8867,3768,8931,3799,8997,3827,9065,3851,9133,3873,9203,3892,9275,3907,9347,3920,9421,3928,9495,3934,9571,3936,9646,3934,9721,3928,9795,3920,9867,3907,9939,3892,10009,3873,10077,3851,10145,3827,10211,3799,10275,3768,10337,3734,10398,3698,10457,3659,10514,3618,10569,3574,10622,3528,10673,3479,10722,3428,10768,3375,10812,3320,10854,3263,10893,3204,10929,3143,10962,3080,10993,3016,11021,2950,11046,2883,11068,2814,11086,2744,11102,2673,11114,2600,11123,2527,11128,2452,11130,2377,11128,2301,11123,2226,11114,2153,11102,2080,11086,2009,11068,1939,11046,1870,11021,1803,10993,1737,10962,1673,10929,1610,10893,1549,10854,1490,10812,1433,10768,1378,10722,1325,10673,1274,10622,1225,10569,1179,10514,1135,10457,1094,10398,1055,10337,1019,10275,985,10211,954,10145,926,10077,902,10009,880,9939,861,9867,846,9795,833,9721,825,9646,819,9571,817xe" filled="true" fillcolor="#ffffff" stroked="false">
              <v:path arrowok="t"/>
              <v:fill type="solid"/>
            </v:shape>
            <v:shape style="position:absolute;left:-1767;top:4969;width:3525;height:3543" coordorigin="-1767,4970" coordsize="3525,3543" path="m4405,6468l4138,6201m4683,6652l3953,5921m4860,6734l3871,5745m5005,6785l3820,5600m5133,6818l3787,5472m5249,6839l3765,5356m5356,6853l3764,5260m5457,6859l3764,5166m5552,6859l3764,5071m5642,6855l3764,4977m5728,6847l3764,4882m5811,6835l3770,4794m5890,6820l3785,4715m5967,6802l3803,4639m6040,6781l3824,4565m6111,6758l3847,4494m6179,6732l3873,4426m6245,6703l3902,4360m6309,6673l3932,4296m6371,6640l3965,4234m6431,6606l3999,4174m6489,6569l4036,4116m6545,6531l4074,4060m6599,6491l4114,4006m6651,6449l4156,3953m6702,6405l4200,3903m6751,6359l4246,3854m6798,6312l4293,3807m6843,6262l4342,3762m6886,6211l4393,3719m6928,6159l4446,3677m6968,6104l4501,3637m7006,6048l4557,3599m7042,5989l4615,3563m7076,5929l4676,3529m7108,5867l4738,3497m7138,5803l4802,3467m7166,5736l4869,3439m7191,5667l4938,3414m7214,5595l5009,3391m7235,5521l5084,3370m7252,5444l5160,3353m7266,5364l5241,3338m7277,5281l5324,3327m7285,5194l5411,3320m7288,5103l5502,3317m7286,5007l5598,3319m7278,4904l5701,3327m7264,4795l5809,3341m7240,4677l5928,3365m7203,4546l6059,3402m7147,4395l6209,3458m7054,4208l6397,3551e" filled="false" stroked="true" strokeweight=".25pt" strokecolor="#360f41">
              <v:path arrowok="t"/>
              <v:stroke dashstyle="solid"/>
            </v:shape>
            <v:shape style="position:absolute;left:0;top:3529;width:7076;height:6046" coordorigin="0,3529" coordsize="7076,6046" path="m481,9159l474,9085,455,9014,424,8950,383,8892,333,8842,275,8801,211,8770,140,8751,66,8744,49,8744,33,8746,16,8747,0,8750,0,9569,16,9571,33,9573,49,9574,66,9574,140,9568,211,9548,275,9518,333,9477,383,9427,424,9369,455,9304,474,9234,481,9159m7076,5088l7074,5013,7068,4938,7060,4865,7047,4792,7032,4721,7013,4651,6992,4582,6967,4515,6939,4449,6908,4385,6875,4322,6838,4261,6799,4202,6758,4145,6714,4090,6668,4037,6619,3986,6568,3937,6515,3891,6460,3847,6403,3805,6344,3767,6283,3730,6220,3697,6156,3666,6090,3638,6023,3613,5954,3592,5884,3573,5813,3557,5740,3545,5667,3536,5592,3531,5517,3529,5441,3531,5366,3536,5293,3545,5220,3557,5149,3573,5079,3592,5010,3613,4943,3638,4877,3666,4813,3697,4750,3730,4689,3767,4630,3805,4573,3847,4518,3891,4465,3937,4414,3986,4365,4037,4319,4090,4275,4145,4234,4202,4195,4261,4159,4322,4125,4385,4094,4449,4066,4515,4042,4582,4020,4651,4001,4721,3986,4792,3973,4865,3965,4938,3959,5013,3957,5088,3959,5164,3965,5238,3973,5312,3986,5385,4001,5456,4020,5526,4042,5595,4066,5662,4094,5728,4125,5792,4159,5855,4195,5916,4234,5975,4275,6032,4319,6087,4365,6140,4414,6191,4465,6239,4518,6286,4573,6330,4630,6371,4689,6410,4750,6446,4813,6480,4877,6511,4943,6538,5010,6563,5079,6585,5149,6604,5220,6619,5293,6631,5366,6640,5441,6646,5517,6647,5592,6646,5667,6640,5740,6631,5813,6619,5884,6604,5954,6585,6023,6563,6090,6538,6156,6511,6220,6480,6283,6446,6344,6410,6403,6371,6460,6330,6515,6286,6568,6239,6619,6191,6668,6140,6714,6087,6758,6032,6799,5975,6838,5916,6875,5855,6908,5792,6939,5728,6967,5662,6992,5595,7013,5526,7032,5456,7047,5385,7060,5312,7068,5238,7074,5164,7076,5088e" filled="true" fillcolor="#ffffff" stroked="false">
              <v:path arrowok="t"/>
              <v:fill type="solid"/>
            </v:shape>
            <v:shape style="position:absolute;left:0;top:8743;width:482;height:831" coordorigin="0,8744" coordsize="482,831" path="m66,8744l49,8744,33,8745,16,8747,0,8750,0,9569,16,9571,33,9573,49,9574,66,9574,140,9568,211,9548,275,9518,333,9477,383,9427,424,9369,455,9304,474,9234,481,9159,474,9084,455,9014,424,8950,383,8892,333,8842,275,8801,211,8770,140,8751,66,8744xe" filled="true" fillcolor="#aebd37" stroked="false">
              <v:path arrowok="t"/>
              <v:fill opacity="13107f" type="solid"/>
            </v:shape>
            <v:shape style="position:absolute;left:174;top:9073;width:93;height:171" coordorigin="174,9073" coordsize="93,171" path="m256,9073l248,9073,182,9139,176,9148,174,9158,174,9160,176,9170,182,9179,245,9243,249,9244,256,9244,259,9243,267,9235,267,9227,200,9160,200,9158,267,9092,267,9083,256,9073xe" filled="true" fillcolor="#000000" stroked="false">
              <v:path arrowok="t"/>
              <v:fill type="solid"/>
            </v:shape>
            <w10:wrap type="none"/>
          </v:group>
        </w:pict>
      </w:r>
      <w:r>
        <w:rPr>
          <w:sz w:val="36"/>
        </w:rPr>
        <w:t>The Department of Finance is a</w:t>
      </w:r>
    </w:p>
    <w:p>
      <w:pPr>
        <w:spacing w:line="249" w:lineRule="auto" w:before="18"/>
        <w:ind w:left="765" w:right="38" w:firstLine="0"/>
        <w:jc w:val="left"/>
        <w:rPr>
          <w:sz w:val="36"/>
        </w:rPr>
      </w:pPr>
      <w:r>
        <w:rPr>
          <w:sz w:val="36"/>
        </w:rPr>
        <w:t>central government </w:t>
      </w:r>
      <w:r>
        <w:rPr>
          <w:spacing w:val="-5"/>
          <w:sz w:val="36"/>
        </w:rPr>
        <w:t>agency, </w:t>
      </w:r>
      <w:r>
        <w:rPr>
          <w:sz w:val="36"/>
        </w:rPr>
        <w:t>influencing whole-of-government</w:t>
      </w:r>
      <w:r>
        <w:rPr>
          <w:spacing w:val="-41"/>
          <w:sz w:val="36"/>
        </w:rPr>
        <w:t> </w:t>
      </w:r>
      <w:r>
        <w:rPr>
          <w:sz w:val="36"/>
        </w:rPr>
        <w:t>policy</w:t>
      </w:r>
      <w:r>
        <w:rPr>
          <w:spacing w:val="-40"/>
          <w:sz w:val="36"/>
        </w:rPr>
        <w:t> </w:t>
      </w:r>
      <w:r>
        <w:rPr>
          <w:sz w:val="36"/>
        </w:rPr>
        <w:t>and</w:t>
      </w:r>
      <w:r>
        <w:rPr>
          <w:spacing w:val="-40"/>
          <w:sz w:val="36"/>
        </w:rPr>
        <w:t> </w:t>
      </w:r>
      <w:r>
        <w:rPr>
          <w:spacing w:val="-3"/>
          <w:sz w:val="36"/>
        </w:rPr>
        <w:t>strategy </w:t>
      </w:r>
      <w:r>
        <w:rPr>
          <w:sz w:val="36"/>
        </w:rPr>
        <w:t>while delivering a range of important services to government</w:t>
      </w:r>
      <w:r>
        <w:rPr>
          <w:spacing w:val="-33"/>
          <w:sz w:val="36"/>
        </w:rPr>
        <w:t> </w:t>
      </w:r>
      <w:r>
        <w:rPr>
          <w:sz w:val="36"/>
        </w:rPr>
        <w:t>agencies</w:t>
      </w:r>
    </w:p>
    <w:p>
      <w:pPr>
        <w:spacing w:before="6"/>
        <w:ind w:left="765" w:right="0" w:firstLine="0"/>
        <w:jc w:val="left"/>
        <w:rPr>
          <w:sz w:val="36"/>
        </w:rPr>
      </w:pPr>
      <w:r>
        <w:rPr>
          <w:sz w:val="36"/>
        </w:rPr>
        <w:t>and the community.</w:t>
      </w:r>
    </w:p>
    <w:p>
      <w:pPr>
        <w:pStyle w:val="BodyText"/>
        <w:rPr>
          <w:sz w:val="42"/>
        </w:rPr>
      </w:pPr>
    </w:p>
    <w:p>
      <w:pPr>
        <w:pStyle w:val="BodyText"/>
        <w:rPr>
          <w:sz w:val="42"/>
        </w:rPr>
      </w:pPr>
    </w:p>
    <w:p>
      <w:pPr>
        <w:pStyle w:val="BodyText"/>
        <w:spacing w:before="7"/>
        <w:rPr>
          <w:sz w:val="55"/>
        </w:rPr>
      </w:pPr>
    </w:p>
    <w:p>
      <w:pPr>
        <w:pStyle w:val="BodyText"/>
        <w:spacing w:line="249" w:lineRule="auto"/>
        <w:ind w:left="4586" w:right="747"/>
        <w:jc w:val="center"/>
      </w:pPr>
      <w:r>
        <w:rPr>
          <w:w w:val="95"/>
        </w:rPr>
        <w:t>Advise government </w:t>
      </w:r>
      <w:r>
        <w:rPr/>
        <w:t>on strategic</w:t>
      </w:r>
    </w:p>
    <w:p>
      <w:pPr>
        <w:pStyle w:val="BodyText"/>
        <w:spacing w:line="249" w:lineRule="auto" w:before="2"/>
        <w:ind w:left="4585" w:right="747"/>
        <w:jc w:val="center"/>
      </w:pPr>
      <w:r>
        <w:rPr>
          <w:spacing w:val="-5"/>
        </w:rPr>
        <w:t>sector-wide </w:t>
      </w:r>
      <w:r>
        <w:rPr>
          <w:spacing w:val="-4"/>
        </w:rPr>
        <w:t>policy </w:t>
      </w:r>
      <w:r>
        <w:rPr>
          <w:spacing w:val="-3"/>
        </w:rPr>
        <w:t>and </w:t>
      </w:r>
      <w:r>
        <w:rPr>
          <w:spacing w:val="-4"/>
        </w:rPr>
        <w:t>operational issues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7"/>
        </w:rPr>
      </w:pPr>
    </w:p>
    <w:p>
      <w:pPr>
        <w:pStyle w:val="BodyText"/>
        <w:spacing w:line="249" w:lineRule="auto"/>
        <w:ind w:left="1165" w:right="6416" w:hanging="1"/>
        <w:jc w:val="center"/>
      </w:pPr>
      <w:r>
        <w:rPr/>
        <w:t>Manage government</w:t>
      </w:r>
      <w:r>
        <w:rPr>
          <w:spacing w:val="-39"/>
        </w:rPr>
        <w:t> </w:t>
      </w:r>
      <w:r>
        <w:rPr>
          <w:spacing w:val="-4"/>
        </w:rPr>
        <w:t>office</w:t>
      </w:r>
    </w:p>
    <w:p>
      <w:pPr>
        <w:pStyle w:val="BodyText"/>
        <w:spacing w:line="249" w:lineRule="auto" w:before="2"/>
        <w:ind w:left="933" w:right="6184"/>
        <w:jc w:val="center"/>
      </w:pPr>
      <w:r>
        <w:rPr/>
        <w:pict>
          <v:group style="position:absolute;margin-left:586.051270pt;margin-top:78.701180pt;width:177.4pt;height:177.4pt;mso-position-horizontal-relative:page;mso-position-vertical-relative:paragraph;z-index:1648" coordorigin="11721,1574" coordsize="3548,3548">
            <v:shape style="position:absolute;left:-1785;top:3122;width:3543;height:3543" coordorigin="-1785,3122" coordsize="3543,3543" path="m12381,4726l12117,4461m12661,4911l11931,4181m12838,4994l11848,4004m12983,5044l11798,3859m13111,5078l11765,3732m13226,5099l11743,3616m13334,5112l11730,3508m13434,5118l11724,3408m13529,5119l11724,3313m13620,5115l11728,3222m13706,5107l11736,3136m13789,5095l11747,3053m13868,5080l11762,2974m13944,5062l11780,2898m14018,5041l11801,2824m14089,5017l11825,2754m14157,4991l11851,2685m14223,4963l11879,2619m14287,4933l11910,2555m14349,4900l11942,2493m14409,4866l11977,2433m14467,4829l12013,2375m14523,4790l12052,2319m14577,4750l12092,2265m14629,4708l12134,2213m14680,4664l12178,2163m14728,4619l12224,2114m14775,4571l12271,2067m14821,4522l12320,2022m14864,4471l12371,1978m14906,4418l12424,1936m14946,4364l12479,1897m14984,4307l12535,1859m15020,4249l12593,1823m15054,4189l12654,1788m15086,4126l12716,1756m15116,4062l12780,1726m15144,3995l12847,1698m15169,3926l12916,1673m15192,3855l12987,1650m15213,3781l13061,1630m15230,3704l13138,1612m15244,3624l13218,1598m15255,3541l13302,1587m15263,3453l13389,1580m15266,3362l13480,1577m15264,3266l13576,1578m15256,3164l13678,1586m15242,3055l13787,1600m15218,2936l13906,1625m15181,2806l14037,1661m15125,2655l14187,1717m15032,2467l14375,1811e" filled="false" stroked="true" strokeweight=".25pt" strokecolor="#475b29">
              <v:path arrowok="t"/>
              <v:stroke dashstyle="solid"/>
            </v:shape>
            <v:shape style="position:absolute;left:11935;top:1788;width:3119;height:3119" coordorigin="11935,1789" coordsize="3119,3119" path="m13494,1789l13419,1791,13344,1796,13271,1805,13198,1817,13127,1832,13057,1851,12988,1873,12921,1898,12855,1926,12791,1956,12728,1990,12667,2026,12608,2065,12551,2107,12496,2150,12443,2197,12392,2245,12343,2296,12297,2349,12253,2405,12212,2462,12173,2521,12136,2581,12103,2644,12072,2708,12044,2774,12019,2841,11998,2910,11979,2980,11963,3052,11951,3124,11943,3198,11937,3272,11935,3348,11937,3423,11943,3498,11951,3572,11963,3644,11979,3715,11998,3786,12019,3854,12044,3922,12072,3987,12103,4052,12136,4114,12173,4175,12212,4234,12253,4291,12297,4346,12343,4399,12392,4450,12443,4499,12496,4545,12551,4589,12608,4631,12667,4670,12728,4706,12791,4739,12855,4770,12921,4798,12988,4823,13057,4845,13127,4863,13198,4879,13271,4891,13344,4900,13419,4905,13494,4907,13570,4905,13645,4900,13718,4891,13791,4879,13862,4863,13932,4845,14001,4823,14068,4798,14134,4770,14198,4739,14261,4706,14322,4670,14381,4631,14438,4589,14493,4545,14546,4499,14597,4450,14645,4399,14692,4346,14736,4291,14777,4234,14816,4175,14852,4114,14886,4052,14917,3987,14945,3922,14969,3854,14991,3786,15010,3715,15025,3644,15038,3572,15046,3498,15052,3423,15053,3348,15052,3272,15046,3198,15038,3124,15025,3052,15010,2980,14991,2910,14969,2841,14945,2774,14917,2708,14886,2644,14852,2581,14816,2521,14777,2462,14736,2405,14692,2349,14645,2296,14597,2245,14546,2197,14493,2150,14438,2107,14381,2065,14322,2026,14261,1990,14198,1956,14134,1926,14068,1898,14001,1873,13932,1851,13862,1832,13791,1817,13718,1805,13645,1796,13570,1791,13494,1789xe" filled="true" fillcolor="#ffffff" stroked="false">
              <v:path arrowok="t"/>
              <v:fill type="solid"/>
            </v:shape>
            <v:shape style="position:absolute;left:11721;top:1574;width:3548;height:3548" type="#_x0000_t202" filled="false" stroked="false">
              <v:textbox inset="0,0,0,0">
                <w:txbxContent>
                  <w:p>
                    <w:pPr>
                      <w:spacing w:line="240" w:lineRule="auto" w:before="0"/>
                      <w:rPr>
                        <w:b/>
                        <w:sz w:val="26"/>
                      </w:rPr>
                    </w:pPr>
                  </w:p>
                  <w:p>
                    <w:pPr>
                      <w:spacing w:line="240" w:lineRule="auto" w:before="10"/>
                      <w:rPr>
                        <w:b/>
                        <w:sz w:val="24"/>
                      </w:rPr>
                    </w:pPr>
                  </w:p>
                  <w:p>
                    <w:pPr>
                      <w:spacing w:line="249" w:lineRule="auto" w:before="0"/>
                      <w:ind w:left="956" w:right="878" w:firstLine="462"/>
                      <w:jc w:val="left"/>
                      <w:rPr>
                        <w:sz w:val="22"/>
                      </w:rPr>
                    </w:pPr>
                    <w:r>
                      <w:rPr>
                        <w:sz w:val="22"/>
                      </w:rPr>
                      <w:t>Provide asset and project</w:t>
                    </w:r>
                  </w:p>
                  <w:p>
                    <w:pPr>
                      <w:spacing w:line="249" w:lineRule="auto" w:before="2"/>
                      <w:ind w:left="683" w:right="681" w:firstLine="0"/>
                      <w:jc w:val="center"/>
                      <w:rPr>
                        <w:sz w:val="22"/>
                      </w:rPr>
                    </w:pPr>
                    <w:r>
                      <w:rPr>
                        <w:sz w:val="22"/>
                      </w:rPr>
                      <w:t>management advice and services across government, including leading the planning and delivery of major </w:t>
                    </w:r>
                    <w:r>
                      <w:rPr>
                        <w:w w:val="95"/>
                        <w:sz w:val="22"/>
                      </w:rPr>
                      <w:t>non-residential building </w:t>
                    </w:r>
                    <w:r>
                      <w:rPr>
                        <w:sz w:val="22"/>
                      </w:rPr>
                      <w:t>projects</w:t>
                    </w:r>
                  </w:p>
                </w:txbxContent>
              </v:textbox>
              <w10:wrap type="none"/>
            </v:shape>
            <w10:wrap type="none"/>
          </v:group>
        </w:pict>
      </w:r>
      <w:r>
        <w:rPr/>
        <w:pict>
          <v:group style="position:absolute;margin-left:617.926453pt;margin-top:-132.372025pt;width:177.4pt;height:176.75pt;mso-position-horizontal-relative:page;mso-position-vertical-relative:paragraph;z-index:1696" coordorigin="12359,-2647" coordsize="3548,3535">
            <v:shape style="position:absolute;left:-1785;top:3135;width:3543;height:3530" coordorigin="-1785,3135" coordsize="3543,3530" path="m13019,491l12754,227m13299,677l12568,-53m13476,760l12486,-230m13621,810l12435,-375m13748,843l12402,-503m13864,865l12381,-619m13972,878l12368,-726m14072,884l12362,-827m14167,884l12361,-922m14257,880l12365,-1012m14344,872l12373,-1098m14426,861l12385,-1181m14506,846l12400,-1260m14582,827l12418,-1337m14655,806l12439,-1410m14726,783l12463,-1481m14795,757l12489,-1549m14861,728l12517,-1615m14925,698l12547,-1679m14987,666l12580,-1741m15046,631l12614,-1801m15104,595l12651,-1859m15160,556l12689,-1915m15215,516l12730,-1969m15267,474l12772,-2021m15317,430l12816,-2072m15366,384l12861,-2121m15413,337l12909,-2168m15458,288l12958,-2213m15502,237l13009,-2256m15543,184l13062,-2298m15583,129l13116,-2338m15621,73l13172,-2376m15657,14l13231,-2412m15691,-46l13291,-2446m15723,-108l13353,-2478m15753,-172l13418,-2508m15781,-239l13484,-2536m15807,-308l13553,-2562m15830,-380l13625,-2584m15850,-454l13699,-2605m15867,-531l13776,-2622m15882,-611l13856,-2637m15893,-694l13942,-2645m15900,-781l14036,-2645m15904,-872l14131,-2645m15902,-968l14225,-2645m15894,-1070l14319,-2645m15879,-1180l14425,-2634m15855,-1298l14543,-2610m15819,-1429l14674,-2573m15763,-1579l14825,-2517m15669,-1767l15013,-2424e" filled="false" stroked="true" strokeweight=".25pt" strokecolor="#aebd37">
              <v:path arrowok="t"/>
              <v:stroke dashstyle="solid"/>
            </v:shape>
            <v:shape style="position:absolute;left:12572;top:-2446;width:3119;height:3119" coordorigin="12573,-2446" coordsize="3119,3119" path="m14132,-2446l14056,-2444,13982,-2438,13908,-2430,13836,-2418,13764,-2402,13694,-2383,13626,-2362,13558,-2337,13492,-2309,13428,-2278,13366,-2245,13305,-2208,13246,-2169,13189,-2128,13133,-2084,13080,-2038,13030,-1989,12981,-1938,12935,-1885,12891,-1830,12849,-1773,12810,-1714,12774,-1653,12740,-1590,12710,-1526,12682,-1460,12657,-1393,12635,-1324,12616,-1254,12601,-1183,12589,-1110,12580,-1037,12575,-962,12573,-887,12575,-811,12580,-736,12589,-663,12601,-590,12616,-519,12635,-449,12657,-380,12682,-313,12710,-247,12740,-183,12774,-120,12810,-59,12849,0,12891,57,12935,112,12981,165,13030,216,13080,264,13133,311,13189,355,13246,396,13305,435,13366,471,13428,505,13492,536,13558,564,13626,588,13694,610,13764,629,13836,644,13908,657,13982,665,14056,671,14132,672,14207,671,14282,665,14356,657,14428,644,14500,629,14570,610,14638,588,14706,564,14772,536,14836,505,14898,471,14959,435,15018,396,15075,355,15130,311,15183,264,15234,216,15283,165,15329,112,15373,57,15415,0,15454,-59,15490,-120,15523,-183,15554,-247,15582,-313,15607,-380,15629,-449,15647,-519,15663,-590,15675,-663,15684,-736,15689,-811,15691,-887,15689,-962,15684,-1037,15675,-1110,15663,-1183,15647,-1254,15629,-1324,15607,-1393,15582,-1460,15554,-1526,15523,-1590,15490,-1653,15454,-1714,15415,-1773,15373,-1830,15329,-1885,15283,-1938,15234,-1989,15183,-2038,15130,-2084,15075,-2128,15018,-2169,14959,-2208,14898,-2245,14836,-2278,14772,-2309,14706,-2337,14638,-2362,14570,-2383,14500,-2402,14428,-2418,14356,-2430,14282,-2438,14207,-2444,14132,-2446xe" filled="true" fillcolor="#ffffff" stroked="false">
              <v:path arrowok="t"/>
              <v:fill type="solid"/>
            </v:shape>
            <v:shape style="position:absolute;left:12358;top:-2648;width:3548;height:3535" type="#_x0000_t202" filled="false" stroked="false">
              <v:textbox inset="0,0,0,0">
                <w:txbxContent>
                  <w:p>
                    <w:pPr>
                      <w:spacing w:line="240" w:lineRule="auto" w:before="0"/>
                      <w:rPr>
                        <w:b/>
                        <w:sz w:val="26"/>
                      </w:rPr>
                    </w:pPr>
                  </w:p>
                  <w:p>
                    <w:pPr>
                      <w:spacing w:line="240" w:lineRule="auto" w:before="0"/>
                      <w:rPr>
                        <w:b/>
                        <w:sz w:val="26"/>
                      </w:rPr>
                    </w:pPr>
                  </w:p>
                  <w:p>
                    <w:pPr>
                      <w:spacing w:line="240" w:lineRule="auto" w:before="9"/>
                      <w:rPr>
                        <w:b/>
                        <w:sz w:val="32"/>
                      </w:rPr>
                    </w:pPr>
                  </w:p>
                  <w:p>
                    <w:pPr>
                      <w:spacing w:line="249" w:lineRule="auto" w:before="0"/>
                      <w:ind w:left="722" w:right="720" w:hanging="1"/>
                      <w:jc w:val="center"/>
                      <w:rPr>
                        <w:sz w:val="22"/>
                      </w:rPr>
                    </w:pPr>
                    <w:r>
                      <w:rPr>
                        <w:sz w:val="22"/>
                      </w:rPr>
                      <w:t>Deliver fair and </w:t>
                    </w:r>
                    <w:r>
                      <w:rPr>
                        <w:w w:val="95"/>
                        <w:sz w:val="22"/>
                      </w:rPr>
                      <w:t>efficient administration </w:t>
                    </w:r>
                    <w:r>
                      <w:rPr>
                        <w:sz w:val="22"/>
                      </w:rPr>
                      <w:t>of revenue laws and payment of grants and subsidies to the community</w:t>
                    </w:r>
                  </w:p>
                </w:txbxContent>
              </v:textbox>
              <w10:wrap type="none"/>
            </v:shape>
            <w10:wrap type="none"/>
          </v:group>
        </w:pict>
      </w:r>
      <w:r>
        <w:rPr/>
        <w:t>accommodation from a portfolio perspective to drive sector-wide </w:t>
      </w:r>
      <w:r>
        <w:rPr>
          <w:w w:val="95"/>
        </w:rPr>
        <w:t>efficiencies and deliver </w:t>
      </w:r>
      <w:r>
        <w:rPr/>
        <w:t>on locational imperatives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3"/>
        </w:rPr>
      </w:pPr>
    </w:p>
    <w:p>
      <w:pPr>
        <w:pStyle w:val="BodyText"/>
        <w:spacing w:line="249" w:lineRule="auto"/>
        <w:ind w:left="983" w:right="6493"/>
        <w:jc w:val="center"/>
      </w:pPr>
      <w:r>
        <w:rPr/>
        <w:t>Lead procurement policy and </w:t>
      </w:r>
      <w:r>
        <w:rPr>
          <w:w w:val="95"/>
        </w:rPr>
        <w:t>capability building,</w:t>
      </w:r>
    </w:p>
    <w:p>
      <w:pPr>
        <w:pStyle w:val="BodyText"/>
        <w:spacing w:line="249" w:lineRule="auto" w:before="2"/>
        <w:ind w:left="674" w:right="6184"/>
        <w:jc w:val="center"/>
      </w:pPr>
      <w:r>
        <w:rPr>
          <w:w w:val="95"/>
        </w:rPr>
        <w:t>whole-of-government </w:t>
      </w:r>
      <w:r>
        <w:rPr/>
        <w:t>contracting and</w:t>
      </w:r>
    </w:p>
    <w:p>
      <w:pPr>
        <w:pStyle w:val="BodyText"/>
        <w:spacing w:before="2"/>
        <w:ind w:left="674" w:right="6184"/>
        <w:jc w:val="center"/>
      </w:pPr>
      <w:r>
        <w:rPr/>
        <w:t>high-value procurement</w:t>
      </w:r>
    </w:p>
    <w:p>
      <w:pPr>
        <w:spacing w:after="0"/>
        <w:jc w:val="center"/>
        <w:sectPr>
          <w:type w:val="continuous"/>
          <w:pgSz w:w="16840" w:h="11910" w:orient="landscape"/>
          <w:pgMar w:top="1100" w:bottom="280" w:left="0" w:right="0"/>
          <w:cols w:num="2" w:equalWidth="0">
            <w:col w:w="7154" w:space="404"/>
            <w:col w:w="92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tabs>
          <w:tab w:pos="1227" w:val="left" w:leader="none"/>
          <w:tab w:pos="5951" w:val="left" w:leader="none"/>
          <w:tab w:pos="16072"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1720"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b/>
          <w:color w:val="FFFFFF"/>
          <w:sz w:val="20"/>
        </w:rPr>
        <w:t>2</w:t>
        <w:tab/>
        <w:t>Department of Finance Annual Report</w:t>
      </w:r>
      <w:r>
        <w:rPr>
          <w:b/>
          <w:color w:val="FFFFFF"/>
          <w:spacing w:val="21"/>
          <w:sz w:val="20"/>
        </w:rPr>
        <w:t> </w:t>
      </w:r>
      <w:r>
        <w:rPr>
          <w:b/>
          <w:color w:val="FFFFFF"/>
          <w:sz w:val="20"/>
        </w:rPr>
        <w:t>2017-18</w:t>
        <w:tab/>
      </w:r>
      <w:r>
        <w:rPr>
          <w:b/>
          <w:color w:val="FFFFFF"/>
          <w:w w:val="100"/>
          <w:sz w:val="20"/>
          <w:u w:val="single" w:color="939598"/>
        </w:rPr>
        <w:t> </w:t>
      </w:r>
      <w:r>
        <w:rPr>
          <w:b/>
          <w:color w:val="FFFFFF"/>
          <w:sz w:val="20"/>
          <w:u w:val="single" w:color="939598"/>
        </w:rPr>
        <w:tab/>
      </w:r>
    </w:p>
    <w:p>
      <w:pPr>
        <w:spacing w:after="0"/>
        <w:jc w:val="left"/>
        <w:rPr>
          <w:sz w:val="20"/>
        </w:rPr>
        <w:sectPr>
          <w:type w:val="continuous"/>
          <w:pgSz w:w="16840" w:h="11910" w:orient="landscape"/>
          <w:pgMar w:top="1100" w:bottom="280" w:left="0" w:right="0"/>
        </w:sectPr>
      </w:pPr>
    </w:p>
    <w:p>
      <w:pPr>
        <w:pStyle w:val="BodyText"/>
        <w:rPr>
          <w:sz w:val="20"/>
        </w:rPr>
      </w:pPr>
      <w:bookmarkStart w:name="_bookmark2" w:id="3"/>
      <w:bookmarkEnd w:id="3"/>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Heading1"/>
        <w:spacing w:before="234"/>
      </w:pPr>
      <w:r>
        <w:rPr/>
        <w:pict>
          <v:group style="position:absolute;margin-left:120.271004pt;margin-top:-56.274212pt;width:721.65pt;height:42.55pt;mso-position-horizontal-relative:page;mso-position-vertical-relative:paragraph;z-index:2056" coordorigin="2405,-1125" coordsize="14433,851">
            <v:rect style="position:absolute;left:14432;top:-1126;width:2406;height:851" filled="true" fillcolor="#bba1bc" stroked="false">
              <v:fill type="solid"/>
            </v:rect>
            <v:shape style="position:absolute;left:14432;top:-1126;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26;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26;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26;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26;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26;width:2406;height:851" type="#_x0000_t202" filled="true" fillcolor="#d4d896"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Director General’s Overview</w:t>
      </w:r>
    </w:p>
    <w:p>
      <w:pPr>
        <w:pStyle w:val="Heading4"/>
        <w:spacing w:line="249" w:lineRule="auto" w:before="271"/>
        <w:ind w:right="1047"/>
      </w:pPr>
      <w:r>
        <w:rPr/>
        <w:pict>
          <v:group style="position:absolute;margin-left:38.018002pt;margin-top:92.819794pt;width:503.65pt;height:349.15pt;mso-position-horizontal-relative:page;mso-position-vertical-relative:paragraph;z-index:-710608" coordorigin="760,1856" coordsize="10073,6983">
            <v:rect style="position:absolute;left:765;top:1861;width:10063;height:6978" filled="true" fillcolor="#c4cd71" stroked="false">
              <v:fill opacity="9830f" type="solid"/>
            </v:rect>
            <v:rect style="position:absolute;left:765;top:1861;width:10063;height:6968" filled="false" stroked="true" strokeweight=".5pt" strokecolor="#c4cd71">
              <v:stroke dashstyle="solid"/>
            </v:rect>
            <v:shape style="position:absolute;left:980;top:2602;width:199;height:199" type="#_x0000_t75" stroked="false">
              <v:imagedata r:id="rId15" o:title=""/>
            </v:shape>
            <v:shape style="position:absolute;left:6035;top:2602;width:199;height:199" type="#_x0000_t75" stroked="false">
              <v:imagedata r:id="rId15" o:title=""/>
            </v:shape>
            <v:shape style="position:absolute;left:6035;top:4184;width:199;height:199" type="#_x0000_t75" stroked="false">
              <v:imagedata r:id="rId15" o:title=""/>
            </v:shape>
            <v:shape style="position:absolute;left:6035;top:5769;width:199;height:199" type="#_x0000_t75" stroked="false">
              <v:imagedata r:id="rId16" o:title=""/>
            </v:shape>
            <v:shape style="position:absolute;left:980;top:3842;width:199;height:199" type="#_x0000_t75" stroked="false">
              <v:imagedata r:id="rId17" o:title=""/>
            </v:shape>
            <v:shape style="position:absolute;left:980;top:5058;width:199;height:199" type="#_x0000_t75" stroked="false">
              <v:imagedata r:id="rId17" o:title=""/>
            </v:shape>
            <v:shape style="position:absolute;left:980;top:6279;width:199;height:199" type="#_x0000_t75" stroked="false">
              <v:imagedata r:id="rId18" o:title=""/>
            </v:shape>
            <w10:wrap type="none"/>
          </v:group>
        </w:pict>
      </w:r>
      <w:r>
        <w:rPr>
          <w:color w:val="6F2770"/>
        </w:rPr>
        <w:t>Our</w:t>
      </w:r>
      <w:r>
        <w:rPr>
          <w:color w:val="6F2770"/>
          <w:spacing w:val="-44"/>
        </w:rPr>
        <w:t> </w:t>
      </w:r>
      <w:r>
        <w:rPr>
          <w:color w:val="6F2770"/>
        </w:rPr>
        <w:t>technical</w:t>
      </w:r>
      <w:r>
        <w:rPr>
          <w:color w:val="6F2770"/>
          <w:spacing w:val="-44"/>
        </w:rPr>
        <w:t> </w:t>
      </w:r>
      <w:r>
        <w:rPr>
          <w:color w:val="6F2770"/>
        </w:rPr>
        <w:t>expertise,</w:t>
      </w:r>
      <w:r>
        <w:rPr>
          <w:color w:val="6F2770"/>
          <w:spacing w:val="-43"/>
        </w:rPr>
        <w:t> </w:t>
      </w:r>
      <w:r>
        <w:rPr>
          <w:color w:val="6F2770"/>
        </w:rPr>
        <w:t>ability</w:t>
      </w:r>
      <w:r>
        <w:rPr>
          <w:color w:val="6F2770"/>
          <w:spacing w:val="-44"/>
        </w:rPr>
        <w:t> </w:t>
      </w:r>
      <w:r>
        <w:rPr>
          <w:color w:val="6F2770"/>
        </w:rPr>
        <w:t>to</w:t>
      </w:r>
      <w:r>
        <w:rPr>
          <w:color w:val="6F2770"/>
          <w:spacing w:val="-44"/>
        </w:rPr>
        <w:t> </w:t>
      </w:r>
      <w:r>
        <w:rPr>
          <w:color w:val="6F2770"/>
        </w:rPr>
        <w:t>leverage</w:t>
      </w:r>
      <w:r>
        <w:rPr>
          <w:color w:val="6F2770"/>
          <w:spacing w:val="-43"/>
        </w:rPr>
        <w:t> </w:t>
      </w:r>
      <w:r>
        <w:rPr>
          <w:color w:val="6F2770"/>
        </w:rPr>
        <w:t>whole-of-government</w:t>
      </w:r>
      <w:r>
        <w:rPr>
          <w:color w:val="6F2770"/>
          <w:spacing w:val="-44"/>
        </w:rPr>
        <w:t> </w:t>
      </w:r>
      <w:r>
        <w:rPr>
          <w:color w:val="6F2770"/>
        </w:rPr>
        <w:t>insights</w:t>
      </w:r>
      <w:r>
        <w:rPr>
          <w:color w:val="6F2770"/>
          <w:spacing w:val="-44"/>
        </w:rPr>
        <w:t> </w:t>
      </w:r>
      <w:r>
        <w:rPr>
          <w:color w:val="6F2770"/>
        </w:rPr>
        <w:t>and</w:t>
      </w:r>
      <w:r>
        <w:rPr>
          <w:color w:val="6F2770"/>
          <w:spacing w:val="-43"/>
        </w:rPr>
        <w:t> </w:t>
      </w:r>
      <w:r>
        <w:rPr>
          <w:color w:val="6F2770"/>
        </w:rPr>
        <w:t>focus</w:t>
      </w:r>
      <w:r>
        <w:rPr>
          <w:color w:val="6F2770"/>
          <w:spacing w:val="-44"/>
        </w:rPr>
        <w:t> </w:t>
      </w:r>
      <w:r>
        <w:rPr>
          <w:color w:val="6F2770"/>
        </w:rPr>
        <w:t>on</w:t>
      </w:r>
      <w:r>
        <w:rPr>
          <w:color w:val="6F2770"/>
          <w:spacing w:val="-44"/>
        </w:rPr>
        <w:t> </w:t>
      </w:r>
      <w:r>
        <w:rPr>
          <w:color w:val="6F2770"/>
        </w:rPr>
        <w:t>innovation, delivers practical, cost-effective and quality outcomes across government to benefit Western Australians.</w:t>
      </w:r>
    </w:p>
    <w:p>
      <w:pPr>
        <w:pStyle w:val="BodyText"/>
        <w:spacing w:before="10"/>
        <w:rPr>
          <w:sz w:val="29"/>
        </w:rPr>
      </w:pPr>
    </w:p>
    <w:p>
      <w:pPr>
        <w:spacing w:after="0"/>
        <w:rPr>
          <w:sz w:val="29"/>
        </w:rPr>
        <w:sectPr>
          <w:footerReference w:type="default" r:id="rId14"/>
          <w:pgSz w:w="16840" w:h="11910" w:orient="landscape"/>
          <w:pgMar w:footer="0" w:header="0" w:top="0" w:bottom="60" w:left="0" w:right="0"/>
        </w:sectPr>
      </w:pPr>
    </w:p>
    <w:p>
      <w:pPr>
        <w:pStyle w:val="BodyText"/>
        <w:spacing w:before="146"/>
        <w:ind w:left="985"/>
      </w:pPr>
      <w:r>
        <w:rPr/>
        <w:t>Over</w:t>
      </w:r>
      <w:r>
        <w:rPr>
          <w:spacing w:val="-25"/>
        </w:rPr>
        <w:t> </w:t>
      </w:r>
      <w:r>
        <w:rPr/>
        <w:t>the</w:t>
      </w:r>
      <w:r>
        <w:rPr>
          <w:spacing w:val="-24"/>
        </w:rPr>
        <w:t> </w:t>
      </w:r>
      <w:r>
        <w:rPr/>
        <w:t>2017-18</w:t>
      </w:r>
      <w:r>
        <w:rPr>
          <w:spacing w:val="-24"/>
        </w:rPr>
        <w:t> </w:t>
      </w:r>
      <w:r>
        <w:rPr/>
        <w:t>financial</w:t>
      </w:r>
      <w:r>
        <w:rPr>
          <w:spacing w:val="-24"/>
        </w:rPr>
        <w:t> </w:t>
      </w:r>
      <w:r>
        <w:rPr/>
        <w:t>year</w:t>
      </w:r>
      <w:r>
        <w:rPr>
          <w:spacing w:val="-25"/>
        </w:rPr>
        <w:t> </w:t>
      </w:r>
      <w:r>
        <w:rPr/>
        <w:t>the</w:t>
      </w:r>
      <w:r>
        <w:rPr>
          <w:spacing w:val="-24"/>
        </w:rPr>
        <w:t> </w:t>
      </w:r>
      <w:r>
        <w:rPr/>
        <w:t>Department</w:t>
      </w:r>
      <w:r>
        <w:rPr>
          <w:spacing w:val="-24"/>
        </w:rPr>
        <w:t> </w:t>
      </w:r>
      <w:r>
        <w:rPr/>
        <w:t>has</w:t>
      </w:r>
      <w:r>
        <w:rPr>
          <w:spacing w:val="-24"/>
        </w:rPr>
        <w:t> </w:t>
      </w:r>
      <w:r>
        <w:rPr/>
        <w:t>successfully:</w:t>
      </w:r>
    </w:p>
    <w:p>
      <w:pPr>
        <w:pStyle w:val="BodyText"/>
        <w:spacing w:line="249" w:lineRule="auto" w:before="106"/>
        <w:ind w:left="985" w:right="773"/>
      </w:pPr>
      <w:r>
        <w:rPr/>
        <w:br w:type="column"/>
      </w:r>
      <w:r>
        <w:rPr/>
        <w:t>The </w:t>
      </w:r>
      <w:r>
        <w:rPr>
          <w:spacing w:val="-3"/>
        </w:rPr>
        <w:t>Department </w:t>
      </w:r>
      <w:r>
        <w:rPr/>
        <w:t>of </w:t>
      </w:r>
      <w:r>
        <w:rPr>
          <w:spacing w:val="-3"/>
        </w:rPr>
        <w:t>Finance </w:t>
      </w:r>
      <w:r>
        <w:rPr/>
        <w:t>is an </w:t>
      </w:r>
      <w:r>
        <w:rPr>
          <w:spacing w:val="-3"/>
        </w:rPr>
        <w:t>influential </w:t>
      </w:r>
      <w:r>
        <w:rPr>
          <w:spacing w:val="-6"/>
        </w:rPr>
        <w:t>agency,</w:t>
      </w:r>
      <w:r>
        <w:rPr>
          <w:spacing w:val="-21"/>
        </w:rPr>
        <w:t> </w:t>
      </w:r>
      <w:r>
        <w:rPr>
          <w:spacing w:val="-3"/>
        </w:rPr>
        <w:t>sought</w:t>
      </w:r>
      <w:r>
        <w:rPr>
          <w:spacing w:val="-20"/>
        </w:rPr>
        <w:t> </w:t>
      </w:r>
      <w:r>
        <w:rPr/>
        <w:t>out</w:t>
      </w:r>
      <w:r>
        <w:rPr>
          <w:spacing w:val="-20"/>
        </w:rPr>
        <w:t> </w:t>
      </w:r>
      <w:r>
        <w:rPr/>
        <w:t>for</w:t>
      </w:r>
      <w:r>
        <w:rPr>
          <w:spacing w:val="-20"/>
        </w:rPr>
        <w:t> </w:t>
      </w:r>
      <w:r>
        <w:rPr/>
        <w:t>its</w:t>
      </w:r>
      <w:r>
        <w:rPr>
          <w:spacing w:val="-20"/>
        </w:rPr>
        <w:t> </w:t>
      </w:r>
      <w:r>
        <w:rPr>
          <w:spacing w:val="-3"/>
        </w:rPr>
        <w:t>expertise</w:t>
      </w:r>
      <w:r>
        <w:rPr>
          <w:spacing w:val="-20"/>
        </w:rPr>
        <w:t> </w:t>
      </w:r>
      <w:r>
        <w:rPr/>
        <w:t>in</w:t>
      </w:r>
      <w:r>
        <w:rPr>
          <w:spacing w:val="-20"/>
        </w:rPr>
        <w:t> </w:t>
      </w:r>
      <w:r>
        <w:rPr>
          <w:spacing w:val="-4"/>
        </w:rPr>
        <w:t>project</w:t>
      </w:r>
    </w:p>
    <w:p>
      <w:pPr>
        <w:spacing w:after="0" w:line="249" w:lineRule="auto"/>
        <w:sectPr>
          <w:type w:val="continuous"/>
          <w:pgSz w:w="16840" w:h="11910" w:orient="landscape"/>
          <w:pgMar w:top="1100" w:bottom="280" w:left="0" w:right="0"/>
          <w:cols w:num="2" w:equalWidth="0">
            <w:col w:w="7187" w:space="3081"/>
            <w:col w:w="6572"/>
          </w:cols>
        </w:sectPr>
      </w:pPr>
    </w:p>
    <w:p>
      <w:pPr>
        <w:pStyle w:val="BodyText"/>
        <w:spacing w:before="34"/>
        <w:ind w:left="1268"/>
      </w:pPr>
      <w:r>
        <w:rPr/>
        <w:t>Saved the Western Australian taxpayer around</w:t>
      </w:r>
    </w:p>
    <w:p>
      <w:pPr>
        <w:pStyle w:val="BodyText"/>
        <w:spacing w:line="249" w:lineRule="auto" w:before="11"/>
        <w:ind w:left="1268" w:right="-3"/>
      </w:pPr>
      <w:r>
        <w:rPr>
          <w:spacing w:val="-2"/>
        </w:rPr>
        <w:t>$50 </w:t>
      </w:r>
      <w:r>
        <w:rPr>
          <w:spacing w:val="-3"/>
        </w:rPr>
        <w:t>million over </w:t>
      </w:r>
      <w:r>
        <w:rPr>
          <w:spacing w:val="-2"/>
        </w:rPr>
        <w:t>the </w:t>
      </w:r>
      <w:r>
        <w:rPr/>
        <w:t>forward </w:t>
      </w:r>
      <w:r>
        <w:rPr>
          <w:spacing w:val="-3"/>
        </w:rPr>
        <w:t>estimates </w:t>
      </w:r>
      <w:r>
        <w:rPr/>
        <w:t>in an </w:t>
      </w:r>
      <w:r>
        <w:rPr>
          <w:spacing w:val="-3"/>
        </w:rPr>
        <w:t>overhaul</w:t>
      </w:r>
      <w:r>
        <w:rPr>
          <w:spacing w:val="-34"/>
        </w:rPr>
        <w:t> </w:t>
      </w:r>
      <w:r>
        <w:rPr>
          <w:spacing w:val="-3"/>
        </w:rPr>
        <w:t>of</w:t>
      </w:r>
      <w:r>
        <w:rPr>
          <w:spacing w:val="-34"/>
        </w:rPr>
        <w:t> </w:t>
      </w:r>
      <w:r>
        <w:rPr>
          <w:spacing w:val="-2"/>
        </w:rPr>
        <w:t>the</w:t>
      </w:r>
      <w:r>
        <w:rPr>
          <w:spacing w:val="-33"/>
        </w:rPr>
        <w:t> </w:t>
      </w:r>
      <w:r>
        <w:rPr>
          <w:spacing w:val="-6"/>
        </w:rPr>
        <w:t>State’s</w:t>
      </w:r>
      <w:r>
        <w:rPr>
          <w:spacing w:val="-34"/>
        </w:rPr>
        <w:t> </w:t>
      </w:r>
      <w:r>
        <w:rPr/>
        <w:t>vehicle</w:t>
      </w:r>
      <w:r>
        <w:rPr>
          <w:spacing w:val="-33"/>
        </w:rPr>
        <w:t> </w:t>
      </w:r>
      <w:r>
        <w:rPr>
          <w:spacing w:val="-3"/>
        </w:rPr>
        <w:t>fleet.</w:t>
      </w:r>
      <w:r>
        <w:rPr>
          <w:spacing w:val="-34"/>
        </w:rPr>
        <w:t> </w:t>
      </w:r>
      <w:r>
        <w:rPr/>
        <w:t>Further</w:t>
      </w:r>
      <w:r>
        <w:rPr>
          <w:spacing w:val="-33"/>
        </w:rPr>
        <w:t> </w:t>
      </w:r>
      <w:r>
        <w:rPr>
          <w:spacing w:val="-3"/>
        </w:rPr>
        <w:t>details </w:t>
      </w:r>
      <w:r>
        <w:rPr/>
        <w:t>on page</w:t>
      </w:r>
      <w:r>
        <w:rPr>
          <w:spacing w:val="-11"/>
        </w:rPr>
        <w:t> </w:t>
      </w:r>
      <w:hyperlink w:history="true" w:anchor="_bookmark5">
        <w:r>
          <w:rPr>
            <w:color w:val="6F2770"/>
            <w:spacing w:val="-3"/>
            <w:u w:val="single" w:color="6F2770"/>
          </w:rPr>
          <w:t>8</w:t>
        </w:r>
      </w:hyperlink>
      <w:r>
        <w:rPr>
          <w:spacing w:val="-3"/>
        </w:rPr>
        <w:t>.</w:t>
      </w:r>
    </w:p>
    <w:p>
      <w:pPr>
        <w:pStyle w:val="BodyText"/>
        <w:spacing w:line="249" w:lineRule="auto" w:before="173"/>
        <w:ind w:left="1268" w:right="319"/>
      </w:pPr>
      <w:r>
        <w:rPr>
          <w:spacing w:val="-3"/>
        </w:rPr>
        <w:t>Ensured</w:t>
      </w:r>
      <w:r>
        <w:rPr>
          <w:spacing w:val="-35"/>
        </w:rPr>
        <w:t> </w:t>
      </w:r>
      <w:r>
        <w:rPr/>
        <w:t>an</w:t>
      </w:r>
      <w:r>
        <w:rPr>
          <w:spacing w:val="-35"/>
        </w:rPr>
        <w:t> </w:t>
      </w:r>
      <w:r>
        <w:rPr/>
        <w:t>increase</w:t>
      </w:r>
      <w:r>
        <w:rPr>
          <w:spacing w:val="-35"/>
        </w:rPr>
        <w:t> </w:t>
      </w:r>
      <w:r>
        <w:rPr/>
        <w:t>in</w:t>
      </w:r>
      <w:r>
        <w:rPr>
          <w:spacing w:val="-34"/>
        </w:rPr>
        <w:t> </w:t>
      </w:r>
      <w:r>
        <w:rPr/>
        <w:t>economic</w:t>
      </w:r>
      <w:r>
        <w:rPr>
          <w:spacing w:val="-35"/>
        </w:rPr>
        <w:t> </w:t>
      </w:r>
      <w:r>
        <w:rPr>
          <w:spacing w:val="-3"/>
        </w:rPr>
        <w:t>participation of</w:t>
      </w:r>
      <w:r>
        <w:rPr>
          <w:spacing w:val="-34"/>
        </w:rPr>
        <w:t> </w:t>
      </w:r>
      <w:r>
        <w:rPr/>
        <w:t>Aboriginal</w:t>
      </w:r>
      <w:r>
        <w:rPr>
          <w:spacing w:val="-33"/>
        </w:rPr>
        <w:t> </w:t>
      </w:r>
      <w:r>
        <w:rPr/>
        <w:t>businesses</w:t>
      </w:r>
      <w:r>
        <w:rPr>
          <w:spacing w:val="-33"/>
        </w:rPr>
        <w:t> </w:t>
      </w:r>
      <w:r>
        <w:rPr/>
        <w:t>in</w:t>
      </w:r>
      <w:r>
        <w:rPr>
          <w:spacing w:val="-33"/>
        </w:rPr>
        <w:t> </w:t>
      </w:r>
      <w:r>
        <w:rPr>
          <w:spacing w:val="-3"/>
        </w:rPr>
        <w:t>Western</w:t>
      </w:r>
      <w:r>
        <w:rPr>
          <w:spacing w:val="-33"/>
        </w:rPr>
        <w:t> </w:t>
      </w:r>
      <w:r>
        <w:rPr>
          <w:spacing w:val="-3"/>
        </w:rPr>
        <w:t>Australia</w:t>
      </w:r>
    </w:p>
    <w:p>
      <w:pPr>
        <w:pStyle w:val="BodyText"/>
        <w:spacing w:line="249" w:lineRule="auto" w:before="1"/>
        <w:ind w:left="1268" w:right="-11"/>
      </w:pPr>
      <w:r>
        <w:rPr>
          <w:spacing w:val="-3"/>
        </w:rPr>
        <w:t>through</w:t>
      </w:r>
      <w:r>
        <w:rPr>
          <w:spacing w:val="-34"/>
        </w:rPr>
        <w:t> </w:t>
      </w:r>
      <w:r>
        <w:rPr>
          <w:spacing w:val="-2"/>
        </w:rPr>
        <w:t>the</w:t>
      </w:r>
      <w:r>
        <w:rPr>
          <w:spacing w:val="-33"/>
        </w:rPr>
        <w:t> </w:t>
      </w:r>
      <w:r>
        <w:rPr/>
        <w:t>release</w:t>
      </w:r>
      <w:r>
        <w:rPr>
          <w:spacing w:val="-33"/>
        </w:rPr>
        <w:t> </w:t>
      </w:r>
      <w:r>
        <w:rPr>
          <w:spacing w:val="-3"/>
        </w:rPr>
        <w:t>of</w:t>
      </w:r>
      <w:r>
        <w:rPr>
          <w:spacing w:val="-33"/>
        </w:rPr>
        <w:t> </w:t>
      </w:r>
      <w:r>
        <w:rPr>
          <w:spacing w:val="-2"/>
        </w:rPr>
        <w:t>the</w:t>
      </w:r>
      <w:r>
        <w:rPr>
          <w:spacing w:val="-33"/>
        </w:rPr>
        <w:t> </w:t>
      </w:r>
      <w:r>
        <w:rPr/>
        <w:t>Aboriginal</w:t>
      </w:r>
      <w:r>
        <w:rPr>
          <w:spacing w:val="-33"/>
        </w:rPr>
        <w:t> </w:t>
      </w:r>
      <w:r>
        <w:rPr>
          <w:spacing w:val="-3"/>
        </w:rPr>
        <w:t>Procurement </w:t>
      </w:r>
      <w:r>
        <w:rPr>
          <w:spacing w:val="-5"/>
        </w:rPr>
        <w:t>Policy. </w:t>
      </w:r>
      <w:r>
        <w:rPr/>
        <w:t>See page</w:t>
      </w:r>
      <w:r>
        <w:rPr>
          <w:spacing w:val="-15"/>
        </w:rPr>
        <w:t> </w:t>
      </w:r>
      <w:hyperlink w:history="true" w:anchor="_bookmark6">
        <w:r>
          <w:rPr>
            <w:color w:val="6F2770"/>
            <w:spacing w:val="-5"/>
            <w:u w:val="single" w:color="6F2770"/>
          </w:rPr>
          <w:t>9</w:t>
        </w:r>
      </w:hyperlink>
      <w:r>
        <w:rPr>
          <w:spacing w:val="-5"/>
        </w:rPr>
        <w:t>.</w:t>
      </w:r>
    </w:p>
    <w:p>
      <w:pPr>
        <w:pStyle w:val="BodyText"/>
        <w:spacing w:line="249" w:lineRule="auto" w:before="172"/>
        <w:ind w:left="1268" w:right="60"/>
      </w:pPr>
      <w:r>
        <w:rPr>
          <w:spacing w:val="-3"/>
        </w:rPr>
        <w:t>Implemented </w:t>
      </w:r>
      <w:r>
        <w:rPr>
          <w:spacing w:val="-2"/>
        </w:rPr>
        <w:t>the </w:t>
      </w:r>
      <w:r>
        <w:rPr>
          <w:spacing w:val="-3"/>
        </w:rPr>
        <w:t>Government </w:t>
      </w:r>
      <w:r>
        <w:rPr/>
        <w:t>Office </w:t>
      </w:r>
      <w:r>
        <w:rPr>
          <w:spacing w:val="-3"/>
        </w:rPr>
        <w:t>Accommodation Reform Program, </w:t>
      </w:r>
      <w:r>
        <w:rPr/>
        <w:t>which has realised</w:t>
      </w:r>
      <w:r>
        <w:rPr>
          <w:spacing w:val="-31"/>
        </w:rPr>
        <w:t> </w:t>
      </w:r>
      <w:r>
        <w:rPr>
          <w:spacing w:val="-3"/>
        </w:rPr>
        <w:t>savings</w:t>
      </w:r>
      <w:r>
        <w:rPr>
          <w:spacing w:val="-31"/>
        </w:rPr>
        <w:t> </w:t>
      </w:r>
      <w:r>
        <w:rPr/>
        <w:t>in</w:t>
      </w:r>
      <w:r>
        <w:rPr>
          <w:spacing w:val="-31"/>
        </w:rPr>
        <w:t> </w:t>
      </w:r>
      <w:r>
        <w:rPr>
          <w:spacing w:val="-3"/>
        </w:rPr>
        <w:t>excess</w:t>
      </w:r>
      <w:r>
        <w:rPr>
          <w:spacing w:val="-31"/>
        </w:rPr>
        <w:t> </w:t>
      </w:r>
      <w:r>
        <w:rPr>
          <w:spacing w:val="-3"/>
        </w:rPr>
        <w:t>of</w:t>
      </w:r>
      <w:r>
        <w:rPr>
          <w:spacing w:val="-30"/>
        </w:rPr>
        <w:t> </w:t>
      </w:r>
      <w:r>
        <w:rPr>
          <w:spacing w:val="-2"/>
        </w:rPr>
        <w:t>the</w:t>
      </w:r>
      <w:r>
        <w:rPr>
          <w:spacing w:val="-31"/>
        </w:rPr>
        <w:t> </w:t>
      </w:r>
      <w:r>
        <w:rPr>
          <w:spacing w:val="-16"/>
        </w:rPr>
        <w:t>2017-18</w:t>
      </w:r>
      <w:r>
        <w:rPr>
          <w:spacing w:val="-31"/>
        </w:rPr>
        <w:t> </w:t>
      </w:r>
      <w:r>
        <w:rPr/>
        <w:t>financial year </w:t>
      </w:r>
      <w:r>
        <w:rPr>
          <w:spacing w:val="-4"/>
        </w:rPr>
        <w:t>target. </w:t>
      </w:r>
      <w:r>
        <w:rPr/>
        <w:t>See page</w:t>
      </w:r>
      <w:r>
        <w:rPr>
          <w:spacing w:val="-25"/>
        </w:rPr>
        <w:t> </w:t>
      </w:r>
      <w:hyperlink w:history="true" w:anchor="_bookmark7">
        <w:r>
          <w:rPr>
            <w:color w:val="6F2770"/>
            <w:spacing w:val="-8"/>
            <w:u w:val="single" w:color="6F2770"/>
          </w:rPr>
          <w:t>10</w:t>
        </w:r>
      </w:hyperlink>
      <w:r>
        <w:rPr>
          <w:spacing w:val="-8"/>
        </w:rPr>
        <w:t>.</w:t>
      </w:r>
    </w:p>
    <w:p>
      <w:pPr>
        <w:pStyle w:val="BodyText"/>
        <w:spacing w:line="249" w:lineRule="auto" w:before="174"/>
        <w:ind w:left="1268" w:right="313"/>
      </w:pPr>
      <w:r>
        <w:rPr/>
        <w:pict>
          <v:group style="position:absolute;margin-left:817.839111pt;margin-top:133.388275pt;width:24.1pt;height:41.55pt;mso-position-horizontal-relative:page;mso-position-vertical-relative:paragraph;z-index:2080" coordorigin="16357,2668" coordsize="482,831">
            <v:shape style="position:absolute;left:16356;top:2667;width:482;height:831" coordorigin="16357,2668" coordsize="482,831" path="m16772,2668l16697,2674,16627,2694,16562,2724,16504,2765,16454,2815,16413,2873,16383,2938,16363,3008,16357,3083,16363,3158,16383,3228,16413,3293,16454,3350,16504,3401,16562,3441,16627,3472,16697,3491,16772,3498,16789,3498,16805,3497,16822,3495,16838,3492,16838,2673,16822,2671,16805,2669,16789,2668,16772,2668xe" filled="true" fillcolor="#aebd37" stroked="false">
              <v:path arrowok="t"/>
              <v:fill opacity="13107f" type="solid"/>
            </v:shape>
            <v:shape style="position:absolute;left:16571;top:2996;width:93;height:171" coordorigin="16571,2997" coordsize="93,171" path="m16590,2997l16582,2997,16571,3007,16571,3016,16638,3082,16638,3084,16571,3150,16571,3159,16579,3166,16582,3168,16589,3168,16592,3166,16655,3103,16662,3094,16664,3084,16664,3082,16662,3072,16655,3063,16590,2997xe" filled="true" fillcolor="#000000" stroked="false">
              <v:path arrowok="t"/>
              <v:fill type="solid"/>
            </v:shape>
            <w10:wrap type="none"/>
          </v:group>
        </w:pict>
      </w:r>
      <w:r>
        <w:rPr>
          <w:spacing w:val="-2"/>
        </w:rPr>
        <w:t>Delivered </w:t>
      </w:r>
      <w:r>
        <w:rPr>
          <w:spacing w:val="-3"/>
        </w:rPr>
        <w:t>several complex </w:t>
      </w:r>
      <w:r>
        <w:rPr/>
        <w:t>and high </w:t>
      </w:r>
      <w:r>
        <w:rPr>
          <w:spacing w:val="-3"/>
        </w:rPr>
        <w:t>profile projects</w:t>
      </w:r>
      <w:r>
        <w:rPr>
          <w:spacing w:val="-17"/>
        </w:rPr>
        <w:t> </w:t>
      </w:r>
      <w:r>
        <w:rPr>
          <w:spacing w:val="-3"/>
        </w:rPr>
        <w:t>including</w:t>
      </w:r>
      <w:r>
        <w:rPr>
          <w:spacing w:val="-17"/>
        </w:rPr>
        <w:t> </w:t>
      </w:r>
      <w:r>
        <w:rPr/>
        <w:t>two</w:t>
      </w:r>
      <w:r>
        <w:rPr>
          <w:spacing w:val="-17"/>
        </w:rPr>
        <w:t> </w:t>
      </w:r>
      <w:r>
        <w:rPr/>
        <w:t>major</w:t>
      </w:r>
      <w:r>
        <w:rPr>
          <w:spacing w:val="-16"/>
        </w:rPr>
        <w:t> </w:t>
      </w:r>
      <w:r>
        <w:rPr>
          <w:spacing w:val="-3"/>
        </w:rPr>
        <w:t>projects</w:t>
      </w:r>
      <w:r>
        <w:rPr>
          <w:spacing w:val="-17"/>
        </w:rPr>
        <w:t> </w:t>
      </w:r>
      <w:r>
        <w:rPr/>
        <w:t>in</w:t>
      </w:r>
      <w:r>
        <w:rPr>
          <w:spacing w:val="-17"/>
        </w:rPr>
        <w:t> </w:t>
      </w:r>
      <w:r>
        <w:rPr>
          <w:spacing w:val="-3"/>
        </w:rPr>
        <w:t>Optus Stadium </w:t>
      </w:r>
      <w:r>
        <w:rPr/>
        <w:t>and </w:t>
      </w:r>
      <w:r>
        <w:rPr>
          <w:spacing w:val="-2"/>
        </w:rPr>
        <w:t>the </w:t>
      </w:r>
      <w:r>
        <w:rPr/>
        <w:t>Perth </w:t>
      </w:r>
      <w:r>
        <w:rPr>
          <w:spacing w:val="-5"/>
        </w:rPr>
        <w:t>Children’s </w:t>
      </w:r>
      <w:r>
        <w:rPr>
          <w:spacing w:val="-3"/>
        </w:rPr>
        <w:t>Hospital, </w:t>
      </w:r>
      <w:r>
        <w:rPr/>
        <w:t>each</w:t>
      </w:r>
      <w:r>
        <w:rPr>
          <w:spacing w:val="-25"/>
        </w:rPr>
        <w:t> </w:t>
      </w:r>
      <w:r>
        <w:rPr/>
        <w:t>with</w:t>
      </w:r>
      <w:r>
        <w:rPr>
          <w:spacing w:val="-25"/>
        </w:rPr>
        <w:t> </w:t>
      </w:r>
      <w:r>
        <w:rPr>
          <w:spacing w:val="-3"/>
        </w:rPr>
        <w:t>contract</w:t>
      </w:r>
      <w:r>
        <w:rPr>
          <w:spacing w:val="-25"/>
        </w:rPr>
        <w:t> </w:t>
      </w:r>
      <w:r>
        <w:rPr>
          <w:spacing w:val="-3"/>
        </w:rPr>
        <w:t>values</w:t>
      </w:r>
      <w:r>
        <w:rPr>
          <w:spacing w:val="-25"/>
        </w:rPr>
        <w:t> </w:t>
      </w:r>
      <w:r>
        <w:rPr>
          <w:spacing w:val="-3"/>
        </w:rPr>
        <w:t>exceeding</w:t>
      </w:r>
      <w:r>
        <w:rPr>
          <w:spacing w:val="-24"/>
        </w:rPr>
        <w:t> </w:t>
      </w:r>
      <w:r>
        <w:rPr>
          <w:spacing w:val="-5"/>
        </w:rPr>
        <w:t>$1</w:t>
      </w:r>
      <w:r>
        <w:rPr>
          <w:spacing w:val="-25"/>
        </w:rPr>
        <w:t> </w:t>
      </w:r>
      <w:r>
        <w:rPr>
          <w:spacing w:val="-3"/>
        </w:rPr>
        <w:t>billion, </w:t>
      </w:r>
      <w:r>
        <w:rPr/>
        <w:t>in </w:t>
      </w:r>
      <w:r>
        <w:rPr>
          <w:spacing w:val="-3"/>
        </w:rPr>
        <w:t>addition </w:t>
      </w:r>
      <w:r>
        <w:rPr>
          <w:spacing w:val="-4"/>
        </w:rPr>
        <w:t>to </w:t>
      </w:r>
      <w:r>
        <w:rPr/>
        <w:t>almost $500 </w:t>
      </w:r>
      <w:r>
        <w:rPr>
          <w:spacing w:val="-3"/>
        </w:rPr>
        <w:t>million </w:t>
      </w:r>
      <w:r>
        <w:rPr/>
        <w:t>in </w:t>
      </w:r>
      <w:r>
        <w:rPr>
          <w:spacing w:val="-2"/>
        </w:rPr>
        <w:t>new </w:t>
      </w:r>
      <w:r>
        <w:rPr>
          <w:spacing w:val="-3"/>
        </w:rPr>
        <w:t>developments </w:t>
      </w:r>
      <w:r>
        <w:rPr/>
        <w:t>and upgrades </w:t>
      </w:r>
      <w:r>
        <w:rPr>
          <w:spacing w:val="-4"/>
        </w:rPr>
        <w:t>to </w:t>
      </w:r>
      <w:r>
        <w:rPr/>
        <w:t>primary and secondary</w:t>
      </w:r>
      <w:r>
        <w:rPr>
          <w:spacing w:val="-28"/>
        </w:rPr>
        <w:t> </w:t>
      </w:r>
      <w:r>
        <w:rPr>
          <w:spacing w:val="-3"/>
        </w:rPr>
        <w:t>schools,</w:t>
      </w:r>
      <w:r>
        <w:rPr>
          <w:spacing w:val="-28"/>
        </w:rPr>
        <w:t> </w:t>
      </w:r>
      <w:r>
        <w:rPr/>
        <w:t>police</w:t>
      </w:r>
      <w:r>
        <w:rPr>
          <w:spacing w:val="-28"/>
        </w:rPr>
        <w:t> </w:t>
      </w:r>
      <w:r>
        <w:rPr>
          <w:spacing w:val="-3"/>
        </w:rPr>
        <w:t>stations</w:t>
      </w:r>
      <w:r>
        <w:rPr>
          <w:spacing w:val="-27"/>
        </w:rPr>
        <w:t> </w:t>
      </w:r>
      <w:r>
        <w:rPr/>
        <w:t>and</w:t>
      </w:r>
      <w:r>
        <w:rPr>
          <w:spacing w:val="-28"/>
        </w:rPr>
        <w:t> </w:t>
      </w:r>
      <w:r>
        <w:rPr/>
        <w:t>health </w:t>
      </w:r>
      <w:r>
        <w:rPr>
          <w:spacing w:val="-3"/>
        </w:rPr>
        <w:t>facilities</w:t>
      </w:r>
      <w:r>
        <w:rPr>
          <w:spacing w:val="-26"/>
        </w:rPr>
        <w:t> </w:t>
      </w:r>
      <w:r>
        <w:rPr>
          <w:spacing w:val="-3"/>
        </w:rPr>
        <w:t>across</w:t>
      </w:r>
      <w:r>
        <w:rPr>
          <w:spacing w:val="-25"/>
        </w:rPr>
        <w:t> </w:t>
      </w:r>
      <w:r>
        <w:rPr>
          <w:spacing w:val="-2"/>
        </w:rPr>
        <w:t>the</w:t>
      </w:r>
      <w:r>
        <w:rPr>
          <w:spacing w:val="-25"/>
        </w:rPr>
        <w:t> </w:t>
      </w:r>
      <w:r>
        <w:rPr>
          <w:spacing w:val="-4"/>
        </w:rPr>
        <w:t>State.</w:t>
      </w:r>
      <w:r>
        <w:rPr>
          <w:spacing w:val="-25"/>
        </w:rPr>
        <w:t> </w:t>
      </w:r>
      <w:r>
        <w:rPr>
          <w:spacing w:val="-3"/>
        </w:rPr>
        <w:t>Details</w:t>
      </w:r>
      <w:r>
        <w:rPr>
          <w:spacing w:val="-25"/>
        </w:rPr>
        <w:t> </w:t>
      </w:r>
      <w:r>
        <w:rPr>
          <w:spacing w:val="-3"/>
        </w:rPr>
        <w:t>available</w:t>
      </w:r>
      <w:r>
        <w:rPr>
          <w:spacing w:val="-25"/>
        </w:rPr>
        <w:t> </w:t>
      </w:r>
      <w:r>
        <w:rPr/>
        <w:t>on pages</w:t>
      </w:r>
      <w:r>
        <w:rPr>
          <w:spacing w:val="-6"/>
        </w:rPr>
        <w:t> </w:t>
      </w:r>
      <w:hyperlink w:history="true" w:anchor="_bookmark11">
        <w:r>
          <w:rPr>
            <w:color w:val="6F2770"/>
            <w:spacing w:val="-8"/>
            <w:u w:val="single" w:color="6F2770"/>
          </w:rPr>
          <w:t>19-25</w:t>
        </w:r>
      </w:hyperlink>
      <w:r>
        <w:rPr>
          <w:spacing w:val="-8"/>
        </w:rPr>
        <w:t>.</w:t>
      </w:r>
    </w:p>
    <w:p>
      <w:pPr>
        <w:pStyle w:val="BodyText"/>
        <w:spacing w:line="249" w:lineRule="auto" w:before="34"/>
        <w:ind w:left="416" w:right="252"/>
      </w:pPr>
      <w:r>
        <w:rPr/>
        <w:br w:type="column"/>
      </w:r>
      <w:r>
        <w:rPr>
          <w:spacing w:val="-3"/>
        </w:rPr>
        <w:t>Actioned </w:t>
      </w:r>
      <w:r>
        <w:rPr/>
        <w:t>more than </w:t>
      </w:r>
      <w:r>
        <w:rPr>
          <w:spacing w:val="-6"/>
        </w:rPr>
        <w:t>140,000 </w:t>
      </w:r>
      <w:r>
        <w:rPr>
          <w:spacing w:val="-3"/>
        </w:rPr>
        <w:t>maintenance requests</w:t>
      </w:r>
      <w:r>
        <w:rPr>
          <w:spacing w:val="-26"/>
        </w:rPr>
        <w:t> </w:t>
      </w:r>
      <w:r>
        <w:rPr/>
        <w:t>from</w:t>
      </w:r>
      <w:r>
        <w:rPr>
          <w:spacing w:val="-25"/>
        </w:rPr>
        <w:t> </w:t>
      </w:r>
      <w:r>
        <w:rPr>
          <w:spacing w:val="-3"/>
        </w:rPr>
        <w:t>government</w:t>
      </w:r>
      <w:r>
        <w:rPr>
          <w:spacing w:val="-25"/>
        </w:rPr>
        <w:t> </w:t>
      </w:r>
      <w:r>
        <w:rPr/>
        <w:t>agencies</w:t>
      </w:r>
      <w:r>
        <w:rPr>
          <w:spacing w:val="-25"/>
        </w:rPr>
        <w:t> </w:t>
      </w:r>
      <w:r>
        <w:rPr>
          <w:spacing w:val="-3"/>
        </w:rPr>
        <w:t>across </w:t>
      </w:r>
      <w:r>
        <w:rPr/>
        <w:t>more</w:t>
      </w:r>
      <w:r>
        <w:rPr>
          <w:spacing w:val="-30"/>
        </w:rPr>
        <w:t> </w:t>
      </w:r>
      <w:r>
        <w:rPr/>
        <w:t>than</w:t>
      </w:r>
      <w:r>
        <w:rPr>
          <w:spacing w:val="-30"/>
        </w:rPr>
        <w:t> </w:t>
      </w:r>
      <w:r>
        <w:rPr>
          <w:spacing w:val="-5"/>
        </w:rPr>
        <w:t>2,500</w:t>
      </w:r>
      <w:r>
        <w:rPr>
          <w:spacing w:val="-30"/>
        </w:rPr>
        <w:t> </w:t>
      </w:r>
      <w:r>
        <w:rPr>
          <w:spacing w:val="-3"/>
        </w:rPr>
        <w:t>non-residential</w:t>
      </w:r>
      <w:r>
        <w:rPr>
          <w:spacing w:val="-29"/>
        </w:rPr>
        <w:t> </w:t>
      </w:r>
      <w:r>
        <w:rPr>
          <w:spacing w:val="-3"/>
        </w:rPr>
        <w:t>government sites </w:t>
      </w:r>
      <w:r>
        <w:rPr/>
        <w:t>and issued </w:t>
      </w:r>
      <w:r>
        <w:rPr>
          <w:spacing w:val="-3"/>
        </w:rPr>
        <w:t>relevant works </w:t>
      </w:r>
      <w:r>
        <w:rPr/>
        <w:t>orders </w:t>
      </w:r>
      <w:r>
        <w:rPr>
          <w:spacing w:val="-4"/>
        </w:rPr>
        <w:t>to </w:t>
      </w:r>
      <w:r>
        <w:rPr>
          <w:spacing w:val="-3"/>
        </w:rPr>
        <w:t>contractors across </w:t>
      </w:r>
      <w:r>
        <w:rPr>
          <w:spacing w:val="-2"/>
        </w:rPr>
        <w:t>the</w:t>
      </w:r>
      <w:r>
        <w:rPr>
          <w:spacing w:val="-14"/>
        </w:rPr>
        <w:t> </w:t>
      </w:r>
      <w:r>
        <w:rPr>
          <w:spacing w:val="-4"/>
        </w:rPr>
        <w:t>State.</w:t>
      </w:r>
    </w:p>
    <w:p>
      <w:pPr>
        <w:pStyle w:val="BodyText"/>
        <w:spacing w:before="4"/>
        <w:rPr>
          <w:sz w:val="23"/>
        </w:rPr>
      </w:pPr>
    </w:p>
    <w:p>
      <w:pPr>
        <w:pStyle w:val="BodyText"/>
        <w:spacing w:line="249" w:lineRule="auto"/>
        <w:ind w:left="416" w:right="156"/>
      </w:pPr>
      <w:r>
        <w:rPr/>
        <w:t>Led </w:t>
      </w:r>
      <w:r>
        <w:rPr>
          <w:spacing w:val="-2"/>
        </w:rPr>
        <w:t>the </w:t>
      </w:r>
      <w:r>
        <w:rPr>
          <w:spacing w:val="-3"/>
        </w:rPr>
        <w:t>CEO Working </w:t>
      </w:r>
      <w:r>
        <w:rPr/>
        <w:t>Group on </w:t>
      </w:r>
      <w:r>
        <w:rPr>
          <w:spacing w:val="-3"/>
        </w:rPr>
        <w:t>Public Sector</w:t>
      </w:r>
      <w:r>
        <w:rPr>
          <w:spacing w:val="-37"/>
        </w:rPr>
        <w:t> </w:t>
      </w:r>
      <w:r>
        <w:rPr/>
        <w:t>Efficiency</w:t>
      </w:r>
      <w:r>
        <w:rPr>
          <w:spacing w:val="-37"/>
        </w:rPr>
        <w:t> </w:t>
      </w:r>
      <w:r>
        <w:rPr/>
        <w:t>and</w:t>
      </w:r>
      <w:r>
        <w:rPr>
          <w:spacing w:val="-37"/>
        </w:rPr>
        <w:t> </w:t>
      </w:r>
      <w:r>
        <w:rPr>
          <w:spacing w:val="-3"/>
        </w:rPr>
        <w:t>developed</w:t>
      </w:r>
      <w:r>
        <w:rPr>
          <w:spacing w:val="-36"/>
        </w:rPr>
        <w:t> </w:t>
      </w:r>
      <w:r>
        <w:rPr/>
        <w:t>30</w:t>
      </w:r>
      <w:r>
        <w:rPr>
          <w:spacing w:val="-37"/>
        </w:rPr>
        <w:t> </w:t>
      </w:r>
      <w:r>
        <w:rPr/>
        <w:t>individual </w:t>
      </w:r>
      <w:r>
        <w:rPr>
          <w:spacing w:val="-3"/>
        </w:rPr>
        <w:t>recommendations </w:t>
      </w:r>
      <w:r>
        <w:rPr>
          <w:spacing w:val="-4"/>
        </w:rPr>
        <w:t>to </w:t>
      </w:r>
      <w:r>
        <w:rPr/>
        <w:t>reduce red tape and inefficiencies</w:t>
      </w:r>
      <w:r>
        <w:rPr>
          <w:spacing w:val="-39"/>
        </w:rPr>
        <w:t> </w:t>
      </w:r>
      <w:r>
        <w:rPr>
          <w:spacing w:val="-3"/>
        </w:rPr>
        <w:t>across</w:t>
      </w:r>
      <w:r>
        <w:rPr>
          <w:spacing w:val="-38"/>
        </w:rPr>
        <w:t> </w:t>
      </w:r>
      <w:r>
        <w:rPr>
          <w:spacing w:val="-2"/>
        </w:rPr>
        <w:t>the</w:t>
      </w:r>
      <w:r>
        <w:rPr>
          <w:spacing w:val="-38"/>
        </w:rPr>
        <w:t> </w:t>
      </w:r>
      <w:r>
        <w:rPr/>
        <w:t>public</w:t>
      </w:r>
      <w:r>
        <w:rPr>
          <w:spacing w:val="-38"/>
        </w:rPr>
        <w:t> </w:t>
      </w:r>
      <w:r>
        <w:rPr>
          <w:spacing w:val="-6"/>
        </w:rPr>
        <w:t>sector.</w:t>
      </w:r>
      <w:r>
        <w:rPr>
          <w:spacing w:val="-38"/>
        </w:rPr>
        <w:t> </w:t>
      </w:r>
      <w:r>
        <w:rPr/>
        <w:t>Further </w:t>
      </w:r>
      <w:r>
        <w:rPr>
          <w:spacing w:val="-3"/>
        </w:rPr>
        <w:t>details </w:t>
      </w:r>
      <w:r>
        <w:rPr/>
        <w:t>on page</w:t>
      </w:r>
      <w:r>
        <w:rPr>
          <w:spacing w:val="-16"/>
        </w:rPr>
        <w:t> </w:t>
      </w:r>
      <w:hyperlink w:history="true" w:anchor="_bookmark8">
        <w:r>
          <w:rPr>
            <w:color w:val="6F2770"/>
            <w:spacing w:val="-10"/>
            <w:u w:val="single" w:color="6F2770"/>
          </w:rPr>
          <w:t>14</w:t>
        </w:r>
      </w:hyperlink>
      <w:r>
        <w:rPr>
          <w:spacing w:val="-10"/>
        </w:rPr>
        <w:t>.</w:t>
      </w:r>
    </w:p>
    <w:p>
      <w:pPr>
        <w:pStyle w:val="BodyText"/>
        <w:spacing w:before="4"/>
        <w:rPr>
          <w:sz w:val="23"/>
        </w:rPr>
      </w:pPr>
    </w:p>
    <w:p>
      <w:pPr>
        <w:pStyle w:val="BodyText"/>
        <w:spacing w:line="249" w:lineRule="auto"/>
        <w:ind w:left="416"/>
      </w:pPr>
      <w:r>
        <w:rPr/>
        <w:t>Driven </w:t>
      </w:r>
      <w:r>
        <w:rPr>
          <w:spacing w:val="-2"/>
        </w:rPr>
        <w:t>the </w:t>
      </w:r>
      <w:r>
        <w:rPr>
          <w:spacing w:val="-3"/>
        </w:rPr>
        <w:t>migration of </w:t>
      </w:r>
      <w:r>
        <w:rPr>
          <w:spacing w:val="-2"/>
        </w:rPr>
        <w:t>the </w:t>
      </w:r>
      <w:r>
        <w:rPr>
          <w:spacing w:val="-3"/>
        </w:rPr>
        <w:t>Department’s Information </w:t>
      </w:r>
      <w:r>
        <w:rPr/>
        <w:t>and </w:t>
      </w:r>
      <w:r>
        <w:rPr>
          <w:spacing w:val="-3"/>
        </w:rPr>
        <w:t>Communications </w:t>
      </w:r>
      <w:r>
        <w:rPr>
          <w:spacing w:val="-4"/>
        </w:rPr>
        <w:t>Technology to </w:t>
      </w:r>
      <w:r>
        <w:rPr/>
        <w:t>on-demand </w:t>
      </w:r>
      <w:r>
        <w:rPr>
          <w:spacing w:val="-3"/>
        </w:rPr>
        <w:t>consumption </w:t>
      </w:r>
      <w:r>
        <w:rPr/>
        <w:t>based services, </w:t>
      </w:r>
      <w:r>
        <w:rPr>
          <w:spacing w:val="-3"/>
          <w:w w:val="95"/>
        </w:rPr>
        <w:t>realising </w:t>
      </w:r>
      <w:r>
        <w:rPr>
          <w:w w:val="95"/>
        </w:rPr>
        <w:t>cost </w:t>
      </w:r>
      <w:r>
        <w:rPr>
          <w:spacing w:val="-3"/>
          <w:w w:val="95"/>
        </w:rPr>
        <w:t>savings </w:t>
      </w:r>
      <w:r>
        <w:rPr>
          <w:w w:val="95"/>
        </w:rPr>
        <w:t>and </w:t>
      </w:r>
      <w:r>
        <w:rPr>
          <w:spacing w:val="-2"/>
          <w:w w:val="95"/>
        </w:rPr>
        <w:t>delivering </w:t>
      </w:r>
      <w:r>
        <w:rPr>
          <w:w w:val="95"/>
        </w:rPr>
        <w:t>efficiencies </w:t>
      </w:r>
      <w:r>
        <w:rPr>
          <w:spacing w:val="-4"/>
        </w:rPr>
        <w:t>to </w:t>
      </w:r>
      <w:r>
        <w:rPr/>
        <w:t>our </w:t>
      </w:r>
      <w:r>
        <w:rPr>
          <w:spacing w:val="-3"/>
        </w:rPr>
        <w:t>customers. </w:t>
      </w:r>
      <w:r>
        <w:rPr/>
        <w:t>See page </w:t>
      </w:r>
      <w:hyperlink w:history="true" w:anchor="_bookmark10">
        <w:r>
          <w:rPr>
            <w:color w:val="6F2770"/>
            <w:spacing w:val="-8"/>
            <w:u w:val="single" w:color="6F2770"/>
          </w:rPr>
          <w:t>18</w:t>
        </w:r>
      </w:hyperlink>
      <w:r>
        <w:rPr>
          <w:spacing w:val="-8"/>
        </w:rPr>
        <w:t>.</w:t>
      </w:r>
    </w:p>
    <w:p>
      <w:pPr>
        <w:pStyle w:val="BodyText"/>
        <w:spacing w:line="249" w:lineRule="auto" w:before="2"/>
        <w:ind w:left="501" w:right="705"/>
      </w:pPr>
      <w:r>
        <w:rPr/>
        <w:br w:type="column"/>
      </w:r>
      <w:r>
        <w:rPr>
          <w:spacing w:val="-3"/>
        </w:rPr>
        <w:t>management,</w:t>
      </w:r>
      <w:r>
        <w:rPr>
          <w:spacing w:val="-28"/>
        </w:rPr>
        <w:t> </w:t>
      </w:r>
      <w:r>
        <w:rPr>
          <w:spacing w:val="-4"/>
        </w:rPr>
        <w:t>procurement,</w:t>
      </w:r>
      <w:r>
        <w:rPr>
          <w:spacing w:val="-27"/>
        </w:rPr>
        <w:t> </w:t>
      </w:r>
      <w:r>
        <w:rPr>
          <w:spacing w:val="-3"/>
        </w:rPr>
        <w:t>contract</w:t>
      </w:r>
      <w:r>
        <w:rPr>
          <w:spacing w:val="-27"/>
        </w:rPr>
        <w:t> </w:t>
      </w:r>
      <w:r>
        <w:rPr>
          <w:spacing w:val="-3"/>
        </w:rPr>
        <w:t>management, business </w:t>
      </w:r>
      <w:r>
        <w:rPr>
          <w:spacing w:val="-4"/>
        </w:rPr>
        <w:t>improvement, revenue</w:t>
      </w:r>
      <w:r>
        <w:rPr>
          <w:spacing w:val="-26"/>
        </w:rPr>
        <w:t> </w:t>
      </w:r>
      <w:r>
        <w:rPr>
          <w:spacing w:val="-3"/>
        </w:rPr>
        <w:t>collection</w:t>
      </w:r>
    </w:p>
    <w:p>
      <w:pPr>
        <w:pStyle w:val="BodyText"/>
        <w:spacing w:line="249" w:lineRule="auto" w:before="2"/>
        <w:ind w:left="501" w:right="1261"/>
      </w:pPr>
      <w:r>
        <w:rPr/>
        <w:t>and</w:t>
      </w:r>
      <w:r>
        <w:rPr>
          <w:spacing w:val="-26"/>
        </w:rPr>
        <w:t> </w:t>
      </w:r>
      <w:r>
        <w:rPr>
          <w:spacing w:val="-3"/>
        </w:rPr>
        <w:t>policy</w:t>
      </w:r>
      <w:r>
        <w:rPr>
          <w:spacing w:val="-25"/>
        </w:rPr>
        <w:t> </w:t>
      </w:r>
      <w:r>
        <w:rPr>
          <w:spacing w:val="-4"/>
        </w:rPr>
        <w:t>reform.</w:t>
      </w:r>
      <w:r>
        <w:rPr>
          <w:spacing w:val="-26"/>
        </w:rPr>
        <w:t> </w:t>
      </w:r>
      <w:r>
        <w:rPr/>
        <w:t>The</w:t>
      </w:r>
      <w:r>
        <w:rPr>
          <w:spacing w:val="-25"/>
        </w:rPr>
        <w:t> </w:t>
      </w:r>
      <w:r>
        <w:rPr>
          <w:spacing w:val="-3"/>
        </w:rPr>
        <w:t>2017-18</w:t>
      </w:r>
      <w:r>
        <w:rPr>
          <w:spacing w:val="-26"/>
        </w:rPr>
        <w:t> </w:t>
      </w:r>
      <w:r>
        <w:rPr>
          <w:spacing w:val="-3"/>
        </w:rPr>
        <w:t>financial</w:t>
      </w:r>
      <w:r>
        <w:rPr>
          <w:spacing w:val="-25"/>
        </w:rPr>
        <w:t> </w:t>
      </w:r>
      <w:r>
        <w:rPr>
          <w:spacing w:val="-3"/>
        </w:rPr>
        <w:t>year </w:t>
      </w:r>
      <w:r>
        <w:rPr/>
        <w:t>has </w:t>
      </w:r>
      <w:r>
        <w:rPr>
          <w:spacing w:val="-3"/>
        </w:rPr>
        <w:t>been </w:t>
      </w:r>
      <w:r>
        <w:rPr/>
        <w:t>no </w:t>
      </w:r>
      <w:r>
        <w:rPr>
          <w:spacing w:val="-4"/>
        </w:rPr>
        <w:t>different. </w:t>
      </w:r>
      <w:r>
        <w:rPr>
          <w:spacing w:val="-3"/>
        </w:rPr>
        <w:t>Finance continues to </w:t>
      </w:r>
      <w:r>
        <w:rPr/>
        <w:t>be</w:t>
      </w:r>
      <w:r>
        <w:rPr>
          <w:spacing w:val="-14"/>
        </w:rPr>
        <w:t> </w:t>
      </w:r>
      <w:r>
        <w:rPr/>
        <w:t>at</w:t>
      </w:r>
      <w:r>
        <w:rPr>
          <w:spacing w:val="-14"/>
        </w:rPr>
        <w:t> </w:t>
      </w:r>
      <w:r>
        <w:rPr/>
        <w:t>the</w:t>
      </w:r>
      <w:r>
        <w:rPr>
          <w:spacing w:val="-14"/>
        </w:rPr>
        <w:t> </w:t>
      </w:r>
      <w:r>
        <w:rPr>
          <w:spacing w:val="-4"/>
        </w:rPr>
        <w:t>forefront</w:t>
      </w:r>
      <w:r>
        <w:rPr>
          <w:spacing w:val="-14"/>
        </w:rPr>
        <w:t> </w:t>
      </w:r>
      <w:r>
        <w:rPr/>
        <w:t>of</w:t>
      </w:r>
      <w:r>
        <w:rPr>
          <w:spacing w:val="-14"/>
        </w:rPr>
        <w:t> </w:t>
      </w:r>
      <w:r>
        <w:rPr/>
        <w:t>the</w:t>
      </w:r>
      <w:r>
        <w:rPr>
          <w:spacing w:val="-13"/>
        </w:rPr>
        <w:t> </w:t>
      </w:r>
      <w:r>
        <w:rPr>
          <w:spacing w:val="-3"/>
        </w:rPr>
        <w:t>development</w:t>
      </w:r>
      <w:r>
        <w:rPr>
          <w:spacing w:val="-14"/>
        </w:rPr>
        <w:t> </w:t>
      </w:r>
      <w:r>
        <w:rPr>
          <w:spacing w:val="-3"/>
        </w:rPr>
        <w:t>and</w:t>
      </w:r>
    </w:p>
    <w:p>
      <w:pPr>
        <w:pStyle w:val="BodyText"/>
        <w:spacing w:line="249" w:lineRule="auto" w:before="3"/>
        <w:ind w:left="501" w:right="1013"/>
      </w:pPr>
      <w:r>
        <w:rPr>
          <w:spacing w:val="-3"/>
        </w:rPr>
        <w:t>implementation </w:t>
      </w:r>
      <w:r>
        <w:rPr/>
        <w:t>of </w:t>
      </w:r>
      <w:r>
        <w:rPr>
          <w:spacing w:val="-3"/>
        </w:rPr>
        <w:t>whole-of-government policy </w:t>
      </w:r>
      <w:r>
        <w:rPr>
          <w:spacing w:val="-4"/>
        </w:rPr>
        <w:t>reform.</w:t>
      </w:r>
      <w:r>
        <w:rPr>
          <w:spacing w:val="-24"/>
        </w:rPr>
        <w:t> </w:t>
      </w:r>
      <w:r>
        <w:rPr/>
        <w:t>The</w:t>
      </w:r>
      <w:r>
        <w:rPr>
          <w:spacing w:val="-23"/>
        </w:rPr>
        <w:t> </w:t>
      </w:r>
      <w:r>
        <w:rPr>
          <w:spacing w:val="-3"/>
        </w:rPr>
        <w:t>Department</w:t>
      </w:r>
      <w:r>
        <w:rPr>
          <w:spacing w:val="-23"/>
        </w:rPr>
        <w:t> </w:t>
      </w:r>
      <w:r>
        <w:rPr>
          <w:spacing w:val="-3"/>
        </w:rPr>
        <w:t>played</w:t>
      </w:r>
      <w:r>
        <w:rPr>
          <w:spacing w:val="-23"/>
        </w:rPr>
        <w:t> </w:t>
      </w:r>
      <w:r>
        <w:rPr/>
        <w:t>the</w:t>
      </w:r>
      <w:r>
        <w:rPr>
          <w:spacing w:val="-23"/>
        </w:rPr>
        <w:t> </w:t>
      </w:r>
      <w:r>
        <w:rPr>
          <w:spacing w:val="-4"/>
        </w:rPr>
        <w:t>role</w:t>
      </w:r>
      <w:r>
        <w:rPr>
          <w:spacing w:val="-24"/>
        </w:rPr>
        <w:t> </w:t>
      </w:r>
      <w:r>
        <w:rPr/>
        <w:t>of</w:t>
      </w:r>
      <w:r>
        <w:rPr>
          <w:spacing w:val="-23"/>
        </w:rPr>
        <w:t> </w:t>
      </w:r>
      <w:r>
        <w:rPr>
          <w:spacing w:val="-3"/>
        </w:rPr>
        <w:t>‘Public Sector Lead’ </w:t>
      </w:r>
      <w:r>
        <w:rPr/>
        <w:t>in the </w:t>
      </w:r>
      <w:r>
        <w:rPr>
          <w:spacing w:val="-3"/>
        </w:rPr>
        <w:t>State </w:t>
      </w:r>
      <w:r>
        <w:rPr>
          <w:spacing w:val="-5"/>
        </w:rPr>
        <w:t>Government’s </w:t>
      </w:r>
      <w:r>
        <w:rPr>
          <w:spacing w:val="-3"/>
        </w:rPr>
        <w:t>Special Inquiry into Government </w:t>
      </w:r>
      <w:r>
        <w:rPr>
          <w:spacing w:val="-4"/>
        </w:rPr>
        <w:t>Programs </w:t>
      </w:r>
      <w:r>
        <w:rPr/>
        <w:t>and </w:t>
      </w:r>
      <w:r>
        <w:rPr>
          <w:spacing w:val="-4"/>
        </w:rPr>
        <w:t>Projects </w:t>
      </w:r>
      <w:r>
        <w:rPr>
          <w:spacing w:val="-3"/>
        </w:rPr>
        <w:t>with </w:t>
      </w:r>
      <w:r>
        <w:rPr/>
        <w:t>the </w:t>
      </w:r>
      <w:r>
        <w:rPr>
          <w:spacing w:val="-3"/>
        </w:rPr>
        <w:t>secondment </w:t>
      </w:r>
      <w:r>
        <w:rPr/>
        <w:t>of six </w:t>
      </w:r>
      <w:r>
        <w:rPr>
          <w:spacing w:val="-4"/>
        </w:rPr>
        <w:t>staff </w:t>
      </w:r>
      <w:r>
        <w:rPr>
          <w:spacing w:val="-3"/>
        </w:rPr>
        <w:t>members </w:t>
      </w:r>
      <w:r>
        <w:rPr/>
        <w:t>to </w:t>
      </w:r>
      <w:r>
        <w:rPr>
          <w:spacing w:val="-3"/>
        </w:rPr>
        <w:t>the </w:t>
      </w:r>
      <w:r>
        <w:rPr>
          <w:spacing w:val="-4"/>
        </w:rPr>
        <w:t>project</w:t>
      </w:r>
      <w:r>
        <w:rPr>
          <w:spacing w:val="-19"/>
        </w:rPr>
        <w:t> </w:t>
      </w:r>
      <w:r>
        <w:rPr>
          <w:spacing w:val="-3"/>
        </w:rPr>
        <w:t>team.</w:t>
      </w:r>
      <w:r>
        <w:rPr>
          <w:spacing w:val="-19"/>
        </w:rPr>
        <w:t> </w:t>
      </w:r>
      <w:r>
        <w:rPr/>
        <w:t>In</w:t>
      </w:r>
      <w:r>
        <w:rPr>
          <w:spacing w:val="-19"/>
        </w:rPr>
        <w:t> </w:t>
      </w:r>
      <w:r>
        <w:rPr>
          <w:spacing w:val="-3"/>
        </w:rPr>
        <w:t>addition,</w:t>
      </w:r>
      <w:r>
        <w:rPr>
          <w:spacing w:val="-18"/>
        </w:rPr>
        <w:t> </w:t>
      </w:r>
      <w:r>
        <w:rPr/>
        <w:t>it</w:t>
      </w:r>
      <w:r>
        <w:rPr>
          <w:spacing w:val="-19"/>
        </w:rPr>
        <w:t> </w:t>
      </w:r>
      <w:r>
        <w:rPr/>
        <w:t>led</w:t>
      </w:r>
      <w:r>
        <w:rPr>
          <w:spacing w:val="-19"/>
        </w:rPr>
        <w:t> </w:t>
      </w:r>
      <w:r>
        <w:rPr/>
        <w:t>the</w:t>
      </w:r>
      <w:r>
        <w:rPr>
          <w:spacing w:val="-19"/>
        </w:rPr>
        <w:t> </w:t>
      </w:r>
      <w:r>
        <w:rPr/>
        <w:t>CEO</w:t>
      </w:r>
      <w:r>
        <w:rPr>
          <w:spacing w:val="-18"/>
        </w:rPr>
        <w:t> </w:t>
      </w:r>
      <w:r>
        <w:rPr>
          <w:spacing w:val="-4"/>
        </w:rPr>
        <w:t>Working Group</w:t>
      </w:r>
      <w:r>
        <w:rPr>
          <w:spacing w:val="-12"/>
        </w:rPr>
        <w:t> </w:t>
      </w:r>
      <w:r>
        <w:rPr/>
        <w:t>on</w:t>
      </w:r>
      <w:r>
        <w:rPr>
          <w:spacing w:val="-11"/>
        </w:rPr>
        <w:t> </w:t>
      </w:r>
      <w:r>
        <w:rPr>
          <w:spacing w:val="-3"/>
        </w:rPr>
        <w:t>Public</w:t>
      </w:r>
      <w:r>
        <w:rPr>
          <w:spacing w:val="-11"/>
        </w:rPr>
        <w:t> </w:t>
      </w:r>
      <w:r>
        <w:rPr>
          <w:spacing w:val="-3"/>
        </w:rPr>
        <w:t>Sector</w:t>
      </w:r>
      <w:r>
        <w:rPr>
          <w:spacing w:val="-12"/>
        </w:rPr>
        <w:t> </w:t>
      </w:r>
      <w:r>
        <w:rPr>
          <w:spacing w:val="-4"/>
        </w:rPr>
        <w:t>Efficiency</w:t>
      </w:r>
      <w:r>
        <w:rPr>
          <w:spacing w:val="-11"/>
        </w:rPr>
        <w:t> </w:t>
      </w:r>
      <w:r>
        <w:rPr/>
        <w:t>to</w:t>
      </w:r>
      <w:r>
        <w:rPr>
          <w:spacing w:val="-11"/>
        </w:rPr>
        <w:t> </w:t>
      </w:r>
      <w:r>
        <w:rPr>
          <w:spacing w:val="-4"/>
        </w:rPr>
        <w:t>reduce</w:t>
      </w:r>
    </w:p>
    <w:p>
      <w:pPr>
        <w:pStyle w:val="BodyText"/>
        <w:spacing w:line="249" w:lineRule="auto" w:before="6"/>
        <w:ind w:left="501" w:right="1095"/>
      </w:pPr>
      <w:r>
        <w:rPr>
          <w:spacing w:val="-4"/>
        </w:rPr>
        <w:t>red </w:t>
      </w:r>
      <w:r>
        <w:rPr>
          <w:spacing w:val="-3"/>
        </w:rPr>
        <w:t>tape, </w:t>
      </w:r>
      <w:r>
        <w:rPr>
          <w:spacing w:val="-4"/>
        </w:rPr>
        <w:t>provide more </w:t>
      </w:r>
      <w:r>
        <w:rPr>
          <w:spacing w:val="-3"/>
        </w:rPr>
        <w:t>jobs </w:t>
      </w:r>
      <w:r>
        <w:rPr/>
        <w:t>and </w:t>
      </w:r>
      <w:r>
        <w:rPr>
          <w:spacing w:val="-3"/>
        </w:rPr>
        <w:t>investment opportunities</w:t>
      </w:r>
      <w:r>
        <w:rPr>
          <w:spacing w:val="-36"/>
        </w:rPr>
        <w:t> </w:t>
      </w:r>
      <w:r>
        <w:rPr/>
        <w:t>in</w:t>
      </w:r>
      <w:r>
        <w:rPr>
          <w:spacing w:val="-35"/>
        </w:rPr>
        <w:t> </w:t>
      </w:r>
      <w:r>
        <w:rPr>
          <w:spacing w:val="-3"/>
        </w:rPr>
        <w:t>Western</w:t>
      </w:r>
      <w:r>
        <w:rPr>
          <w:spacing w:val="-35"/>
        </w:rPr>
        <w:t> </w:t>
      </w:r>
      <w:r>
        <w:rPr>
          <w:spacing w:val="-3"/>
        </w:rPr>
        <w:t>Australia,</w:t>
      </w:r>
      <w:r>
        <w:rPr>
          <w:spacing w:val="-36"/>
        </w:rPr>
        <w:t> </w:t>
      </w:r>
      <w:r>
        <w:rPr/>
        <w:t>and</w:t>
      </w:r>
      <w:r>
        <w:rPr>
          <w:spacing w:val="-35"/>
        </w:rPr>
        <w:t> </w:t>
      </w:r>
      <w:r>
        <w:rPr>
          <w:spacing w:val="-3"/>
        </w:rPr>
        <w:t>ultimately deliver better value </w:t>
      </w:r>
      <w:r>
        <w:rPr/>
        <w:t>to the</w:t>
      </w:r>
      <w:r>
        <w:rPr>
          <w:spacing w:val="-38"/>
        </w:rPr>
        <w:t> </w:t>
      </w:r>
      <w:r>
        <w:rPr>
          <w:spacing w:val="-5"/>
        </w:rPr>
        <w:t>taxpayer.</w:t>
      </w:r>
    </w:p>
    <w:p>
      <w:pPr>
        <w:pStyle w:val="BodyText"/>
        <w:spacing w:before="2"/>
        <w:rPr>
          <w:sz w:val="23"/>
        </w:rPr>
      </w:pPr>
    </w:p>
    <w:p>
      <w:pPr>
        <w:pStyle w:val="BodyText"/>
        <w:spacing w:line="249" w:lineRule="auto"/>
        <w:ind w:left="501" w:right="705"/>
      </w:pPr>
      <w:r>
        <w:rPr/>
        <w:t>The </w:t>
      </w:r>
      <w:r>
        <w:rPr>
          <w:spacing w:val="-3"/>
        </w:rPr>
        <w:t>transition </w:t>
      </w:r>
      <w:r>
        <w:rPr/>
        <w:t>of </w:t>
      </w:r>
      <w:r>
        <w:rPr>
          <w:b/>
          <w:spacing w:val="-3"/>
        </w:rPr>
        <w:t>Strategic </w:t>
      </w:r>
      <w:r>
        <w:rPr>
          <w:b/>
          <w:spacing w:val="-4"/>
        </w:rPr>
        <w:t>Projects </w:t>
      </w:r>
      <w:r>
        <w:rPr/>
        <w:t>to </w:t>
      </w:r>
      <w:r>
        <w:rPr>
          <w:spacing w:val="-3"/>
        </w:rPr>
        <w:t>Finance </w:t>
      </w:r>
      <w:r>
        <w:rPr>
          <w:spacing w:val="-4"/>
        </w:rPr>
        <w:t>from </w:t>
      </w:r>
      <w:r>
        <w:rPr/>
        <w:t>the </w:t>
      </w:r>
      <w:r>
        <w:rPr>
          <w:spacing w:val="-3"/>
        </w:rPr>
        <w:t>Department </w:t>
      </w:r>
      <w:r>
        <w:rPr/>
        <w:t>of </w:t>
      </w:r>
      <w:r>
        <w:rPr>
          <w:spacing w:val="-6"/>
        </w:rPr>
        <w:t>Treasury </w:t>
      </w:r>
      <w:r>
        <w:rPr>
          <w:spacing w:val="-3"/>
        </w:rPr>
        <w:t>this year consolidates</w:t>
      </w:r>
      <w:r>
        <w:rPr>
          <w:spacing w:val="-26"/>
        </w:rPr>
        <w:t> </w:t>
      </w:r>
      <w:r>
        <w:rPr/>
        <w:t>the</w:t>
      </w:r>
      <w:r>
        <w:rPr>
          <w:spacing w:val="-25"/>
        </w:rPr>
        <w:t> </w:t>
      </w:r>
      <w:r>
        <w:rPr>
          <w:spacing w:val="-5"/>
        </w:rPr>
        <w:t>Department’s</w:t>
      </w:r>
      <w:r>
        <w:rPr>
          <w:spacing w:val="-25"/>
        </w:rPr>
        <w:t> </w:t>
      </w:r>
      <w:r>
        <w:rPr>
          <w:spacing w:val="-4"/>
        </w:rPr>
        <w:t>project</w:t>
      </w:r>
      <w:r>
        <w:rPr>
          <w:spacing w:val="-26"/>
        </w:rPr>
        <w:t> </w:t>
      </w:r>
      <w:r>
        <w:rPr>
          <w:spacing w:val="-3"/>
        </w:rPr>
        <w:t>management expertise and, coupled with Building Management </w:t>
      </w:r>
      <w:r>
        <w:rPr/>
        <w:t>and</w:t>
      </w:r>
      <w:r>
        <w:rPr>
          <w:spacing w:val="-26"/>
        </w:rPr>
        <w:t> </w:t>
      </w:r>
      <w:r>
        <w:rPr>
          <w:spacing w:val="-4"/>
        </w:rPr>
        <w:t>Works,</w:t>
      </w:r>
      <w:r>
        <w:rPr>
          <w:spacing w:val="-26"/>
        </w:rPr>
        <w:t> </w:t>
      </w:r>
      <w:r>
        <w:rPr>
          <w:spacing w:val="-4"/>
        </w:rPr>
        <w:t>offers</w:t>
      </w:r>
      <w:r>
        <w:rPr>
          <w:spacing w:val="-25"/>
        </w:rPr>
        <w:t> </w:t>
      </w:r>
      <w:r>
        <w:rPr>
          <w:spacing w:val="-4"/>
        </w:rPr>
        <w:t>more</w:t>
      </w:r>
      <w:r>
        <w:rPr>
          <w:spacing w:val="-26"/>
        </w:rPr>
        <w:t> </w:t>
      </w:r>
      <w:r>
        <w:rPr>
          <w:spacing w:val="-4"/>
        </w:rPr>
        <w:t>efficient</w:t>
      </w:r>
      <w:r>
        <w:rPr>
          <w:spacing w:val="-25"/>
        </w:rPr>
        <w:t> </w:t>
      </w:r>
      <w:r>
        <w:rPr/>
        <w:t>and</w:t>
      </w:r>
      <w:r>
        <w:rPr>
          <w:spacing w:val="-26"/>
        </w:rPr>
        <w:t> </w:t>
      </w:r>
      <w:r>
        <w:rPr>
          <w:spacing w:val="-4"/>
        </w:rPr>
        <w:t>comprehensive </w:t>
      </w:r>
      <w:r>
        <w:rPr>
          <w:spacing w:val="-3"/>
        </w:rPr>
        <w:t>service delivery </w:t>
      </w:r>
      <w:r>
        <w:rPr>
          <w:spacing w:val="-4"/>
        </w:rPr>
        <w:t>across</w:t>
      </w:r>
      <w:r>
        <w:rPr>
          <w:spacing w:val="-21"/>
        </w:rPr>
        <w:t> </w:t>
      </w:r>
      <w:r>
        <w:rPr>
          <w:spacing w:val="-3"/>
        </w:rPr>
        <w:t>government.</w:t>
      </w:r>
    </w:p>
    <w:p>
      <w:pPr>
        <w:spacing w:after="0" w:line="249" w:lineRule="auto"/>
        <w:sectPr>
          <w:type w:val="continuous"/>
          <w:pgSz w:w="16840" w:h="11910" w:orient="landscape"/>
          <w:pgMar w:top="1100" w:bottom="280" w:left="0" w:right="0"/>
          <w:cols w:num="3" w:equalWidth="0">
            <w:col w:w="5874" w:space="40"/>
            <w:col w:w="4799" w:space="39"/>
            <w:col w:w="6088"/>
          </w:cols>
        </w:sectPr>
      </w:pPr>
    </w:p>
    <w:p>
      <w:pPr>
        <w:pStyle w:val="BodyText"/>
        <w:spacing w:before="11"/>
        <w:rPr>
          <w:sz w:val="10"/>
        </w:rPr>
      </w:pPr>
    </w:p>
    <w:p>
      <w:pPr>
        <w:pStyle w:val="BodyText"/>
        <w:rPr>
          <w:sz w:val="20"/>
        </w:rPr>
      </w:pPr>
      <w:r>
        <w:rPr>
          <w:sz w:val="20"/>
        </w:rPr>
        <w:pict>
          <v:group style="width:24.1pt;height:41.55pt;mso-position-horizontal-relative:char;mso-position-vertical-relative:line" coordorigin="0,0" coordsize="482,831">
            <v:shape style="position:absolute;left:0;top:0;width:482;height:831" coordorigin="0,0" coordsize="482,831" path="m66,0l49,0,33,2,16,3,0,6,0,825,16,827,33,829,49,830,66,830,140,824,211,804,275,774,333,733,383,683,424,625,455,560,474,490,481,415,474,341,455,270,424,206,383,148,333,98,275,57,211,26,140,7,66,0xe" filled="true" fillcolor="#aebd37" stroked="false">
              <v:path arrowok="t"/>
              <v:fill opacity="13107f" type="solid"/>
            </v:shape>
            <v:shape style="position:absolute;left:174;top:329;width:93;height:171" coordorigin="174,329" coordsize="93,171" path="m256,329l248,329,182,395,176,404,174,414,174,416,176,426,182,436,245,499,249,500,256,500,259,499,267,491,267,483,200,416,200,414,267,348,267,339,256,329xe" filled="true" fillcolor="#000000" stroked="false">
              <v:path arrowok="t"/>
              <v:fill type="solid"/>
            </v:shape>
          </v:group>
        </w:pict>
      </w:r>
      <w:r>
        <w:rPr>
          <w:sz w:val="20"/>
        </w:rPr>
      </w:r>
    </w:p>
    <w:p>
      <w:pPr>
        <w:spacing w:after="0"/>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after="0"/>
        <w:rPr>
          <w:sz w:val="19"/>
        </w:rPr>
        <w:sectPr>
          <w:footerReference w:type="default" r:id="rId19"/>
          <w:pgSz w:w="16840" w:h="11910" w:orient="landscape"/>
          <w:pgMar w:footer="484" w:header="0" w:top="0" w:bottom="680" w:left="0" w:right="0"/>
        </w:sectPr>
      </w:pPr>
    </w:p>
    <w:p>
      <w:pPr>
        <w:pStyle w:val="BodyText"/>
        <w:spacing w:line="249" w:lineRule="auto" w:before="108"/>
        <w:ind w:left="765" w:right="-5"/>
      </w:pPr>
      <w:r>
        <w:rPr/>
        <w:pict>
          <v:shape style="position:absolute;margin-left:360.811798pt;margin-top:-101.270317pt;width:120.3pt;height:42.55pt;mso-position-horizontal-relative:page;mso-position-vertical-relative:paragraph;z-index:2248"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101.270317pt;width:120.3pt;height:42.55pt;mso-position-horizontal-relative:page;mso-position-vertical-relative:paragraph;z-index:2272" type="#_x0000_t202" filled="true" fillcolor="#d4d896"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t>Strategic Projects’ expertise was evident through the</w:t>
      </w:r>
      <w:r>
        <w:rPr>
          <w:spacing w:val="-29"/>
        </w:rPr>
        <w:t> </w:t>
      </w:r>
      <w:r>
        <w:rPr/>
        <w:t>delivery</w:t>
      </w:r>
      <w:r>
        <w:rPr>
          <w:spacing w:val="-28"/>
        </w:rPr>
        <w:t> </w:t>
      </w:r>
      <w:r>
        <w:rPr/>
        <w:t>of</w:t>
      </w:r>
      <w:r>
        <w:rPr>
          <w:spacing w:val="-28"/>
        </w:rPr>
        <w:t> </w:t>
      </w:r>
      <w:r>
        <w:rPr/>
        <w:t>several</w:t>
      </w:r>
      <w:r>
        <w:rPr>
          <w:spacing w:val="-29"/>
        </w:rPr>
        <w:t> </w:t>
      </w:r>
      <w:r>
        <w:rPr/>
        <w:t>major</w:t>
      </w:r>
      <w:r>
        <w:rPr>
          <w:spacing w:val="-28"/>
        </w:rPr>
        <w:t> </w:t>
      </w:r>
      <w:r>
        <w:rPr/>
        <w:t>infrastructure</w:t>
      </w:r>
      <w:r>
        <w:rPr>
          <w:spacing w:val="-28"/>
        </w:rPr>
        <w:t> </w:t>
      </w:r>
      <w:r>
        <w:rPr/>
        <w:t>projects this </w:t>
      </w:r>
      <w:r>
        <w:rPr>
          <w:spacing w:val="-4"/>
        </w:rPr>
        <w:t>year. </w:t>
      </w:r>
      <w:r>
        <w:rPr/>
        <w:t>This includes the circa </w:t>
      </w:r>
      <w:r>
        <w:rPr>
          <w:spacing w:val="-4"/>
        </w:rPr>
        <w:t>$1 </w:t>
      </w:r>
      <w:r>
        <w:rPr/>
        <w:t>billion Optus Stadium</w:t>
      </w:r>
      <w:r>
        <w:rPr>
          <w:spacing w:val="-14"/>
        </w:rPr>
        <w:t> </w:t>
      </w:r>
      <w:r>
        <w:rPr/>
        <w:t>project,</w:t>
      </w:r>
      <w:r>
        <w:rPr>
          <w:spacing w:val="-14"/>
        </w:rPr>
        <w:t> </w:t>
      </w:r>
      <w:r>
        <w:rPr/>
        <w:t>which</w:t>
      </w:r>
      <w:r>
        <w:rPr>
          <w:spacing w:val="-14"/>
        </w:rPr>
        <w:t> </w:t>
      </w:r>
      <w:r>
        <w:rPr/>
        <w:t>opened</w:t>
      </w:r>
      <w:r>
        <w:rPr>
          <w:spacing w:val="-14"/>
        </w:rPr>
        <w:t> </w:t>
      </w:r>
      <w:r>
        <w:rPr/>
        <w:t>two</w:t>
      </w:r>
      <w:r>
        <w:rPr>
          <w:spacing w:val="-14"/>
        </w:rPr>
        <w:t> </w:t>
      </w:r>
      <w:r>
        <w:rPr/>
        <w:t>months</w:t>
      </w:r>
      <w:r>
        <w:rPr>
          <w:spacing w:val="-14"/>
        </w:rPr>
        <w:t> </w:t>
      </w:r>
      <w:r>
        <w:rPr/>
        <w:t>ahead of its target </w:t>
      </w:r>
      <w:r>
        <w:rPr>
          <w:spacing w:val="-3"/>
        </w:rPr>
        <w:t>date, </w:t>
      </w:r>
      <w:r>
        <w:rPr/>
        <w:t>received the Institute of Public Administration </w:t>
      </w:r>
      <w:r>
        <w:rPr>
          <w:spacing w:val="-5"/>
        </w:rPr>
        <w:t>WA </w:t>
      </w:r>
      <w:r>
        <w:rPr/>
        <w:t>Award for Cross-Government Collaboration, and was recently voted best stadium</w:t>
      </w:r>
      <w:r>
        <w:rPr>
          <w:spacing w:val="-29"/>
        </w:rPr>
        <w:t> </w:t>
      </w:r>
      <w:r>
        <w:rPr/>
        <w:t>in</w:t>
      </w:r>
      <w:r>
        <w:rPr>
          <w:spacing w:val="-28"/>
        </w:rPr>
        <w:t> </w:t>
      </w:r>
      <w:r>
        <w:rPr/>
        <w:t>Australia</w:t>
      </w:r>
      <w:r>
        <w:rPr>
          <w:spacing w:val="-28"/>
        </w:rPr>
        <w:t> </w:t>
      </w:r>
      <w:r>
        <w:rPr/>
        <w:t>by</w:t>
      </w:r>
      <w:r>
        <w:rPr>
          <w:spacing w:val="-28"/>
        </w:rPr>
        <w:t> </w:t>
      </w:r>
      <w:r>
        <w:rPr/>
        <w:t>Australian</w:t>
      </w:r>
      <w:r>
        <w:rPr>
          <w:spacing w:val="-28"/>
        </w:rPr>
        <w:t> </w:t>
      </w:r>
      <w:r>
        <w:rPr/>
        <w:t>Football</w:t>
      </w:r>
      <w:r>
        <w:rPr>
          <w:spacing w:val="-28"/>
        </w:rPr>
        <w:t> </w:t>
      </w:r>
      <w:r>
        <w:rPr/>
        <w:t>League fans.</w:t>
      </w:r>
    </w:p>
    <w:p>
      <w:pPr>
        <w:pStyle w:val="BodyText"/>
        <w:spacing w:before="8"/>
        <w:rPr>
          <w:sz w:val="23"/>
        </w:rPr>
      </w:pPr>
    </w:p>
    <w:p>
      <w:pPr>
        <w:pStyle w:val="BodyText"/>
        <w:spacing w:line="249" w:lineRule="auto"/>
        <w:ind w:left="765" w:right="208"/>
      </w:pPr>
      <w:r>
        <w:rPr>
          <w:b/>
        </w:rPr>
        <w:t>Building Management and Works </w:t>
      </w:r>
      <w:r>
        <w:rPr/>
        <w:t>continued </w:t>
      </w:r>
      <w:r>
        <w:rPr>
          <w:spacing w:val="-3"/>
        </w:rPr>
        <w:t>to</w:t>
      </w:r>
      <w:r>
        <w:rPr>
          <w:spacing w:val="-27"/>
        </w:rPr>
        <w:t> </w:t>
      </w:r>
      <w:r>
        <w:rPr/>
        <w:t>collaborate</w:t>
      </w:r>
      <w:r>
        <w:rPr>
          <w:spacing w:val="-26"/>
        </w:rPr>
        <w:t> </w:t>
      </w:r>
      <w:r>
        <w:rPr/>
        <w:t>with</w:t>
      </w:r>
      <w:r>
        <w:rPr>
          <w:spacing w:val="-27"/>
        </w:rPr>
        <w:t> </w:t>
      </w:r>
      <w:r>
        <w:rPr/>
        <w:t>agencies</w:t>
      </w:r>
      <w:r>
        <w:rPr>
          <w:spacing w:val="-26"/>
        </w:rPr>
        <w:t> </w:t>
      </w:r>
      <w:r>
        <w:rPr/>
        <w:t>across</w:t>
      </w:r>
      <w:r>
        <w:rPr>
          <w:spacing w:val="-26"/>
        </w:rPr>
        <w:t> </w:t>
      </w:r>
      <w:r>
        <w:rPr/>
        <w:t>government, particularly the Departments of Health and Education, in the delivery of a community infrastructure</w:t>
      </w:r>
      <w:r>
        <w:rPr>
          <w:spacing w:val="-15"/>
        </w:rPr>
        <w:t> </w:t>
      </w:r>
      <w:r>
        <w:rPr/>
        <w:t>works</w:t>
      </w:r>
      <w:r>
        <w:rPr>
          <w:spacing w:val="-15"/>
        </w:rPr>
        <w:t> </w:t>
      </w:r>
      <w:r>
        <w:rPr/>
        <w:t>program</w:t>
      </w:r>
      <w:r>
        <w:rPr>
          <w:spacing w:val="-15"/>
        </w:rPr>
        <w:t> </w:t>
      </w:r>
      <w:r>
        <w:rPr/>
        <w:t>valued</w:t>
      </w:r>
      <w:r>
        <w:rPr>
          <w:spacing w:val="-14"/>
        </w:rPr>
        <w:t> </w:t>
      </w:r>
      <w:r>
        <w:rPr/>
        <w:t>at</w:t>
      </w:r>
      <w:r>
        <w:rPr>
          <w:spacing w:val="-15"/>
        </w:rPr>
        <w:t> </w:t>
      </w:r>
      <w:r>
        <w:rPr/>
        <w:t>almost</w:t>
      </w:r>
    </w:p>
    <w:p>
      <w:pPr>
        <w:pStyle w:val="BodyText"/>
        <w:spacing w:line="249" w:lineRule="auto" w:before="108"/>
        <w:ind w:left="405" w:right="-10"/>
      </w:pPr>
      <w:r>
        <w:rPr/>
        <w:br w:type="column"/>
      </w:r>
      <w:r>
        <w:rPr/>
        <w:t>$500 million. The business unit has also commenced implementation of the five-year Government Office Accommodation Reform Program,</w:t>
      </w:r>
      <w:r>
        <w:rPr>
          <w:spacing w:val="-25"/>
        </w:rPr>
        <w:t> </w:t>
      </w:r>
      <w:r>
        <w:rPr/>
        <w:t>and</w:t>
      </w:r>
      <w:r>
        <w:rPr>
          <w:spacing w:val="-24"/>
        </w:rPr>
        <w:t> </w:t>
      </w:r>
      <w:r>
        <w:rPr/>
        <w:t>exceeded</w:t>
      </w:r>
      <w:r>
        <w:rPr>
          <w:spacing w:val="-25"/>
        </w:rPr>
        <w:t> </w:t>
      </w:r>
      <w:r>
        <w:rPr/>
        <w:t>the</w:t>
      </w:r>
      <w:r>
        <w:rPr>
          <w:spacing w:val="-24"/>
        </w:rPr>
        <w:t> </w:t>
      </w:r>
      <w:r>
        <w:rPr/>
        <w:t>targeted</w:t>
      </w:r>
      <w:r>
        <w:rPr>
          <w:spacing w:val="-25"/>
        </w:rPr>
        <w:t> </w:t>
      </w:r>
      <w:r>
        <w:rPr/>
        <w:t>savings</w:t>
      </w:r>
      <w:r>
        <w:rPr>
          <w:spacing w:val="-24"/>
        </w:rPr>
        <w:t> </w:t>
      </w:r>
      <w:r>
        <w:rPr/>
        <w:t>for the </w:t>
      </w:r>
      <w:r>
        <w:rPr>
          <w:spacing w:val="-14"/>
        </w:rPr>
        <w:t>2017-18 </w:t>
      </w:r>
      <w:r>
        <w:rPr/>
        <w:t>financial</w:t>
      </w:r>
      <w:r>
        <w:rPr>
          <w:spacing w:val="8"/>
        </w:rPr>
        <w:t> </w:t>
      </w:r>
      <w:r>
        <w:rPr>
          <w:spacing w:val="-4"/>
        </w:rPr>
        <w:t>year.</w:t>
      </w:r>
    </w:p>
    <w:p>
      <w:pPr>
        <w:pStyle w:val="BodyText"/>
        <w:spacing w:before="4"/>
        <w:rPr>
          <w:sz w:val="23"/>
        </w:rPr>
      </w:pPr>
    </w:p>
    <w:p>
      <w:pPr>
        <w:pStyle w:val="BodyText"/>
        <w:spacing w:line="249" w:lineRule="auto"/>
        <w:ind w:left="405" w:right="55"/>
      </w:pPr>
      <w:r>
        <w:rPr/>
        <w:t>Responding </w:t>
      </w:r>
      <w:r>
        <w:rPr>
          <w:spacing w:val="-3"/>
        </w:rPr>
        <w:t>to </w:t>
      </w:r>
      <w:r>
        <w:rPr/>
        <w:t>the State Government’s commitment</w:t>
      </w:r>
      <w:r>
        <w:rPr>
          <w:spacing w:val="-21"/>
        </w:rPr>
        <w:t> </w:t>
      </w:r>
      <w:r>
        <w:rPr>
          <w:spacing w:val="-3"/>
        </w:rPr>
        <w:t>to</w:t>
      </w:r>
      <w:r>
        <w:rPr>
          <w:spacing w:val="-21"/>
        </w:rPr>
        <w:t> </w:t>
      </w:r>
      <w:r>
        <w:rPr/>
        <w:t>increase</w:t>
      </w:r>
      <w:r>
        <w:rPr>
          <w:spacing w:val="-20"/>
        </w:rPr>
        <w:t> </w:t>
      </w:r>
      <w:r>
        <w:rPr/>
        <w:t>economic</w:t>
      </w:r>
      <w:r>
        <w:rPr>
          <w:spacing w:val="-21"/>
        </w:rPr>
        <w:t> </w:t>
      </w:r>
      <w:r>
        <w:rPr/>
        <w:t>participation of Aboriginal businesses in Western Australia, </w:t>
      </w:r>
      <w:r>
        <w:rPr>
          <w:b/>
        </w:rPr>
        <w:t>Government Procurement </w:t>
      </w:r>
      <w:r>
        <w:rPr/>
        <w:t>released the Aboriginal Procurement </w:t>
      </w:r>
      <w:r>
        <w:rPr>
          <w:spacing w:val="-4"/>
        </w:rPr>
        <w:t>Policy, </w:t>
      </w:r>
      <w:r>
        <w:rPr/>
        <w:t>which sets mandatory government targets in contracting with</w:t>
      </w:r>
      <w:r>
        <w:rPr>
          <w:spacing w:val="-23"/>
        </w:rPr>
        <w:t> </w:t>
      </w:r>
      <w:r>
        <w:rPr/>
        <w:t>registered</w:t>
      </w:r>
      <w:r>
        <w:rPr>
          <w:spacing w:val="-22"/>
        </w:rPr>
        <w:t> </w:t>
      </w:r>
      <w:r>
        <w:rPr/>
        <w:t>Aboriginal-owned</w:t>
      </w:r>
      <w:r>
        <w:rPr>
          <w:spacing w:val="-23"/>
        </w:rPr>
        <w:t> </w:t>
      </w:r>
      <w:r>
        <w:rPr/>
        <w:t>and</w:t>
      </w:r>
      <w:r>
        <w:rPr>
          <w:spacing w:val="-22"/>
        </w:rPr>
        <w:t> </w:t>
      </w:r>
      <w:r>
        <w:rPr/>
        <w:t>operated businesses. See page </w:t>
      </w:r>
      <w:hyperlink w:history="true" w:anchor="_bookmark7">
        <w:r>
          <w:rPr>
            <w:color w:val="6F2671"/>
            <w:spacing w:val="-7"/>
            <w:u w:val="single" w:color="6F2671"/>
          </w:rPr>
          <w:t>10</w:t>
        </w:r>
        <w:r>
          <w:rPr>
            <w:color w:val="6F2671"/>
            <w:spacing w:val="-7"/>
          </w:rPr>
          <w:t> </w:t>
        </w:r>
      </w:hyperlink>
      <w:r>
        <w:rPr/>
        <w:t>for</w:t>
      </w:r>
      <w:r>
        <w:rPr>
          <w:spacing w:val="-10"/>
        </w:rPr>
        <w:t> </w:t>
      </w:r>
      <w:r>
        <w:rPr/>
        <w:t>details.</w:t>
      </w:r>
    </w:p>
    <w:p>
      <w:pPr>
        <w:pStyle w:val="BodyText"/>
        <w:spacing w:line="249" w:lineRule="auto" w:before="108"/>
        <w:ind w:left="633" w:right="861"/>
      </w:pPr>
      <w:r>
        <w:rPr/>
        <w:br w:type="column"/>
      </w:r>
      <w:r>
        <w:rPr>
          <w:b/>
        </w:rPr>
        <w:t>State</w:t>
      </w:r>
      <w:r>
        <w:rPr>
          <w:b/>
          <w:spacing w:val="-17"/>
        </w:rPr>
        <w:t> </w:t>
      </w:r>
      <w:r>
        <w:rPr>
          <w:b/>
        </w:rPr>
        <w:t>Revenue</w:t>
      </w:r>
      <w:r>
        <w:rPr>
          <w:b/>
          <w:spacing w:val="-16"/>
        </w:rPr>
        <w:t> </w:t>
      </w:r>
      <w:r>
        <w:rPr/>
        <w:t>continued</w:t>
      </w:r>
      <w:r>
        <w:rPr>
          <w:spacing w:val="-17"/>
        </w:rPr>
        <w:t> </w:t>
      </w:r>
      <w:r>
        <w:rPr/>
        <w:t>the</w:t>
      </w:r>
      <w:r>
        <w:rPr>
          <w:spacing w:val="-16"/>
        </w:rPr>
        <w:t> </w:t>
      </w:r>
      <w:r>
        <w:rPr/>
        <w:t>Revenue</w:t>
      </w:r>
      <w:r>
        <w:rPr>
          <w:spacing w:val="-17"/>
        </w:rPr>
        <w:t> </w:t>
      </w:r>
      <w:r>
        <w:rPr/>
        <w:t>Systems Consolidation and Enhancement Program, significantly</w:t>
      </w:r>
      <w:r>
        <w:rPr>
          <w:spacing w:val="-31"/>
        </w:rPr>
        <w:t> </w:t>
      </w:r>
      <w:r>
        <w:rPr/>
        <w:t>improving</w:t>
      </w:r>
      <w:r>
        <w:rPr>
          <w:spacing w:val="-30"/>
        </w:rPr>
        <w:t> </w:t>
      </w:r>
      <w:r>
        <w:rPr/>
        <w:t>digital</w:t>
      </w:r>
      <w:r>
        <w:rPr>
          <w:spacing w:val="-30"/>
        </w:rPr>
        <w:t> </w:t>
      </w:r>
      <w:r>
        <w:rPr/>
        <w:t>service</w:t>
      </w:r>
      <w:r>
        <w:rPr>
          <w:spacing w:val="-31"/>
        </w:rPr>
        <w:t> </w:t>
      </w:r>
      <w:r>
        <w:rPr/>
        <w:t>functionality for duties clients and contributing </w:t>
      </w:r>
      <w:r>
        <w:rPr>
          <w:spacing w:val="-3"/>
        </w:rPr>
        <w:t>to </w:t>
      </w:r>
      <w:r>
        <w:rPr/>
        <w:t>the ongoing consolidation</w:t>
      </w:r>
      <w:r>
        <w:rPr>
          <w:spacing w:val="-33"/>
        </w:rPr>
        <w:t> </w:t>
      </w:r>
      <w:r>
        <w:rPr/>
        <w:t>and</w:t>
      </w:r>
      <w:r>
        <w:rPr>
          <w:spacing w:val="-32"/>
        </w:rPr>
        <w:t> </w:t>
      </w:r>
      <w:r>
        <w:rPr/>
        <w:t>enhancement</w:t>
      </w:r>
      <w:r>
        <w:rPr>
          <w:spacing w:val="-33"/>
        </w:rPr>
        <w:t> </w:t>
      </w:r>
      <w:r>
        <w:rPr/>
        <w:t>of</w:t>
      </w:r>
      <w:r>
        <w:rPr>
          <w:spacing w:val="-32"/>
        </w:rPr>
        <w:t> </w:t>
      </w:r>
      <w:r>
        <w:rPr/>
        <w:t>State</w:t>
      </w:r>
      <w:r>
        <w:rPr>
          <w:spacing w:val="-32"/>
        </w:rPr>
        <w:t> </w:t>
      </w:r>
      <w:r>
        <w:rPr/>
        <w:t>Revenue systems</w:t>
      </w:r>
      <w:r>
        <w:rPr>
          <w:spacing w:val="-15"/>
        </w:rPr>
        <w:t> </w:t>
      </w:r>
      <w:r>
        <w:rPr/>
        <w:t>that</w:t>
      </w:r>
      <w:r>
        <w:rPr>
          <w:spacing w:val="-15"/>
        </w:rPr>
        <w:t> </w:t>
      </w:r>
      <w:r>
        <w:rPr/>
        <w:t>collect</w:t>
      </w:r>
      <w:r>
        <w:rPr>
          <w:spacing w:val="-15"/>
        </w:rPr>
        <w:t> </w:t>
      </w:r>
      <w:r>
        <w:rPr/>
        <w:t>taxation</w:t>
      </w:r>
      <w:r>
        <w:rPr>
          <w:spacing w:val="-14"/>
        </w:rPr>
        <w:t> </w:t>
      </w:r>
      <w:r>
        <w:rPr/>
        <w:t>revenue</w:t>
      </w:r>
      <w:r>
        <w:rPr>
          <w:spacing w:val="-15"/>
        </w:rPr>
        <w:t> </w:t>
      </w:r>
      <w:r>
        <w:rPr/>
        <w:t>of</w:t>
      </w:r>
      <w:r>
        <w:rPr>
          <w:spacing w:val="-15"/>
        </w:rPr>
        <w:t> </w:t>
      </w:r>
      <w:r>
        <w:rPr/>
        <w:t>around</w:t>
      </w:r>
    </w:p>
    <w:p>
      <w:pPr>
        <w:pStyle w:val="BodyText"/>
        <w:spacing w:before="6"/>
        <w:ind w:left="633"/>
      </w:pPr>
      <w:r>
        <w:rPr/>
        <w:t>$7 billion annually.</w:t>
      </w:r>
    </w:p>
    <w:p>
      <w:pPr>
        <w:pStyle w:val="BodyText"/>
        <w:spacing w:before="10"/>
        <w:rPr>
          <w:sz w:val="23"/>
        </w:rPr>
      </w:pPr>
    </w:p>
    <w:p>
      <w:pPr>
        <w:pStyle w:val="BodyText"/>
        <w:spacing w:line="249" w:lineRule="auto"/>
        <w:ind w:left="633" w:right="759"/>
      </w:pPr>
      <w:r>
        <w:rPr/>
        <w:t>The Department of Finance has been a leading government agency in the delivery of the State Government’s</w:t>
      </w:r>
      <w:r>
        <w:rPr>
          <w:spacing w:val="-31"/>
        </w:rPr>
        <w:t> </w:t>
      </w:r>
      <w:r>
        <w:rPr/>
        <w:t>Digital</w:t>
      </w:r>
      <w:r>
        <w:rPr>
          <w:spacing w:val="-31"/>
        </w:rPr>
        <w:t> </w:t>
      </w:r>
      <w:r>
        <w:rPr>
          <w:spacing w:val="-5"/>
        </w:rPr>
        <w:t>WA</w:t>
      </w:r>
      <w:r>
        <w:rPr>
          <w:spacing w:val="-31"/>
        </w:rPr>
        <w:t> </w:t>
      </w:r>
      <w:r>
        <w:rPr>
          <w:spacing w:val="-3"/>
        </w:rPr>
        <w:t>Strategy.</w:t>
      </w:r>
      <w:r>
        <w:rPr>
          <w:spacing w:val="-31"/>
        </w:rPr>
        <w:t> </w:t>
      </w:r>
      <w:r>
        <w:rPr/>
        <w:t>Across</w:t>
      </w:r>
      <w:r>
        <w:rPr>
          <w:spacing w:val="-30"/>
        </w:rPr>
        <w:t> </w:t>
      </w:r>
      <w:r>
        <w:rPr/>
        <w:t>the</w:t>
      </w:r>
      <w:r>
        <w:rPr>
          <w:spacing w:val="-31"/>
        </w:rPr>
        <w:t> </w:t>
      </w:r>
      <w:r>
        <w:rPr>
          <w:spacing w:val="-4"/>
        </w:rPr>
        <w:t>year, </w:t>
      </w:r>
      <w:r>
        <w:rPr>
          <w:b/>
        </w:rPr>
        <w:t>Corporate </w:t>
      </w:r>
      <w:r>
        <w:rPr>
          <w:b/>
          <w:spacing w:val="2"/>
        </w:rPr>
        <w:t>Services </w:t>
      </w:r>
      <w:r>
        <w:rPr/>
        <w:t>has focused on migrating </w:t>
      </w:r>
      <w:r>
        <w:rPr>
          <w:spacing w:val="-3"/>
        </w:rPr>
        <w:t>Finance’s </w:t>
      </w:r>
      <w:r>
        <w:rPr/>
        <w:t>Information and Communications Technology (ICT) </w:t>
      </w:r>
      <w:r>
        <w:rPr>
          <w:spacing w:val="-3"/>
        </w:rPr>
        <w:t>to </w:t>
      </w:r>
      <w:r>
        <w:rPr/>
        <w:t>a consumption-based model offering operational efficiencies and</w:t>
      </w:r>
      <w:r>
        <w:rPr>
          <w:spacing w:val="-47"/>
        </w:rPr>
        <w:t> </w:t>
      </w:r>
      <w:r>
        <w:rPr/>
        <w:t>savings.</w:t>
      </w:r>
    </w:p>
    <w:p>
      <w:pPr>
        <w:spacing w:after="0" w:line="249" w:lineRule="auto"/>
        <w:sectPr>
          <w:type w:val="continuous"/>
          <w:pgSz w:w="16840" w:h="11910" w:orient="landscape"/>
          <w:pgMar w:top="1100" w:bottom="280" w:left="0" w:right="0"/>
          <w:cols w:num="3" w:equalWidth="0">
            <w:col w:w="5564" w:space="40"/>
            <w:col w:w="4977" w:space="39"/>
            <w:col w:w="6220"/>
          </w:cols>
        </w:sectPr>
      </w:pPr>
    </w:p>
    <w:p>
      <w:pPr>
        <w:pStyle w:val="BodyText"/>
        <w:rPr>
          <w:sz w:val="20"/>
        </w:rPr>
      </w:pPr>
      <w:r>
        <w:rPr/>
        <w:pict>
          <v:group style="position:absolute;margin-left:0pt;margin-top:.000701pt;width:804.15pt;height:536.6pt;mso-position-horizontal-relative:page;mso-position-vertical-relative:page;z-index:-710296" coordorigin="0,0" coordsize="16083,10732">
            <v:shape style="position:absolute;left:0;top:0;width:8712;height:7423" type="#_x0000_t75" stroked="false">
              <v:imagedata r:id="rId20" o:title=""/>
            </v:shape>
            <v:shape style="position:absolute;left:765;top:6537;width:15318;height:4194" type="#_x0000_t75" stroked="false">
              <v:imagedata r:id="rId21" o:title=""/>
            </v:shape>
            <v:rect style="position:absolute;left:7216;top:0;width:2406;height:851" filled="true" fillcolor="#d4c4d4" stroked="false">
              <v:fill type="solid"/>
            </v:rect>
            <w10:wrap type="none"/>
          </v:group>
        </w:pict>
      </w:r>
      <w:r>
        <w:rPr/>
        <w:pict>
          <v:shape style="position:absolute;margin-left:601.348999pt;margin-top:.000001pt;width:120.3pt;height:42.55pt;mso-position-horizontal-relative:page;mso-position-vertical-relative:page;z-index:222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107"/>
        <w:ind w:left="1227" w:right="0" w:firstLine="0"/>
        <w:jc w:val="left"/>
        <w:rPr>
          <w:b/>
          <w:sz w:val="20"/>
        </w:rPr>
      </w:pPr>
      <w:r>
        <w:rPr>
          <w:b/>
          <w:color w:val="FFFFFF"/>
          <w:sz w:val="20"/>
        </w:rPr>
        <w:t>Optus Stadium</w:t>
      </w:r>
    </w:p>
    <w:p>
      <w:pPr>
        <w:spacing w:after="0"/>
        <w:jc w:val="left"/>
        <w:rPr>
          <w:sz w:val="20"/>
        </w:rPr>
        <w:sectPr>
          <w:type w:val="continuous"/>
          <w:pgSz w:w="16840" w:h="11910" w:orient="landscape"/>
          <w:pgMar w:top="1100" w:bottom="280" w:left="0" w:right="0"/>
        </w:sectPr>
      </w:pPr>
    </w:p>
    <w:p>
      <w:pPr>
        <w:pStyle w:val="BodyText"/>
        <w:spacing w:before="4"/>
        <w:rPr>
          <w:b/>
          <w:sz w:val="17"/>
        </w:rPr>
      </w:pPr>
    </w:p>
    <w:p>
      <w:pPr>
        <w:tabs>
          <w:tab w:pos="15134" w:val="left" w:leader="none"/>
        </w:tabs>
        <w:spacing w:before="103"/>
        <w:ind w:left="663" w:right="0" w:firstLine="0"/>
        <w:jc w:val="left"/>
        <w:rPr>
          <w:sz w:val="20"/>
        </w:rPr>
      </w:pPr>
      <w:r>
        <w:rPr/>
        <w:pict>
          <v:group style="position:absolute;margin-left:0pt;margin-top:-10.270532pt;width:841.9pt;height:464.85pt;mso-position-horizontal-relative:page;mso-position-vertical-relative:paragraph;z-index:-710176" coordorigin="0,-205" coordsize="16838,9297">
            <v:shape style="position:absolute;left:8861;top:-206;width:7977;height:7423" type="#_x0000_t75" stroked="false">
              <v:imagedata r:id="rId23" o:title=""/>
            </v:shape>
            <v:shape style="position:absolute;left:8650;top:7176;width:2139;height:1915" coordorigin="8650,7177" coordsize="2139,1915" path="m10364,7177l9076,7177,8999,7184,8927,7203,8861,7235,8802,7277,8750,7328,8708,7387,8677,7454,8657,7526,8650,7602,8650,8666,8657,8743,8677,8815,8708,8881,8750,8940,8802,8991,8861,9033,8927,9065,8999,9085,9076,9091,10364,9091,10440,9085,10512,9065,10578,9033,10638,8991,10689,8940,10731,8881,10762,8815,10782,8743,10789,8666,10789,7602,10782,7526,10762,7454,10731,7387,10689,7328,10638,7277,10578,7235,10512,7203,10440,7184,10364,7177xe" filled="true" fillcolor="#ffffff" stroked="false">
              <v:path arrowok="t"/>
              <v:fill type="solid"/>
            </v:shape>
            <v:shape style="position:absolute;left:8650;top:7176;width:2139;height:995" coordorigin="8650,7177" coordsize="2139,995" path="m10373,7177l9071,7177,8997,7184,8930,7202,8872,7229,8820,7262,8766,7311,8728,7357,8696,7411,8671,7471,8656,7532,8650,7602,8650,8171,10789,8171,10789,7602,10781,7520,10759,7444,10723,7374,10675,7313,10617,7261,10551,7220,10470,7190,10399,7178,10373,7177xe" filled="true" fillcolor="#e6dee7" stroked="false">
              <v:path arrowok="t"/>
              <v:fill type="solid"/>
            </v:shape>
            <v:shape style="position:absolute;left:8650;top:8171;width:2139;height:921" coordorigin="8650,8171" coordsize="2139,921" path="m10789,8171l8650,8171,8650,8666,8657,8743,8677,8815,8708,8881,8750,8940,8802,8991,8861,9033,8927,9065,8999,9085,9076,9091,10364,9091,10440,9085,10512,9065,10578,9033,10638,8991,10689,8940,10731,8881,10762,8815,10782,8743,10789,8666,10789,8171xe" filled="true" fillcolor="#d4c4d4" stroked="false">
              <v:path arrowok="t"/>
              <v:fill type="solid"/>
            </v:shape>
            <v:shape style="position:absolute;left:11237;top:7176;width:2139;height:1915" coordorigin="11237,7177" coordsize="2139,1915" path="m12951,7177l11662,7177,11586,7184,11514,7203,11448,7235,11388,7277,11337,7328,11295,7387,11264,7454,11244,7526,11237,7602,11237,8666,11244,8743,11264,8815,11295,8881,11337,8940,11388,8991,11448,9033,11514,9065,11586,9085,11662,9091,12951,9091,13027,9085,13099,9065,13165,9033,13224,8991,13276,8940,13318,8881,13349,8815,13369,8743,13376,8666,13376,7602,13369,7526,13349,7454,13318,7387,13276,7328,13224,7277,13165,7235,13099,7203,13027,7184,12951,7177xe" filled="true" fillcolor="#ffffff" stroked="false">
              <v:path arrowok="t"/>
              <v:fill type="solid"/>
            </v:shape>
            <v:shape style="position:absolute;left:11237;top:7176;width:2139;height:995" coordorigin="11237,7177" coordsize="2139,995" path="m12960,7177l11658,7177,11584,7184,11517,7202,11459,7229,11407,7262,11352,7311,11314,7357,11283,7411,11258,7471,11243,7532,11237,7602,11237,8171,13376,8171,13376,7602,13368,7520,13345,7444,13310,7374,13262,7313,13204,7261,13138,7220,13057,7190,12985,7178,12960,7177xe" filled="true" fillcolor="#e6dee7" stroked="false">
              <v:path arrowok="t"/>
              <v:fill type="solid"/>
            </v:shape>
            <v:shape style="position:absolute;left:11237;top:8171;width:2139;height:921" coordorigin="11237,8171" coordsize="2139,921" path="m13376,8171l11237,8171,11237,8666,11244,8743,11264,8815,11295,8881,11337,8940,11388,8991,11448,9033,11514,9065,11586,9085,11662,9091,12951,9091,13027,9085,13099,9065,13165,9033,13224,8991,13276,8940,13318,8881,13349,8815,13369,8743,13376,8666,13376,8171xe" filled="true" fillcolor="#d4c4d4" stroked="false">
              <v:path arrowok="t"/>
              <v:fill type="solid"/>
            </v:shape>
            <v:shape style="position:absolute;left:13823;top:7176;width:2139;height:1915" coordorigin="13824,7177" coordsize="2139,1915" path="m15537,7177l14249,7177,14173,7184,14101,7203,14034,7235,13975,7277,13924,7328,13882,7387,13850,7454,13831,7526,13824,7602,13824,8666,13831,8743,13850,8815,13882,8881,13924,8940,13975,8991,14034,9033,14101,9065,14173,9085,14249,9091,15537,9091,15614,9085,15686,9065,15752,9033,15811,8991,15862,8940,15904,8881,15936,8815,15956,8743,15962,8666,15962,7602,15956,7526,15936,7454,15904,7387,15862,7328,15811,7277,15752,7235,15686,7203,15614,7184,15537,7177xe" filled="true" fillcolor="#ffffff" stroked="false">
              <v:path arrowok="t"/>
              <v:fill type="solid"/>
            </v:shape>
            <v:shape style="position:absolute;left:13823;top:7176;width:2139;height:995" coordorigin="13824,7177" coordsize="2139,995" path="m15546,7177l14244,7177,14170,7184,14104,7202,14045,7229,13994,7262,13939,7311,13901,7357,13869,7411,13845,7471,13830,7532,13824,7602,13824,8171,15962,8171,15962,7602,15955,7520,15932,7444,15896,7374,15849,7313,15791,7261,15724,7220,15644,7190,15572,7178,15546,7177xe" filled="true" fillcolor="#e6dee7" stroked="false">
              <v:path arrowok="t"/>
              <v:fill type="solid"/>
            </v:shape>
            <v:shape style="position:absolute;left:13823;top:8171;width:2139;height:921" coordorigin="13824,8171" coordsize="2139,921" path="m15962,8171l13824,8171,13824,8666,13831,8743,13850,8815,13882,8881,13924,8940,13975,8991,14034,9033,14101,9065,14173,9085,14249,9091,15537,9091,15614,9085,15686,9065,15752,9033,15811,8991,15862,8940,15904,8881,15936,8815,15956,8743,15962,8666,15962,8171xe" filled="true" fillcolor="#d4c4d4" stroked="false">
              <v:path arrowok="t"/>
              <v:fill type="solid"/>
            </v:shape>
            <v:shape style="position:absolute;left:4391;top:4770;width:11577;height:851" coordorigin="4392,4771" coordsize="11577,851" path="m15543,4771l4817,4771,4740,4778,4669,4797,4602,4829,4543,4871,4492,4922,4450,4981,4418,5048,4399,5120,4392,5196,4399,5272,4418,5344,4450,5411,4492,5470,4543,5521,4602,5563,4669,5595,4740,5614,4817,5621,15543,5621,15619,5614,15691,5595,15757,5563,15817,5521,15868,5470,15910,5411,15941,5344,15961,5272,15968,5196,15961,5120,15941,5048,15910,4981,15868,4922,15817,4871,15757,4829,15691,4797,15619,4778,15543,4771xe" filled="true" fillcolor="#ffffff" stroked="false">
              <v:path arrowok="t"/>
              <v:fill type="solid"/>
            </v:shape>
            <v:shape style="position:absolute;left:4391;top:4770;width:11577;height:851" coordorigin="4392,4771" coordsize="11577,851" path="m15543,4771l4813,4771,4804,4771,4736,4779,4669,4797,4611,4824,4560,4857,4506,4906,4468,4953,4436,5007,4412,5067,4397,5129,4392,5196,4399,5272,4418,5344,4450,5411,4492,5470,4543,5521,4602,5563,4669,5595,4740,5614,4817,5621,15543,5621,15619,5614,15691,5595,15757,5563,15817,5521,15868,5470,15910,5411,15941,5344,15961,5272,15968,5196,15961,5122,15943,5051,15913,4987,15873,4928,15824,4877,15768,4835,15704,4803,15635,4781,15564,4771,15543,4771xe" filled="true" fillcolor="#d4d896" stroked="false">
              <v:path arrowok="t"/>
              <v:fill type="solid"/>
            </v:shape>
            <v:line style="position:absolute" from="4542,7048" to="4542,6402" stroked="true" strokeweight="2pt" strokecolor="#bbbcbb">
              <v:stroke dashstyle="solid"/>
            </v:line>
            <v:line style="position:absolute" from="7130,7048" to="7130,6402" stroked="true" strokeweight="2pt" strokecolor="#bbbcbb">
              <v:stroke dashstyle="solid"/>
            </v:line>
            <v:line style="position:absolute" from="9718,7048" to="9718,6402" stroked="true" strokeweight="2pt" strokecolor="#bbbcbb">
              <v:stroke dashstyle="solid"/>
            </v:line>
            <v:line style="position:absolute" from="12306,7048" to="12306,6402" stroked="true" strokeweight="2pt" strokecolor="#bbbcbb">
              <v:stroke dashstyle="solid"/>
            </v:line>
            <v:line style="position:absolute" from="8429,6402" to="8429,5763" stroked="true" strokeweight="2pt" strokecolor="#bbbcbb">
              <v:stroke dashstyle="solid"/>
            </v:line>
            <v:line style="position:absolute" from="1955,7048" to="1955,6402" stroked="true" strokeweight="2pt" strokecolor="#bbbcbb">
              <v:stroke dashstyle="solid"/>
            </v:line>
            <v:line style="position:absolute" from="1935,6422" to="14913,6422" stroked="true" strokeweight="2pt" strokecolor="#bbbcbb">
              <v:stroke dashstyle="solid"/>
            </v:line>
            <v:shape style="position:absolute;left:879;top:2990;width:15088;height:851" coordorigin="880,2991" coordsize="15088,851" path="m15543,2991l1305,2991,1229,2998,1157,3017,1091,3049,1031,3091,980,3142,938,3201,907,3268,887,3340,880,3416,887,3492,907,3564,938,3631,980,3690,1031,3741,1091,3783,1157,3815,1229,3834,1305,3841,15543,3841,15619,3834,15691,3815,15757,3783,15817,3741,15868,3690,15910,3631,15941,3564,15961,3492,15968,3416,15961,3340,15941,3268,15910,3201,15868,3142,15817,3091,15757,3049,15691,3017,15619,2998,15543,2991xe" filled="true" fillcolor="#ffffff" stroked="false">
              <v:path arrowok="t"/>
              <v:fill type="solid"/>
            </v:shape>
            <v:shape style="position:absolute;left:879;top:2990;width:15088;height:851" coordorigin="880,2991" coordsize="15088,851" path="m15543,2991l1297,2991,1289,2991,1208,3002,1143,3023,1087,3051,1037,3086,983,3138,938,3201,910,3258,890,3323,881,3383,880,3416,887,3492,907,3564,938,3631,980,3690,1031,3741,1091,3783,1157,3815,1229,3834,1305,3841,15543,3841,15619,3834,15691,3815,15757,3783,15817,3741,15868,3690,15910,3631,15941,3564,15961,3492,15968,3416,15961,3342,15943,3272,15913,3207,15873,3148,15824,3097,15768,3055,15704,3023,15635,3001,15564,2991,15543,2991xe" filled="true" fillcolor="#d4c4d4" stroked="false">
              <v:path arrowok="t"/>
              <v:fill type="solid"/>
            </v:shape>
            <v:line style="position:absolute" from="14893,7048" to="14893,6402" stroked="true" strokeweight="2pt" strokecolor="#bbbcbb">
              <v:stroke dashstyle="solid"/>
            </v:line>
            <v:rect style="position:absolute;left:0;top:-206;width:2406;height:851" filled="true" fillcolor="#bba1bc" stroked="false">
              <v:fill type="solid"/>
            </v:rect>
            <v:rect style="position:absolute;left:7216;top:-206;width:2406;height:851" filled="true" fillcolor="#d4c4d4" stroked="false">
              <v:fill type="solid"/>
            </v:rect>
            <v:rect style="position:absolute;left:14432;top:-206;width:2406;height:851" filled="true" fillcolor="#bba1bc" stroked="false">
              <v:fill type="solid"/>
            </v:rect>
            <v:line style="position:absolute" from="0,-205" to="0,645" stroked="true" strokeweight="0pt" strokecolor="#bba1bc">
              <v:stroke dashstyle="solid"/>
            </v:line>
            <w10:wrap type="none"/>
          </v:group>
        </w:pict>
      </w:r>
      <w:r>
        <w:rPr/>
        <w:pict>
          <v:shape style="position:absolute;margin-left:601.348999pt;margin-top:-10.270532pt;width:120.3pt;height:42.55pt;mso-position-horizontal-relative:page;mso-position-vertical-relative:paragraph;z-index:-70988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481.079803pt;margin-top:-10.270532pt;width:120.3pt;height:42.55pt;mso-position-horizontal-relative:page;mso-position-vertical-relative:paragraph;z-index:-709864"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w:pict>
      </w:r>
      <w:r>
        <w:rPr/>
        <w:pict>
          <v:shape style="position:absolute;margin-left:360.811798pt;margin-top:-10.270532pt;width:120.3pt;height:42.55pt;mso-position-horizontal-relative:page;mso-position-vertical-relative:paragraph;z-index:-709840"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240.539398pt;margin-top:-10.270532pt;width:120.3pt;height:42.55pt;mso-position-horizontal-relative:page;mso-position-vertical-relative:paragraph;z-index:-709816"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w:pict>
      </w:r>
      <w:r>
        <w:rPr/>
        <w:pict>
          <v:shape style="position:absolute;margin-left:120.271004pt;margin-top:-10.270532pt;width:120.3pt;height:42.55pt;mso-position-horizontal-relative:page;mso-position-vertical-relative:paragraph;z-index:-709792" type="#_x0000_t202" filled="true" fillcolor="#d4d896"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bookmarkStart w:name="_bookmark3" w:id="4"/>
      <w:bookmarkEnd w:id="4"/>
      <w:r>
        <w:rPr/>
      </w:r>
      <w:hyperlink w:history="true" w:anchor="_bookmark0">
        <w:r>
          <w:rPr>
            <w:sz w:val="20"/>
          </w:rPr>
          <w:t>CONTENTS</w:t>
        </w:r>
      </w:hyperlink>
      <w:r>
        <w:rPr>
          <w:sz w:val="20"/>
        </w:rPr>
        <w:tab/>
      </w:r>
      <w:hyperlink w:history="true" w:anchor="_bookmark52">
        <w:r>
          <w:rPr>
            <w:sz w:val="20"/>
          </w:rPr>
          <w:t>APPENDIX</w:t>
        </w:r>
      </w:hyperlink>
    </w:p>
    <w:p>
      <w:pPr>
        <w:pStyle w:val="BodyText"/>
        <w:rPr>
          <w:sz w:val="20"/>
        </w:rPr>
      </w:pPr>
    </w:p>
    <w:p>
      <w:pPr>
        <w:pStyle w:val="BodyText"/>
        <w:rPr>
          <w:sz w:val="20"/>
        </w:rPr>
      </w:pPr>
    </w:p>
    <w:p>
      <w:pPr>
        <w:pStyle w:val="BodyText"/>
        <w:spacing w:before="4"/>
        <w:rPr>
          <w:sz w:val="23"/>
        </w:rPr>
      </w:pPr>
    </w:p>
    <w:p>
      <w:pPr>
        <w:pStyle w:val="Heading1"/>
        <w:spacing w:before="93"/>
        <w:ind w:left="770"/>
      </w:pPr>
      <w:r>
        <w:rPr>
          <w:color w:val="6F2770"/>
        </w:rPr>
        <w:t>Organisational Structure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111"/>
        <w:ind w:left="20" w:right="0" w:firstLine="0"/>
        <w:jc w:val="center"/>
        <w:rPr>
          <w:b/>
          <w:sz w:val="28"/>
        </w:rPr>
      </w:pPr>
      <w:r>
        <w:rPr>
          <w:b/>
          <w:sz w:val="28"/>
        </w:rPr>
        <w:t>Minister for Finance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3"/>
        </w:rPr>
      </w:pPr>
    </w:p>
    <w:p>
      <w:pPr>
        <w:spacing w:before="111"/>
        <w:ind w:left="3521" w:right="0" w:firstLine="0"/>
        <w:jc w:val="center"/>
        <w:rPr>
          <w:b/>
          <w:sz w:val="28"/>
        </w:rPr>
      </w:pPr>
      <w:r>
        <w:rPr/>
        <w:pict>
          <v:line style="position:absolute;mso-position-horizontal-relative:page;mso-position-vertical-relative:paragraph;z-index:2536" from="421.444305pt,-6.129571pt" to="421.444305pt,-38.121571pt" stroked="true" strokeweight="2pt" strokecolor="#bbbcbb">
            <v:stroke dashstyle="solid"/>
            <w10:wrap type="none"/>
          </v:line>
        </w:pict>
      </w:r>
      <w:r>
        <w:rPr/>
        <w:pict>
          <v:group style="position:absolute;margin-left:44.248901pt;margin-top:1.419329pt;width:146.5pt;height:42.55pt;mso-position-horizontal-relative:page;mso-position-vertical-relative:paragraph;z-index:2584" coordorigin="885,28" coordsize="2930,851">
            <v:shape style="position:absolute;left:884;top:28;width:2930;height:851" coordorigin="885,28" coordsize="2930,851" path="m3389,28l1310,28,1234,35,1162,55,1096,86,1036,128,985,180,943,239,912,305,892,377,885,454,892,530,912,602,943,668,985,728,1036,779,1096,821,1162,852,1234,872,1310,879,3389,879,3466,872,3538,852,3604,821,3663,779,3714,728,3756,668,3788,602,3808,530,3814,454,3808,377,3788,305,3756,239,3714,180,3663,128,3604,86,3538,55,3466,35,3389,28xe" filled="true" fillcolor="#ffffff" stroked="false">
              <v:path arrowok="t"/>
              <v:fill type="solid"/>
            </v:shape>
            <v:shape style="position:absolute;left:884;top:28;width:2930;height:851" coordorigin="885,28" coordsize="2930,851" path="m3389,28l1302,28,1294,29,1213,40,1149,60,1092,89,1042,124,989,176,943,238,915,295,895,361,886,421,885,454,892,530,912,602,943,668,985,728,1036,779,1096,821,1162,852,1234,872,1310,879,3389,879,3466,872,3538,852,3604,821,3663,779,3714,728,3756,668,3788,602,3808,530,3814,454,3807,373,3785,297,3750,228,3703,167,3647,115,3582,74,3509,46,3445,32,3389,28xe" filled="true" fillcolor="#c5ceb3" stroked="false">
              <v:path arrowok="t"/>
              <v:fill type="solid"/>
            </v:shape>
            <v:shape style="position:absolute;left:884;top:28;width:2930;height:851" type="#_x0000_t202" filled="false" stroked="false">
              <v:textbox inset="0,0,0,0">
                <w:txbxContent>
                  <w:p>
                    <w:pPr>
                      <w:spacing w:before="257"/>
                      <w:ind w:left="565" w:right="0" w:firstLine="0"/>
                      <w:jc w:val="left"/>
                      <w:rPr>
                        <w:b/>
                        <w:sz w:val="28"/>
                      </w:rPr>
                    </w:pPr>
                    <w:r>
                      <w:rPr>
                        <w:b/>
                        <w:sz w:val="28"/>
                      </w:rPr>
                      <w:t>Internal Audit</w:t>
                    </w:r>
                  </w:p>
                </w:txbxContent>
              </v:textbox>
              <w10:wrap type="none"/>
            </v:shape>
            <w10:wrap type="none"/>
          </v:group>
        </w:pict>
      </w:r>
      <w:r>
        <w:rPr>
          <w:b/>
          <w:sz w:val="28"/>
        </w:rPr>
        <w:t>Director General</w:t>
      </w:r>
    </w:p>
    <w:p>
      <w:pPr>
        <w:pStyle w:val="BodyText"/>
        <w:spacing w:line="40" w:lineRule="exact"/>
        <w:ind w:left="3908"/>
        <w:rPr>
          <w:sz w:val="4"/>
        </w:rPr>
      </w:pPr>
      <w:r>
        <w:rPr>
          <w:position w:val="0"/>
          <w:sz w:val="4"/>
        </w:rPr>
        <w:pict>
          <v:group style="width:17.5pt;height:2pt;mso-position-horizontal-relative:char;mso-position-vertical-relative:line" coordorigin="0,0" coordsize="350,40">
            <v:line style="position:absolute" from="0,20" to="350,20" stroked="true" strokeweight="2pt" strokecolor="#bbbcbb">
              <v:stroke dashstyle="solid"/>
            </v:line>
          </v:group>
        </w:pict>
      </w:r>
      <w:r>
        <w:rPr>
          <w:position w:val="0"/>
          <w:sz w:val="4"/>
        </w:rPr>
      </w:r>
    </w:p>
    <w:p>
      <w:pPr>
        <w:pStyle w:val="Heading6"/>
        <w:spacing w:before="13"/>
        <w:ind w:left="3521"/>
        <w:jc w:val="center"/>
      </w:pPr>
      <w:r>
        <w:rPr/>
        <w:t>Anne Nolan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footerReference w:type="default" r:id="rId22"/>
          <w:pgSz w:w="16840" w:h="11910" w:orient="landscape"/>
          <w:pgMar w:footer="484" w:header="0" w:top="0" w:bottom="680" w:left="0" w:right="0"/>
        </w:sectPr>
      </w:pPr>
    </w:p>
    <w:p>
      <w:pPr>
        <w:pStyle w:val="BodyText"/>
        <w:spacing w:before="7"/>
        <w:rPr>
          <w:b/>
          <w:sz w:val="24"/>
        </w:rPr>
      </w:pPr>
    </w:p>
    <w:p>
      <w:pPr>
        <w:spacing w:line="266" w:lineRule="auto" w:before="0"/>
        <w:ind w:left="9261" w:right="0" w:firstLine="181"/>
        <w:jc w:val="left"/>
        <w:rPr>
          <w:b/>
          <w:sz w:val="22"/>
        </w:rPr>
      </w:pPr>
      <w:r>
        <w:rPr/>
        <w:pict>
          <v:group style="position:absolute;margin-left:44.5173pt;margin-top:-10.377028pt;width:106.95pt;height:95.75pt;mso-position-horizontal-relative:page;mso-position-vertical-relative:paragraph;z-index:2368" coordorigin="890,-208" coordsize="2139,1915">
            <v:shape style="position:absolute;left:890;top:-208;width:2139;height:1915" coordorigin="890,-208" coordsize="2139,1915" path="m2604,-208l1316,-208,1239,-201,1167,-181,1101,-149,1042,-108,990,-56,948,3,917,69,897,141,890,218,890,1282,897,1358,917,1430,948,1497,990,1556,1042,1607,1101,1649,1167,1681,1239,1700,1316,1707,2604,1707,2680,1700,2752,1681,2818,1649,2878,1607,2929,1556,2971,1497,3002,1430,3022,1358,3029,1282,3029,218,3022,141,3002,69,2971,3,2929,-56,2878,-108,2818,-149,2752,-181,2680,-201,2604,-208xe" filled="true" fillcolor="#ffffff" stroked="false">
              <v:path arrowok="t"/>
              <v:fill type="solid"/>
            </v:shape>
            <v:shape style="position:absolute;left:890;top:-208;width:2139;height:995" coordorigin="890,-208" coordsize="2139,995" path="m2613,-208l1311,-208,1237,-200,1170,-182,1112,-156,1060,-122,1006,-74,968,-27,936,26,911,86,896,148,890,218,890,787,3029,787,3029,218,3021,136,2999,59,2963,-10,2915,-72,2857,-124,2791,-164,2710,-194,2639,-206,2613,-208xe" filled="true" fillcolor="#e6dee7" stroked="false">
              <v:path arrowok="t"/>
              <v:fill type="solid"/>
            </v:shape>
            <v:shape style="position:absolute;left:890;top:786;width:2139;height:921" coordorigin="890,787" coordsize="2139,921" path="m3029,787l890,787,890,1282,897,1358,917,1430,948,1497,990,1556,1042,1607,1101,1649,1167,1681,1239,1700,1316,1707,2604,1707,2680,1700,2752,1681,2818,1649,2878,1607,2929,1556,2971,1497,3002,1430,3022,1358,3029,1282,3029,787xe" filled="true" fillcolor="#d4c4d4" stroked="false">
              <v:path arrowok="t"/>
              <v:fill type="solid"/>
            </v:shape>
            <v:shape style="position:absolute;left:890;top:-208;width:2139;height:1915" type="#_x0000_t202" filled="false" stroked="false">
              <v:textbox inset="0,0,0,0">
                <w:txbxContent>
                  <w:p>
                    <w:pPr>
                      <w:spacing w:line="266" w:lineRule="auto" w:before="91"/>
                      <w:ind w:left="380" w:right="390" w:firstLine="0"/>
                      <w:jc w:val="center"/>
                      <w:rPr>
                        <w:b/>
                        <w:sz w:val="22"/>
                      </w:rPr>
                    </w:pPr>
                    <w:r>
                      <w:rPr>
                        <w:b/>
                        <w:sz w:val="22"/>
                      </w:rPr>
                      <w:t>Building Management and Works</w:t>
                    </w:r>
                  </w:p>
                  <w:p>
                    <w:pPr>
                      <w:spacing w:before="233"/>
                      <w:ind w:left="329" w:right="0" w:firstLine="0"/>
                      <w:jc w:val="left"/>
                      <w:rPr>
                        <w:b/>
                        <w:sz w:val="22"/>
                      </w:rPr>
                    </w:pPr>
                    <w:r>
                      <w:rPr>
                        <w:b/>
                        <w:sz w:val="22"/>
                      </w:rPr>
                      <w:t>Philip Helberg</w:t>
                    </w:r>
                  </w:p>
                  <w:p>
                    <w:pPr>
                      <w:spacing w:line="261" w:lineRule="auto" w:before="43"/>
                      <w:ind w:left="380" w:right="388" w:firstLine="0"/>
                      <w:jc w:val="center"/>
                      <w:rPr>
                        <w:sz w:val="16"/>
                      </w:rPr>
                    </w:pPr>
                    <w:r>
                      <w:rPr>
                        <w:sz w:val="16"/>
                      </w:rPr>
                      <w:t>Acting Deputy </w:t>
                    </w:r>
                    <w:r>
                      <w:rPr>
                        <w:w w:val="95"/>
                        <w:sz w:val="16"/>
                      </w:rPr>
                      <w:t>Director General</w:t>
                    </w:r>
                  </w:p>
                </w:txbxContent>
              </v:textbox>
              <w10:wrap type="none"/>
            </v:shape>
            <w10:wrap type="none"/>
          </v:group>
        </w:pict>
      </w:r>
      <w:r>
        <w:rPr/>
        <w:pict>
          <v:group style="position:absolute;margin-left:173.851898pt;margin-top:-10.377028pt;width:106.95pt;height:95.75pt;mso-position-horizontal-relative:page;mso-position-vertical-relative:paragraph;z-index:2440" coordorigin="3477,-208" coordsize="2139,1915">
            <v:shape style="position:absolute;left:3477;top:-208;width:2139;height:1915" coordorigin="3477,-208" coordsize="2139,1915" path="m5190,-208l3902,-208,3826,-201,3754,-181,3688,-149,3628,-108,3577,-56,3535,3,3504,69,3484,141,3477,218,3477,1282,3484,1358,3504,1430,3535,1497,3577,1556,3628,1607,3688,1649,3754,1681,3826,1700,3902,1707,5190,1707,5267,1700,5339,1681,5405,1649,5464,1607,5516,1556,5558,1497,5589,1430,5609,1358,5616,1282,5616,218,5609,141,5589,69,5558,3,5516,-56,5464,-108,5405,-149,5339,-181,5267,-201,5190,-208xe" filled="true" fillcolor="#ffffff" stroked="false">
              <v:path arrowok="t"/>
              <v:fill type="solid"/>
            </v:shape>
            <v:shape style="position:absolute;left:3477;top:-208;width:2139;height:995" coordorigin="3477,-208" coordsize="2139,995" path="m5200,-208l3897,-208,3824,-200,3757,-182,3698,-156,3647,-122,3592,-74,3554,-27,3522,26,3498,86,3483,148,3477,218,3477,787,5616,787,5616,218,5608,136,5585,59,5549,-10,5502,-72,5444,-124,5377,-164,5297,-194,5225,-206,5200,-208xe" filled="true" fillcolor="#e6dee7" stroked="false">
              <v:path arrowok="t"/>
              <v:fill type="solid"/>
            </v:shape>
            <v:shape style="position:absolute;left:3477;top:786;width:2139;height:921" coordorigin="3477,787" coordsize="2139,921" path="m5616,787l3477,787,3477,1282,3484,1358,3504,1430,3535,1497,3577,1556,3628,1607,3688,1649,3754,1681,3826,1700,3902,1707,5190,1707,5267,1700,5339,1681,5405,1649,5464,1607,5516,1556,5558,1497,5589,1430,5609,1358,5616,1282,5616,787xe" filled="true" fillcolor="#d4c4d4" stroked="false">
              <v:path arrowok="t"/>
              <v:fill type="solid"/>
            </v:shape>
            <v:shape style="position:absolute;left:4065;top:-9;width:974;height:543" type="#_x0000_t202" filled="false" stroked="false">
              <v:textbox inset="0,0,0,0">
                <w:txbxContent>
                  <w:p>
                    <w:pPr>
                      <w:spacing w:line="266" w:lineRule="auto" w:before="8"/>
                      <w:ind w:left="40" w:right="13" w:hanging="41"/>
                      <w:jc w:val="left"/>
                      <w:rPr>
                        <w:b/>
                        <w:sz w:val="22"/>
                      </w:rPr>
                    </w:pPr>
                    <w:r>
                      <w:rPr>
                        <w:b/>
                        <w:sz w:val="22"/>
                      </w:rPr>
                      <w:t>Strategic Projects</w:t>
                    </w:r>
                  </w:p>
                </w:txbxContent>
              </v:textbox>
              <w10:wrap type="none"/>
            </v:shape>
            <v:shape style="position:absolute;left:3811;top:951;width:1483;height:489" type="#_x0000_t202" filled="false" stroked="false">
              <v:textbox inset="0,0,0,0">
                <w:txbxContent>
                  <w:p>
                    <w:pPr>
                      <w:spacing w:before="8"/>
                      <w:ind w:left="0" w:right="18" w:firstLine="0"/>
                      <w:jc w:val="center"/>
                      <w:rPr>
                        <w:b/>
                        <w:sz w:val="22"/>
                      </w:rPr>
                    </w:pPr>
                    <w:r>
                      <w:rPr>
                        <w:b/>
                        <w:sz w:val="22"/>
                      </w:rPr>
                      <w:t>Richard</w:t>
                    </w:r>
                    <w:r>
                      <w:rPr>
                        <w:b/>
                        <w:spacing w:val="9"/>
                        <w:sz w:val="22"/>
                      </w:rPr>
                      <w:t> </w:t>
                    </w:r>
                    <w:r>
                      <w:rPr>
                        <w:b/>
                        <w:spacing w:val="-5"/>
                        <w:sz w:val="22"/>
                      </w:rPr>
                      <w:t>Mann</w:t>
                    </w:r>
                  </w:p>
                  <w:p>
                    <w:pPr>
                      <w:spacing w:before="43"/>
                      <w:ind w:left="0" w:right="18" w:firstLine="0"/>
                      <w:jc w:val="center"/>
                      <w:rPr>
                        <w:sz w:val="16"/>
                      </w:rPr>
                    </w:pPr>
                    <w:r>
                      <w:rPr>
                        <w:w w:val="95"/>
                        <w:sz w:val="16"/>
                      </w:rPr>
                      <w:t>Executive</w:t>
                    </w:r>
                    <w:r>
                      <w:rPr>
                        <w:spacing w:val="8"/>
                        <w:w w:val="95"/>
                        <w:sz w:val="16"/>
                      </w:rPr>
                      <w:t> </w:t>
                    </w:r>
                    <w:r>
                      <w:rPr>
                        <w:w w:val="95"/>
                        <w:sz w:val="16"/>
                      </w:rPr>
                      <w:t>Director</w:t>
                    </w:r>
                  </w:p>
                </w:txbxContent>
              </v:textbox>
              <w10:wrap type="none"/>
            </v:shape>
            <w10:wrap type="none"/>
          </v:group>
        </w:pict>
      </w:r>
      <w:r>
        <w:rPr/>
        <w:pict>
          <v:group style="position:absolute;margin-left:303.186493pt;margin-top:-9.922427pt;width:106.95pt;height:95.75pt;mso-position-horizontal-relative:page;mso-position-vertical-relative:paragraph;z-index:2512" coordorigin="6064,-198" coordsize="2139,1915">
            <v:shape style="position:absolute;left:6063;top:-199;width:2139;height:1915" coordorigin="6064,-198" coordsize="2139,1915" path="m7777,-198l6489,-198,6413,-192,6341,-172,6274,-140,6215,-98,6164,-47,6122,12,6090,78,6071,150,6064,227,6064,1291,6071,1367,6090,1439,6122,1506,6164,1565,6215,1616,6274,1658,6341,1690,6413,1709,6489,1716,7777,1716,7854,1709,7926,1690,7992,1658,8051,1616,8102,1565,8144,1506,8176,1439,8195,1367,8202,1291,8202,227,8195,150,8176,78,8144,12,8102,-47,8051,-98,7992,-140,7926,-172,7854,-192,7777,-198xe" filled="true" fillcolor="#ffffff" stroked="false">
              <v:path arrowok="t"/>
              <v:fill type="solid"/>
            </v:shape>
            <v:shape style="position:absolute;left:6063;top:-199;width:2139;height:995" coordorigin="6064,-198" coordsize="2139,995" path="m7786,-198l6484,-198,6410,-191,6344,-173,6285,-147,6234,-113,6179,-64,6141,-18,6109,35,6084,95,6069,157,6064,227,6064,796,8202,796,8202,227,8195,145,8172,69,8136,-1,8089,-63,8031,-115,7964,-155,7884,-185,7812,-197,7786,-198xe" filled="true" fillcolor="#e6dee7" stroked="false">
              <v:path arrowok="t"/>
              <v:fill type="solid"/>
            </v:shape>
            <v:shape style="position:absolute;left:6063;top:796;width:2139;height:921" coordorigin="6064,796" coordsize="2139,921" path="m8202,796l6064,796,6064,1291,6071,1367,6090,1439,6122,1506,6164,1565,6215,1616,6274,1658,6341,1690,6413,1709,6489,1716,7777,1716,7854,1709,7926,1690,7992,1658,8051,1616,8102,1565,8144,1506,8176,1439,8195,1367,8202,1291,8202,796xe" filled="true" fillcolor="#d4c4d4" stroked="false">
              <v:path arrowok="t"/>
              <v:fill type="solid"/>
            </v:shape>
            <v:shape style="position:absolute;left:6449;top:-9;width:1381;height:543" type="#_x0000_t202" filled="false" stroked="false">
              <v:textbox inset="0,0,0,0">
                <w:txbxContent>
                  <w:p>
                    <w:pPr>
                      <w:spacing w:line="266" w:lineRule="auto" w:before="8"/>
                      <w:ind w:left="0" w:right="3" w:firstLine="32"/>
                      <w:jc w:val="left"/>
                      <w:rPr>
                        <w:b/>
                        <w:sz w:val="22"/>
                      </w:rPr>
                    </w:pPr>
                    <w:r>
                      <w:rPr>
                        <w:b/>
                        <w:sz w:val="22"/>
                      </w:rPr>
                      <w:t>Government Procurement</w:t>
                    </w:r>
                  </w:p>
                </w:txbxContent>
              </v:textbox>
              <w10:wrap type="none"/>
            </v:shape>
            <v:shape style="position:absolute;left:6278;top:951;width:1723;height:489" type="#_x0000_t202" filled="false" stroked="false">
              <v:textbox inset="0,0,0,0">
                <w:txbxContent>
                  <w:p>
                    <w:pPr>
                      <w:spacing w:before="8"/>
                      <w:ind w:left="0" w:right="18" w:firstLine="0"/>
                      <w:jc w:val="center"/>
                      <w:rPr>
                        <w:b/>
                        <w:sz w:val="22"/>
                      </w:rPr>
                    </w:pPr>
                    <w:r>
                      <w:rPr>
                        <w:b/>
                        <w:sz w:val="22"/>
                      </w:rPr>
                      <w:t>Stephanie Black</w:t>
                    </w:r>
                  </w:p>
                  <w:p>
                    <w:pPr>
                      <w:spacing w:before="43"/>
                      <w:ind w:left="0" w:right="17" w:firstLine="0"/>
                      <w:jc w:val="center"/>
                      <w:rPr>
                        <w:sz w:val="16"/>
                      </w:rPr>
                    </w:pPr>
                    <w:r>
                      <w:rPr>
                        <w:sz w:val="16"/>
                      </w:rPr>
                      <w:t>Executive Director</w:t>
                    </w:r>
                  </w:p>
                </w:txbxContent>
              </v:textbox>
              <w10:wrap type="none"/>
            </v:shape>
            <w10:wrap type="none"/>
          </v:group>
        </w:pict>
      </w:r>
      <w:r>
        <w:rPr>
          <w:b/>
          <w:sz w:val="22"/>
        </w:rPr>
        <w:t>State </w:t>
      </w:r>
      <w:r>
        <w:rPr>
          <w:b/>
          <w:w w:val="95"/>
          <w:sz w:val="22"/>
        </w:rPr>
        <w:t>Revenue</w:t>
      </w:r>
    </w:p>
    <w:p>
      <w:pPr>
        <w:pStyle w:val="BodyText"/>
        <w:spacing w:before="7"/>
        <w:rPr>
          <w:b/>
          <w:sz w:val="24"/>
        </w:rPr>
      </w:pPr>
      <w:r>
        <w:rPr/>
        <w:br w:type="column"/>
      </w:r>
      <w:r>
        <w:rPr>
          <w:b/>
          <w:sz w:val="24"/>
        </w:rPr>
      </w:r>
    </w:p>
    <w:p>
      <w:pPr>
        <w:spacing w:line="266" w:lineRule="auto" w:before="0"/>
        <w:ind w:left="1410" w:right="-15" w:firstLine="11"/>
        <w:jc w:val="left"/>
        <w:rPr>
          <w:b/>
          <w:sz w:val="22"/>
        </w:rPr>
      </w:pPr>
      <w:r>
        <w:rPr>
          <w:b/>
          <w:sz w:val="22"/>
        </w:rPr>
        <w:t>Strategy and </w:t>
      </w:r>
      <w:r>
        <w:rPr>
          <w:b/>
          <w:spacing w:val="-1"/>
          <w:sz w:val="22"/>
        </w:rPr>
        <w:t>Coordination</w:t>
      </w:r>
    </w:p>
    <w:p>
      <w:pPr>
        <w:pStyle w:val="BodyText"/>
        <w:spacing w:before="7"/>
        <w:rPr>
          <w:b/>
          <w:sz w:val="24"/>
        </w:rPr>
      </w:pPr>
      <w:r>
        <w:rPr/>
        <w:br w:type="column"/>
      </w:r>
      <w:r>
        <w:rPr>
          <w:b/>
          <w:sz w:val="24"/>
        </w:rPr>
      </w:r>
    </w:p>
    <w:p>
      <w:pPr>
        <w:spacing w:line="266" w:lineRule="auto" w:before="0"/>
        <w:ind w:left="1333" w:right="1409" w:firstLine="0"/>
        <w:jc w:val="center"/>
        <w:rPr>
          <w:b/>
          <w:sz w:val="22"/>
        </w:rPr>
      </w:pPr>
      <w:r>
        <w:rPr>
          <w:b/>
          <w:sz w:val="22"/>
        </w:rPr>
        <w:t>Corporate Services</w:t>
      </w:r>
    </w:p>
    <w:p>
      <w:pPr>
        <w:spacing w:after="0" w:line="266" w:lineRule="auto"/>
        <w:jc w:val="center"/>
        <w:rPr>
          <w:sz w:val="22"/>
        </w:rPr>
        <w:sectPr>
          <w:type w:val="continuous"/>
          <w:pgSz w:w="16840" w:h="11910" w:orient="landscape"/>
          <w:pgMar w:top="1100" w:bottom="280" w:left="0" w:right="0"/>
          <w:cols w:num="3" w:equalWidth="0">
            <w:col w:w="10175" w:space="40"/>
            <w:col w:w="2772" w:space="39"/>
            <w:col w:w="3814"/>
          </w:cols>
        </w:sectPr>
      </w:pPr>
    </w:p>
    <w:p>
      <w:pPr>
        <w:pStyle w:val="BodyText"/>
        <w:spacing w:before="2"/>
        <w:rPr>
          <w:b/>
          <w:sz w:val="25"/>
        </w:rPr>
      </w:pPr>
    </w:p>
    <w:p>
      <w:pPr>
        <w:spacing w:after="0"/>
        <w:rPr>
          <w:sz w:val="25"/>
        </w:rPr>
        <w:sectPr>
          <w:type w:val="continuous"/>
          <w:pgSz w:w="16840" w:h="11910" w:orient="landscape"/>
          <w:pgMar w:top="1100" w:bottom="280" w:left="0" w:right="0"/>
        </w:sectPr>
      </w:pPr>
    </w:p>
    <w:p>
      <w:pPr>
        <w:spacing w:before="108"/>
        <w:ind w:left="0" w:right="0" w:firstLine="0"/>
        <w:jc w:val="right"/>
        <w:rPr>
          <w:b/>
          <w:sz w:val="22"/>
        </w:rPr>
      </w:pPr>
      <w:r>
        <w:rPr>
          <w:b/>
          <w:sz w:val="22"/>
        </w:rPr>
        <w:t>Nicki Suchenia</w:t>
      </w:r>
    </w:p>
    <w:p>
      <w:pPr>
        <w:spacing w:before="44"/>
        <w:ind w:left="0" w:right="283" w:firstLine="0"/>
        <w:jc w:val="right"/>
        <w:rPr>
          <w:sz w:val="16"/>
        </w:rPr>
      </w:pPr>
      <w:r>
        <w:rPr>
          <w:w w:val="95"/>
          <w:sz w:val="16"/>
        </w:rPr>
        <w:t>Commissioner</w:t>
      </w:r>
    </w:p>
    <w:p>
      <w:pPr>
        <w:pStyle w:val="Heading6"/>
        <w:spacing w:before="108"/>
        <w:ind w:left="840"/>
        <w:jc w:val="center"/>
      </w:pPr>
      <w:r>
        <w:rPr>
          <w:b w:val="0"/>
        </w:rPr>
        <w:br w:type="column"/>
      </w:r>
      <w:r>
        <w:rPr/>
        <w:t>Shaun </w:t>
      </w:r>
      <w:r>
        <w:rPr>
          <w:spacing w:val="-3"/>
        </w:rPr>
        <w:t>Whitmarsh</w:t>
      </w:r>
    </w:p>
    <w:p>
      <w:pPr>
        <w:spacing w:before="44"/>
        <w:ind w:left="840" w:right="0" w:firstLine="0"/>
        <w:jc w:val="center"/>
        <w:rPr>
          <w:sz w:val="16"/>
        </w:rPr>
      </w:pPr>
      <w:r>
        <w:rPr>
          <w:sz w:val="16"/>
        </w:rPr>
        <w:t>Executive Director</w:t>
      </w:r>
    </w:p>
    <w:p>
      <w:pPr>
        <w:pStyle w:val="Heading6"/>
        <w:spacing w:before="108"/>
        <w:ind w:left="1024"/>
      </w:pPr>
      <w:r>
        <w:rPr>
          <w:b w:val="0"/>
        </w:rPr>
        <w:br w:type="column"/>
      </w:r>
      <w:r>
        <w:rPr/>
        <w:t>Andy</w:t>
      </w:r>
      <w:r>
        <w:rPr>
          <w:spacing w:val="-18"/>
        </w:rPr>
        <w:t> </w:t>
      </w:r>
      <w:r>
        <w:rPr>
          <w:spacing w:val="-3"/>
        </w:rPr>
        <w:t>Wood</w:t>
      </w:r>
    </w:p>
    <w:p>
      <w:pPr>
        <w:spacing w:before="44"/>
        <w:ind w:left="999" w:right="0" w:firstLine="0"/>
        <w:jc w:val="left"/>
        <w:rPr>
          <w:sz w:val="16"/>
        </w:rPr>
      </w:pPr>
      <w:r>
        <w:rPr>
          <w:w w:val="95"/>
          <w:sz w:val="16"/>
        </w:rPr>
        <w:t>Executive</w:t>
      </w:r>
      <w:r>
        <w:rPr>
          <w:spacing w:val="8"/>
          <w:w w:val="95"/>
          <w:sz w:val="16"/>
        </w:rPr>
        <w:t> </w:t>
      </w:r>
      <w:r>
        <w:rPr>
          <w:w w:val="95"/>
          <w:sz w:val="16"/>
        </w:rPr>
        <w:t>Director</w:t>
      </w:r>
    </w:p>
    <w:p>
      <w:pPr>
        <w:spacing w:after="0"/>
        <w:jc w:val="left"/>
        <w:rPr>
          <w:sz w:val="16"/>
        </w:rPr>
        <w:sectPr>
          <w:type w:val="continuous"/>
          <w:pgSz w:w="16840" w:h="11910" w:orient="landscape"/>
          <w:pgMar w:top="1100" w:bottom="280" w:left="0" w:right="0"/>
          <w:cols w:num="3" w:equalWidth="0">
            <w:col w:w="10498" w:space="40"/>
            <w:col w:w="2695" w:space="39"/>
            <w:col w:w="3568"/>
          </w:cols>
        </w:sect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spacing w:before="103"/>
        <w:ind w:right="962"/>
        <w:jc w:val="right"/>
      </w:pPr>
      <w:r>
        <w:rPr/>
        <w:t>at June 2018</w:t>
      </w:r>
    </w:p>
    <w:p>
      <w:pPr>
        <w:spacing w:after="0"/>
        <w:jc w:val="right"/>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5"/>
        <w:rPr>
          <w:sz w:val="19"/>
        </w:rPr>
      </w:pPr>
    </w:p>
    <w:p>
      <w:pPr>
        <w:spacing w:line="249" w:lineRule="auto" w:before="111"/>
        <w:ind w:left="765" w:right="1201" w:firstLine="0"/>
        <w:jc w:val="left"/>
        <w:rPr>
          <w:sz w:val="36"/>
        </w:rPr>
      </w:pPr>
      <w:r>
        <w:rPr/>
        <w:pict>
          <v:shape style="position:absolute;margin-left:601.348999pt;margin-top:-66.456223pt;width:120.3pt;height:42.55pt;mso-position-horizontal-relative:page;mso-position-vertical-relative:paragraph;z-index:2872"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6.456223pt;width:120.3pt;height:42.55pt;mso-position-horizontal-relative:page;mso-position-vertical-relative:paragraph;z-index:2896"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66.456223pt;width:120.3pt;height:42.55pt;mso-position-horizontal-relative:page;mso-position-vertical-relative:paragraph;z-index:2920" type="#_x0000_t202" filled="false"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w10:wrap type="none"/>
          </v:shape>
        </w:pict>
      </w:r>
      <w:r>
        <w:rPr>
          <w:color w:val="6F2770"/>
          <w:sz w:val="36"/>
        </w:rPr>
        <w:t>The</w:t>
      </w:r>
      <w:r>
        <w:rPr>
          <w:color w:val="6F2770"/>
          <w:spacing w:val="-39"/>
          <w:sz w:val="36"/>
        </w:rPr>
        <w:t> </w:t>
      </w:r>
      <w:r>
        <w:rPr>
          <w:color w:val="6F2770"/>
          <w:sz w:val="36"/>
        </w:rPr>
        <w:t>Department</w:t>
      </w:r>
      <w:r>
        <w:rPr>
          <w:color w:val="6F2770"/>
          <w:spacing w:val="-39"/>
          <w:sz w:val="36"/>
        </w:rPr>
        <w:t> </w:t>
      </w:r>
      <w:r>
        <w:rPr>
          <w:color w:val="6F2770"/>
          <w:sz w:val="36"/>
        </w:rPr>
        <w:t>of</w:t>
      </w:r>
      <w:r>
        <w:rPr>
          <w:color w:val="6F2770"/>
          <w:spacing w:val="-38"/>
          <w:sz w:val="36"/>
        </w:rPr>
        <w:t> </w:t>
      </w:r>
      <w:r>
        <w:rPr>
          <w:color w:val="6F2770"/>
          <w:sz w:val="36"/>
        </w:rPr>
        <w:t>Finance</w:t>
      </w:r>
      <w:r>
        <w:rPr>
          <w:color w:val="6F2770"/>
          <w:spacing w:val="-39"/>
          <w:sz w:val="36"/>
        </w:rPr>
        <w:t> </w:t>
      </w:r>
      <w:r>
        <w:rPr>
          <w:color w:val="6F2770"/>
          <w:sz w:val="36"/>
        </w:rPr>
        <w:t>vision</w:t>
      </w:r>
      <w:r>
        <w:rPr>
          <w:color w:val="6F2770"/>
          <w:spacing w:val="-38"/>
          <w:sz w:val="36"/>
        </w:rPr>
        <w:t> </w:t>
      </w:r>
      <w:r>
        <w:rPr>
          <w:color w:val="6F2770"/>
          <w:sz w:val="36"/>
        </w:rPr>
        <w:t>is</w:t>
      </w:r>
      <w:r>
        <w:rPr>
          <w:color w:val="6F2770"/>
          <w:spacing w:val="-39"/>
          <w:sz w:val="36"/>
        </w:rPr>
        <w:t> </w:t>
      </w:r>
      <w:r>
        <w:rPr>
          <w:color w:val="6F2770"/>
          <w:sz w:val="36"/>
        </w:rPr>
        <w:t>driving</w:t>
      </w:r>
      <w:r>
        <w:rPr>
          <w:color w:val="6F2770"/>
          <w:spacing w:val="-38"/>
          <w:sz w:val="36"/>
        </w:rPr>
        <w:t> </w:t>
      </w:r>
      <w:r>
        <w:rPr>
          <w:color w:val="6F2770"/>
          <w:sz w:val="36"/>
        </w:rPr>
        <w:t>practical,</w:t>
      </w:r>
      <w:r>
        <w:rPr>
          <w:color w:val="6F2770"/>
          <w:spacing w:val="-39"/>
          <w:sz w:val="36"/>
        </w:rPr>
        <w:t> </w:t>
      </w:r>
      <w:r>
        <w:rPr>
          <w:color w:val="6F2770"/>
          <w:sz w:val="36"/>
        </w:rPr>
        <w:t>cost-effective</w:t>
      </w:r>
      <w:r>
        <w:rPr>
          <w:color w:val="6F2770"/>
          <w:spacing w:val="-38"/>
          <w:sz w:val="36"/>
        </w:rPr>
        <w:t> </w:t>
      </w:r>
      <w:r>
        <w:rPr>
          <w:color w:val="6F2770"/>
          <w:sz w:val="36"/>
        </w:rPr>
        <w:t>and</w:t>
      </w:r>
      <w:r>
        <w:rPr>
          <w:color w:val="6F2770"/>
          <w:spacing w:val="-39"/>
          <w:sz w:val="36"/>
        </w:rPr>
        <w:t> </w:t>
      </w:r>
      <w:r>
        <w:rPr>
          <w:color w:val="6F2770"/>
          <w:sz w:val="36"/>
        </w:rPr>
        <w:t>quality</w:t>
      </w:r>
      <w:r>
        <w:rPr>
          <w:color w:val="6F2770"/>
          <w:spacing w:val="-39"/>
          <w:sz w:val="36"/>
        </w:rPr>
        <w:t> </w:t>
      </w:r>
      <w:r>
        <w:rPr>
          <w:color w:val="6F2770"/>
          <w:sz w:val="36"/>
        </w:rPr>
        <w:t>outcomes</w:t>
      </w:r>
      <w:r>
        <w:rPr>
          <w:color w:val="6F2770"/>
          <w:spacing w:val="-38"/>
          <w:sz w:val="36"/>
        </w:rPr>
        <w:t> </w:t>
      </w:r>
      <w:r>
        <w:rPr>
          <w:color w:val="6F2770"/>
          <w:spacing w:val="-5"/>
          <w:sz w:val="36"/>
        </w:rPr>
        <w:t>across </w:t>
      </w:r>
      <w:r>
        <w:rPr>
          <w:color w:val="6F2770"/>
          <w:sz w:val="36"/>
        </w:rPr>
        <w:t>government to benefit Western</w:t>
      </w:r>
      <w:r>
        <w:rPr>
          <w:color w:val="6F2770"/>
          <w:spacing w:val="-11"/>
          <w:sz w:val="36"/>
        </w:rPr>
        <w:t> </w:t>
      </w:r>
      <w:r>
        <w:rPr>
          <w:color w:val="6F2770"/>
          <w:sz w:val="36"/>
        </w:rPr>
        <w:t>Australians.</w:t>
      </w:r>
    </w:p>
    <w:p>
      <w:pPr>
        <w:pStyle w:val="BodyText"/>
        <w:spacing w:before="11"/>
        <w:rPr>
          <w:sz w:val="24"/>
        </w:rPr>
      </w:pPr>
    </w:p>
    <w:p>
      <w:pPr>
        <w:spacing w:after="0"/>
        <w:rPr>
          <w:sz w:val="24"/>
        </w:rPr>
        <w:sectPr>
          <w:footerReference w:type="default" r:id="rId24"/>
          <w:pgSz w:w="16840" w:h="11910" w:orient="landscape"/>
          <w:pgMar w:footer="0" w:header="0" w:top="0" w:bottom="0" w:left="0" w:right="0"/>
        </w:sectPr>
      </w:pPr>
    </w:p>
    <w:p>
      <w:pPr>
        <w:spacing w:line="249" w:lineRule="auto" w:before="106"/>
        <w:ind w:left="768" w:right="86" w:firstLine="0"/>
        <w:jc w:val="left"/>
        <w:rPr>
          <w:sz w:val="22"/>
        </w:rPr>
      </w:pPr>
      <w:r>
        <w:rPr>
          <w:sz w:val="22"/>
        </w:rPr>
        <w:t>The</w:t>
      </w:r>
      <w:r>
        <w:rPr>
          <w:spacing w:val="-24"/>
          <w:sz w:val="22"/>
        </w:rPr>
        <w:t> </w:t>
      </w:r>
      <w:r>
        <w:rPr>
          <w:sz w:val="22"/>
        </w:rPr>
        <w:t>Department</w:t>
      </w:r>
      <w:r>
        <w:rPr>
          <w:spacing w:val="-23"/>
          <w:sz w:val="22"/>
        </w:rPr>
        <w:t> </w:t>
      </w:r>
      <w:r>
        <w:rPr>
          <w:sz w:val="22"/>
        </w:rPr>
        <w:t>of</w:t>
      </w:r>
      <w:r>
        <w:rPr>
          <w:spacing w:val="-23"/>
          <w:sz w:val="22"/>
        </w:rPr>
        <w:t> </w:t>
      </w:r>
      <w:r>
        <w:rPr>
          <w:sz w:val="22"/>
        </w:rPr>
        <w:t>Finance</w:t>
      </w:r>
      <w:r>
        <w:rPr>
          <w:spacing w:val="-23"/>
          <w:sz w:val="22"/>
        </w:rPr>
        <w:t> </w:t>
      </w:r>
      <w:r>
        <w:rPr>
          <w:sz w:val="22"/>
        </w:rPr>
        <w:t>was</w:t>
      </w:r>
      <w:r>
        <w:rPr>
          <w:spacing w:val="-23"/>
          <w:sz w:val="22"/>
        </w:rPr>
        <w:t> </w:t>
      </w:r>
      <w:r>
        <w:rPr>
          <w:sz w:val="22"/>
        </w:rPr>
        <w:t>established</w:t>
      </w:r>
      <w:r>
        <w:rPr>
          <w:spacing w:val="-23"/>
          <w:sz w:val="22"/>
        </w:rPr>
        <w:t> </w:t>
      </w:r>
      <w:r>
        <w:rPr>
          <w:sz w:val="22"/>
        </w:rPr>
        <w:t>as</w:t>
      </w:r>
      <w:r>
        <w:rPr>
          <w:spacing w:val="-23"/>
          <w:sz w:val="22"/>
        </w:rPr>
        <w:t> </w:t>
      </w:r>
      <w:r>
        <w:rPr>
          <w:sz w:val="22"/>
        </w:rPr>
        <w:t>a department on 1 July </w:t>
      </w:r>
      <w:r>
        <w:rPr>
          <w:spacing w:val="-12"/>
          <w:sz w:val="22"/>
        </w:rPr>
        <w:t>2011, </w:t>
      </w:r>
      <w:r>
        <w:rPr>
          <w:sz w:val="22"/>
        </w:rPr>
        <w:t>under section 35 of the </w:t>
      </w:r>
      <w:r>
        <w:rPr>
          <w:i/>
          <w:sz w:val="22"/>
        </w:rPr>
        <w:t>Public Sector Management Act</w:t>
      </w:r>
      <w:r>
        <w:rPr>
          <w:i/>
          <w:spacing w:val="-26"/>
          <w:sz w:val="22"/>
        </w:rPr>
        <w:t> </w:t>
      </w:r>
      <w:r>
        <w:rPr>
          <w:i/>
          <w:spacing w:val="-6"/>
          <w:sz w:val="22"/>
        </w:rPr>
        <w:t>1994</w:t>
      </w:r>
      <w:r>
        <w:rPr>
          <w:spacing w:val="-6"/>
          <w:sz w:val="22"/>
        </w:rPr>
        <w:t>.</w:t>
      </w:r>
    </w:p>
    <w:p>
      <w:pPr>
        <w:pStyle w:val="BodyText"/>
        <w:spacing w:before="2"/>
        <w:rPr>
          <w:sz w:val="23"/>
        </w:rPr>
      </w:pPr>
    </w:p>
    <w:p>
      <w:pPr>
        <w:pStyle w:val="BodyText"/>
        <w:spacing w:line="249" w:lineRule="auto" w:before="1"/>
        <w:ind w:left="768" w:right="-6"/>
      </w:pPr>
      <w:r>
        <w:rPr/>
        <w:t>The</w:t>
      </w:r>
      <w:r>
        <w:rPr>
          <w:spacing w:val="-22"/>
        </w:rPr>
        <w:t> </w:t>
      </w:r>
      <w:r>
        <w:rPr/>
        <w:t>Department</w:t>
      </w:r>
      <w:r>
        <w:rPr>
          <w:spacing w:val="-21"/>
        </w:rPr>
        <w:t> </w:t>
      </w:r>
      <w:r>
        <w:rPr/>
        <w:t>of</w:t>
      </w:r>
      <w:r>
        <w:rPr>
          <w:spacing w:val="-21"/>
        </w:rPr>
        <w:t> </w:t>
      </w:r>
      <w:r>
        <w:rPr/>
        <w:t>Finance</w:t>
      </w:r>
      <w:r>
        <w:rPr>
          <w:spacing w:val="-21"/>
        </w:rPr>
        <w:t> </w:t>
      </w:r>
      <w:r>
        <w:rPr/>
        <w:t>reports</w:t>
      </w:r>
      <w:r>
        <w:rPr>
          <w:spacing w:val="-21"/>
        </w:rPr>
        <w:t> </w:t>
      </w:r>
      <w:r>
        <w:rPr>
          <w:spacing w:val="-3"/>
        </w:rPr>
        <w:t>to</w:t>
      </w:r>
      <w:r>
        <w:rPr>
          <w:spacing w:val="-22"/>
        </w:rPr>
        <w:t> </w:t>
      </w:r>
      <w:r>
        <w:rPr/>
        <w:t>the</w:t>
      </w:r>
      <w:r>
        <w:rPr>
          <w:spacing w:val="-21"/>
        </w:rPr>
        <w:t> </w:t>
      </w:r>
      <w:r>
        <w:rPr/>
        <w:t>Minister for</w:t>
      </w:r>
      <w:r>
        <w:rPr>
          <w:spacing w:val="-10"/>
        </w:rPr>
        <w:t> </w:t>
      </w:r>
      <w:r>
        <w:rPr/>
        <w:t>Finance,</w:t>
      </w:r>
      <w:r>
        <w:rPr>
          <w:spacing w:val="-9"/>
        </w:rPr>
        <w:t> </w:t>
      </w:r>
      <w:r>
        <w:rPr/>
        <w:t>held</w:t>
      </w:r>
      <w:r>
        <w:rPr>
          <w:spacing w:val="-10"/>
        </w:rPr>
        <w:t> </w:t>
      </w:r>
      <w:r>
        <w:rPr/>
        <w:t>by</w:t>
      </w:r>
      <w:r>
        <w:rPr>
          <w:spacing w:val="-9"/>
        </w:rPr>
        <w:t> </w:t>
      </w:r>
      <w:r>
        <w:rPr/>
        <w:t>the</w:t>
      </w:r>
      <w:r>
        <w:rPr>
          <w:spacing w:val="-9"/>
        </w:rPr>
        <w:t> </w:t>
      </w:r>
      <w:r>
        <w:rPr/>
        <w:t>Hon</w:t>
      </w:r>
      <w:r>
        <w:rPr>
          <w:spacing w:val="-10"/>
        </w:rPr>
        <w:t> </w:t>
      </w:r>
      <w:r>
        <w:rPr/>
        <w:t>Ben</w:t>
      </w:r>
      <w:r>
        <w:rPr>
          <w:spacing w:val="-9"/>
        </w:rPr>
        <w:t> </w:t>
      </w:r>
      <w:r>
        <w:rPr/>
        <w:t>Wyatt</w:t>
      </w:r>
      <w:r>
        <w:rPr>
          <w:spacing w:val="-9"/>
        </w:rPr>
        <w:t> </w:t>
      </w:r>
      <w:r>
        <w:rPr>
          <w:spacing w:val="3"/>
        </w:rPr>
        <w:t>MLA.</w:t>
      </w:r>
    </w:p>
    <w:p>
      <w:pPr>
        <w:pStyle w:val="BodyText"/>
        <w:spacing w:before="1"/>
        <w:rPr>
          <w:sz w:val="23"/>
        </w:rPr>
      </w:pPr>
    </w:p>
    <w:p>
      <w:pPr>
        <w:pStyle w:val="BodyText"/>
        <w:spacing w:line="249" w:lineRule="auto"/>
        <w:ind w:left="768" w:right="86"/>
      </w:pPr>
      <w:hyperlink r:id="rId25">
        <w:r>
          <w:rPr>
            <w:b/>
            <w:color w:val="753972"/>
            <w:u w:val="single" w:color="753972"/>
          </w:rPr>
          <w:t>Strategic Directions 2018-2022</w:t>
        </w:r>
        <w:r>
          <w:rPr>
            <w:b/>
            <w:color w:val="753972"/>
          </w:rPr>
          <w:t> </w:t>
        </w:r>
      </w:hyperlink>
      <w:r>
        <w:rPr/>
        <w:t>outlines </w:t>
      </w:r>
      <w:r>
        <w:rPr>
          <w:spacing w:val="-4"/>
        </w:rPr>
        <w:t>Finance’s</w:t>
      </w:r>
      <w:r>
        <w:rPr>
          <w:spacing w:val="-23"/>
        </w:rPr>
        <w:t> </w:t>
      </w:r>
      <w:r>
        <w:rPr/>
        <w:t>vision</w:t>
      </w:r>
      <w:r>
        <w:rPr>
          <w:spacing w:val="-22"/>
        </w:rPr>
        <w:t> </w:t>
      </w:r>
      <w:r>
        <w:rPr>
          <w:spacing w:val="-2"/>
        </w:rPr>
        <w:t>for</w:t>
      </w:r>
      <w:r>
        <w:rPr>
          <w:spacing w:val="-22"/>
        </w:rPr>
        <w:t> </w:t>
      </w:r>
      <w:r>
        <w:rPr/>
        <w:t>the</w:t>
      </w:r>
      <w:r>
        <w:rPr>
          <w:spacing w:val="-22"/>
        </w:rPr>
        <w:t> </w:t>
      </w:r>
      <w:r>
        <w:rPr>
          <w:spacing w:val="-3"/>
        </w:rPr>
        <w:t>future,</w:t>
      </w:r>
      <w:r>
        <w:rPr>
          <w:spacing w:val="-22"/>
        </w:rPr>
        <w:t> </w:t>
      </w:r>
      <w:r>
        <w:rPr>
          <w:spacing w:val="-3"/>
        </w:rPr>
        <w:t>how</w:t>
      </w:r>
      <w:r>
        <w:rPr>
          <w:spacing w:val="-22"/>
        </w:rPr>
        <w:t> </w:t>
      </w:r>
      <w:r>
        <w:rPr/>
        <w:t>it</w:t>
      </w:r>
      <w:r>
        <w:rPr>
          <w:spacing w:val="-22"/>
        </w:rPr>
        <w:t> </w:t>
      </w:r>
      <w:r>
        <w:rPr/>
        <w:t>will</w:t>
      </w:r>
      <w:r>
        <w:rPr>
          <w:spacing w:val="-22"/>
        </w:rPr>
        <w:t> </w:t>
      </w:r>
      <w:r>
        <w:rPr/>
        <w:t>bring</w:t>
      </w:r>
      <w:r>
        <w:rPr>
          <w:spacing w:val="-22"/>
        </w:rPr>
        <w:t> </w:t>
      </w:r>
      <w:r>
        <w:rPr>
          <w:spacing w:val="-3"/>
        </w:rPr>
        <w:t>this </w:t>
      </w:r>
      <w:r>
        <w:rPr/>
        <w:t>vision</w:t>
      </w:r>
      <w:r>
        <w:rPr>
          <w:spacing w:val="-27"/>
        </w:rPr>
        <w:t> </w:t>
      </w:r>
      <w:r>
        <w:rPr>
          <w:spacing w:val="-4"/>
        </w:rPr>
        <w:t>to</w:t>
      </w:r>
      <w:r>
        <w:rPr>
          <w:spacing w:val="-27"/>
        </w:rPr>
        <w:t> </w:t>
      </w:r>
      <w:r>
        <w:rPr/>
        <w:t>life</w:t>
      </w:r>
      <w:r>
        <w:rPr>
          <w:spacing w:val="-27"/>
        </w:rPr>
        <w:t> </w:t>
      </w:r>
      <w:r>
        <w:rPr/>
        <w:t>and</w:t>
      </w:r>
      <w:r>
        <w:rPr>
          <w:spacing w:val="-27"/>
        </w:rPr>
        <w:t> </w:t>
      </w:r>
      <w:r>
        <w:rPr>
          <w:spacing w:val="-3"/>
        </w:rPr>
        <w:t>ultimately</w:t>
      </w:r>
      <w:r>
        <w:rPr>
          <w:spacing w:val="-27"/>
        </w:rPr>
        <w:t> </w:t>
      </w:r>
      <w:r>
        <w:rPr/>
        <w:t>make</w:t>
      </w:r>
      <w:r>
        <w:rPr>
          <w:spacing w:val="-27"/>
        </w:rPr>
        <w:t> </w:t>
      </w:r>
      <w:r>
        <w:rPr/>
        <w:t>a</w:t>
      </w:r>
      <w:r>
        <w:rPr>
          <w:spacing w:val="-27"/>
        </w:rPr>
        <w:t> </w:t>
      </w:r>
      <w:r>
        <w:rPr/>
        <w:t>real</w:t>
      </w:r>
      <w:r>
        <w:rPr>
          <w:spacing w:val="-27"/>
        </w:rPr>
        <w:t> </w:t>
      </w:r>
      <w:r>
        <w:rPr/>
        <w:t>difference </w:t>
      </w:r>
      <w:r>
        <w:rPr>
          <w:spacing w:val="-2"/>
        </w:rPr>
        <w:t>for</w:t>
      </w:r>
      <w:r>
        <w:rPr>
          <w:spacing w:val="-28"/>
        </w:rPr>
        <w:t> </w:t>
      </w:r>
      <w:r>
        <w:rPr/>
        <w:t>the</w:t>
      </w:r>
      <w:r>
        <w:rPr>
          <w:spacing w:val="-28"/>
        </w:rPr>
        <w:t> </w:t>
      </w:r>
      <w:r>
        <w:rPr/>
        <w:t>benefit</w:t>
      </w:r>
      <w:r>
        <w:rPr>
          <w:spacing w:val="-28"/>
        </w:rPr>
        <w:t> </w:t>
      </w:r>
      <w:r>
        <w:rPr>
          <w:spacing w:val="-3"/>
        </w:rPr>
        <w:t>of</w:t>
      </w:r>
      <w:r>
        <w:rPr>
          <w:spacing w:val="-28"/>
        </w:rPr>
        <w:t> </w:t>
      </w:r>
      <w:r>
        <w:rPr/>
        <w:t>all</w:t>
      </w:r>
      <w:r>
        <w:rPr>
          <w:spacing w:val="-28"/>
        </w:rPr>
        <w:t> </w:t>
      </w:r>
      <w:r>
        <w:rPr>
          <w:spacing w:val="-3"/>
        </w:rPr>
        <w:t>Western</w:t>
      </w:r>
      <w:r>
        <w:rPr>
          <w:spacing w:val="-28"/>
        </w:rPr>
        <w:t> </w:t>
      </w:r>
      <w:r>
        <w:rPr>
          <w:spacing w:val="-2"/>
        </w:rPr>
        <w:t>Australians.</w:t>
      </w:r>
      <w:r>
        <w:rPr>
          <w:spacing w:val="-28"/>
        </w:rPr>
        <w:t> </w:t>
      </w:r>
      <w:r>
        <w:rPr/>
        <w:t>Finance will continually </w:t>
      </w:r>
      <w:r>
        <w:rPr>
          <w:spacing w:val="-3"/>
        </w:rPr>
        <w:t>take steps </w:t>
      </w:r>
      <w:r>
        <w:rPr>
          <w:spacing w:val="-4"/>
        </w:rPr>
        <w:t>to </w:t>
      </w:r>
      <w:r>
        <w:rPr/>
        <w:t>be a contemporary department </w:t>
      </w:r>
      <w:r>
        <w:rPr>
          <w:spacing w:val="-3"/>
        </w:rPr>
        <w:t>that </w:t>
      </w:r>
      <w:r>
        <w:rPr/>
        <w:t>is dynamic, provides practical solutions and works purposefully </w:t>
      </w:r>
      <w:r>
        <w:rPr>
          <w:spacing w:val="-4"/>
        </w:rPr>
        <w:t>to </w:t>
      </w:r>
      <w:r>
        <w:rPr/>
        <w:t>deliver </w:t>
      </w:r>
      <w:r>
        <w:rPr>
          <w:spacing w:val="-3"/>
        </w:rPr>
        <w:t>outcomes.</w:t>
      </w:r>
    </w:p>
    <w:p>
      <w:pPr>
        <w:pStyle w:val="BodyText"/>
        <w:spacing w:line="249" w:lineRule="auto" w:before="106"/>
        <w:ind w:left="526" w:right="-8"/>
      </w:pPr>
      <w:r>
        <w:rPr/>
        <w:br w:type="column"/>
      </w:r>
      <w:r>
        <w:rPr/>
        <w:t>Strategic</w:t>
      </w:r>
      <w:r>
        <w:rPr>
          <w:spacing w:val="-24"/>
        </w:rPr>
        <w:t> </w:t>
      </w:r>
      <w:r>
        <w:rPr/>
        <w:t>Directions</w:t>
      </w:r>
      <w:r>
        <w:rPr>
          <w:spacing w:val="-24"/>
        </w:rPr>
        <w:t> </w:t>
      </w:r>
      <w:r>
        <w:rPr/>
        <w:t>builds</w:t>
      </w:r>
      <w:r>
        <w:rPr>
          <w:spacing w:val="-24"/>
        </w:rPr>
        <w:t> </w:t>
      </w:r>
      <w:r>
        <w:rPr/>
        <w:t>on</w:t>
      </w:r>
      <w:r>
        <w:rPr>
          <w:spacing w:val="-24"/>
        </w:rPr>
        <w:t> </w:t>
      </w:r>
      <w:r>
        <w:rPr/>
        <w:t>a</w:t>
      </w:r>
      <w:r>
        <w:rPr>
          <w:spacing w:val="-24"/>
        </w:rPr>
        <w:t> </w:t>
      </w:r>
      <w:r>
        <w:rPr/>
        <w:t>strong</w:t>
      </w:r>
      <w:r>
        <w:rPr>
          <w:spacing w:val="-24"/>
        </w:rPr>
        <w:t> </w:t>
      </w:r>
      <w:r>
        <w:rPr/>
        <w:t>foundation of excellent relationships, effective and efficient systems and processes, and a highly capable workforce.</w:t>
      </w:r>
    </w:p>
    <w:p>
      <w:pPr>
        <w:pStyle w:val="BodyText"/>
        <w:spacing w:before="3"/>
        <w:rPr>
          <w:sz w:val="23"/>
        </w:rPr>
      </w:pPr>
    </w:p>
    <w:p>
      <w:pPr>
        <w:pStyle w:val="BodyText"/>
        <w:spacing w:line="249" w:lineRule="auto"/>
        <w:ind w:left="526" w:right="240"/>
      </w:pPr>
      <w:r>
        <w:rPr/>
        <w:t>It</w:t>
      </w:r>
      <w:r>
        <w:rPr>
          <w:spacing w:val="-17"/>
        </w:rPr>
        <w:t> </w:t>
      </w:r>
      <w:r>
        <w:rPr/>
        <w:t>challenges</w:t>
      </w:r>
      <w:r>
        <w:rPr>
          <w:spacing w:val="-17"/>
        </w:rPr>
        <w:t> </w:t>
      </w:r>
      <w:r>
        <w:rPr/>
        <w:t>staff</w:t>
      </w:r>
      <w:r>
        <w:rPr>
          <w:spacing w:val="-17"/>
        </w:rPr>
        <w:t> </w:t>
      </w:r>
      <w:r>
        <w:rPr>
          <w:spacing w:val="-3"/>
        </w:rPr>
        <w:t>to</w:t>
      </w:r>
      <w:r>
        <w:rPr>
          <w:spacing w:val="-16"/>
        </w:rPr>
        <w:t> </w:t>
      </w:r>
      <w:r>
        <w:rPr/>
        <w:t>be</w:t>
      </w:r>
      <w:r>
        <w:rPr>
          <w:spacing w:val="-17"/>
        </w:rPr>
        <w:t> </w:t>
      </w:r>
      <w:r>
        <w:rPr/>
        <w:t>customer</w:t>
      </w:r>
      <w:r>
        <w:rPr>
          <w:spacing w:val="-17"/>
        </w:rPr>
        <w:t> </w:t>
      </w:r>
      <w:r>
        <w:rPr/>
        <w:t>centric,</w:t>
      </w:r>
      <w:r>
        <w:rPr>
          <w:spacing w:val="-16"/>
        </w:rPr>
        <w:t> </w:t>
      </w:r>
      <w:r>
        <w:rPr/>
        <w:t>think about the way services are delivered, and </w:t>
      </w:r>
      <w:r>
        <w:rPr>
          <w:spacing w:val="-3"/>
        </w:rPr>
        <w:t>to </w:t>
      </w:r>
      <w:r>
        <w:rPr/>
        <w:t>remain focused on government goals and objectives.</w:t>
      </w:r>
    </w:p>
    <w:p>
      <w:pPr>
        <w:pStyle w:val="BodyText"/>
        <w:spacing w:before="3"/>
        <w:rPr>
          <w:sz w:val="23"/>
        </w:rPr>
      </w:pPr>
    </w:p>
    <w:p>
      <w:pPr>
        <w:pStyle w:val="BodyText"/>
        <w:spacing w:line="249" w:lineRule="auto" w:before="1"/>
        <w:ind w:left="526" w:right="96"/>
      </w:pPr>
      <w:r>
        <w:rPr/>
        <w:t>By continuing </w:t>
      </w:r>
      <w:r>
        <w:rPr>
          <w:spacing w:val="-3"/>
        </w:rPr>
        <w:t>to </w:t>
      </w:r>
      <w:r>
        <w:rPr/>
        <w:t>promote a culture of inspired, inquisitive</w:t>
      </w:r>
      <w:r>
        <w:rPr>
          <w:spacing w:val="-21"/>
        </w:rPr>
        <w:t> </w:t>
      </w:r>
      <w:r>
        <w:rPr/>
        <w:t>and</w:t>
      </w:r>
      <w:r>
        <w:rPr>
          <w:spacing w:val="-20"/>
        </w:rPr>
        <w:t> </w:t>
      </w:r>
      <w:r>
        <w:rPr/>
        <w:t>capable</w:t>
      </w:r>
      <w:r>
        <w:rPr>
          <w:spacing w:val="-20"/>
        </w:rPr>
        <w:t> </w:t>
      </w:r>
      <w:r>
        <w:rPr/>
        <w:t>people,</w:t>
      </w:r>
      <w:r>
        <w:rPr>
          <w:spacing w:val="-20"/>
        </w:rPr>
        <w:t> </w:t>
      </w:r>
      <w:r>
        <w:rPr/>
        <w:t>the</w:t>
      </w:r>
      <w:r>
        <w:rPr>
          <w:spacing w:val="-20"/>
        </w:rPr>
        <w:t> </w:t>
      </w:r>
      <w:r>
        <w:rPr/>
        <w:t>Department encourages</w:t>
      </w:r>
      <w:r>
        <w:rPr>
          <w:spacing w:val="-18"/>
        </w:rPr>
        <w:t> </w:t>
      </w:r>
      <w:r>
        <w:rPr/>
        <w:t>its</w:t>
      </w:r>
      <w:r>
        <w:rPr>
          <w:spacing w:val="-17"/>
        </w:rPr>
        <w:t> </w:t>
      </w:r>
      <w:r>
        <w:rPr/>
        <w:t>staff</w:t>
      </w:r>
      <w:r>
        <w:rPr>
          <w:spacing w:val="-17"/>
        </w:rPr>
        <w:t> </w:t>
      </w:r>
      <w:r>
        <w:rPr>
          <w:spacing w:val="-3"/>
        </w:rPr>
        <w:t>to</w:t>
      </w:r>
      <w:r>
        <w:rPr>
          <w:spacing w:val="-17"/>
        </w:rPr>
        <w:t> </w:t>
      </w:r>
      <w:r>
        <w:rPr/>
        <w:t>ask</w:t>
      </w:r>
      <w:r>
        <w:rPr>
          <w:spacing w:val="-17"/>
        </w:rPr>
        <w:t> </w:t>
      </w:r>
      <w:r>
        <w:rPr/>
        <w:t>the</w:t>
      </w:r>
      <w:r>
        <w:rPr>
          <w:spacing w:val="-17"/>
        </w:rPr>
        <w:t> </w:t>
      </w:r>
      <w:r>
        <w:rPr/>
        <w:t>difficult</w:t>
      </w:r>
      <w:r>
        <w:rPr>
          <w:spacing w:val="-17"/>
        </w:rPr>
        <w:t> </w:t>
      </w:r>
      <w:r>
        <w:rPr/>
        <w:t>questions and challenge the status</w:t>
      </w:r>
      <w:r>
        <w:rPr>
          <w:spacing w:val="-11"/>
        </w:rPr>
        <w:t> </w:t>
      </w:r>
      <w:r>
        <w:rPr/>
        <w:t>quo.</w:t>
      </w:r>
    </w:p>
    <w:p>
      <w:pPr>
        <w:pStyle w:val="BodyText"/>
        <w:spacing w:line="249" w:lineRule="auto" w:before="106"/>
        <w:ind w:left="589" w:right="760"/>
      </w:pPr>
      <w:r>
        <w:rPr/>
        <w:br w:type="column"/>
      </w:r>
      <w:r>
        <w:rPr>
          <w:spacing w:val="-3"/>
        </w:rPr>
        <w:t>Finance’s </w:t>
      </w:r>
      <w:r>
        <w:rPr/>
        <w:t>people and their commitment </w:t>
      </w:r>
      <w:r>
        <w:rPr>
          <w:spacing w:val="-3"/>
        </w:rPr>
        <w:t>to </w:t>
      </w:r>
      <w:r>
        <w:rPr/>
        <w:t>a values-based culture is central </w:t>
      </w:r>
      <w:r>
        <w:rPr>
          <w:spacing w:val="-3"/>
        </w:rPr>
        <w:t>to </w:t>
      </w:r>
      <w:r>
        <w:rPr/>
        <w:t>achieving the vision, and there is a strong commitment </w:t>
      </w:r>
      <w:r>
        <w:rPr>
          <w:spacing w:val="-3"/>
        </w:rPr>
        <w:t>to </w:t>
      </w:r>
      <w:r>
        <w:rPr/>
        <w:t>uphold the Department’s values </w:t>
      </w:r>
      <w:r>
        <w:rPr>
          <w:spacing w:val="-3"/>
        </w:rPr>
        <w:t>to </w:t>
      </w:r>
      <w:r>
        <w:rPr/>
        <w:t>be inspiring and</w:t>
      </w:r>
      <w:r>
        <w:rPr>
          <w:spacing w:val="-27"/>
        </w:rPr>
        <w:t> </w:t>
      </w:r>
      <w:r>
        <w:rPr/>
        <w:t>influential,</w:t>
      </w:r>
      <w:r>
        <w:rPr>
          <w:spacing w:val="-26"/>
        </w:rPr>
        <w:t> </w:t>
      </w:r>
      <w:r>
        <w:rPr/>
        <w:t>passionate</w:t>
      </w:r>
      <w:r>
        <w:rPr>
          <w:spacing w:val="-26"/>
        </w:rPr>
        <w:t> </w:t>
      </w:r>
      <w:r>
        <w:rPr/>
        <w:t>and</w:t>
      </w:r>
      <w:r>
        <w:rPr>
          <w:spacing w:val="-26"/>
        </w:rPr>
        <w:t> </w:t>
      </w:r>
      <w:r>
        <w:rPr/>
        <w:t>committed,</w:t>
      </w:r>
      <w:r>
        <w:rPr>
          <w:spacing w:val="-26"/>
        </w:rPr>
        <w:t> </w:t>
      </w:r>
      <w:r>
        <w:rPr/>
        <w:t>honest and</w:t>
      </w:r>
      <w:r>
        <w:rPr>
          <w:spacing w:val="-25"/>
        </w:rPr>
        <w:t> </w:t>
      </w:r>
      <w:r>
        <w:rPr/>
        <w:t>respectful,</w:t>
      </w:r>
      <w:r>
        <w:rPr>
          <w:spacing w:val="-25"/>
        </w:rPr>
        <w:t> </w:t>
      </w:r>
      <w:r>
        <w:rPr/>
        <w:t>and</w:t>
      </w:r>
      <w:r>
        <w:rPr>
          <w:spacing w:val="-25"/>
        </w:rPr>
        <w:t> </w:t>
      </w:r>
      <w:r>
        <w:rPr/>
        <w:t>bold</w:t>
      </w:r>
      <w:r>
        <w:rPr>
          <w:spacing w:val="-24"/>
        </w:rPr>
        <w:t> </w:t>
      </w:r>
      <w:r>
        <w:rPr/>
        <w:t>and</w:t>
      </w:r>
      <w:r>
        <w:rPr>
          <w:spacing w:val="-25"/>
        </w:rPr>
        <w:t> </w:t>
      </w:r>
      <w:r>
        <w:rPr/>
        <w:t>innovative.</w:t>
      </w:r>
      <w:r>
        <w:rPr>
          <w:spacing w:val="-25"/>
        </w:rPr>
        <w:t> </w:t>
      </w:r>
      <w:r>
        <w:rPr>
          <w:spacing w:val="-3"/>
        </w:rPr>
        <w:t>Finance’s </w:t>
      </w:r>
      <w:r>
        <w:rPr/>
        <w:t>people</w:t>
      </w:r>
      <w:r>
        <w:rPr>
          <w:spacing w:val="-20"/>
        </w:rPr>
        <w:t> </w:t>
      </w:r>
      <w:r>
        <w:rPr/>
        <w:t>continually</w:t>
      </w:r>
      <w:r>
        <w:rPr>
          <w:spacing w:val="-19"/>
        </w:rPr>
        <w:t> </w:t>
      </w:r>
      <w:r>
        <w:rPr/>
        <w:t>strive</w:t>
      </w:r>
      <w:r>
        <w:rPr>
          <w:spacing w:val="-19"/>
        </w:rPr>
        <w:t> </w:t>
      </w:r>
      <w:r>
        <w:rPr>
          <w:spacing w:val="-3"/>
        </w:rPr>
        <w:t>to</w:t>
      </w:r>
      <w:r>
        <w:rPr>
          <w:spacing w:val="-19"/>
        </w:rPr>
        <w:t> </w:t>
      </w:r>
      <w:r>
        <w:rPr/>
        <w:t>work</w:t>
      </w:r>
      <w:r>
        <w:rPr>
          <w:spacing w:val="-19"/>
        </w:rPr>
        <w:t> </w:t>
      </w:r>
      <w:r>
        <w:rPr/>
        <w:t>smarter,</w:t>
      </w:r>
      <w:r>
        <w:rPr>
          <w:spacing w:val="-20"/>
        </w:rPr>
        <w:t> </w:t>
      </w:r>
      <w:r>
        <w:rPr/>
        <w:t>identify and</w:t>
      </w:r>
      <w:r>
        <w:rPr>
          <w:spacing w:val="-16"/>
        </w:rPr>
        <w:t> </w:t>
      </w:r>
      <w:r>
        <w:rPr/>
        <w:t>seize</w:t>
      </w:r>
      <w:r>
        <w:rPr>
          <w:spacing w:val="-15"/>
        </w:rPr>
        <w:t> </w:t>
      </w:r>
      <w:r>
        <w:rPr/>
        <w:t>opportunities,</w:t>
      </w:r>
      <w:r>
        <w:rPr>
          <w:spacing w:val="-16"/>
        </w:rPr>
        <w:t> </w:t>
      </w:r>
      <w:r>
        <w:rPr/>
        <w:t>and</w:t>
      </w:r>
      <w:r>
        <w:rPr>
          <w:spacing w:val="-15"/>
        </w:rPr>
        <w:t> </w:t>
      </w:r>
      <w:r>
        <w:rPr/>
        <w:t>put</w:t>
      </w:r>
      <w:r>
        <w:rPr>
          <w:spacing w:val="-16"/>
        </w:rPr>
        <w:t> </w:t>
      </w:r>
      <w:r>
        <w:rPr/>
        <w:t>ideas</w:t>
      </w:r>
      <w:r>
        <w:rPr>
          <w:spacing w:val="-15"/>
        </w:rPr>
        <w:t> </w:t>
      </w:r>
      <w:r>
        <w:rPr/>
        <w:t>into</w:t>
      </w:r>
      <w:r>
        <w:rPr>
          <w:spacing w:val="-15"/>
        </w:rPr>
        <w:t> </w:t>
      </w:r>
      <w:r>
        <w:rPr/>
        <w:t>action </w:t>
      </w:r>
      <w:r>
        <w:rPr>
          <w:spacing w:val="-3"/>
        </w:rPr>
        <w:t>to </w:t>
      </w:r>
      <w:r>
        <w:rPr/>
        <w:t>deliver better</w:t>
      </w:r>
      <w:r>
        <w:rPr>
          <w:spacing w:val="-3"/>
        </w:rPr>
        <w:t> </w:t>
      </w:r>
      <w:r>
        <w:rPr/>
        <w:t>services.</w:t>
      </w:r>
    </w:p>
    <w:p>
      <w:pPr>
        <w:spacing w:after="0" w:line="249" w:lineRule="auto"/>
        <w:sectPr>
          <w:type w:val="continuous"/>
          <w:pgSz w:w="16840" w:h="11910" w:orient="landscape"/>
          <w:pgMar w:top="1100" w:bottom="280" w:left="0" w:right="0"/>
          <w:cols w:num="3" w:equalWidth="0">
            <w:col w:w="5494" w:space="40"/>
            <w:col w:w="5188" w:space="39"/>
            <w:col w:w="6079"/>
          </w:cols>
        </w:sectPr>
      </w:pPr>
    </w:p>
    <w:p>
      <w:pPr>
        <w:pStyle w:val="BodyText"/>
        <w:rPr>
          <w:sz w:val="20"/>
        </w:rPr>
      </w:pPr>
      <w:r>
        <w:rPr/>
        <w:pict>
          <v:group style="position:absolute;margin-left:0pt;margin-top:.000001pt;width:804.45pt;height:595.3pt;mso-position-horizontal-relative:page;mso-position-vertical-relative:page;z-index:-709672" coordorigin="0,0" coordsize="16089,11906">
            <v:shape style="position:absolute;left:0;top:149;width:10427;height:11756" type="#_x0000_t75" stroked="false">
              <v:imagedata r:id="rId26" o:title=""/>
            </v:shape>
            <v:shape style="position:absolute;left:-7489;top:21891;width:15318;height:1734" coordorigin="-7489,21892" coordsize="15318,1734" path="m15761,7678l16030,7948m15602,7629l16079,8107m15485,7623l16086,8224m15375,7623l16086,8334m15264,7623l16086,8444m15154,7623l16086,8555m15044,7623l16086,8665m14933,7623l16086,8775m14823,7623l16078,8878m14713,7623l16056,8967m14602,7623l16024,9045m14492,7623l15983,9114m14382,7623l15934,9175m14271,7623l15877,9228m14161,7623l15812,9274m14050,7623l15740,9312m13940,7623l15656,9339m13830,7623l15561,9354m13719,7623l15453,9357m13609,7623l15343,9357m13499,7623l15233,9357m13388,7623l15122,9357m13278,7623l15012,9357m13168,7623l14902,9357m13057,7623l14791,9357m12947,7623l14681,9357m12837,7623l14571,9357m12726,7623l14460,9357m12616,7623l14350,9357m12506,7623l14239,9357m12395,7623l14129,9357m12285,7623l14019,9357m12175,7623l13908,9357m12064,7623l13798,9357m11954,7623l13688,9357m11844,7623l13577,9357m11733,7623l13467,9357m11623,7623l13357,9357m11513,7623l13246,9357m11402,7623l13136,9357m11292,7623l13026,9357m11181,7623l12915,9357m11071,7623l12805,9357m10961,7623l12695,9357m10850,7623l12584,9357m10740,7623l12474,9357m10630,7623l12364,9357m10519,7623l12253,9357m10409,7623l12143,9357m10299,7623l12033,9357m10188,7623l11922,9357m10078,7623l11812,9357m9968,7623l11701,9357m9857,7623l11591,9357m9747,7623l11481,9357m9637,7623l11370,9357m9526,7623l11260,9357m9416,7623l11150,9357m9306,7623l11039,9357m9195,7623l10929,9357m9085,7623l10819,9357m8975,7623l10708,9357m8864,7623l10598,9357m8754,7623l10488,9357m8643,7623l10377,9357m8533,7623l10267,9357m8423,7623l10157,9357m8312,7623l10046,9357m8202,7623l9936,9357m8092,7623l9826,9357m7981,7623l9715,9357m7871,7623l9605,9357m7761,7623l9495,9357m7650,7623l9384,9357m7540,7623l9274,9357m7430,7623l9164,9357m7319,7623l9053,9357m7209,7623l8943,9357m7099,7623l8832,9357m6988,7623l8722,9357m6878,7623l8612,9357m6768,7623l8501,9357m6657,7623l8391,9357m6547,7623l8281,9357m6437,7623l8170,9357m6326,7623l8060,9357m6216,7623l7950,9357m6105,7623l7839,9357m5995,7623l7729,9357m5885,7623l7619,9357m5774,7623l7508,9357m5664,7623l7398,9357m5554,7623l7288,9357m5443,7623l7177,9357m5333,7623l7067,9357m5223,7623l6957,9357m5112,7623l6846,9357m5002,7623l6736,9357m4892,7623l6626,9357m4781,7623l6515,9357m4671,7623l6405,9357m4561,7623l6294,9357m4450,7623l6184,9357m4340,7623l6074,9357m4230,7623l5963,9357m4119,7623l5853,9357m4009,7623l5743,9357m3899,7623l5632,9357m3788,7623l5522,9357m3678,7623l5412,9357m3568,7623l5301,9357m3457,7623l5191,9357m3347,7623l5081,9357m3236,7623l4970,9357m3126,7623l4860,9357m3016,7623l4750,9357m2905,7623l4639,9357m2795,7623l4529,9357m2685,7623l4419,9357m2574,7623l4308,9357m2464,7623l4198,9357m2354,7623l4088,9357m2243,7623l3977,9357m2133,7623l3867,9357m2023,7623l3756,9357m1912,7623l3646,9357m1802,7623l3536,9357m1692,7623l3425,9357m1581,7623l3315,9357m1471,7623l3205,9357m1361,7623l3094,9357m1256,7629l2984,9357m1167,7649l2874,9357m1088,7681l2763,9357m1018,7722l2653,9357m956,7770l2543,9357m902,7826l2432,9357m855,7890l2322,9357m817,7962l2212,9357m788,8043l2101,9357m772,8138l1991,9357m769,8245l1881,9357m769,8355l1770,9357m769,8465l1660,9357m769,8576l1550,9357m769,8686l1439,9357m769,8797l1328,9356m785,8924l1202,9340m885,9134l992,9240e" filled="false" stroked="true" strokeweight=".25pt" strokecolor="#bbbcbb">
              <v:path arrowok="t"/>
              <v:stroke dashstyle="solid"/>
            </v:shape>
            <v:shape style="position:absolute;left:883;top:7764;width:15088;height:1451" coordorigin="883,7765" coordsize="15088,1451" path="m15546,7765l1308,7765,1232,7771,1160,7791,1094,7823,1035,7865,983,7916,941,7975,910,8041,890,8113,883,8190,883,8790,890,8866,910,8938,941,9004,983,9064,1035,9115,1094,9157,1160,9188,1232,9208,1308,9215,15546,9215,15622,9208,15694,9188,15761,9157,15820,9115,15871,9064,15913,9004,15944,8938,15964,8866,15971,8790,15971,8190,15964,8113,15944,8041,15913,7975,15871,7916,15820,7865,15761,7823,15694,7791,15622,7771,15546,7765xe" filled="true" fillcolor="#ffffff" stroked="false">
              <v:path arrowok="t"/>
              <v:fill type="solid"/>
            </v:shape>
            <v:rect style="position:absolute;left:0;top:0;width:2406;height:851" filled="true" fillcolor="#bba1bc" stroked="false">
              <v:fill type="solid"/>
            </v:rect>
            <v:rect style="position:absolute;left:2405;top:0;width:2406;height:851" filled="true" fillcolor="#d4d896" stroked="false">
              <v:fill type="solid"/>
            </v:rect>
            <v:rect style="position:absolute;left:4810;top:0;width:2406;height:851" filled="true" fillcolor="#cbb8cc" stroked="false">
              <v:fill type="solid"/>
            </v:rect>
            <v:rect style="position:absolute;left:7216;top:0;width:2406;height:851" filled="true" fillcolor="#d4c4d4" stroked="false">
              <v:fill type="solid"/>
            </v:rect>
            <v:rect style="position:absolute;left:9621;top:0;width:2406;height:851" filled="true" fillcolor="#cbb8cc" stroked="false">
              <v:fill type="solid"/>
            </v:rect>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spacing w:before="269"/>
        <w:ind w:left="16" w:right="0" w:firstLine="0"/>
        <w:jc w:val="center"/>
        <w:rPr>
          <w:b/>
          <w:sz w:val="28"/>
        </w:rPr>
      </w:pPr>
      <w:r>
        <w:rPr>
          <w:b/>
          <w:color w:val="6F2770"/>
          <w:sz w:val="28"/>
        </w:rPr>
        <w:t>OUR PEOPLE : OUR VALUES</w:t>
      </w:r>
    </w:p>
    <w:p>
      <w:pPr>
        <w:tabs>
          <w:tab w:pos="2962" w:val="left" w:leader="none"/>
          <w:tab w:pos="3399" w:val="left" w:leader="none"/>
          <w:tab w:pos="6884" w:val="left" w:leader="none"/>
          <w:tab w:pos="7322" w:val="left" w:leader="none"/>
          <w:tab w:pos="10318" w:val="left" w:leader="none"/>
          <w:tab w:pos="10756" w:val="left" w:leader="none"/>
        </w:tabs>
        <w:spacing w:before="162"/>
        <w:ind w:left="16" w:right="0" w:firstLine="0"/>
        <w:jc w:val="center"/>
        <w:rPr>
          <w:sz w:val="28"/>
        </w:rPr>
      </w:pPr>
      <w:r>
        <w:rPr>
          <w:spacing w:val="-4"/>
          <w:sz w:val="28"/>
        </w:rPr>
        <w:t>Inspiring</w:t>
      </w:r>
      <w:r>
        <w:rPr>
          <w:spacing w:val="-39"/>
          <w:sz w:val="28"/>
        </w:rPr>
        <w:t> </w:t>
      </w:r>
      <w:r>
        <w:rPr>
          <w:spacing w:val="-3"/>
          <w:sz w:val="28"/>
        </w:rPr>
        <w:t>and</w:t>
      </w:r>
      <w:r>
        <w:rPr>
          <w:spacing w:val="-39"/>
          <w:sz w:val="28"/>
        </w:rPr>
        <w:t> </w:t>
      </w:r>
      <w:r>
        <w:rPr>
          <w:spacing w:val="-4"/>
          <w:sz w:val="28"/>
        </w:rPr>
        <w:t>Influential</w:t>
        <w:tab/>
      </w:r>
      <w:r>
        <w:rPr>
          <w:color w:val="AEBD37"/>
          <w:w w:val="115"/>
          <w:sz w:val="28"/>
        </w:rPr>
        <w:t>•</w:t>
        <w:tab/>
      </w:r>
      <w:r>
        <w:rPr>
          <w:spacing w:val="-5"/>
          <w:sz w:val="28"/>
        </w:rPr>
        <w:t>Passionate</w:t>
      </w:r>
      <w:r>
        <w:rPr>
          <w:spacing w:val="-25"/>
          <w:sz w:val="28"/>
        </w:rPr>
        <w:t> </w:t>
      </w:r>
      <w:r>
        <w:rPr>
          <w:spacing w:val="-3"/>
          <w:sz w:val="28"/>
        </w:rPr>
        <w:t>and</w:t>
      </w:r>
      <w:r>
        <w:rPr>
          <w:spacing w:val="-24"/>
          <w:sz w:val="28"/>
        </w:rPr>
        <w:t> </w:t>
      </w:r>
      <w:r>
        <w:rPr>
          <w:spacing w:val="-4"/>
          <w:sz w:val="28"/>
        </w:rPr>
        <w:t>Committed</w:t>
        <w:tab/>
      </w:r>
      <w:r>
        <w:rPr>
          <w:color w:val="AEBD37"/>
          <w:w w:val="115"/>
          <w:sz w:val="28"/>
        </w:rPr>
        <w:t>•</w:t>
        <w:tab/>
      </w:r>
      <w:r>
        <w:rPr>
          <w:spacing w:val="-4"/>
          <w:w w:val="105"/>
          <w:sz w:val="28"/>
        </w:rPr>
        <w:t>Honest</w:t>
      </w:r>
      <w:r>
        <w:rPr>
          <w:spacing w:val="-57"/>
          <w:w w:val="105"/>
          <w:sz w:val="28"/>
        </w:rPr>
        <w:t> </w:t>
      </w:r>
      <w:r>
        <w:rPr>
          <w:spacing w:val="-3"/>
          <w:w w:val="105"/>
          <w:sz w:val="28"/>
        </w:rPr>
        <w:t>and</w:t>
      </w:r>
      <w:r>
        <w:rPr>
          <w:spacing w:val="-58"/>
          <w:w w:val="105"/>
          <w:sz w:val="28"/>
        </w:rPr>
        <w:t> </w:t>
      </w:r>
      <w:r>
        <w:rPr>
          <w:spacing w:val="-3"/>
          <w:w w:val="105"/>
          <w:sz w:val="28"/>
        </w:rPr>
        <w:t>Respectful</w:t>
        <w:tab/>
      </w:r>
      <w:r>
        <w:rPr>
          <w:color w:val="AEBD37"/>
          <w:w w:val="115"/>
          <w:sz w:val="28"/>
        </w:rPr>
        <w:t>•</w:t>
        <w:tab/>
      </w:r>
      <w:r>
        <w:rPr>
          <w:spacing w:val="-3"/>
          <w:w w:val="105"/>
          <w:sz w:val="28"/>
        </w:rPr>
        <w:t>Bold and</w:t>
      </w:r>
      <w:r>
        <w:rPr>
          <w:spacing w:val="-30"/>
          <w:w w:val="105"/>
          <w:sz w:val="28"/>
        </w:rPr>
        <w:t> </w:t>
      </w:r>
      <w:r>
        <w:rPr>
          <w:spacing w:val="-6"/>
          <w:w w:val="105"/>
          <w:sz w:val="28"/>
        </w:rPr>
        <w:t>Innovative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tabs>
          <w:tab w:pos="1227" w:val="left" w:leader="none"/>
          <w:tab w:pos="5951" w:val="left" w:leader="none"/>
          <w:tab w:pos="16072" w:val="left" w:leader="none"/>
        </w:tabs>
        <w:spacing w:before="1"/>
        <w:ind w:left="765" w:right="0" w:firstLine="0"/>
        <w:jc w:val="left"/>
        <w:rPr>
          <w:b/>
          <w:sz w:val="20"/>
        </w:rPr>
      </w:pPr>
      <w:r>
        <w:rPr/>
        <w:pict>
          <v:group style="position:absolute;margin-left:817.839111pt;margin-top:-14.805017pt;width:24.1pt;height:41.55pt;mso-position-horizontal-relative:page;mso-position-vertical-relative:paragraph;z-index:2848" coordorigin="16357,-296" coordsize="482,831">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ffffff" stroked="false">
              <v:path arrowok="t"/>
              <v:fill type="solid"/>
            </v:shape>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aebd37" stroked="false">
              <v:path arrowok="t"/>
              <v:fill opacity="13107f" type="solid"/>
            </v:shape>
            <v:shape style="position:absolute;left:16571;top:33;width:93;height:171" coordorigin="16571,33" coordsize="93,171" path="m16590,33l16582,33,16571,43,16571,52,16638,118,16638,120,16571,187,16571,195,16579,203,16582,204,16589,204,16592,203,16655,139,16662,130,16664,120,16664,118,16662,108,16655,99,16590,33xe" filled="true" fillcolor="#000000" stroked="false">
              <v:path arrowok="t"/>
              <v:fill type="solid"/>
            </v:shape>
            <w10:wrap type="none"/>
          </v:group>
        </w:pict>
      </w:r>
      <w:r>
        <w:rPr>
          <w:b/>
          <w:color w:val="FFFFFF"/>
          <w:sz w:val="20"/>
        </w:rPr>
        <w:t>6</w:t>
        <w:tab/>
        <w:t>Department of Finance Annual Report</w:t>
      </w:r>
      <w:r>
        <w:rPr>
          <w:b/>
          <w:color w:val="FFFFFF"/>
          <w:spacing w:val="21"/>
          <w:sz w:val="20"/>
        </w:rPr>
        <w:t> </w:t>
      </w:r>
      <w:r>
        <w:rPr>
          <w:b/>
          <w:color w:val="FFFFFF"/>
          <w:sz w:val="20"/>
        </w:rPr>
        <w:t>2017-18</w:t>
        <w:tab/>
      </w:r>
      <w:r>
        <w:rPr>
          <w:b/>
          <w:color w:val="FFFFFF"/>
          <w:w w:val="100"/>
          <w:sz w:val="20"/>
          <w:u w:val="single" w:color="939598"/>
        </w:rPr>
        <w:t> </w:t>
      </w:r>
      <w:r>
        <w:rPr>
          <w:b/>
          <w:color w:val="FFFFFF"/>
          <w:sz w:val="20"/>
          <w:u w:val="single" w:color="939598"/>
        </w:rPr>
        <w:tab/>
      </w:r>
    </w:p>
    <w:p>
      <w:pPr>
        <w:spacing w:after="0"/>
        <w:jc w:val="left"/>
        <w:rPr>
          <w:sz w:val="20"/>
        </w:rPr>
        <w:sectPr>
          <w:type w:val="continuous"/>
          <w:pgSz w:w="16840" w:h="11910" w:orient="landscape"/>
          <w:pgMar w:top="1100" w:bottom="280" w:left="0" w:right="0"/>
        </w:sectPr>
      </w:pPr>
    </w:p>
    <w:p>
      <w:pPr>
        <w:tabs>
          <w:tab w:pos="3093" w:val="left" w:leader="none"/>
          <w:tab w:pos="5598" w:val="left" w:leader="none"/>
        </w:tabs>
        <w:spacing w:before="73"/>
        <w:ind w:left="663" w:right="0" w:firstLine="0"/>
        <w:jc w:val="left"/>
        <w:rPr>
          <w:sz w:val="20"/>
        </w:rPr>
      </w:pPr>
      <w:r>
        <w:rPr/>
        <w:pict>
          <v:shape style="position:absolute;margin-left:262.235291pt;margin-top:15.709768pt;width:76.9pt;height:11.75pt;mso-position-horizontal-relative:page;mso-position-vertical-relative:paragraph;z-index:-709528" type="#_x0000_t202" filled="false" stroked="false">
            <v:textbox inset="0,0,0,0">
              <w:txbxContent>
                <w:p>
                  <w:pPr>
                    <w:spacing w:before="3"/>
                    <w:ind w:left="0" w:right="0" w:firstLine="0"/>
                    <w:jc w:val="left"/>
                    <w:rPr>
                      <w:sz w:val="20"/>
                    </w:rPr>
                  </w:pPr>
                  <w:hyperlink w:history="true" w:anchor="_bookmark4">
                    <w:r>
                      <w:rPr>
                        <w:w w:val="95"/>
                        <w:sz w:val="20"/>
                      </w:rPr>
                      <w:t>PERFORMANCE</w:t>
                    </w:r>
                  </w:hyperlink>
                </w:p>
              </w:txbxContent>
            </v:textbox>
            <w10:wrap type="none"/>
          </v:shape>
        </w:pict>
      </w:r>
      <w:bookmarkStart w:name="_bookmark4" w:id="5"/>
      <w:bookmarkEnd w:id="5"/>
      <w:r>
        <w:rPr/>
      </w:r>
      <w:hyperlink w:history="true" w:anchor="_bookmark0">
        <w:r>
          <w:rPr>
            <w:sz w:val="20"/>
          </w:rPr>
          <w:t>CONTENTS</w:t>
        </w:r>
      </w:hyperlink>
      <w:r>
        <w:rPr>
          <w:sz w:val="20"/>
        </w:rPr>
        <w:tab/>
      </w:r>
      <w:hyperlink w:history="true" w:anchor="_bookmark1">
        <w:r>
          <w:rPr>
            <w:sz w:val="20"/>
          </w:rPr>
          <w:t>OVERVIEW</w:t>
        </w:r>
      </w:hyperlink>
      <w:r>
        <w:rPr>
          <w:sz w:val="20"/>
        </w:rPr>
        <w:tab/>
      </w:r>
      <w:hyperlink w:history="true" w:anchor="_bookmark4">
        <w:r>
          <w:rPr>
            <w:position w:val="13"/>
            <w:sz w:val="20"/>
          </w:rPr>
          <w:t>AGENCY</w:t>
        </w:r>
      </w:hyperlink>
    </w:p>
    <w:p>
      <w:pPr>
        <w:spacing w:line="249" w:lineRule="auto" w:before="77"/>
        <w:ind w:left="663" w:right="29" w:firstLine="120"/>
        <w:jc w:val="left"/>
        <w:rPr>
          <w:sz w:val="20"/>
        </w:rPr>
      </w:pPr>
      <w:r>
        <w:rPr/>
        <w:br w:type="column"/>
      </w:r>
      <w:hyperlink w:history="true" w:anchor="_bookmark17">
        <w:r>
          <w:rPr>
            <w:sz w:val="20"/>
          </w:rPr>
          <w:t>FINANCIAL </w:t>
        </w:r>
        <w:r>
          <w:rPr>
            <w:w w:val="95"/>
            <w:sz w:val="20"/>
          </w:rPr>
          <w:t>STATEMENTS</w:t>
        </w:r>
      </w:hyperlink>
    </w:p>
    <w:p>
      <w:pPr>
        <w:spacing w:line="249" w:lineRule="auto" w:before="77"/>
        <w:ind w:left="1056" w:right="-12" w:hanging="393"/>
        <w:jc w:val="left"/>
        <w:rPr>
          <w:sz w:val="20"/>
        </w:rPr>
      </w:pPr>
      <w:r>
        <w:rPr/>
        <w:br w:type="column"/>
      </w:r>
      <w:hyperlink w:history="true" w:anchor="_bookmark37">
        <w:r>
          <w:rPr>
            <w:sz w:val="20"/>
          </w:rPr>
          <w:t>KEY</w:t>
        </w:r>
        <w:r>
          <w:rPr>
            <w:spacing w:val="-33"/>
            <w:sz w:val="20"/>
          </w:rPr>
          <w:t> </w:t>
        </w:r>
        <w:r>
          <w:rPr>
            <w:sz w:val="20"/>
          </w:rPr>
          <w:t>PERFORMANCE INDICATORS</w:t>
        </w:r>
      </w:hyperlink>
    </w:p>
    <w:p>
      <w:pPr>
        <w:pStyle w:val="BodyText"/>
        <w:spacing w:before="7"/>
        <w:rPr>
          <w:sz w:val="17"/>
        </w:rPr>
      </w:pPr>
      <w:r>
        <w:rPr/>
        <w:br w:type="column"/>
      </w:r>
      <w:r>
        <w:rPr>
          <w:sz w:val="17"/>
        </w:rPr>
      </w:r>
    </w:p>
    <w:p>
      <w:pPr>
        <w:tabs>
          <w:tab w:pos="3274" w:val="left" w:leader="none"/>
        </w:tabs>
        <w:spacing w:before="0"/>
        <w:ind w:left="663" w:right="0" w:firstLine="0"/>
        <w:jc w:val="left"/>
        <w:rPr>
          <w:sz w:val="20"/>
        </w:rPr>
      </w:pPr>
      <w:hyperlink w:history="true" w:anchor="_bookmark47">
        <w:r>
          <w:rPr>
            <w:sz w:val="20"/>
          </w:rPr>
          <w:t>DISCLOSURES</w:t>
        </w:r>
      </w:hyperlink>
      <w:r>
        <w:rPr>
          <w:sz w:val="20"/>
        </w:rPr>
        <w:tab/>
      </w:r>
      <w:hyperlink w:history="true" w:anchor="_bookmark52">
        <w:r>
          <w:rPr>
            <w:sz w:val="20"/>
          </w:rPr>
          <w:t>APPENDIX</w:t>
        </w:r>
      </w:hyperlink>
    </w:p>
    <w:p>
      <w:pPr>
        <w:spacing w:after="0"/>
        <w:jc w:val="left"/>
        <w:rPr>
          <w:sz w:val="20"/>
        </w:rPr>
        <w:sectPr>
          <w:footerReference w:type="default" r:id="rId27"/>
          <w:pgSz w:w="16840" w:h="11910" w:orient="landscape"/>
          <w:pgMar w:footer="0" w:header="0" w:top="100" w:bottom="280" w:left="0" w:right="0"/>
          <w:cols w:num="4" w:equalWidth="0">
            <w:col w:w="6469" w:space="643"/>
            <w:col w:w="1990" w:space="66"/>
            <w:col w:w="2650" w:space="42"/>
            <w:col w:w="4980"/>
          </w:cols>
        </w:sectPr>
      </w:pPr>
    </w:p>
    <w:p>
      <w:pPr>
        <w:pStyle w:val="BodyText"/>
        <w:rPr>
          <w:sz w:val="20"/>
        </w:rPr>
      </w:pPr>
    </w:p>
    <w:p>
      <w:pPr>
        <w:pStyle w:val="BodyText"/>
        <w:rPr>
          <w:sz w:val="20"/>
        </w:rPr>
      </w:pPr>
    </w:p>
    <w:p>
      <w:pPr>
        <w:pStyle w:val="Heading1"/>
        <w:tabs>
          <w:tab w:pos="8819" w:val="left" w:leader="none"/>
        </w:tabs>
        <w:spacing w:before="238"/>
      </w:pPr>
      <w:r>
        <w:rPr>
          <w:color w:val="6F2770"/>
          <w:spacing w:val="-8"/>
          <w:w w:val="95"/>
        </w:rPr>
        <w:t>Our</w:t>
      </w:r>
      <w:r>
        <w:rPr>
          <w:color w:val="6F2770"/>
          <w:spacing w:val="-67"/>
          <w:w w:val="95"/>
        </w:rPr>
        <w:t> </w:t>
      </w:r>
      <w:r>
        <w:rPr>
          <w:color w:val="6F2770"/>
          <w:spacing w:val="-15"/>
          <w:w w:val="95"/>
        </w:rPr>
        <w:t>Value</w:t>
      </w:r>
      <w:r>
        <w:rPr>
          <w:color w:val="6F2770"/>
          <w:spacing w:val="-66"/>
          <w:w w:val="95"/>
        </w:rPr>
        <w:t> </w:t>
      </w:r>
      <w:r>
        <w:rPr>
          <w:color w:val="6F2770"/>
          <w:spacing w:val="-10"/>
          <w:w w:val="95"/>
        </w:rPr>
        <w:t>Proposition</w:t>
        <w:tab/>
      </w:r>
      <w:r>
        <w:rPr>
          <w:color w:val="6F2770"/>
          <w:spacing w:val="-10"/>
        </w:rPr>
        <w:t>Our</w:t>
      </w:r>
      <w:r>
        <w:rPr>
          <w:color w:val="6F2770"/>
          <w:spacing w:val="-107"/>
        </w:rPr>
        <w:t> </w:t>
      </w:r>
      <w:r>
        <w:rPr>
          <w:color w:val="6F2770"/>
          <w:spacing w:val="-17"/>
        </w:rPr>
        <w:t>Agency</w:t>
      </w:r>
      <w:r>
        <w:rPr>
          <w:color w:val="6F2770"/>
          <w:spacing w:val="-107"/>
        </w:rPr>
        <w:t> </w:t>
      </w:r>
      <w:r>
        <w:rPr>
          <w:color w:val="6F2770"/>
          <w:spacing w:val="-15"/>
        </w:rPr>
        <w:t>Performance</w:t>
      </w:r>
    </w:p>
    <w:p>
      <w:pPr>
        <w:pStyle w:val="BodyText"/>
        <w:rPr>
          <w:sz w:val="20"/>
        </w:rPr>
      </w:pPr>
    </w:p>
    <w:p>
      <w:pPr>
        <w:pStyle w:val="BodyText"/>
        <w:rPr>
          <w:sz w:val="20"/>
        </w:rPr>
      </w:pPr>
    </w:p>
    <w:p>
      <w:pPr>
        <w:pStyle w:val="BodyText"/>
        <w:spacing w:before="4"/>
        <w:rPr>
          <w:sz w:val="17"/>
        </w:rPr>
      </w:pPr>
    </w:p>
    <w:p>
      <w:pPr>
        <w:spacing w:after="0"/>
        <w:rPr>
          <w:sz w:val="17"/>
        </w:rPr>
        <w:sectPr>
          <w:type w:val="continuous"/>
          <w:pgSz w:w="16840" w:h="11910" w:orient="landscape"/>
          <w:pgMar w:top="1100" w:bottom="280" w:left="0" w:right="0"/>
        </w:sectPr>
      </w:pPr>
    </w:p>
    <w:p>
      <w:pPr>
        <w:spacing w:line="249" w:lineRule="auto" w:before="106"/>
        <w:ind w:left="3390" w:right="9" w:firstLine="0"/>
        <w:jc w:val="center"/>
        <w:rPr>
          <w:sz w:val="20"/>
        </w:rPr>
      </w:pPr>
      <w:r>
        <w:rPr>
          <w:w w:val="95"/>
          <w:sz w:val="20"/>
        </w:rPr>
        <w:t>Enabling agencies to effectively deliver </w:t>
      </w:r>
      <w:r>
        <w:rPr>
          <w:sz w:val="20"/>
        </w:rPr>
        <w:t>services and meet the priorities of the Government</w:t>
      </w:r>
    </w:p>
    <w:p>
      <w:pPr>
        <w:pStyle w:val="BodyText"/>
        <w:spacing w:before="3"/>
      </w:pPr>
      <w:r>
        <w:rPr/>
        <w:br w:type="column"/>
      </w:r>
      <w:r>
        <w:rPr/>
      </w:r>
    </w:p>
    <w:p>
      <w:pPr>
        <w:pStyle w:val="BodyText"/>
        <w:ind w:left="3341" w:right="4620"/>
        <w:jc w:val="center"/>
      </w:pPr>
      <w:r>
        <w:rPr/>
        <w:t>Delivering Value</w:t>
      </w:r>
    </w:p>
    <w:p>
      <w:pPr>
        <w:spacing w:after="0"/>
        <w:jc w:val="center"/>
        <w:sectPr>
          <w:type w:val="continuous"/>
          <w:pgSz w:w="16840" w:h="11910" w:orient="landscape"/>
          <w:pgMar w:top="1100" w:bottom="280" w:left="0" w:right="0"/>
          <w:cols w:num="2" w:equalWidth="0">
            <w:col w:w="6742" w:space="495"/>
            <w:col w:w="9603"/>
          </w:cols>
        </w:sectPr>
      </w:pPr>
    </w:p>
    <w:p>
      <w:pPr>
        <w:pStyle w:val="BodyText"/>
        <w:rPr>
          <w:sz w:val="20"/>
        </w:rPr>
      </w:pPr>
    </w:p>
    <w:p>
      <w:pPr>
        <w:pStyle w:val="BodyText"/>
        <w:rPr>
          <w:sz w:val="20"/>
        </w:rPr>
      </w:pPr>
    </w:p>
    <w:p>
      <w:pPr>
        <w:pStyle w:val="BodyText"/>
        <w:spacing w:before="9"/>
      </w:pPr>
    </w:p>
    <w:p>
      <w:pPr>
        <w:spacing w:after="0"/>
        <w:sectPr>
          <w:type w:val="continuous"/>
          <w:pgSz w:w="16840" w:h="11910" w:orient="landscape"/>
          <w:pgMar w:top="1100" w:bottom="280" w:left="0" w:right="0"/>
        </w:sectPr>
      </w:pPr>
    </w:p>
    <w:p>
      <w:pPr>
        <w:spacing w:line="249" w:lineRule="auto" w:before="106"/>
        <w:ind w:left="1518" w:right="133" w:hanging="1"/>
        <w:jc w:val="center"/>
        <w:rPr>
          <w:sz w:val="20"/>
        </w:rPr>
      </w:pPr>
      <w:r>
        <w:rPr>
          <w:sz w:val="20"/>
        </w:rPr>
        <w:t>Adopting one-sector thinking and central </w:t>
      </w:r>
      <w:r>
        <w:rPr>
          <w:w w:val="95"/>
          <w:sz w:val="20"/>
        </w:rPr>
        <w:t>leadership on building and infrastructure projects, </w:t>
      </w:r>
      <w:r>
        <w:rPr>
          <w:sz w:val="20"/>
        </w:rPr>
        <w:t>procurement, office accommodation,</w:t>
      </w:r>
    </w:p>
    <w:p>
      <w:pPr>
        <w:spacing w:before="3"/>
        <w:ind w:left="2095" w:right="0" w:firstLine="0"/>
        <w:jc w:val="left"/>
        <w:rPr>
          <w:sz w:val="20"/>
        </w:rPr>
      </w:pPr>
      <w:r>
        <w:rPr>
          <w:sz w:val="20"/>
        </w:rPr>
        <w:t>revenue collection and concessions</w:t>
      </w:r>
    </w:p>
    <w:p>
      <w:pPr>
        <w:pStyle w:val="BodyText"/>
        <w:rPr>
          <w:sz w:val="24"/>
        </w:rPr>
      </w:pPr>
    </w:p>
    <w:p>
      <w:pPr>
        <w:pStyle w:val="BodyText"/>
        <w:rPr>
          <w:sz w:val="24"/>
        </w:rPr>
      </w:pPr>
    </w:p>
    <w:p>
      <w:pPr>
        <w:pStyle w:val="BodyText"/>
        <w:spacing w:before="5"/>
        <w:rPr>
          <w:sz w:val="31"/>
        </w:rPr>
      </w:pPr>
    </w:p>
    <w:p>
      <w:pPr>
        <w:spacing w:line="249" w:lineRule="auto" w:before="0"/>
        <w:ind w:left="1291" w:right="775" w:firstLine="0"/>
        <w:jc w:val="center"/>
        <w:rPr>
          <w:sz w:val="20"/>
        </w:rPr>
      </w:pPr>
      <w:r>
        <w:rPr>
          <w:sz w:val="20"/>
        </w:rPr>
        <w:t>Analysing</w:t>
      </w:r>
      <w:r>
        <w:rPr>
          <w:spacing w:val="-15"/>
          <w:sz w:val="20"/>
        </w:rPr>
        <w:t> </w:t>
      </w:r>
      <w:r>
        <w:rPr>
          <w:sz w:val="20"/>
        </w:rPr>
        <w:t>data</w:t>
      </w:r>
      <w:r>
        <w:rPr>
          <w:spacing w:val="-15"/>
          <w:sz w:val="20"/>
        </w:rPr>
        <w:t> </w:t>
      </w:r>
      <w:r>
        <w:rPr>
          <w:sz w:val="20"/>
        </w:rPr>
        <w:t>to</w:t>
      </w:r>
      <w:r>
        <w:rPr>
          <w:spacing w:val="-15"/>
          <w:sz w:val="20"/>
        </w:rPr>
        <w:t> </w:t>
      </w:r>
      <w:r>
        <w:rPr>
          <w:sz w:val="20"/>
        </w:rPr>
        <w:t>drive</w:t>
      </w:r>
      <w:r>
        <w:rPr>
          <w:spacing w:val="-14"/>
          <w:sz w:val="20"/>
        </w:rPr>
        <w:t> </w:t>
      </w:r>
      <w:r>
        <w:rPr>
          <w:sz w:val="20"/>
        </w:rPr>
        <w:t>tax</w:t>
      </w:r>
      <w:r>
        <w:rPr>
          <w:spacing w:val="-15"/>
          <w:sz w:val="20"/>
        </w:rPr>
        <w:t> </w:t>
      </w:r>
      <w:r>
        <w:rPr>
          <w:spacing w:val="-3"/>
          <w:sz w:val="20"/>
        </w:rPr>
        <w:t>efficacy,</w:t>
      </w:r>
      <w:r>
        <w:rPr>
          <w:spacing w:val="-15"/>
          <w:sz w:val="20"/>
        </w:rPr>
        <w:t> </w:t>
      </w:r>
      <w:r>
        <w:rPr>
          <w:sz w:val="20"/>
        </w:rPr>
        <w:t>better asset</w:t>
      </w:r>
      <w:r>
        <w:rPr>
          <w:spacing w:val="-30"/>
          <w:sz w:val="20"/>
        </w:rPr>
        <w:t> </w:t>
      </w:r>
      <w:r>
        <w:rPr>
          <w:sz w:val="20"/>
        </w:rPr>
        <w:t>management</w:t>
      </w:r>
      <w:r>
        <w:rPr>
          <w:spacing w:val="-29"/>
          <w:sz w:val="20"/>
        </w:rPr>
        <w:t> </w:t>
      </w:r>
      <w:r>
        <w:rPr>
          <w:sz w:val="20"/>
        </w:rPr>
        <w:t>and</w:t>
      </w:r>
      <w:r>
        <w:rPr>
          <w:spacing w:val="-29"/>
          <w:sz w:val="20"/>
        </w:rPr>
        <w:t> </w:t>
      </w:r>
      <w:r>
        <w:rPr>
          <w:sz w:val="20"/>
        </w:rPr>
        <w:t>reduce</w:t>
      </w:r>
      <w:r>
        <w:rPr>
          <w:spacing w:val="-29"/>
          <w:sz w:val="20"/>
        </w:rPr>
        <w:t> </w:t>
      </w:r>
      <w:r>
        <w:rPr>
          <w:sz w:val="20"/>
        </w:rPr>
        <w:t>government expenditure</w:t>
      </w:r>
    </w:p>
    <w:p>
      <w:pPr>
        <w:pStyle w:val="BodyText"/>
        <w:rPr>
          <w:sz w:val="24"/>
        </w:rPr>
      </w:pPr>
    </w:p>
    <w:p>
      <w:pPr>
        <w:pStyle w:val="BodyText"/>
        <w:rPr>
          <w:sz w:val="24"/>
        </w:rPr>
      </w:pPr>
    </w:p>
    <w:p>
      <w:pPr>
        <w:pStyle w:val="BodyText"/>
        <w:spacing w:before="9"/>
        <w:rPr>
          <w:sz w:val="30"/>
        </w:rPr>
      </w:pPr>
    </w:p>
    <w:p>
      <w:pPr>
        <w:spacing w:line="249" w:lineRule="auto" w:before="0"/>
        <w:ind w:left="1899" w:right="0" w:firstLine="0"/>
        <w:jc w:val="center"/>
        <w:rPr>
          <w:sz w:val="20"/>
        </w:rPr>
      </w:pPr>
      <w:r>
        <w:rPr>
          <w:sz w:val="20"/>
        </w:rPr>
        <w:t>Capability</w:t>
      </w:r>
      <w:r>
        <w:rPr>
          <w:spacing w:val="-28"/>
          <w:sz w:val="20"/>
        </w:rPr>
        <w:t> </w:t>
      </w:r>
      <w:r>
        <w:rPr>
          <w:sz w:val="20"/>
        </w:rPr>
        <w:t>building</w:t>
      </w:r>
      <w:r>
        <w:rPr>
          <w:spacing w:val="-27"/>
          <w:sz w:val="20"/>
        </w:rPr>
        <w:t> </w:t>
      </w:r>
      <w:r>
        <w:rPr>
          <w:sz w:val="20"/>
        </w:rPr>
        <w:t>across</w:t>
      </w:r>
      <w:r>
        <w:rPr>
          <w:spacing w:val="-27"/>
          <w:sz w:val="20"/>
        </w:rPr>
        <w:t> </w:t>
      </w:r>
      <w:r>
        <w:rPr>
          <w:sz w:val="20"/>
        </w:rPr>
        <w:t>government</w:t>
      </w:r>
      <w:r>
        <w:rPr>
          <w:spacing w:val="-27"/>
          <w:sz w:val="20"/>
        </w:rPr>
        <w:t> </w:t>
      </w:r>
      <w:r>
        <w:rPr>
          <w:spacing w:val="-5"/>
          <w:sz w:val="20"/>
        </w:rPr>
        <w:t>around </w:t>
      </w:r>
      <w:r>
        <w:rPr>
          <w:sz w:val="20"/>
        </w:rPr>
        <w:t>commercial and negotiation skills, contract management, procurement planning and project</w:t>
      </w:r>
      <w:r>
        <w:rPr>
          <w:spacing w:val="-3"/>
          <w:sz w:val="20"/>
        </w:rPr>
        <w:t> </w:t>
      </w:r>
      <w:r>
        <w:rPr>
          <w:sz w:val="20"/>
        </w:rPr>
        <w:t>management</w:t>
      </w:r>
    </w:p>
    <w:p>
      <w:pPr>
        <w:pStyle w:val="BodyText"/>
        <w:rPr>
          <w:sz w:val="42"/>
        </w:rPr>
      </w:pPr>
      <w:r>
        <w:rPr/>
        <w:br w:type="column"/>
      </w:r>
      <w:r>
        <w:rPr>
          <w:sz w:val="42"/>
        </w:rPr>
      </w:r>
    </w:p>
    <w:p>
      <w:pPr>
        <w:pStyle w:val="BodyText"/>
        <w:spacing w:before="2"/>
        <w:rPr>
          <w:sz w:val="48"/>
        </w:rPr>
      </w:pPr>
    </w:p>
    <w:p>
      <w:pPr>
        <w:pStyle w:val="Heading4"/>
        <w:spacing w:line="249" w:lineRule="auto" w:before="0"/>
        <w:ind w:left="865" w:hanging="1"/>
        <w:jc w:val="center"/>
      </w:pPr>
      <w:r>
        <w:rPr>
          <w:color w:val="6F2770"/>
        </w:rPr>
        <w:t>Driving practical, cost-effective and quality outcomes </w:t>
      </w:r>
      <w:r>
        <w:rPr>
          <w:color w:val="6F2770"/>
          <w:w w:val="95"/>
        </w:rPr>
        <w:t>across government </w:t>
      </w:r>
      <w:r>
        <w:rPr>
          <w:color w:val="6F2770"/>
        </w:rPr>
        <w:t>to benefit</w:t>
      </w:r>
      <w:r>
        <w:rPr>
          <w:color w:val="6F2770"/>
          <w:spacing w:val="-65"/>
        </w:rPr>
        <w:t> </w:t>
      </w:r>
      <w:r>
        <w:rPr>
          <w:color w:val="6F2770"/>
        </w:rPr>
        <w:t>Western Australians</w:t>
      </w:r>
    </w:p>
    <w:p>
      <w:pPr>
        <w:pStyle w:val="BodyText"/>
        <w:rPr>
          <w:sz w:val="28"/>
        </w:rPr>
      </w:pPr>
      <w:r>
        <w:rPr/>
        <w:br w:type="column"/>
      </w:r>
      <w:r>
        <w:rPr>
          <w:sz w:val="28"/>
        </w:rPr>
      </w:r>
    </w:p>
    <w:p>
      <w:pPr>
        <w:pStyle w:val="BodyText"/>
        <w:spacing w:line="249" w:lineRule="auto"/>
        <w:ind w:left="985" w:firstLine="206"/>
      </w:pPr>
      <w:r>
        <w:rPr>
          <w:spacing w:val="-4"/>
        </w:rPr>
        <w:t>Leading </w:t>
      </w:r>
      <w:r>
        <w:rPr>
          <w:spacing w:val="-2"/>
        </w:rPr>
        <w:t>and </w:t>
      </w:r>
      <w:r>
        <w:rPr>
          <w:spacing w:val="-3"/>
        </w:rPr>
        <w:t>Supporting </w:t>
      </w:r>
      <w:r>
        <w:rPr>
          <w:spacing w:val="-4"/>
          <w:w w:val="95"/>
        </w:rPr>
        <w:t>Cross-Government Initiatives</w:t>
      </w:r>
    </w:p>
    <w:p>
      <w:pPr>
        <w:pStyle w:val="BodyText"/>
        <w:rPr>
          <w:sz w:val="26"/>
        </w:rPr>
      </w:pPr>
    </w:p>
    <w:p>
      <w:pPr>
        <w:pStyle w:val="BodyText"/>
        <w:rPr>
          <w:sz w:val="26"/>
        </w:rPr>
      </w:pPr>
    </w:p>
    <w:p>
      <w:pPr>
        <w:pStyle w:val="BodyText"/>
        <w:rPr>
          <w:sz w:val="26"/>
        </w:rPr>
      </w:pPr>
    </w:p>
    <w:p>
      <w:pPr>
        <w:pStyle w:val="BodyText"/>
        <w:spacing w:before="4"/>
        <w:rPr>
          <w:sz w:val="27"/>
        </w:rPr>
      </w:pPr>
    </w:p>
    <w:p>
      <w:pPr>
        <w:pStyle w:val="BodyText"/>
        <w:spacing w:line="249" w:lineRule="auto"/>
        <w:ind w:left="1601" w:right="1217" w:hanging="1"/>
        <w:jc w:val="center"/>
      </w:pPr>
      <w:r>
        <w:rPr/>
        <w:t>Quality </w:t>
      </w:r>
      <w:r>
        <w:rPr>
          <w:w w:val="90"/>
        </w:rPr>
        <w:t>Services</w:t>
      </w:r>
    </w:p>
    <w:p>
      <w:pPr>
        <w:pStyle w:val="BodyText"/>
        <w:rPr>
          <w:sz w:val="26"/>
        </w:rPr>
      </w:pPr>
    </w:p>
    <w:p>
      <w:pPr>
        <w:pStyle w:val="BodyText"/>
        <w:rPr>
          <w:sz w:val="26"/>
        </w:rPr>
      </w:pPr>
    </w:p>
    <w:p>
      <w:pPr>
        <w:pStyle w:val="BodyText"/>
        <w:rPr>
          <w:sz w:val="26"/>
        </w:rPr>
      </w:pPr>
    </w:p>
    <w:p>
      <w:pPr>
        <w:pStyle w:val="BodyText"/>
        <w:spacing w:before="5"/>
        <w:rPr>
          <w:sz w:val="28"/>
        </w:rPr>
      </w:pPr>
    </w:p>
    <w:p>
      <w:pPr>
        <w:pStyle w:val="BodyText"/>
        <w:spacing w:line="249" w:lineRule="auto"/>
        <w:ind w:left="1516" w:right="391" w:firstLine="272"/>
      </w:pPr>
      <w:r>
        <w:rPr/>
        <w:t>Our People </w:t>
      </w:r>
      <w:r>
        <w:rPr>
          <w:w w:val="95"/>
        </w:rPr>
        <w:t>and Organisation</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8"/>
        </w:rPr>
      </w:pPr>
    </w:p>
    <w:p>
      <w:pPr>
        <w:pStyle w:val="BodyText"/>
        <w:spacing w:line="249" w:lineRule="auto"/>
        <w:ind w:left="807" w:right="1854"/>
        <w:jc w:val="center"/>
      </w:pPr>
      <w:r>
        <w:rPr>
          <w:w w:val="95"/>
        </w:rPr>
        <w:t>Building </w:t>
      </w:r>
      <w:r>
        <w:rPr/>
        <w:t>for the</w:t>
      </w:r>
    </w:p>
    <w:p>
      <w:pPr>
        <w:pStyle w:val="BodyText"/>
        <w:spacing w:before="2"/>
        <w:ind w:left="610" w:right="1657"/>
        <w:jc w:val="center"/>
      </w:pPr>
      <w:r>
        <w:rPr/>
        <w:t>Community</w:t>
      </w:r>
    </w:p>
    <w:p>
      <w:pPr>
        <w:spacing w:after="0"/>
        <w:jc w:val="center"/>
        <w:sectPr>
          <w:type w:val="continuous"/>
          <w:pgSz w:w="16840" w:h="11910" w:orient="landscape"/>
          <w:pgMar w:top="1100" w:bottom="280" w:left="0" w:right="0"/>
          <w:cols w:num="4" w:equalWidth="0">
            <w:col w:w="5834" w:space="40"/>
            <w:col w:w="3847" w:space="39"/>
            <w:col w:w="3621" w:space="39"/>
            <w:col w:w="3420"/>
          </w:cols>
        </w:sectPr>
      </w:pPr>
    </w:p>
    <w:p>
      <w:pPr>
        <w:pStyle w:val="BodyText"/>
        <w:rPr>
          <w:sz w:val="20"/>
        </w:rPr>
      </w:pPr>
    </w:p>
    <w:p>
      <w:pPr>
        <w:pStyle w:val="BodyText"/>
        <w:rPr>
          <w:sz w:val="20"/>
        </w:rPr>
      </w:pPr>
    </w:p>
    <w:p>
      <w:pPr>
        <w:pStyle w:val="BodyText"/>
        <w:spacing w:before="7"/>
        <w:rPr>
          <w:sz w:val="29"/>
        </w:rPr>
      </w:pPr>
    </w:p>
    <w:p>
      <w:pPr>
        <w:spacing w:after="0"/>
        <w:rPr>
          <w:sz w:val="29"/>
        </w:rPr>
        <w:sectPr>
          <w:type w:val="continuous"/>
          <w:pgSz w:w="16840" w:h="11910" w:orient="landscape"/>
          <w:pgMar w:top="1100" w:bottom="280" w:left="0" w:right="0"/>
        </w:sectPr>
      </w:pPr>
    </w:p>
    <w:p>
      <w:pPr>
        <w:spacing w:line="249" w:lineRule="auto" w:before="106"/>
        <w:ind w:left="2627" w:right="38" w:hanging="1"/>
        <w:jc w:val="center"/>
        <w:rPr>
          <w:sz w:val="20"/>
        </w:rPr>
      </w:pPr>
      <w:r>
        <w:rPr>
          <w:sz w:val="20"/>
        </w:rPr>
        <w:t>Transitioning to online by design to provide customers</w:t>
      </w:r>
      <w:r>
        <w:rPr>
          <w:spacing w:val="-22"/>
          <w:sz w:val="20"/>
        </w:rPr>
        <w:t> </w:t>
      </w:r>
      <w:r>
        <w:rPr>
          <w:sz w:val="20"/>
        </w:rPr>
        <w:t>with</w:t>
      </w:r>
      <w:r>
        <w:rPr>
          <w:spacing w:val="-21"/>
          <w:sz w:val="20"/>
        </w:rPr>
        <w:t> </w:t>
      </w:r>
      <w:r>
        <w:rPr>
          <w:sz w:val="20"/>
        </w:rPr>
        <w:t>greater</w:t>
      </w:r>
      <w:r>
        <w:rPr>
          <w:spacing w:val="-21"/>
          <w:sz w:val="20"/>
        </w:rPr>
        <w:t> </w:t>
      </w:r>
      <w:r>
        <w:rPr>
          <w:sz w:val="20"/>
        </w:rPr>
        <w:t>convenience</w:t>
      </w:r>
      <w:r>
        <w:rPr>
          <w:spacing w:val="-21"/>
          <w:sz w:val="20"/>
        </w:rPr>
        <w:t> </w:t>
      </w:r>
      <w:r>
        <w:rPr>
          <w:sz w:val="20"/>
        </w:rPr>
        <w:t>and</w:t>
      </w:r>
      <w:r>
        <w:rPr>
          <w:spacing w:val="-21"/>
          <w:sz w:val="20"/>
        </w:rPr>
        <w:t> </w:t>
      </w:r>
      <w:r>
        <w:rPr>
          <w:spacing w:val="-4"/>
          <w:sz w:val="20"/>
        </w:rPr>
        <w:t>lower </w:t>
      </w:r>
      <w:r>
        <w:rPr>
          <w:sz w:val="20"/>
        </w:rPr>
        <w:t>cost</w:t>
      </w:r>
      <w:r>
        <w:rPr>
          <w:spacing w:val="-2"/>
          <w:sz w:val="20"/>
        </w:rPr>
        <w:t> </w:t>
      </w:r>
      <w:r>
        <w:rPr>
          <w:sz w:val="20"/>
        </w:rPr>
        <w:t>services</w:t>
      </w:r>
    </w:p>
    <w:p>
      <w:pPr>
        <w:pStyle w:val="BodyText"/>
        <w:spacing w:line="249" w:lineRule="auto" w:before="201"/>
        <w:ind w:left="2951" w:right="4344" w:hanging="324"/>
      </w:pPr>
      <w:r>
        <w:rPr/>
        <w:br w:type="column"/>
      </w:r>
      <w:r>
        <w:rPr/>
        <w:t>Significant Issues </w:t>
      </w:r>
      <w:r>
        <w:rPr>
          <w:spacing w:val="-6"/>
        </w:rPr>
        <w:t>and </w:t>
      </w:r>
      <w:r>
        <w:rPr/>
        <w:t>Future Outlook</w:t>
      </w:r>
    </w:p>
    <w:p>
      <w:pPr>
        <w:spacing w:after="0" w:line="249" w:lineRule="auto"/>
        <w:sectPr>
          <w:type w:val="continuous"/>
          <w:pgSz w:w="16840" w:h="11910" w:orient="landscape"/>
          <w:pgMar w:top="1100" w:bottom="280" w:left="0" w:right="0"/>
          <w:cols w:num="2" w:equalWidth="0">
            <w:col w:w="6681" w:space="1045"/>
            <w:col w:w="9114"/>
          </w:cols>
        </w:sectPr>
      </w:pPr>
    </w:p>
    <w:p>
      <w:pPr>
        <w:pStyle w:val="BodyText"/>
        <w:rPr>
          <w:sz w:val="20"/>
        </w:rPr>
      </w:pPr>
      <w:r>
        <w:rPr/>
        <w:pict>
          <v:group style="position:absolute;margin-left:0pt;margin-top:.000001pt;width:841.9pt;height:595.3pt;mso-position-horizontal-relative:page;mso-position-vertical-relative:page;z-index:-709552" coordorigin="0,0" coordsize="16838,11906">
            <v:shape style="position:absolute;left:8861;top:0;width:7977;height:7423" type="#_x0000_t75" stroked="false">
              <v:imagedata r:id="rId23" o:title=""/>
            </v:shape>
            <v:rect style="position:absolute;left:8218;top:0;width:8619;height:11906" filled="true" fillcolor="#aebd37" stroked="false">
              <v:fill opacity="1966f" type="solid"/>
            </v:rect>
            <v:line style="position:absolute" from="765,11415" to="10886,11415" stroked="true" strokeweight=".25pt" strokecolor="#939598">
              <v:stroke dashstyle="solid"/>
            </v:line>
            <v:shape style="position:absolute;left:6160;top:4648;width:4139;height:4139" type="#_x0000_t75" stroked="false">
              <v:imagedata r:id="rId28" o:title=""/>
            </v:shape>
            <v:shape style="position:absolute;left:6344;top:4833;width:3770;height:3770" coordorigin="6344,4833" coordsize="3770,3770" path="m8229,4833l8153,4835,8078,4839,8004,4846,7931,4857,7858,4870,7787,4885,7716,4904,7647,4925,7579,4948,7512,4974,7446,5003,7382,5034,7319,5067,7257,5103,7197,5140,7139,5180,7082,5222,7027,5266,6973,5312,6922,5360,6872,5410,6824,5462,6778,5516,6733,5571,6691,5628,6651,5686,6614,5746,6578,5808,6545,5871,6514,5935,6486,6001,6459,6068,6436,6136,6415,6205,6396,6276,6381,6347,6368,6420,6358,6493,6350,6567,6346,6642,6344,6718,6346,6794,6350,6869,6358,6943,6368,7016,6381,7089,6396,7160,6415,7231,6436,7300,6459,7368,6486,7435,6514,7501,6545,7565,6578,7628,6614,7690,6651,7750,6691,7808,6733,7865,6778,7920,6824,7974,6872,8026,6922,8075,6973,8123,7027,8170,7082,8214,7139,8256,7197,8296,7257,8333,7319,8369,7382,8402,7446,8433,7512,8462,7579,8488,7647,8511,7716,8532,7787,8551,7858,8566,7931,8579,8004,8589,8078,8597,8153,8601,8229,8603,8305,8601,8380,8597,8454,8589,8528,8579,8600,8566,8671,8551,8742,8532,8811,8511,8879,8488,8946,8462,9012,8433,9076,8402,9139,8369,9201,8333,9261,8296,9319,8256,9376,8214,9431,8170,9485,8123,9537,8075,9587,8026,9635,7974,9681,7920,9725,7865,9767,7808,9807,7750,9845,7690,9880,7628,9913,7565,9944,7501,9973,7435,9999,7368,10022,7300,10043,7231,10062,7160,10078,7089,10090,7016,10101,6943,10108,6869,10112,6794,10114,6718,10112,6642,10108,6567,10101,6493,10090,6420,10078,6347,10062,6276,10043,6205,10022,6136,9999,6068,9973,6001,9944,5935,9913,5871,9880,5808,9845,5746,9807,5686,9767,5628,9725,5571,9681,5516,9635,5462,9587,5410,9537,5360,9485,5312,9431,5266,9376,5222,9319,5180,9261,5140,9201,5103,9139,5067,9076,5034,9012,5003,8946,4974,8879,4948,8811,4925,8742,4904,8671,4885,8600,4870,8528,4857,8454,4846,8380,4839,8305,4835,8229,4833xe" filled="true" fillcolor="#ffffff" stroked="false">
              <v:path arrowok="t"/>
              <v:fill type="solid"/>
            </v:shape>
            <v:shape style="position:absolute;left:-5296;top:21046;width:5291;height:1387" coordorigin="-5295,21046" coordsize="5291,1387" path="m14193,2612l14395,2814m14016,2545l14461,2990m13902,2541l14467,3106m13791,2541l14467,3216m13681,2541l14467,3327m13571,2541l14467,3437m13460,2541l14447,3528m13350,2541l14416,3607m13239,2541l14375,3677m13129,2541l14327,3739m13019,2541l14271,3793m12908,2541l14207,3840m12798,2541l14135,3878m12688,2541l14054,3908m12577,2541l13960,3924m12467,2541l13853,3927m12357,2541l13743,3927m12246,2541l13633,3927m12136,2541l13522,3927m12026,2541l13412,3927m11915,2541l13302,3927m11805,2541l13191,3927m11695,2541l13081,3927m11584,2541l12971,3927m11474,2541l12860,3927m11364,2541l12750,3927m11253,2541l12640,3927m11143,2541l12529,3927m11033,2541l12419,3927m10922,2541l12309,3927m10812,2541l12198,3927m10701,2541l12088,3927m10591,2541l11978,3927m10481,2541l11867,3927m10370,2541l11757,3927m10260,2541l11647,3927m10150,2541l11536,3927m10039,2541l11426,3927m9929,2541l11315,3927m9819,2541l11205,3927m9708,2541l11095,3927m9608,2551l10984,3927m9525,2578l10874,3927m9451,2615l10764,3927m9386,2660l10653,3927m9329,2714l10543,3927m9280,2775l10433,3927m9239,2844l10322,3927m9206,2921l10212,3927m9184,3010l10102,3927m9176,3112l9991,3927m9176,3222l9881,3927m9176,3333l9771,3927m9184,3451l9652,3920m9237,3615l9488,3866e" filled="false" stroked="true" strokeweight=".25pt" strokecolor="#5d883c">
              <v:path arrowok="t"/>
              <v:stroke dashstyle="solid"/>
            </v:shape>
            <v:shape style="position:absolute;left:9370;top:2695;width:4908;height:1071" coordorigin="9371,2695" coordsize="4908,1071" path="m13853,2695l9796,2695,9719,2702,9647,2722,9581,2753,9522,2795,9471,2847,9429,2906,9397,2972,9377,3044,9371,3121,9371,3341,9377,3417,9397,3489,9429,3555,9471,3615,9522,3666,9581,3708,9647,3739,9719,3759,9796,3766,13853,3766,13930,3759,14002,3739,14068,3708,14127,3666,14178,3615,14220,3555,14252,3489,14271,3417,14278,3341,14278,3121,14271,3044,14252,2972,14220,2906,14178,2847,14127,2795,14068,2753,14002,2722,13930,2702,13853,2695xe" filled="true" fillcolor="#ffffff" stroked="false">
              <v:path arrowok="t"/>
              <v:fill type="solid"/>
            </v:shape>
            <v:shape style="position:absolute;left:-5296;top:21046;width:5291;height:1387" coordorigin="-5295,21046" coordsize="5291,1387" path="m14193,9587l14395,9789m14016,9520l14461,9965m13902,9516l14467,10081m13791,9516l14467,10191m13681,9516l14467,10302m13571,9516l14467,10412m13460,9516l14447,10503m13350,9516l14416,10582m13239,9516l14375,10652m13129,9516l14327,10714m13019,9516l14271,10768m12908,9516l14207,10815m12798,9516l14135,10853m12688,9516l14054,10883m12577,9516l13960,10899m12467,9516l13853,10902m12357,9516l13743,10902m12246,9516l13633,10902m12136,9516l13522,10902m12026,9516l13412,10902m11915,9516l13302,10902m11805,9516l13191,10902m11695,9516l13081,10902m11584,9516l12971,10902m11474,9516l12860,10902m11364,9516l12750,10902m11253,9516l12640,10902m11143,9516l12529,10902m11033,9516l12419,10902m10922,9516l12309,10902m10812,9516l12198,10902m10701,9516l12088,10902m10591,9516l11978,10902m10481,9516l11867,10902m10370,9516l11757,10902m10260,9516l11647,10902m10150,9516l11536,10902m10039,9516l11426,10902m9929,9516l11315,10902m9819,9516l11205,10902m9708,9516l11095,10902m9608,9526l10984,10902m9525,9553l10874,10902m9451,9590l10764,10902m9386,9635l10653,10902m9329,9688l10543,10902m9280,9750l10433,10902m9239,9818l10322,10902m9206,9896l10212,10902m9184,9985l10102,10902m9176,10087l9991,10902m9176,10197l9881,10902m9176,10308l9771,10902m9184,10426l9652,10894m9237,10590l9488,10841e" filled="false" stroked="true" strokeweight=".25pt" strokecolor="#bbbcbb">
              <v:path arrowok="t"/>
              <v:stroke dashstyle="solid"/>
            </v:shape>
            <v:shape style="position:absolute;left:9370;top:9670;width:4908;height:1071" coordorigin="9371,9670" coordsize="4908,1071" path="m13853,9670l9796,9670,9719,9677,9647,9697,9581,9728,9522,9770,9471,9821,9429,9881,9397,9947,9377,10019,9371,10095,9371,10315,9377,10392,9397,10464,9429,10530,9471,10589,9522,10641,9581,10682,9647,10714,9719,10734,9796,10741,13853,10741,13930,10734,14002,10714,14068,10682,14127,10641,14178,10589,14220,10530,14252,10464,14271,10392,14278,10315,14278,10095,14271,10019,14252,9947,14220,9881,14178,9821,14127,9770,14068,9728,14002,9697,13930,9677,13853,9670xe" filled="true" fillcolor="#ffffff" stroked="false">
              <v:path arrowok="t"/>
              <v:fill type="solid"/>
            </v:shape>
            <v:shape style="position:absolute;left:-6496;top:21046;width:2498;height:1387" coordorigin="-6495,21046" coordsize="2498,1387" path="m12886,6041l13288,6443m12763,6028l13306,6571m12653,6028l13307,6683m12542,6028l13307,6793m12432,6028l13303,6900m12322,6028l13288,6994m12211,6028l13259,7076m12101,6028l13220,7148m11991,6028l13174,7212m11880,6028l13120,7268m11770,6028l13058,7316m11660,6028l12988,7357m11549,6028l12909,7388m11439,6028l12820,7409m11329,6028l12715,7415m11231,6041l12605,7415m11149,6069l12494,7415m11077,6107l12384,7415m11013,6154l12274,7415m10957,6209l12163,7415m10908,6270l12053,7415m10868,6340l11943,7415m10837,6419l11832,7415m10816,6509l11722,7415m10810,6613l11612,7415m10810,6724l11501,7415m10810,6834l11391,7415m10821,6956l11269,7403m10885,7130l11095,7339e" filled="false" stroked="true" strokeweight=".25pt" strokecolor="#aebd37">
              <v:path arrowok="t"/>
              <v:stroke dashstyle="solid"/>
            </v:shape>
            <v:shape style="position:absolute;left:11004;top:6182;width:2108;height:1071" coordorigin="11005,6183" coordsize="2108,1071" path="m12687,6183l11430,6183,11353,6190,11281,6209,11215,6241,11156,6283,11105,6334,11063,6393,11031,6460,11011,6532,11005,6608,11005,6828,11011,6904,11031,6976,11063,7043,11105,7102,11156,7153,11215,7195,11281,7227,11353,7246,11430,7253,12687,7253,12764,7246,12836,7227,12902,7195,12961,7153,13012,7102,13054,7043,13086,6976,13106,6904,13112,6828,13112,6608,13106,6532,13086,6460,13054,6393,13012,6334,12961,6283,12902,6241,12836,6209,12764,6190,12687,6183xe" filled="true" fillcolor="#ffffff" stroked="false">
              <v:path arrowok="t"/>
              <v:fill type="solid"/>
            </v:shape>
            <v:shape style="position:absolute;left:-6496;top:21046;width:2498;height:1387" coordorigin="-6496,21046" coordsize="2498,1387" path="m15651,6041l16054,6443m15529,6028l16071,6571m15418,6028l16072,6683m15308,6028l16072,6793m15197,6028l16069,6900m15087,6028l16053,6994m14977,6028l16024,7076m14866,6028l15986,7148m14756,6028l15939,7212m14646,6028l15885,7268m14535,6028l15823,7316m14425,6028l15753,7357m14315,6028l15675,7388m14204,6028l15585,7409m14094,6028l15480,7415m13996,6041l15370,7415m13914,6069l15260,7415m13842,6107l15149,7415m13778,6154l15039,7415m13722,6209l14929,7415m13674,6270l14818,7415m13633,6340l14708,7415m13602,6419l14598,7415m13581,6509l14487,7415m13575,6613l14377,7415m13575,6724l14267,7415m13575,6834l14156,7415m13587,6956l14034,7403m13651,7130l13860,7339e" filled="false" stroked="true" strokeweight=".25pt" strokecolor="#aebd37">
              <v:path arrowok="t"/>
              <v:stroke dashstyle="solid"/>
            </v:shape>
            <v:shape style="position:absolute;left:13770;top:6182;width:2108;height:1071" coordorigin="13770,6183" coordsize="2108,1071" path="m15453,6183l14195,6183,14119,6190,14047,6209,13981,6241,13921,6283,13870,6334,13828,6393,13797,6460,13777,6532,13770,6608,13770,6828,13777,6904,13797,6976,13828,7043,13870,7102,13921,7153,13981,7195,14047,7227,14119,7246,14195,7253,15453,7253,15529,7246,15601,7227,15667,7195,15727,7153,15778,7102,15820,7043,15851,6976,15871,6904,15878,6828,15878,6608,15871,6532,15851,6460,15820,6393,15778,6334,15727,6283,15667,6241,15601,6209,15529,6190,15453,6183xe" filled="true" fillcolor="#ffffff" stroked="false">
              <v:path arrowok="t"/>
              <v:fill type="solid"/>
            </v:shape>
            <v:shape style="position:absolute;left:-5013;top:20163;width:5011;height:1387" coordorigin="-5013,20163" coordsize="5011,1387" path="m14815,4353l15026,4563m14640,4288l15090,4738m14526,4285l15094,4852m14416,4285l15094,4963m14306,4285l15094,5073m14195,4285l15094,5184m14085,4285l15074,5274m13975,4285l15042,5352m13864,4285l15002,5422m13754,4285l14953,5484m13644,4285l14897,5538m13533,4285l14833,5585m13423,4285l14761,5623m13313,4285l14680,5652m13202,4285l14585,5668m13092,4285l14478,5671m12982,4285l14368,5671m12871,4285l14258,5671m12761,4285l14147,5671m12651,4285l14037,5671m12540,4285l13927,5671m12430,4285l13816,5671m12320,4285l13706,5671m12209,4285l13596,5671m12099,4285l13485,5671m11988,4285l13375,5671m11878,4285l13265,5671m11768,4285l13154,5671m11657,4285l13044,5671m11547,4285l12934,5671m11437,4285l12823,5671m11326,4285l12713,5671m11216,4285l12602,5671m11106,4285l12492,5671m10995,4285l12382,5671m10885,4285l12271,5671m10775,4285l12161,5671m10664,4285l12051,5671m10555,4286l11940,5671m10467,4309l11830,5671m10390,4342l11720,5671m10322,4384l11609,5671m10261,4433l11499,5671m10208,4491l11389,5671m10163,4556l11278,5671m10126,4629l11168,5671m10100,4713l11058,5671m10086,4810l10947,5671m10084,4918l10837,5671m10084,5028l10727,5671m10086,5141l10614,5669m10111,5277l10478,5643e" filled="false" stroked="true" strokeweight=".25pt" strokecolor="#360f41">
              <v:path arrowok="t"/>
              <v:stroke dashstyle="solid"/>
            </v:shape>
            <v:shape style="position:absolute;left:10278;top:4439;width:4628;height:1071" coordorigin="10278,4439" coordsize="4628,1071" path="m14481,4439l10703,4439,10627,4446,10555,4466,10489,4497,10429,4539,10378,4590,10336,4650,10305,4716,10285,4788,10278,4864,10278,5084,10285,5161,10305,5233,10336,5299,10378,5358,10429,5409,10489,5451,10555,5483,10627,5503,10703,5509,14481,5509,14557,5503,14629,5483,14695,5451,14755,5409,14806,5358,14848,5299,14879,5233,14899,5161,14906,5084,14906,4864,14899,4788,14879,4716,14848,4650,14806,4590,14755,4539,14695,4497,14629,4466,14557,4446,14481,4439xe" filled="true" fillcolor="#ffffff" stroked="false">
              <v:path arrowok="t"/>
              <v:fill type="solid"/>
            </v:shape>
            <v:shape style="position:absolute;left:-5013;top:20163;width:5011;height:1387" coordorigin="-5013,20163" coordsize="5011,1387" path="m14815,7840l15026,8051m14640,7775l15090,8225m14526,7772l15094,8340m14416,7772l15094,8450m14306,7772l15094,8561m14195,7772l15094,8671m14085,7772l15074,8761m13975,7772l15042,8840m13864,7772l15002,8910m13754,7772l14953,8971m13644,7772l14897,9026m13533,7772l14833,9072m13423,7772l14761,9110m13313,7772l14680,9139m13202,7772l14585,9155m13092,7772l14478,9159m12982,7772l14368,9159m12871,7772l14258,9159m12761,7772l14147,9159m12651,7772l14037,9159m12540,7772l13927,9159m12430,7772l13816,9159m12320,7772l13706,9159m12209,7772l13596,9159m12099,7772l13485,9159m11988,7772l13375,9159m11878,7772l13265,9159m11768,7772l13154,9159m11657,7772l13044,9159m11547,7772l12934,9159m11437,7772l12823,9159m11326,7772l12713,9159m11216,7772l12602,9159m11106,7772l12492,9159m10995,7772l12382,9159m10885,7772l12271,9159m10775,7772l12161,9159m10664,7772l12051,9159m10555,7773l11940,9159m10467,7796l11830,9159m10390,7829l11720,9159m10322,7871l11609,9159m10261,7921l11499,9159m10208,7978l11389,9159m10163,8043l11278,9159m10126,8117l11168,9159m10100,8201l11058,9159m10086,8297l10947,9159m10084,8405l10837,9159m10084,8516l10727,9159m10086,8628l10614,9156m10111,8764l10478,9131e" filled="false" stroked="true" strokeweight=".25pt" strokecolor="#6f2770">
              <v:path arrowok="t"/>
              <v:stroke dashstyle="solid"/>
            </v:shape>
            <v:shape style="position:absolute;left:10278;top:7926;width:4628;height:1071" coordorigin="10278,7926" coordsize="4628,1071" path="m14481,7926l10703,7926,10627,7933,10555,7953,10489,7985,10429,8026,10378,8078,10336,8137,10305,8203,10285,8275,10278,8352,10278,8572,10285,8648,10305,8720,10336,8786,10378,8846,10429,8897,10489,8939,10555,8970,10627,8990,10703,8997,14481,8997,14557,8990,14629,8970,14695,8939,14755,8897,14806,8846,14848,8786,14879,8720,14899,8648,14906,8572,14906,8352,14899,8275,14879,8203,14848,8137,14806,8078,14755,8026,14695,7985,14629,7953,14557,7933,14481,7926xe" filled="true" fillcolor="#ffffff" stroked="false">
              <v:path arrowok="t"/>
              <v:fill type="solid"/>
            </v:shape>
            <v:shape style="position:absolute;left:-5296;top:21046;width:5291;height:1387" coordorigin="-5295,21046" coordsize="5291,1387" path="m5977,4356l6179,4558m5800,4289l6245,4734m5685,4285l6250,4850m5575,4285l6250,4960m5465,4285l6250,5070m5354,4285l6250,5181m5244,4285l6231,5272m5133,4285l6199,5351m5023,4285l6159,5421m4913,4285l6111,5482m4802,4285l6055,5537m4692,4285l5991,5584m4582,4285l5919,5622m4471,4285l5838,5651m4361,4285l5744,5668m4251,4285l5637,5671m4140,4285l5527,5671m4030,4285l5416,5671m3920,4285l5306,5671m3809,4285l5196,5671m3699,4285l5085,5671m3589,4285l4975,5671m3478,4285l4865,5671m3368,4285l4754,5671m3258,4285l4644,5671m3147,4285l4534,5671m3037,4285l4423,5671m2927,4285l4313,5671m2816,4285l4203,5671m2706,4285l4092,5671m2595,4285l3982,5671m2485,4285l3872,5671m2375,4285l3761,5671m2264,4285l3651,5671m2154,4285l3541,5671m2044,4285l3430,5671m1933,4285l3320,5671m1823,4285l3209,5671m1713,4285l3099,5671m1602,4285l2989,5671m1492,4285l2878,5671m1392,4295l2768,5671m1308,4322l2658,5671m1235,4358l2547,5671m1170,4404l2437,5671m1113,4457l2327,5671m1064,4518l2216,5671m1022,4587l2106,5671m990,4665l1996,5671m968,4753l1885,5671m960,4856l1775,5671m960,4966l1665,5671m960,5076l1554,5671m968,5195l1436,5663m1021,5359l1272,5610e" filled="false" stroked="true" strokeweight=".25pt" strokecolor="#5d883c">
              <v:path arrowok="t"/>
              <v:stroke dashstyle="solid"/>
            </v:shape>
            <v:shape style="position:absolute;left:1154;top:4439;width:4908;height:1071" coordorigin="1154,4439" coordsize="4908,1071" path="m5637,4439l1579,4439,1503,4446,1431,4466,1365,4497,1305,4539,1254,4590,1212,4650,1181,4716,1161,4788,1154,4864,1154,5084,1161,5161,1181,5233,1212,5299,1254,5358,1305,5409,1365,5451,1431,5483,1503,5503,1579,5509,5637,5509,5713,5503,5785,5483,5851,5451,5911,5409,5962,5358,6004,5299,6035,5233,6055,5161,6062,5084,6062,4864,6055,4788,6035,4716,6004,4650,5962,4590,5911,4539,5851,4497,5785,4466,5713,4446,5637,4439xe" filled="true" fillcolor="#ffffff" stroked="false">
              <v:path arrowok="t"/>
              <v:fill type="solid"/>
            </v:shape>
            <v:shape style="position:absolute;left:-5013;top:20163;width:5011;height:1387" coordorigin="-5013,20163" coordsize="5011,1387" path="m7284,2688l7494,2898m7109,2623l7558,3072m6995,2620l7563,3187m6885,2620l7563,3298m6774,2620l7563,3408m6664,2620l7563,3518m6554,2620l7543,3609m6443,2620l7511,3687m6333,2620l7470,3757m6223,2620l7422,3819m6112,2620l7366,3873m6002,2620l7302,3919m5891,2620l7230,3958m5781,2620l7148,3987m5671,2620l7054,4003m5560,2620l6947,4006m5450,2620l6837,4006m5340,2620l6726,4006m5229,2620l6616,4006m5119,2620l6505,4006m5009,2620l6395,4006m4898,2620l6285,4006m4788,2620l6174,4006m4678,2620l6064,4006m4567,2620l5954,4006m4457,2620l5843,4006m4347,2620l5733,4006m4236,2620l5623,4006m4126,2620l5512,4006m4016,2620l5402,4006m3905,2620l5292,4006m3795,2620l5181,4006m3685,2620l5071,4006m3574,2620l4961,4006m3464,2620l4850,4006m3354,2620l4740,4006m3243,2620l4630,4006m3133,2620l4519,4006m3023,2620l4409,4006m2936,2643l4299,4006m2859,2677l4188,4006m2790,2718l4078,4006m2730,2768l3968,4006m2677,2826l3857,4006m2631,2891l3747,4006m2594,2964l3636,4006m2568,3048l3526,4006m2554,3145l3416,4006m2552,3253l3305,4006m2552,3363l3195,4006m2555,3476l3082,4004m2580,3612l2947,3978e" filled="false" stroked="true" strokeweight=".25pt" strokecolor="#360f41">
              <v:path arrowok="t"/>
              <v:stroke dashstyle="solid"/>
            </v:shape>
            <v:shape style="position:absolute;left:2746;top:2773;width:4628;height:1071" coordorigin="2747,2774" coordsize="4628,1071" path="m6949,2774l3172,2774,3095,2781,3024,2800,2957,2832,2898,2874,2847,2925,2805,2984,2773,3051,2754,3123,2747,3199,2747,3419,2754,3496,2773,3567,2805,3634,2847,3693,2898,3744,2957,3786,3024,3818,3095,3837,3172,3844,6949,3844,7026,3837,7098,3818,7164,3786,7223,3744,7275,3693,7316,3634,7348,3567,7368,3496,7375,3419,7375,3199,7368,3123,7348,3051,7316,2984,7275,2925,7223,2874,7164,2832,7098,2800,7026,2781,6949,2774xe" filled="true" fillcolor="#ffffff" stroked="false">
              <v:path arrowok="t"/>
              <v:fill type="solid"/>
            </v:shape>
            <v:shape style="position:absolute;left:-4786;top:19335;width:4811;height:1387" coordorigin="-4785,19336" coordsize="4811,1387" path="m5407,6179l5427,6199m5158,6040l5564,6446m5036,6028l5576,6569m4925,6028l5576,6679m4815,6028l5576,6789m4705,6028l5576,6900m4594,6028l5562,6996m4484,6028l5534,7078m4374,6028l5495,7150m4263,6028l5448,7213m4153,6028l5394,7269m4043,6028l5332,7317m3932,6028l5261,7358m3822,6028l5182,7389m3712,6028l5093,7410m3601,6028l4988,7415m3491,6028l4877,7415m3381,6028l4767,7415m3270,6028l4657,7415m3160,6028l4546,7415m3050,6028l4436,7415m2939,6028l4326,7415m2829,6028l4215,7415m2718,6028l4105,7415m2608,6028l3995,7415m2498,6028l3884,7415m2387,6028l3774,7415m2277,6028l3664,7415m2167,6028l3553,7415m2056,6028l3443,7415m1946,6028l3332,7415m1836,6028l3222,7415m1725,6028l3112,7415m1615,6028l3001,7415m1505,6028l2891,7415m1394,6028l2781,7415m1284,6028l2670,7415m1186,6041l2560,7415m1104,6069l2450,7415m1032,6107l2339,7415m968,6154l2229,7415m912,6209l2119,7415m864,6270l2008,7415m823,6340l1898,7415m792,6419l1788,7415m771,6509l1677,7415m765,6613l1567,7415m765,6724l1457,7415m765,6834l1346,7415m777,6956l1224,7403m841,7130l1050,7340e" filled="false" stroked="true" strokeweight=".25pt" strokecolor="#aebd37">
              <v:path arrowok="t"/>
              <v:stroke dashstyle="solid"/>
            </v:shape>
            <v:shape style="position:absolute;left:959;top:6182;width:4428;height:1071" coordorigin="960,6183" coordsize="4428,1071" path="m4963,6183l1385,6183,1309,6190,1237,6209,1171,6241,1111,6283,1060,6334,1018,6393,987,6460,967,6532,960,6608,960,6828,967,6904,987,6976,1018,7043,1060,7102,1111,7153,1171,7195,1237,7227,1309,7246,1385,7253,4963,7253,5039,7246,5111,7227,5177,7195,5237,7153,5288,7102,5330,7043,5361,6976,5381,6904,5388,6828,5388,6608,5381,6532,5361,6460,5330,6393,5288,6334,5237,6283,5177,6241,5111,6209,5039,6190,4963,6183xe" filled="true" fillcolor="#ffffff" stroked="false">
              <v:path arrowok="t"/>
              <v:fill type="solid"/>
            </v:shape>
            <v:shape style="position:absolute;left:-5013;top:20163;width:5011;height:1387" coordorigin="-5013,20163" coordsize="5011,1387" path="m6089,7840l6300,8051m5914,7775l6364,8225m5800,7772l6368,8340m5690,7772l6368,8450m5580,7772l6368,8561m5469,7772l6368,8671m5359,7772l6348,8761m5249,7772l6316,8840m5138,7772l6276,8910m5028,7772l6227,8971m4918,7772l6171,9026m4807,7772l6107,9072m4697,7772l6035,9110m4587,7772l5954,9139m4476,7772l5859,9155m4366,7772l5752,9159m4256,7772l5642,9159m4145,7772l5532,9159m4035,7772l5421,9159m3925,7772l5311,9159m3814,7772l5201,9159m3704,7772l5090,9159m3594,7772l4980,9159m3483,7772l4870,9159m3373,7772l4759,9159m3262,7772l4649,9159m3152,7772l4539,9159m3042,7772l4428,9159m2931,7772l4318,9159m2821,7772l4208,9159m2711,7772l4097,9159m2600,7772l3987,9159m2490,7772l3876,9159m2380,7772l3766,9159m2269,7772l3656,9159m2159,7772l3545,9159m2049,7772l3435,9159m1938,7772l3325,9159m1829,7773l3214,9159m1741,7796l3104,9159m1664,7829l2994,9159m1596,7871l2883,9159m1535,7921l2773,9159m1482,7978l2663,9159m1437,8043l2552,9159m1400,8117l2442,9159m1374,8201l2332,9159m1360,8297l2221,9159m1358,8405l2111,9159m1358,8516l2001,9159m1360,8628l1888,9156m1385,8764l1752,9131e" filled="false" stroked="true" strokeweight=".25pt" strokecolor="#6f2770">
              <v:path arrowok="t"/>
              <v:stroke dashstyle="solid"/>
            </v:shape>
            <v:shape style="position:absolute;left:1552;top:7926;width:4628;height:1071" coordorigin="1552,7926" coordsize="4628,1071" path="m5755,7926l1977,7926,1901,7933,1829,7953,1763,7985,1703,8026,1652,8078,1610,8137,1579,8203,1559,8275,1552,8352,1552,8572,1559,8648,1579,8720,1610,8786,1652,8846,1703,8897,1763,8939,1829,8970,1901,8990,1977,8997,5755,8997,5831,8990,5903,8970,5969,8939,6029,8897,6080,8846,6122,8786,6153,8720,6173,8648,6180,8572,6180,8352,6173,8275,6153,8203,6122,8137,6080,8078,6029,8026,5969,7985,5903,7953,5831,7933,5755,7926xe" filled="true" fillcolor="#ffffff" stroked="false">
              <v:path arrowok="t"/>
              <v:fill type="solid"/>
            </v:shape>
            <v:shape style="position:absolute;left:-5296;top:21046;width:5291;height:1387" coordorigin="-5296,21046" coordsize="5291,1387" path="m7003,9587l7205,9789m6825,9520l7271,9965m6711,9516l7276,10081m6601,9516l7276,10191m6490,9516l7276,10302m6380,9516l7276,10412m6270,9516l7257,10503m6159,9516l7225,10582m6049,9516l7185,10652m5939,9516l7136,10714m5828,9516l7080,10768m5718,9516l7017,10815m5608,9516l6945,10853m5497,9516l6864,10883m5387,9516l6770,10899m5276,9516l6663,10902m5166,9516l6553,10902m5056,9516l6442,10902m4945,9516l6332,10902m4835,9516l6222,10902m4725,9516l6111,10902m4614,9516l6001,10902m4504,9516l5890,10902m4394,9516l5780,10902m4283,9516l5670,10902m4173,9516l5559,10902m4063,9516l5449,10902m3952,9516l5339,10902m3842,9516l5228,10902m3732,9516l5118,10902m3621,9516l5008,10902m3511,9516l4897,10902m3401,9516l4787,10902m3290,9516l4677,10902m3180,9516l4566,10902m3070,9516l4456,10902m2959,9516l4346,10902m2849,9516l4235,10902m2738,9516l4125,10902m2628,9516l4015,10902m2518,9516l3904,10902m2417,9526l3794,10902m2334,9553l3684,10902m2260,9589l3573,10902m2196,9635l3463,10902m2139,9688l3352,10902m2089,9749l3242,10902m2048,9818l3132,10902m2015,9896l3021,10902m1993,9985l2911,10902m1985,10087l2801,10902m1985,10197l2690,10902m1985,10308l2580,10902m1993,10426l2462,10894m2047,10590l2298,10841e" filled="false" stroked="true" strokeweight=".25pt" strokecolor="#bbbcbb">
              <v:path arrowok="t"/>
              <v:stroke dashstyle="solid"/>
            </v:shape>
            <v:shape style="position:absolute;left:2179;top:9670;width:4908;height:1071" coordorigin="2180,9670" coordsize="4908,1071" path="m6663,9670l2605,9670,2529,9677,2457,9697,2391,9728,2331,9770,2280,9821,2238,9881,2207,9947,2187,10019,2180,10095,2180,10315,2187,10392,2207,10464,2238,10530,2280,10589,2331,10641,2391,10682,2457,10714,2529,10734,2605,10741,6663,10741,6739,10734,6811,10714,6877,10682,6937,10641,6988,10589,7030,10530,7061,10464,7081,10392,7088,10315,7088,10095,7081,10019,7061,9947,7030,9881,6988,9821,6937,9770,6877,9728,6811,9697,6739,9677,6663,9670xe" filled="true" fillcolor="#ffffff" stroked="false">
              <v:path arrowok="t"/>
              <v:fill type="solid"/>
            </v:shape>
            <v:shape style="position:absolute;left:13396;top:3092;width:277;height:277" type="#_x0000_t75" stroked="false">
              <v:imagedata r:id="rId29" o:title=""/>
            </v:shape>
            <v:shape style="position:absolute;left:14023;top:8323;width:277;height:277" type="#_x0000_t75" stroked="false">
              <v:imagedata r:id="rId30" o:title=""/>
            </v:shape>
            <v:shape style="position:absolute;left:14023;top:4835;width:277;height:277" type="#_x0000_t75" stroked="false">
              <v:imagedata r:id="rId30" o:title=""/>
            </v:shape>
            <v:shape style="position:absolute;left:15295;top:6579;width:277;height:277" type="#_x0000_t75" stroked="false">
              <v:imagedata r:id="rId31" o:title=""/>
            </v:shape>
            <v:shape style="position:absolute;left:13396;top:10066;width:277;height:277" type="#_x0000_t75" stroked="false">
              <v:imagedata r:id="rId32" o:title=""/>
            </v:shape>
            <v:shape style="position:absolute;left:12490;top:6579;width:277;height:277" type="#_x0000_t75" stroked="false">
              <v:imagedata r:id="rId32" o:title=""/>
            </v:shape>
            <v:rect style="position:absolute;left:0;top:0;width:2406;height:851" filled="true" fillcolor="#bba1bc" stroked="false">
              <v:fill type="solid"/>
            </v:rect>
            <v:rect style="position:absolute;left:2405;top:0;width:2406;height:851" filled="true" fillcolor="#c3acc4" stroked="false">
              <v:fill type="solid"/>
            </v:rect>
            <v:rect style="position:absolute;left:4810;top:0;width:2406;height:851" filled="true" fillcolor="#d4d896"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c3acc4" stroked="false">
              <v:fill type="solid"/>
            </v:rect>
            <v:rect style="position:absolute;left:14432;top:0;width:2406;height:851" filled="true" fillcolor="#bba1bc" stroked="false">
              <v:fill type="solid"/>
            </v:rect>
            <v:line style="position:absolute" from="0,0" to="0,850" stroked="true" strokeweight="0pt" strokecolor="#bba1bc">
              <v:stroke dashstyle="solid"/>
            </v:lin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p>
    <w:p>
      <w:pPr>
        <w:pStyle w:val="BodyText"/>
        <w:spacing w:before="3"/>
        <w:rPr>
          <w:sz w:val="28"/>
        </w:rPr>
      </w:pPr>
    </w:p>
    <w:p>
      <w:pPr>
        <w:tabs>
          <w:tab w:pos="15961" w:val="left" w:leader="none"/>
        </w:tabs>
        <w:spacing w:before="108"/>
        <w:ind w:left="11199"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5" w:id="6"/>
      <w:bookmarkEnd w:id="6"/>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Heading1"/>
        <w:spacing w:before="254"/>
      </w:pPr>
      <w:r>
        <w:rPr/>
        <w:pict>
          <v:group style="position:absolute;margin-left:240.539398pt;margin-top:-55.27351pt;width:601.4pt;height:484.65pt;mso-position-horizontal-relative:page;mso-position-vertical-relative:paragraph;z-index:-709408" coordorigin="4811,-1105" coordsize="12028,9693">
            <v:shape style="position:absolute;left:5611;top:-1106;width:11227;height:9693" type="#_x0000_t75" stroked="false">
              <v:imagedata r:id="rId34" o:title=""/>
            </v:shape>
            <v:shape style="position:absolute;left:11253;top:4437;width:199;height:199" type="#_x0000_t75" stroked="false">
              <v:imagedata r:id="rId35" o:title=""/>
            </v:shape>
            <v:shape style="position:absolute;left:11253;top:4752;width:199;height:199" type="#_x0000_t75" stroked="false">
              <v:imagedata r:id="rId35" o:title=""/>
            </v:shape>
            <v:shape style="position:absolute;left:11253;top:5314;width:199;height:199" type="#_x0000_t75" stroked="false">
              <v:imagedata r:id="rId35" o:title=""/>
            </v:shape>
            <v:rect style="position:absolute;left:4810;top:-1106;width:2406;height:851" filled="true" fillcolor="#d4d896" stroked="false">
              <v:fill type="solid"/>
            </v:rect>
            <w10:wrap type="none"/>
          </v:group>
        </w:pict>
      </w:r>
      <w:r>
        <w:rPr/>
        <w:pict>
          <v:shape style="position:absolute;margin-left:601.348999pt;margin-top:-55.274212pt;width:120.3pt;height:42.55pt;mso-position-horizontal-relative:page;mso-position-vertical-relative:paragraph;z-index:311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3136"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5.274212pt;width:120.3pt;height:42.55pt;mso-position-horizontal-relative:page;mso-position-vertical-relative:paragraph;z-index:316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Delivering Value</w:t>
      </w:r>
    </w:p>
    <w:p>
      <w:pPr>
        <w:pStyle w:val="Heading4"/>
        <w:spacing w:line="249" w:lineRule="auto" w:before="271"/>
        <w:ind w:right="799"/>
      </w:pPr>
      <w:r>
        <w:rPr>
          <w:color w:val="6F2770"/>
        </w:rPr>
        <w:t>The</w:t>
      </w:r>
      <w:r>
        <w:rPr>
          <w:color w:val="6F2770"/>
          <w:spacing w:val="-48"/>
        </w:rPr>
        <w:t> </w:t>
      </w:r>
      <w:r>
        <w:rPr>
          <w:color w:val="6F2770"/>
        </w:rPr>
        <w:t>Department</w:t>
      </w:r>
      <w:r>
        <w:rPr>
          <w:color w:val="6F2770"/>
          <w:spacing w:val="-47"/>
        </w:rPr>
        <w:t> </w:t>
      </w:r>
      <w:r>
        <w:rPr>
          <w:color w:val="6F2770"/>
        </w:rPr>
        <w:t>of</w:t>
      </w:r>
      <w:r>
        <w:rPr>
          <w:color w:val="6F2770"/>
          <w:spacing w:val="-47"/>
        </w:rPr>
        <w:t> </w:t>
      </w:r>
      <w:r>
        <w:rPr>
          <w:color w:val="6F2770"/>
        </w:rPr>
        <w:t>Finance</w:t>
      </w:r>
      <w:r>
        <w:rPr>
          <w:color w:val="6F2770"/>
          <w:spacing w:val="-48"/>
        </w:rPr>
        <w:t> </w:t>
      </w:r>
      <w:r>
        <w:rPr>
          <w:color w:val="6F2770"/>
        </w:rPr>
        <w:t>constantly</w:t>
      </w:r>
      <w:r>
        <w:rPr>
          <w:color w:val="6F2770"/>
          <w:spacing w:val="-47"/>
        </w:rPr>
        <w:t> </w:t>
      </w:r>
      <w:r>
        <w:rPr>
          <w:color w:val="6F2770"/>
        </w:rPr>
        <w:t>evaluates</w:t>
      </w:r>
      <w:r>
        <w:rPr>
          <w:color w:val="6F2770"/>
          <w:spacing w:val="-47"/>
        </w:rPr>
        <w:t> </w:t>
      </w:r>
      <w:r>
        <w:rPr>
          <w:color w:val="6F2770"/>
        </w:rPr>
        <w:t>program</w:t>
      </w:r>
      <w:r>
        <w:rPr>
          <w:color w:val="6F2770"/>
          <w:spacing w:val="-47"/>
        </w:rPr>
        <w:t> </w:t>
      </w:r>
      <w:r>
        <w:rPr>
          <w:color w:val="6F2770"/>
        </w:rPr>
        <w:t>and</w:t>
      </w:r>
      <w:r>
        <w:rPr>
          <w:color w:val="6F2770"/>
          <w:spacing w:val="-48"/>
        </w:rPr>
        <w:t> </w:t>
      </w:r>
      <w:r>
        <w:rPr>
          <w:color w:val="6F2770"/>
        </w:rPr>
        <w:t>service</w:t>
      </w:r>
      <w:r>
        <w:rPr>
          <w:color w:val="6F2770"/>
          <w:spacing w:val="-47"/>
        </w:rPr>
        <w:t> </w:t>
      </w:r>
      <w:r>
        <w:rPr>
          <w:color w:val="6F2770"/>
        </w:rPr>
        <w:t>delivery</w:t>
      </w:r>
      <w:r>
        <w:rPr>
          <w:color w:val="6F2770"/>
          <w:spacing w:val="-47"/>
        </w:rPr>
        <w:t> </w:t>
      </w:r>
      <w:r>
        <w:rPr>
          <w:color w:val="6F2770"/>
        </w:rPr>
        <w:t>to</w:t>
      </w:r>
      <w:r>
        <w:rPr>
          <w:color w:val="6F2770"/>
          <w:spacing w:val="-47"/>
        </w:rPr>
        <w:t> </w:t>
      </w:r>
      <w:r>
        <w:rPr>
          <w:color w:val="6F2770"/>
        </w:rPr>
        <w:t>maximise</w:t>
      </w:r>
      <w:r>
        <w:rPr>
          <w:color w:val="6F2770"/>
          <w:spacing w:val="-48"/>
        </w:rPr>
        <w:t> </w:t>
      </w:r>
      <w:r>
        <w:rPr>
          <w:color w:val="6F2770"/>
          <w:spacing w:val="-3"/>
        </w:rPr>
        <w:t>benefits </w:t>
      </w:r>
      <w:r>
        <w:rPr>
          <w:color w:val="6F2770"/>
        </w:rPr>
        <w:t>for government and the</w:t>
      </w:r>
      <w:r>
        <w:rPr>
          <w:color w:val="6F2770"/>
          <w:spacing w:val="-5"/>
        </w:rPr>
        <w:t> </w:t>
      </w:r>
      <w:r>
        <w:rPr>
          <w:color w:val="6F2770"/>
          <w:spacing w:val="-4"/>
        </w:rPr>
        <w:t>community.</w:t>
      </w:r>
    </w:p>
    <w:p>
      <w:pPr>
        <w:pStyle w:val="BodyText"/>
        <w:spacing w:before="2"/>
        <w:rPr>
          <w:sz w:val="27"/>
        </w:rPr>
      </w:pPr>
    </w:p>
    <w:p>
      <w:pPr>
        <w:spacing w:after="0"/>
        <w:rPr>
          <w:sz w:val="27"/>
        </w:rPr>
        <w:sectPr>
          <w:footerReference w:type="default" r:id="rId33"/>
          <w:pgSz w:w="16840" w:h="11910" w:orient="landscape"/>
          <w:pgMar w:footer="774" w:header="0" w:top="0" w:bottom="960" w:left="0" w:right="0"/>
        </w:sectPr>
      </w:pPr>
    </w:p>
    <w:p>
      <w:pPr>
        <w:pStyle w:val="BodyText"/>
        <w:spacing w:line="249" w:lineRule="auto" w:before="109"/>
        <w:ind w:left="765" w:right="11"/>
      </w:pPr>
      <w:r>
        <w:rPr/>
        <w:t>This year, </w:t>
      </w:r>
      <w:r>
        <w:rPr>
          <w:b/>
        </w:rPr>
        <w:t>Government Procurement </w:t>
      </w:r>
      <w:r>
        <w:rPr/>
        <w:t>examined the State’s vehicle fleet to identify cost reduction drivers and policy levers to reduce overall fleet costs.</w:t>
      </w:r>
    </w:p>
    <w:p>
      <w:pPr>
        <w:pStyle w:val="BodyText"/>
        <w:spacing w:line="249" w:lineRule="auto" w:before="117"/>
        <w:ind w:left="765" w:right="552"/>
      </w:pPr>
      <w:r>
        <w:rPr/>
        <w:t>Initiatives</w:t>
      </w:r>
      <w:r>
        <w:rPr>
          <w:spacing w:val="-34"/>
        </w:rPr>
        <w:t> </w:t>
      </w:r>
      <w:r>
        <w:rPr/>
        <w:t>such</w:t>
      </w:r>
      <w:r>
        <w:rPr>
          <w:spacing w:val="-33"/>
        </w:rPr>
        <w:t> </w:t>
      </w:r>
      <w:r>
        <w:rPr/>
        <w:t>as</w:t>
      </w:r>
      <w:r>
        <w:rPr>
          <w:spacing w:val="-33"/>
        </w:rPr>
        <w:t> </w:t>
      </w:r>
      <w:r>
        <w:rPr/>
        <w:t>longer</w:t>
      </w:r>
      <w:r>
        <w:rPr>
          <w:spacing w:val="-34"/>
        </w:rPr>
        <w:t> </w:t>
      </w:r>
      <w:r>
        <w:rPr/>
        <w:t>vehicle</w:t>
      </w:r>
      <w:r>
        <w:rPr>
          <w:spacing w:val="-33"/>
        </w:rPr>
        <w:t> </w:t>
      </w:r>
      <w:r>
        <w:rPr/>
        <w:t>lease</w:t>
      </w:r>
      <w:r>
        <w:rPr>
          <w:spacing w:val="-33"/>
        </w:rPr>
        <w:t> </w:t>
      </w:r>
      <w:r>
        <w:rPr/>
        <w:t>terms, mandating lower cost vehicle</w:t>
      </w:r>
      <w:r>
        <w:rPr>
          <w:spacing w:val="-40"/>
        </w:rPr>
        <w:t> </w:t>
      </w:r>
      <w:r>
        <w:rPr/>
        <w:t>selection,</w:t>
      </w:r>
    </w:p>
    <w:p>
      <w:pPr>
        <w:pStyle w:val="BodyText"/>
        <w:spacing w:line="249" w:lineRule="auto" w:before="1"/>
        <w:ind w:left="765" w:right="449"/>
      </w:pPr>
      <w:r>
        <w:rPr/>
        <w:t>and putting in place a new contract for the management</w:t>
      </w:r>
      <w:r>
        <w:rPr>
          <w:spacing w:val="-15"/>
        </w:rPr>
        <w:t> </w:t>
      </w:r>
      <w:r>
        <w:rPr/>
        <w:t>of</w:t>
      </w:r>
      <w:r>
        <w:rPr>
          <w:spacing w:val="-15"/>
        </w:rPr>
        <w:t> </w:t>
      </w:r>
      <w:r>
        <w:rPr/>
        <w:t>the</w:t>
      </w:r>
      <w:r>
        <w:rPr>
          <w:spacing w:val="-15"/>
        </w:rPr>
        <w:t> </w:t>
      </w:r>
      <w:r>
        <w:rPr/>
        <w:t>fleet</w:t>
      </w:r>
      <w:r>
        <w:rPr>
          <w:spacing w:val="-15"/>
        </w:rPr>
        <w:t> </w:t>
      </w:r>
      <w:r>
        <w:rPr/>
        <w:t>commencing</w:t>
      </w:r>
      <w:r>
        <w:rPr>
          <w:spacing w:val="-15"/>
        </w:rPr>
        <w:t> </w:t>
      </w:r>
      <w:r>
        <w:rPr/>
        <w:t>from</w:t>
      </w:r>
      <w:r>
        <w:rPr>
          <w:spacing w:val="-15"/>
        </w:rPr>
        <w:t> </w:t>
      </w:r>
      <w:r>
        <w:rPr/>
        <w:t>1 July</w:t>
      </w:r>
      <w:r>
        <w:rPr>
          <w:spacing w:val="-23"/>
        </w:rPr>
        <w:t> </w:t>
      </w:r>
      <w:r>
        <w:rPr>
          <w:spacing w:val="-7"/>
        </w:rPr>
        <w:t>2018,</w:t>
      </w:r>
      <w:r>
        <w:rPr>
          <w:spacing w:val="-23"/>
        </w:rPr>
        <w:t> </w:t>
      </w:r>
      <w:r>
        <w:rPr/>
        <w:t>have</w:t>
      </w:r>
      <w:r>
        <w:rPr>
          <w:spacing w:val="-23"/>
        </w:rPr>
        <w:t> </w:t>
      </w:r>
      <w:r>
        <w:rPr/>
        <w:t>resulted</w:t>
      </w:r>
      <w:r>
        <w:rPr>
          <w:spacing w:val="-23"/>
        </w:rPr>
        <w:t> </w:t>
      </w:r>
      <w:r>
        <w:rPr/>
        <w:t>in</w:t>
      </w:r>
      <w:r>
        <w:rPr>
          <w:spacing w:val="-23"/>
        </w:rPr>
        <w:t> </w:t>
      </w:r>
      <w:r>
        <w:rPr/>
        <w:t>forecast</w:t>
      </w:r>
      <w:r>
        <w:rPr>
          <w:spacing w:val="-22"/>
        </w:rPr>
        <w:t> </w:t>
      </w:r>
      <w:r>
        <w:rPr/>
        <w:t>savings</w:t>
      </w:r>
      <w:r>
        <w:rPr>
          <w:spacing w:val="-23"/>
        </w:rPr>
        <w:t> </w:t>
      </w:r>
      <w:r>
        <w:rPr/>
        <w:t>of</w:t>
      </w:r>
    </w:p>
    <w:p>
      <w:pPr>
        <w:pStyle w:val="BodyText"/>
        <w:spacing w:line="249" w:lineRule="auto" w:before="3"/>
        <w:ind w:left="765" w:right="-7"/>
      </w:pPr>
      <w:r>
        <w:rPr/>
        <w:t>around</w:t>
      </w:r>
      <w:r>
        <w:rPr>
          <w:spacing w:val="-20"/>
        </w:rPr>
        <w:t> </w:t>
      </w:r>
      <w:r>
        <w:rPr/>
        <w:t>$50</w:t>
      </w:r>
      <w:r>
        <w:rPr>
          <w:spacing w:val="-19"/>
        </w:rPr>
        <w:t> </w:t>
      </w:r>
      <w:r>
        <w:rPr/>
        <w:t>million</w:t>
      </w:r>
      <w:r>
        <w:rPr>
          <w:spacing w:val="-20"/>
        </w:rPr>
        <w:t> </w:t>
      </w:r>
      <w:r>
        <w:rPr>
          <w:spacing w:val="-3"/>
        </w:rPr>
        <w:t>to</w:t>
      </w:r>
      <w:r>
        <w:rPr>
          <w:spacing w:val="-19"/>
        </w:rPr>
        <w:t> </w:t>
      </w:r>
      <w:r>
        <w:rPr/>
        <w:t>government</w:t>
      </w:r>
      <w:r>
        <w:rPr>
          <w:spacing w:val="-20"/>
        </w:rPr>
        <w:t> </w:t>
      </w:r>
      <w:r>
        <w:rPr/>
        <w:t>over</w:t>
      </w:r>
      <w:r>
        <w:rPr>
          <w:spacing w:val="-19"/>
        </w:rPr>
        <w:t> </w:t>
      </w:r>
      <w:r>
        <w:rPr/>
        <w:t>the</w:t>
      </w:r>
      <w:r>
        <w:rPr>
          <w:spacing w:val="-20"/>
        </w:rPr>
        <w:t> </w:t>
      </w:r>
      <w:r>
        <w:rPr/>
        <w:t>forward estimates without compromising agency service delivery. These savings have been reflected in individual</w:t>
      </w:r>
      <w:r>
        <w:rPr>
          <w:spacing w:val="-19"/>
        </w:rPr>
        <w:t> </w:t>
      </w:r>
      <w:r>
        <w:rPr/>
        <w:t>agency</w:t>
      </w:r>
      <w:r>
        <w:rPr>
          <w:spacing w:val="-18"/>
        </w:rPr>
        <w:t> </w:t>
      </w:r>
      <w:r>
        <w:rPr/>
        <w:t>budget</w:t>
      </w:r>
      <w:r>
        <w:rPr>
          <w:spacing w:val="-19"/>
        </w:rPr>
        <w:t> </w:t>
      </w:r>
      <w:r>
        <w:rPr/>
        <w:t>reductions</w:t>
      </w:r>
      <w:r>
        <w:rPr>
          <w:spacing w:val="-18"/>
        </w:rPr>
        <w:t> </w:t>
      </w:r>
      <w:r>
        <w:rPr/>
        <w:t>from</w:t>
      </w:r>
      <w:r>
        <w:rPr>
          <w:spacing w:val="-19"/>
        </w:rPr>
        <w:t> </w:t>
      </w:r>
      <w:r>
        <w:rPr>
          <w:spacing w:val="-9"/>
        </w:rPr>
        <w:t>2018-19.</w:t>
      </w:r>
    </w:p>
    <w:p>
      <w:pPr>
        <w:pStyle w:val="BodyText"/>
        <w:spacing w:line="249" w:lineRule="auto" w:before="117"/>
        <w:ind w:left="765" w:right="33"/>
      </w:pPr>
      <w:r>
        <w:rPr/>
        <w:t>In addition, the vehicle acquisitions contract has been re-tendered and finalised. State Fleet will use this new contract </w:t>
      </w:r>
      <w:r>
        <w:rPr>
          <w:spacing w:val="-3"/>
        </w:rPr>
        <w:t>to </w:t>
      </w:r>
      <w:r>
        <w:rPr/>
        <w:t>pursue ‘group buys’ opportunities on regularly ordered vehicles </w:t>
      </w:r>
      <w:r>
        <w:rPr>
          <w:spacing w:val="-3"/>
        </w:rPr>
        <w:t>to </w:t>
      </w:r>
      <w:r>
        <w:rPr/>
        <w:t>achieve</w:t>
      </w:r>
      <w:r>
        <w:rPr>
          <w:spacing w:val="-33"/>
        </w:rPr>
        <w:t> </w:t>
      </w:r>
      <w:r>
        <w:rPr/>
        <w:t>better</w:t>
      </w:r>
      <w:r>
        <w:rPr>
          <w:spacing w:val="-32"/>
        </w:rPr>
        <w:t> </w:t>
      </w:r>
      <w:r>
        <w:rPr/>
        <w:t>value</w:t>
      </w:r>
      <w:r>
        <w:rPr>
          <w:spacing w:val="-33"/>
        </w:rPr>
        <w:t> </w:t>
      </w:r>
      <w:r>
        <w:rPr/>
        <w:t>for</w:t>
      </w:r>
      <w:r>
        <w:rPr>
          <w:spacing w:val="-32"/>
        </w:rPr>
        <w:t> </w:t>
      </w:r>
      <w:r>
        <w:rPr/>
        <w:t>government</w:t>
      </w:r>
      <w:r>
        <w:rPr>
          <w:spacing w:val="-32"/>
        </w:rPr>
        <w:t> </w:t>
      </w:r>
      <w:r>
        <w:rPr/>
        <w:t>and</w:t>
      </w:r>
      <w:r>
        <w:rPr>
          <w:spacing w:val="-33"/>
        </w:rPr>
        <w:t> </w:t>
      </w:r>
      <w:r>
        <w:rPr/>
        <w:t>ultimately the</w:t>
      </w:r>
      <w:r>
        <w:rPr>
          <w:spacing w:val="-2"/>
        </w:rPr>
        <w:t> </w:t>
      </w:r>
      <w:r>
        <w:rPr/>
        <w:t>taxpayer.</w:t>
      </w:r>
    </w:p>
    <w:p>
      <w:pPr>
        <w:pStyle w:val="BodyText"/>
        <w:spacing w:line="249" w:lineRule="auto" w:before="119"/>
        <w:ind w:left="765" w:right="186"/>
      </w:pPr>
      <w:r>
        <w:rPr/>
        <w:t>The </w:t>
      </w:r>
      <w:r>
        <w:rPr>
          <w:spacing w:val="-4"/>
        </w:rPr>
        <w:t>not-for-profit </w:t>
      </w:r>
      <w:r>
        <w:rPr/>
        <w:t>community services sector is vitally</w:t>
      </w:r>
      <w:r>
        <w:rPr>
          <w:spacing w:val="-32"/>
        </w:rPr>
        <w:t> </w:t>
      </w:r>
      <w:r>
        <w:rPr/>
        <w:t>important</w:t>
      </w:r>
      <w:r>
        <w:rPr>
          <w:spacing w:val="-31"/>
        </w:rPr>
        <w:t> </w:t>
      </w:r>
      <w:r>
        <w:rPr>
          <w:spacing w:val="-3"/>
        </w:rPr>
        <w:t>to</w:t>
      </w:r>
      <w:r>
        <w:rPr>
          <w:spacing w:val="-31"/>
        </w:rPr>
        <w:t> </w:t>
      </w:r>
      <w:r>
        <w:rPr/>
        <w:t>Western</w:t>
      </w:r>
      <w:r>
        <w:rPr>
          <w:spacing w:val="-31"/>
        </w:rPr>
        <w:t> </w:t>
      </w:r>
      <w:r>
        <w:rPr/>
        <w:t>Australians.</w:t>
      </w:r>
      <w:r>
        <w:rPr>
          <w:spacing w:val="-31"/>
        </w:rPr>
        <w:t> </w:t>
      </w:r>
      <w:r>
        <w:rPr/>
        <w:t>Finance continues</w:t>
      </w:r>
      <w:r>
        <w:rPr>
          <w:spacing w:val="-17"/>
        </w:rPr>
        <w:t> </w:t>
      </w:r>
      <w:r>
        <w:rPr>
          <w:spacing w:val="-3"/>
        </w:rPr>
        <w:t>to</w:t>
      </w:r>
      <w:r>
        <w:rPr>
          <w:spacing w:val="-16"/>
        </w:rPr>
        <w:t> </w:t>
      </w:r>
      <w:r>
        <w:rPr/>
        <w:t>provide</w:t>
      </w:r>
      <w:r>
        <w:rPr>
          <w:spacing w:val="-17"/>
        </w:rPr>
        <w:t> </w:t>
      </w:r>
      <w:r>
        <w:rPr/>
        <w:t>value</w:t>
      </w:r>
      <w:r>
        <w:rPr>
          <w:spacing w:val="-16"/>
        </w:rPr>
        <w:t> </w:t>
      </w:r>
      <w:r>
        <w:rPr>
          <w:spacing w:val="-3"/>
        </w:rPr>
        <w:t>to</w:t>
      </w:r>
      <w:r>
        <w:rPr>
          <w:spacing w:val="-17"/>
        </w:rPr>
        <w:t> </w:t>
      </w:r>
      <w:r>
        <w:rPr/>
        <w:t>this</w:t>
      </w:r>
      <w:r>
        <w:rPr>
          <w:spacing w:val="-16"/>
        </w:rPr>
        <w:t> </w:t>
      </w:r>
      <w:r>
        <w:rPr/>
        <w:t>sector</w:t>
      </w:r>
      <w:r>
        <w:rPr>
          <w:spacing w:val="-17"/>
        </w:rPr>
        <w:t> </w:t>
      </w:r>
      <w:r>
        <w:rPr/>
        <w:t>through the administration of the Delivering Community Services</w:t>
      </w:r>
      <w:r>
        <w:rPr>
          <w:spacing w:val="-38"/>
        </w:rPr>
        <w:t> </w:t>
      </w:r>
      <w:r>
        <w:rPr/>
        <w:t>in</w:t>
      </w:r>
      <w:r>
        <w:rPr>
          <w:spacing w:val="-37"/>
        </w:rPr>
        <w:t> </w:t>
      </w:r>
      <w:r>
        <w:rPr/>
        <w:t>Partnership</w:t>
      </w:r>
      <w:r>
        <w:rPr>
          <w:spacing w:val="-38"/>
        </w:rPr>
        <w:t> </w:t>
      </w:r>
      <w:r>
        <w:rPr/>
        <w:t>Policy</w:t>
      </w:r>
      <w:r>
        <w:rPr>
          <w:spacing w:val="-37"/>
        </w:rPr>
        <w:t> </w:t>
      </w:r>
      <w:r>
        <w:rPr/>
        <w:t>(DCSP</w:t>
      </w:r>
      <w:r>
        <w:rPr>
          <w:spacing w:val="-38"/>
        </w:rPr>
        <w:t> </w:t>
      </w:r>
      <w:r>
        <w:rPr/>
        <w:t>Policy)</w:t>
      </w:r>
      <w:r>
        <w:rPr>
          <w:spacing w:val="-37"/>
        </w:rPr>
        <w:t> </w:t>
      </w:r>
      <w:r>
        <w:rPr/>
        <w:t>and the provision of policy and practice</w:t>
      </w:r>
      <w:r>
        <w:rPr>
          <w:spacing w:val="-44"/>
        </w:rPr>
        <w:t> </w:t>
      </w:r>
      <w:r>
        <w:rPr/>
        <w:t>support.</w:t>
      </w:r>
    </w:p>
    <w:p>
      <w:pPr>
        <w:pStyle w:val="BodyText"/>
        <w:spacing w:line="249" w:lineRule="auto" w:before="108"/>
        <w:ind w:left="418" w:right="51"/>
      </w:pPr>
      <w:r>
        <w:rPr/>
        <w:br w:type="column"/>
      </w:r>
      <w:r>
        <w:rPr/>
        <w:t>This</w:t>
      </w:r>
      <w:r>
        <w:rPr>
          <w:spacing w:val="-27"/>
        </w:rPr>
        <w:t> </w:t>
      </w:r>
      <w:r>
        <w:rPr>
          <w:spacing w:val="-6"/>
        </w:rPr>
        <w:t>year,</w:t>
      </w:r>
      <w:r>
        <w:rPr>
          <w:spacing w:val="-27"/>
        </w:rPr>
        <w:t> </w:t>
      </w:r>
      <w:r>
        <w:rPr>
          <w:spacing w:val="-2"/>
        </w:rPr>
        <w:t>the</w:t>
      </w:r>
      <w:r>
        <w:rPr>
          <w:spacing w:val="-26"/>
        </w:rPr>
        <w:t> </w:t>
      </w:r>
      <w:r>
        <w:rPr/>
        <w:t>Department</w:t>
      </w:r>
      <w:r>
        <w:rPr>
          <w:spacing w:val="-27"/>
        </w:rPr>
        <w:t> </w:t>
      </w:r>
      <w:r>
        <w:rPr/>
        <w:t>led</w:t>
      </w:r>
      <w:r>
        <w:rPr>
          <w:spacing w:val="-26"/>
        </w:rPr>
        <w:t> </w:t>
      </w:r>
      <w:r>
        <w:rPr/>
        <w:t>a</w:t>
      </w:r>
      <w:r>
        <w:rPr>
          <w:spacing w:val="-27"/>
        </w:rPr>
        <w:t> </w:t>
      </w:r>
      <w:r>
        <w:rPr>
          <w:spacing w:val="-3"/>
        </w:rPr>
        <w:t>review</w:t>
      </w:r>
      <w:r>
        <w:rPr>
          <w:spacing w:val="-26"/>
        </w:rPr>
        <w:t> </w:t>
      </w:r>
      <w:r>
        <w:rPr>
          <w:spacing w:val="-3"/>
        </w:rPr>
        <w:t>of</w:t>
      </w:r>
      <w:r>
        <w:rPr>
          <w:spacing w:val="-27"/>
        </w:rPr>
        <w:t> </w:t>
      </w:r>
      <w:r>
        <w:rPr>
          <w:spacing w:val="-2"/>
        </w:rPr>
        <w:t>the</w:t>
      </w:r>
      <w:r>
        <w:rPr>
          <w:spacing w:val="-27"/>
        </w:rPr>
        <w:t> </w:t>
      </w:r>
      <w:r>
        <w:rPr>
          <w:spacing w:val="-3"/>
        </w:rPr>
        <w:t>DCSP </w:t>
      </w:r>
      <w:r>
        <w:rPr>
          <w:spacing w:val="-5"/>
        </w:rPr>
        <w:t>Policy, </w:t>
      </w:r>
      <w:r>
        <w:rPr/>
        <w:t>undertaking </w:t>
      </w:r>
      <w:r>
        <w:rPr>
          <w:spacing w:val="-3"/>
        </w:rPr>
        <w:t>consultation </w:t>
      </w:r>
      <w:r>
        <w:rPr/>
        <w:t>with </w:t>
      </w:r>
      <w:r>
        <w:rPr>
          <w:spacing w:val="-5"/>
        </w:rPr>
        <w:t>not-for-profit </w:t>
      </w:r>
      <w:r>
        <w:rPr/>
        <w:t>peak </w:t>
      </w:r>
      <w:r>
        <w:rPr>
          <w:spacing w:val="-3"/>
        </w:rPr>
        <w:t>organisations </w:t>
      </w:r>
      <w:r>
        <w:rPr/>
        <w:t>and </w:t>
      </w:r>
      <w:r>
        <w:rPr>
          <w:spacing w:val="-3"/>
        </w:rPr>
        <w:t>government </w:t>
      </w:r>
      <w:r>
        <w:rPr/>
        <w:t>agencies </w:t>
      </w:r>
      <w:r>
        <w:rPr>
          <w:spacing w:val="-3"/>
        </w:rPr>
        <w:t>through meetings, collaborative workshops </w:t>
      </w:r>
      <w:r>
        <w:rPr/>
        <w:t>and a </w:t>
      </w:r>
      <w:r>
        <w:rPr>
          <w:spacing w:val="-6"/>
        </w:rPr>
        <w:t>survey.</w:t>
      </w:r>
    </w:p>
    <w:p>
      <w:pPr>
        <w:pStyle w:val="BodyText"/>
        <w:spacing w:line="249" w:lineRule="auto" w:before="118"/>
        <w:ind w:left="418" w:right="443"/>
      </w:pPr>
      <w:r>
        <w:rPr/>
        <w:t>The </w:t>
      </w:r>
      <w:r>
        <w:rPr>
          <w:spacing w:val="-3"/>
        </w:rPr>
        <w:t>review, </w:t>
      </w:r>
      <w:r>
        <w:rPr/>
        <w:t>which has been submitted </w:t>
      </w:r>
      <w:r>
        <w:rPr>
          <w:spacing w:val="-3"/>
        </w:rPr>
        <w:t>to </w:t>
      </w:r>
      <w:r>
        <w:rPr/>
        <w:t>Government</w:t>
      </w:r>
      <w:r>
        <w:rPr>
          <w:spacing w:val="-40"/>
        </w:rPr>
        <w:t> </w:t>
      </w:r>
      <w:r>
        <w:rPr/>
        <w:t>for</w:t>
      </w:r>
      <w:r>
        <w:rPr>
          <w:spacing w:val="-40"/>
        </w:rPr>
        <w:t> </w:t>
      </w:r>
      <w:r>
        <w:rPr/>
        <w:t>consideration,</w:t>
      </w:r>
      <w:r>
        <w:rPr>
          <w:spacing w:val="-40"/>
        </w:rPr>
        <w:t> </w:t>
      </w:r>
      <w:r>
        <w:rPr/>
        <w:t>identified</w:t>
      </w:r>
      <w:r>
        <w:rPr>
          <w:spacing w:val="-40"/>
        </w:rPr>
        <w:t> </w:t>
      </w:r>
      <w:r>
        <w:rPr/>
        <w:t>areas where</w:t>
      </w:r>
      <w:r>
        <w:rPr>
          <w:spacing w:val="-12"/>
        </w:rPr>
        <w:t> </w:t>
      </w:r>
      <w:r>
        <w:rPr/>
        <w:t>the</w:t>
      </w:r>
      <w:r>
        <w:rPr>
          <w:spacing w:val="-13"/>
        </w:rPr>
        <w:t> </w:t>
      </w:r>
      <w:r>
        <w:rPr/>
        <w:t>DCSP</w:t>
      </w:r>
      <w:r>
        <w:rPr>
          <w:spacing w:val="-12"/>
        </w:rPr>
        <w:t> </w:t>
      </w:r>
      <w:r>
        <w:rPr/>
        <w:t>Policy</w:t>
      </w:r>
      <w:r>
        <w:rPr>
          <w:spacing w:val="-12"/>
        </w:rPr>
        <w:t> </w:t>
      </w:r>
      <w:r>
        <w:rPr/>
        <w:t>could</w:t>
      </w:r>
      <w:r>
        <w:rPr>
          <w:spacing w:val="-12"/>
        </w:rPr>
        <w:t> </w:t>
      </w:r>
      <w:r>
        <w:rPr/>
        <w:t>be</w:t>
      </w:r>
      <w:r>
        <w:rPr>
          <w:spacing w:val="-12"/>
        </w:rPr>
        <w:t> </w:t>
      </w:r>
      <w:r>
        <w:rPr/>
        <w:t>enhanced</w:t>
      </w:r>
    </w:p>
    <w:p>
      <w:pPr>
        <w:pStyle w:val="BodyText"/>
        <w:spacing w:line="249" w:lineRule="auto" w:before="3"/>
        <w:ind w:left="418" w:right="414"/>
      </w:pPr>
      <w:r>
        <w:rPr>
          <w:spacing w:val="-3"/>
        </w:rPr>
        <w:t>to </w:t>
      </w:r>
      <w:r>
        <w:rPr/>
        <w:t>improve outcomes and formalise practice improvements</w:t>
      </w:r>
      <w:r>
        <w:rPr>
          <w:spacing w:val="-30"/>
        </w:rPr>
        <w:t> </w:t>
      </w:r>
      <w:r>
        <w:rPr/>
        <w:t>made</w:t>
      </w:r>
      <w:r>
        <w:rPr>
          <w:spacing w:val="-30"/>
        </w:rPr>
        <w:t> </w:t>
      </w:r>
      <w:r>
        <w:rPr/>
        <w:t>over</w:t>
      </w:r>
      <w:r>
        <w:rPr>
          <w:spacing w:val="-30"/>
        </w:rPr>
        <w:t> </w:t>
      </w:r>
      <w:r>
        <w:rPr/>
        <w:t>the</w:t>
      </w:r>
      <w:r>
        <w:rPr>
          <w:spacing w:val="-29"/>
        </w:rPr>
        <w:t> </w:t>
      </w:r>
      <w:r>
        <w:rPr/>
        <w:t>last</w:t>
      </w:r>
      <w:r>
        <w:rPr>
          <w:spacing w:val="-30"/>
        </w:rPr>
        <w:t> </w:t>
      </w:r>
      <w:r>
        <w:rPr/>
        <w:t>seven</w:t>
      </w:r>
      <w:r>
        <w:rPr>
          <w:spacing w:val="-30"/>
        </w:rPr>
        <w:t> </w:t>
      </w:r>
      <w:r>
        <w:rPr/>
        <w:t>years.</w:t>
      </w:r>
    </w:p>
    <w:p>
      <w:pPr>
        <w:pStyle w:val="BodyText"/>
        <w:spacing w:line="249" w:lineRule="auto" w:before="115"/>
        <w:ind w:left="418" w:right="-8"/>
      </w:pPr>
      <w:r>
        <w:rPr>
          <w:b/>
        </w:rPr>
        <w:t>State</w:t>
      </w:r>
      <w:r>
        <w:rPr>
          <w:b/>
          <w:spacing w:val="-15"/>
        </w:rPr>
        <w:t> </w:t>
      </w:r>
      <w:r>
        <w:rPr>
          <w:b/>
        </w:rPr>
        <w:t>Revenue</w:t>
      </w:r>
      <w:r>
        <w:rPr>
          <w:b/>
          <w:spacing w:val="-14"/>
        </w:rPr>
        <w:t> </w:t>
      </w:r>
      <w:r>
        <w:rPr/>
        <w:t>has</w:t>
      </w:r>
      <w:r>
        <w:rPr>
          <w:spacing w:val="-15"/>
        </w:rPr>
        <w:t> </w:t>
      </w:r>
      <w:r>
        <w:rPr/>
        <w:t>continued</w:t>
      </w:r>
      <w:r>
        <w:rPr>
          <w:spacing w:val="-14"/>
        </w:rPr>
        <w:t> </w:t>
      </w:r>
      <w:r>
        <w:rPr/>
        <w:t>the</w:t>
      </w:r>
      <w:r>
        <w:rPr>
          <w:spacing w:val="-14"/>
        </w:rPr>
        <w:t> </w:t>
      </w:r>
      <w:r>
        <w:rPr/>
        <w:t>implementation of its Early Dispute Resolution </w:t>
      </w:r>
      <w:r>
        <w:rPr>
          <w:spacing w:val="-3"/>
        </w:rPr>
        <w:t>Strategy, </w:t>
      </w:r>
      <w:r>
        <w:rPr/>
        <w:t>which seeks</w:t>
      </w:r>
      <w:r>
        <w:rPr>
          <w:spacing w:val="-19"/>
        </w:rPr>
        <w:t> </w:t>
      </w:r>
      <w:r>
        <w:rPr>
          <w:spacing w:val="-3"/>
        </w:rPr>
        <w:t>to</w:t>
      </w:r>
      <w:r>
        <w:rPr>
          <w:spacing w:val="-19"/>
        </w:rPr>
        <w:t> </w:t>
      </w:r>
      <w:r>
        <w:rPr/>
        <w:t>prevent</w:t>
      </w:r>
      <w:r>
        <w:rPr>
          <w:spacing w:val="-19"/>
        </w:rPr>
        <w:t> </w:t>
      </w:r>
      <w:r>
        <w:rPr/>
        <w:t>unnecessary</w:t>
      </w:r>
      <w:r>
        <w:rPr>
          <w:spacing w:val="-18"/>
        </w:rPr>
        <w:t> </w:t>
      </w:r>
      <w:r>
        <w:rPr/>
        <w:t>tax</w:t>
      </w:r>
      <w:r>
        <w:rPr>
          <w:spacing w:val="-19"/>
        </w:rPr>
        <w:t> </w:t>
      </w:r>
      <w:r>
        <w:rPr/>
        <w:t>disputes</w:t>
      </w:r>
      <w:r>
        <w:rPr>
          <w:spacing w:val="-19"/>
        </w:rPr>
        <w:t> </w:t>
      </w:r>
      <w:r>
        <w:rPr/>
        <w:t>and</w:t>
      </w:r>
      <w:r>
        <w:rPr>
          <w:spacing w:val="-18"/>
        </w:rPr>
        <w:t> </w:t>
      </w:r>
      <w:r>
        <w:rPr/>
        <w:t>aid in future voluntary</w:t>
      </w:r>
      <w:r>
        <w:rPr>
          <w:spacing w:val="-9"/>
        </w:rPr>
        <w:t> </w:t>
      </w:r>
      <w:r>
        <w:rPr/>
        <w:t>compliance.</w:t>
      </w:r>
    </w:p>
    <w:p>
      <w:pPr>
        <w:pStyle w:val="BodyText"/>
        <w:spacing w:line="249" w:lineRule="auto" w:before="117"/>
        <w:ind w:left="418" w:right="108"/>
      </w:pPr>
      <w:r>
        <w:rPr/>
        <w:t>The strategy focuses on early engagement with taxpayers through effective conversations and communication,</w:t>
      </w:r>
      <w:r>
        <w:rPr>
          <w:spacing w:val="-21"/>
        </w:rPr>
        <w:t> </w:t>
      </w:r>
      <w:r>
        <w:rPr/>
        <w:t>gaining</w:t>
      </w:r>
      <w:r>
        <w:rPr>
          <w:spacing w:val="-21"/>
        </w:rPr>
        <w:t> </w:t>
      </w:r>
      <w:r>
        <w:rPr/>
        <w:t>a</w:t>
      </w:r>
      <w:r>
        <w:rPr>
          <w:spacing w:val="-21"/>
        </w:rPr>
        <w:t> </w:t>
      </w:r>
      <w:r>
        <w:rPr/>
        <w:t>clear</w:t>
      </w:r>
      <w:r>
        <w:rPr>
          <w:spacing w:val="-20"/>
        </w:rPr>
        <w:t> </w:t>
      </w:r>
      <w:r>
        <w:rPr/>
        <w:t>understanding</w:t>
      </w:r>
      <w:r>
        <w:rPr>
          <w:spacing w:val="-21"/>
        </w:rPr>
        <w:t> </w:t>
      </w:r>
      <w:r>
        <w:rPr/>
        <w:t>of taxpayer’s</w:t>
      </w:r>
      <w:r>
        <w:rPr>
          <w:spacing w:val="-36"/>
        </w:rPr>
        <w:t> </w:t>
      </w:r>
      <w:r>
        <w:rPr/>
        <w:t>circumstances</w:t>
      </w:r>
      <w:r>
        <w:rPr>
          <w:spacing w:val="-35"/>
        </w:rPr>
        <w:t> </w:t>
      </w:r>
      <w:r>
        <w:rPr/>
        <w:t>and</w:t>
      </w:r>
      <w:r>
        <w:rPr>
          <w:spacing w:val="-36"/>
        </w:rPr>
        <w:t> </w:t>
      </w:r>
      <w:r>
        <w:rPr/>
        <w:t>assisting</w:t>
      </w:r>
      <w:r>
        <w:rPr>
          <w:spacing w:val="-35"/>
        </w:rPr>
        <w:t> </w:t>
      </w:r>
      <w:r>
        <w:rPr/>
        <w:t>taxpayers </w:t>
      </w:r>
      <w:r>
        <w:rPr>
          <w:spacing w:val="-3"/>
        </w:rPr>
        <w:t>to </w:t>
      </w:r>
      <w:r>
        <w:rPr/>
        <w:t>better understand</w:t>
      </w:r>
      <w:r>
        <w:rPr>
          <w:spacing w:val="-4"/>
        </w:rPr>
        <w:t> </w:t>
      </w:r>
      <w:r>
        <w:rPr/>
        <w:t>decisions.</w:t>
      </w:r>
    </w:p>
    <w:p>
      <w:pPr>
        <w:pStyle w:val="BodyText"/>
        <w:spacing w:line="249" w:lineRule="auto" w:before="118"/>
        <w:ind w:left="418" w:right="94"/>
      </w:pPr>
      <w:r>
        <w:rPr/>
        <w:t>Recent initiatives include a dispute triaging approach, which identifies matters with a high risk of dispute as early as possible during an investigation,</w:t>
      </w:r>
      <w:r>
        <w:rPr>
          <w:spacing w:val="-26"/>
        </w:rPr>
        <w:t> </w:t>
      </w:r>
      <w:r>
        <w:rPr/>
        <w:t>and</w:t>
      </w:r>
      <w:r>
        <w:rPr>
          <w:spacing w:val="-26"/>
        </w:rPr>
        <w:t> </w:t>
      </w:r>
      <w:r>
        <w:rPr/>
        <w:t>improvement</w:t>
      </w:r>
      <w:r>
        <w:rPr>
          <w:spacing w:val="-25"/>
        </w:rPr>
        <w:t> </w:t>
      </w:r>
      <w:r>
        <w:rPr/>
        <w:t>in</w:t>
      </w:r>
      <w:r>
        <w:rPr>
          <w:spacing w:val="-26"/>
        </w:rPr>
        <w:t> </w:t>
      </w:r>
      <w:r>
        <w:rPr/>
        <w:t>the</w:t>
      </w:r>
      <w:r>
        <w:rPr>
          <w:spacing w:val="-25"/>
        </w:rPr>
        <w:t> </w:t>
      </w:r>
      <w:r>
        <w:rPr/>
        <w:t>content</w:t>
      </w:r>
      <w:r>
        <w:rPr>
          <w:spacing w:val="-26"/>
        </w:rPr>
        <w:t> </w:t>
      </w:r>
      <w:r>
        <w:rPr/>
        <w:t>and</w:t>
      </w:r>
    </w:p>
    <w:p>
      <w:pPr>
        <w:pStyle w:val="BodyText"/>
        <w:spacing w:line="249" w:lineRule="auto" w:before="3"/>
        <w:ind w:left="418" w:right="77"/>
      </w:pPr>
      <w:r>
        <w:rPr/>
        <w:t>language</w:t>
      </w:r>
      <w:r>
        <w:rPr>
          <w:spacing w:val="-26"/>
        </w:rPr>
        <w:t> </w:t>
      </w:r>
      <w:r>
        <w:rPr/>
        <w:t>of</w:t>
      </w:r>
      <w:r>
        <w:rPr>
          <w:spacing w:val="-26"/>
        </w:rPr>
        <w:t> </w:t>
      </w:r>
      <w:r>
        <w:rPr/>
        <w:t>investigation</w:t>
      </w:r>
      <w:r>
        <w:rPr>
          <w:spacing w:val="-26"/>
        </w:rPr>
        <w:t> </w:t>
      </w:r>
      <w:r>
        <w:rPr/>
        <w:t>outcome</w:t>
      </w:r>
      <w:r>
        <w:rPr>
          <w:spacing w:val="-25"/>
        </w:rPr>
        <w:t> </w:t>
      </w:r>
      <w:r>
        <w:rPr/>
        <w:t>advice</w:t>
      </w:r>
      <w:r>
        <w:rPr>
          <w:spacing w:val="-26"/>
        </w:rPr>
        <w:t> </w:t>
      </w:r>
      <w:r>
        <w:rPr>
          <w:spacing w:val="-3"/>
        </w:rPr>
        <w:t>to</w:t>
      </w:r>
      <w:r>
        <w:rPr>
          <w:spacing w:val="-26"/>
        </w:rPr>
        <w:t> </w:t>
      </w:r>
      <w:r>
        <w:rPr/>
        <w:t>make it clear and concise for</w:t>
      </w:r>
      <w:r>
        <w:rPr>
          <w:spacing w:val="-15"/>
        </w:rPr>
        <w:t> </w:t>
      </w:r>
      <w:r>
        <w:rPr/>
        <w:t>customers.</w:t>
      </w:r>
    </w:p>
    <w:p>
      <w:pPr>
        <w:pStyle w:val="BodyText"/>
        <w:spacing w:line="249" w:lineRule="auto" w:before="108"/>
        <w:ind w:left="388" w:right="883"/>
      </w:pPr>
      <w:r>
        <w:rPr/>
        <w:br w:type="column"/>
      </w:r>
      <w:r>
        <w:rPr/>
        <w:t>A</w:t>
      </w:r>
      <w:r>
        <w:rPr>
          <w:spacing w:val="-20"/>
        </w:rPr>
        <w:t> </w:t>
      </w:r>
      <w:r>
        <w:rPr/>
        <w:t>strong</w:t>
      </w:r>
      <w:r>
        <w:rPr>
          <w:spacing w:val="-19"/>
        </w:rPr>
        <w:t> </w:t>
      </w:r>
      <w:r>
        <w:rPr/>
        <w:t>focus</w:t>
      </w:r>
      <w:r>
        <w:rPr>
          <w:spacing w:val="-19"/>
        </w:rPr>
        <w:t> </w:t>
      </w:r>
      <w:r>
        <w:rPr/>
        <w:t>on</w:t>
      </w:r>
      <w:r>
        <w:rPr>
          <w:spacing w:val="-20"/>
        </w:rPr>
        <w:t> </w:t>
      </w:r>
      <w:r>
        <w:rPr/>
        <w:t>delivering</w:t>
      </w:r>
      <w:r>
        <w:rPr>
          <w:spacing w:val="-19"/>
        </w:rPr>
        <w:t> </w:t>
      </w:r>
      <w:r>
        <w:rPr/>
        <w:t>value</w:t>
      </w:r>
      <w:r>
        <w:rPr>
          <w:spacing w:val="-19"/>
        </w:rPr>
        <w:t> </w:t>
      </w:r>
      <w:r>
        <w:rPr>
          <w:spacing w:val="-3"/>
        </w:rPr>
        <w:t>to</w:t>
      </w:r>
      <w:r>
        <w:rPr>
          <w:spacing w:val="-19"/>
        </w:rPr>
        <w:t> </w:t>
      </w:r>
      <w:r>
        <w:rPr/>
        <w:t>customers</w:t>
      </w:r>
      <w:r>
        <w:rPr>
          <w:spacing w:val="-20"/>
        </w:rPr>
        <w:t> </w:t>
      </w:r>
      <w:r>
        <w:rPr/>
        <w:t>is reflected in the Revenue Systems Consolidation and Enhancement Program, which provided significantly</w:t>
      </w:r>
      <w:r>
        <w:rPr>
          <w:spacing w:val="-28"/>
        </w:rPr>
        <w:t> </w:t>
      </w:r>
      <w:r>
        <w:rPr/>
        <w:t>improved</w:t>
      </w:r>
      <w:r>
        <w:rPr>
          <w:spacing w:val="-28"/>
        </w:rPr>
        <w:t> </w:t>
      </w:r>
      <w:r>
        <w:rPr/>
        <w:t>digital</w:t>
      </w:r>
      <w:r>
        <w:rPr>
          <w:spacing w:val="-28"/>
        </w:rPr>
        <w:t> </w:t>
      </w:r>
      <w:r>
        <w:rPr/>
        <w:t>service</w:t>
      </w:r>
      <w:r>
        <w:rPr>
          <w:spacing w:val="-27"/>
        </w:rPr>
        <w:t> </w:t>
      </w:r>
      <w:r>
        <w:rPr/>
        <w:t>functionality for duties clients this</w:t>
      </w:r>
      <w:r>
        <w:rPr>
          <w:spacing w:val="-10"/>
        </w:rPr>
        <w:t> </w:t>
      </w:r>
      <w:r>
        <w:rPr>
          <w:spacing w:val="-4"/>
        </w:rPr>
        <w:t>year.</w:t>
      </w:r>
    </w:p>
    <w:p>
      <w:pPr>
        <w:pStyle w:val="BodyText"/>
        <w:spacing w:before="118"/>
        <w:ind w:left="388"/>
      </w:pPr>
      <w:r>
        <w:rPr/>
        <w:t>Benefits of the Program include:</w:t>
      </w:r>
    </w:p>
    <w:p>
      <w:pPr>
        <w:pStyle w:val="BodyText"/>
        <w:spacing w:before="68"/>
        <w:ind w:left="785"/>
      </w:pPr>
      <w:r>
        <w:rPr/>
        <w:t>increased payment channels for customers;</w:t>
      </w:r>
    </w:p>
    <w:p>
      <w:pPr>
        <w:pStyle w:val="BodyText"/>
        <w:spacing w:line="249" w:lineRule="auto" w:before="67"/>
        <w:ind w:left="785" w:right="864"/>
      </w:pPr>
      <w:r>
        <w:rPr/>
        <w:t>new document management and automated client correspondence systems; and</w:t>
      </w:r>
    </w:p>
    <w:p>
      <w:pPr>
        <w:pStyle w:val="BodyText"/>
        <w:spacing w:line="249" w:lineRule="auto" w:before="59"/>
        <w:ind w:left="785" w:right="1183"/>
      </w:pPr>
      <w:r>
        <w:rPr/>
        <w:t>business</w:t>
      </w:r>
      <w:r>
        <w:rPr>
          <w:spacing w:val="-39"/>
        </w:rPr>
        <w:t> </w:t>
      </w:r>
      <w:r>
        <w:rPr/>
        <w:t>intelligence</w:t>
      </w:r>
      <w:r>
        <w:rPr>
          <w:spacing w:val="-38"/>
        </w:rPr>
        <w:t> </w:t>
      </w:r>
      <w:r>
        <w:rPr/>
        <w:t>capabilities</w:t>
      </w:r>
      <w:r>
        <w:rPr>
          <w:spacing w:val="-39"/>
        </w:rPr>
        <w:t> </w:t>
      </w:r>
      <w:r>
        <w:rPr>
          <w:spacing w:val="-3"/>
        </w:rPr>
        <w:t>to</w:t>
      </w:r>
      <w:r>
        <w:rPr>
          <w:spacing w:val="-38"/>
        </w:rPr>
        <w:t> </w:t>
      </w:r>
      <w:r>
        <w:rPr/>
        <w:t>enable better</w:t>
      </w:r>
      <w:r>
        <w:rPr>
          <w:spacing w:val="-17"/>
        </w:rPr>
        <w:t> </w:t>
      </w:r>
      <w:r>
        <w:rPr/>
        <w:t>cross</w:t>
      </w:r>
      <w:r>
        <w:rPr>
          <w:spacing w:val="-16"/>
        </w:rPr>
        <w:t> </w:t>
      </w:r>
      <w:r>
        <w:rPr/>
        <w:t>matching</w:t>
      </w:r>
      <w:r>
        <w:rPr>
          <w:spacing w:val="-16"/>
        </w:rPr>
        <w:t> </w:t>
      </w:r>
      <w:r>
        <w:rPr/>
        <w:t>of</w:t>
      </w:r>
      <w:r>
        <w:rPr>
          <w:spacing w:val="-16"/>
        </w:rPr>
        <w:t> </w:t>
      </w:r>
      <w:r>
        <w:rPr/>
        <w:t>information</w:t>
      </w:r>
      <w:r>
        <w:rPr>
          <w:spacing w:val="-16"/>
        </w:rPr>
        <w:t> </w:t>
      </w:r>
      <w:r>
        <w:rPr/>
        <w:t>from internal and external data</w:t>
      </w:r>
      <w:r>
        <w:rPr>
          <w:spacing w:val="-23"/>
        </w:rPr>
        <w:t> </w:t>
      </w:r>
      <w:r>
        <w:rPr/>
        <w:t>sets.</w:t>
      </w:r>
    </w:p>
    <w:p>
      <w:pPr>
        <w:pStyle w:val="BodyText"/>
        <w:spacing w:line="249" w:lineRule="auto" w:before="116"/>
        <w:ind w:left="388" w:right="945"/>
      </w:pPr>
      <w:r>
        <w:rPr/>
        <w:t>The program has also resulted in more efficient compliance</w:t>
      </w:r>
      <w:r>
        <w:rPr>
          <w:spacing w:val="-31"/>
        </w:rPr>
        <w:t> </w:t>
      </w:r>
      <w:r>
        <w:rPr/>
        <w:t>activities</w:t>
      </w:r>
      <w:r>
        <w:rPr>
          <w:spacing w:val="-31"/>
        </w:rPr>
        <w:t> </w:t>
      </w:r>
      <w:r>
        <w:rPr/>
        <w:t>through</w:t>
      </w:r>
      <w:r>
        <w:rPr>
          <w:spacing w:val="-30"/>
        </w:rPr>
        <w:t> </w:t>
      </w:r>
      <w:r>
        <w:rPr/>
        <w:t>improved</w:t>
      </w:r>
      <w:r>
        <w:rPr>
          <w:spacing w:val="-31"/>
        </w:rPr>
        <w:t> </w:t>
      </w:r>
      <w:r>
        <w:rPr/>
        <w:t>detection and</w:t>
      </w:r>
      <w:r>
        <w:rPr>
          <w:spacing w:val="-25"/>
        </w:rPr>
        <w:t> </w:t>
      </w:r>
      <w:r>
        <w:rPr/>
        <w:t>data</w:t>
      </w:r>
      <w:r>
        <w:rPr>
          <w:spacing w:val="-26"/>
        </w:rPr>
        <w:t> </w:t>
      </w:r>
      <w:r>
        <w:rPr/>
        <w:t>matching</w:t>
      </w:r>
      <w:r>
        <w:rPr>
          <w:spacing w:val="-25"/>
        </w:rPr>
        <w:t> </w:t>
      </w:r>
      <w:r>
        <w:rPr/>
        <w:t>techniques</w:t>
      </w:r>
      <w:r>
        <w:rPr>
          <w:spacing w:val="-25"/>
        </w:rPr>
        <w:t> </w:t>
      </w:r>
      <w:r>
        <w:rPr/>
        <w:t>for</w:t>
      </w:r>
      <w:r>
        <w:rPr>
          <w:spacing w:val="-25"/>
        </w:rPr>
        <w:t> </w:t>
      </w:r>
      <w:r>
        <w:rPr/>
        <w:t>investigations.</w:t>
      </w:r>
    </w:p>
    <w:p>
      <w:pPr>
        <w:pStyle w:val="BodyText"/>
        <w:spacing w:line="249" w:lineRule="auto" w:before="59"/>
        <w:ind w:left="388" w:right="757"/>
      </w:pPr>
      <w:r>
        <w:rPr/>
        <w:t>The introduction of a point of consumption wagering tax and foreign buyer surcharge in late- </w:t>
      </w:r>
      <w:r>
        <w:rPr>
          <w:spacing w:val="-7"/>
        </w:rPr>
        <w:t>2018</w:t>
      </w:r>
      <w:r>
        <w:rPr>
          <w:spacing w:val="-31"/>
        </w:rPr>
        <w:t> </w:t>
      </w:r>
      <w:r>
        <w:rPr/>
        <w:t>will</w:t>
      </w:r>
      <w:r>
        <w:rPr>
          <w:spacing w:val="-30"/>
        </w:rPr>
        <w:t> </w:t>
      </w:r>
      <w:r>
        <w:rPr/>
        <w:t>require</w:t>
      </w:r>
      <w:r>
        <w:rPr>
          <w:spacing w:val="-30"/>
        </w:rPr>
        <w:t> </w:t>
      </w:r>
      <w:r>
        <w:rPr/>
        <w:t>additional</w:t>
      </w:r>
      <w:r>
        <w:rPr>
          <w:spacing w:val="-30"/>
        </w:rPr>
        <w:t> </w:t>
      </w:r>
      <w:r>
        <w:rPr/>
        <w:t>program</w:t>
      </w:r>
      <w:r>
        <w:rPr>
          <w:spacing w:val="-31"/>
        </w:rPr>
        <w:t> </w:t>
      </w:r>
      <w:r>
        <w:rPr/>
        <w:t>enhancements </w:t>
      </w:r>
      <w:r>
        <w:rPr>
          <w:spacing w:val="-3"/>
        </w:rPr>
        <w:t>to</w:t>
      </w:r>
      <w:r>
        <w:rPr>
          <w:spacing w:val="-15"/>
        </w:rPr>
        <w:t> </w:t>
      </w:r>
      <w:r>
        <w:rPr/>
        <w:t>ensure</w:t>
      </w:r>
      <w:r>
        <w:rPr>
          <w:spacing w:val="-14"/>
        </w:rPr>
        <w:t> </w:t>
      </w:r>
      <w:r>
        <w:rPr/>
        <w:t>efficient</w:t>
      </w:r>
      <w:r>
        <w:rPr>
          <w:spacing w:val="-15"/>
        </w:rPr>
        <w:t> </w:t>
      </w:r>
      <w:r>
        <w:rPr/>
        <w:t>administration</w:t>
      </w:r>
      <w:r>
        <w:rPr>
          <w:spacing w:val="-14"/>
        </w:rPr>
        <w:t> </w:t>
      </w:r>
      <w:r>
        <w:rPr/>
        <w:t>and</w:t>
      </w:r>
      <w:r>
        <w:rPr>
          <w:spacing w:val="-15"/>
        </w:rPr>
        <w:t> </w:t>
      </w:r>
      <w:r>
        <w:rPr/>
        <w:t>collection.</w:t>
      </w:r>
    </w:p>
    <w:p>
      <w:pPr>
        <w:pStyle w:val="BodyText"/>
        <w:spacing w:line="249" w:lineRule="auto" w:before="117"/>
        <w:ind w:left="388" w:right="1159"/>
      </w:pPr>
      <w:r>
        <w:rPr/>
        <w:t>The migration </w:t>
      </w:r>
      <w:r>
        <w:rPr>
          <w:spacing w:val="-3"/>
        </w:rPr>
        <w:t>to </w:t>
      </w:r>
      <w:r>
        <w:rPr/>
        <w:t>a better technology platform contributes </w:t>
      </w:r>
      <w:r>
        <w:rPr>
          <w:spacing w:val="-3"/>
        </w:rPr>
        <w:t>to </w:t>
      </w:r>
      <w:r>
        <w:rPr/>
        <w:t>the on-going consolidation and reliability</w:t>
      </w:r>
      <w:r>
        <w:rPr>
          <w:spacing w:val="-32"/>
        </w:rPr>
        <w:t> </w:t>
      </w:r>
      <w:r>
        <w:rPr/>
        <w:t>of</w:t>
      </w:r>
      <w:r>
        <w:rPr>
          <w:spacing w:val="-32"/>
        </w:rPr>
        <w:t> </w:t>
      </w:r>
      <w:r>
        <w:rPr/>
        <w:t>State</w:t>
      </w:r>
      <w:r>
        <w:rPr>
          <w:spacing w:val="-31"/>
        </w:rPr>
        <w:t> </w:t>
      </w:r>
      <w:r>
        <w:rPr/>
        <w:t>Revenue</w:t>
      </w:r>
      <w:r>
        <w:rPr>
          <w:spacing w:val="-32"/>
        </w:rPr>
        <w:t> </w:t>
      </w:r>
      <w:r>
        <w:rPr/>
        <w:t>systems</w:t>
      </w:r>
      <w:r>
        <w:rPr>
          <w:spacing w:val="-32"/>
        </w:rPr>
        <w:t> </w:t>
      </w:r>
      <w:r>
        <w:rPr/>
        <w:t>that</w:t>
      </w:r>
      <w:r>
        <w:rPr>
          <w:spacing w:val="-31"/>
        </w:rPr>
        <w:t> </w:t>
      </w:r>
      <w:r>
        <w:rPr/>
        <w:t>collect around </w:t>
      </w:r>
      <w:r>
        <w:rPr>
          <w:spacing w:val="-3"/>
        </w:rPr>
        <w:t>$7 </w:t>
      </w:r>
      <w:r>
        <w:rPr/>
        <w:t>billion</w:t>
      </w:r>
      <w:r>
        <w:rPr>
          <w:spacing w:val="-8"/>
        </w:rPr>
        <w:t> </w:t>
      </w:r>
      <w:r>
        <w:rPr/>
        <w:t>annually.</w:t>
      </w:r>
    </w:p>
    <w:p>
      <w:pPr>
        <w:spacing w:after="0" w:line="249" w:lineRule="auto"/>
        <w:sectPr>
          <w:type w:val="continuous"/>
          <w:pgSz w:w="16840" w:h="11910" w:orient="landscape"/>
          <w:pgMar w:top="1100" w:bottom="280" w:left="0" w:right="0"/>
          <w:cols w:num="3" w:equalWidth="0">
            <w:col w:w="5552" w:space="40"/>
            <w:col w:w="5234" w:space="39"/>
            <w:col w:w="5975"/>
          </w:cols>
        </w:sectPr>
      </w:pPr>
    </w:p>
    <w:p>
      <w:pPr>
        <w:tabs>
          <w:tab w:pos="4810" w:val="left" w:leader="none"/>
          <w:tab w:pos="9621" w:val="left" w:leader="none"/>
          <w:tab w:pos="14432" w:val="left" w:leader="none"/>
        </w:tabs>
        <w:spacing w:line="240" w:lineRule="auto"/>
        <w:ind w:left="0" w:right="-58" w:firstLine="0"/>
        <w:rPr>
          <w:sz w:val="20"/>
        </w:rPr>
      </w:pPr>
      <w:bookmarkStart w:name="_bookmark6" w:id="7"/>
      <w:bookmarkEnd w:id="7"/>
      <w:r>
        <w:rPr/>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7"/>
        <w:rPr>
          <w:sz w:val="24"/>
        </w:rPr>
      </w:pPr>
    </w:p>
    <w:p>
      <w:pPr>
        <w:spacing w:before="116"/>
        <w:ind w:left="1074" w:right="0" w:firstLine="0"/>
        <w:jc w:val="left"/>
        <w:rPr>
          <w:b/>
          <w:sz w:val="43"/>
        </w:rPr>
      </w:pPr>
      <w:r>
        <w:rPr/>
        <w:pict>
          <v:shape style="position:absolute;margin-left:601.348999pt;margin-top:-69.422256pt;width:120.3pt;height:42.55pt;mso-position-horizontal-relative:page;mso-position-vertical-relative:paragraph;z-index:330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9.422256pt;width:120.3pt;height:42.55pt;mso-position-horizontal-relative:page;mso-position-vertical-relative:paragraph;z-index:332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9.422256pt;width:120.3pt;height:42.55pt;mso-position-horizontal-relative:page;mso-position-vertical-relative:paragraph;z-index:335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43"/>
        </w:rPr>
        <w:t>Increasing the Economic Participation of Aboriginal-Owned Businesses</w:t>
      </w:r>
    </w:p>
    <w:p>
      <w:pPr>
        <w:pStyle w:val="BodyText"/>
        <w:spacing w:before="9"/>
        <w:rPr>
          <w:b/>
          <w:sz w:val="13"/>
        </w:rPr>
      </w:pPr>
    </w:p>
    <w:p>
      <w:pPr>
        <w:spacing w:after="0"/>
        <w:rPr>
          <w:sz w:val="13"/>
        </w:rPr>
        <w:sectPr>
          <w:footerReference w:type="default" r:id="rId36"/>
          <w:pgSz w:w="16840" w:h="11910" w:orient="landscape"/>
          <w:pgMar w:footer="746" w:header="0" w:top="0" w:bottom="940" w:left="0" w:right="0"/>
        </w:sectPr>
      </w:pPr>
    </w:p>
    <w:p>
      <w:pPr>
        <w:pStyle w:val="BodyText"/>
        <w:spacing w:line="249" w:lineRule="auto" w:before="109"/>
        <w:ind w:left="1060" w:right="54"/>
      </w:pPr>
      <w:r>
        <w:rPr/>
        <w:pict>
          <v:group style="position:absolute;margin-left:0pt;margin-top:.000001pt;width:803.65pt;height:544pt;mso-position-horizontal-relative:page;mso-position-vertical-relative:page;z-index:-709216" coordorigin="0,0" coordsize="16073,10880">
            <v:shape style="position:absolute;left:0;top:0;width:1948;height:4787" type="#_x0000_t75" stroked="false">
              <v:imagedata r:id="rId37" o:title=""/>
            </v:shape>
            <v:rect style="position:absolute;left:765;top:1242;width:15308;height:9638" filled="true" fillcolor="#f0eee8" stroked="false">
              <v:fill type="solid"/>
            </v:rect>
            <v:shape style="position:absolute;left:6052;top:8384;width:9619;height:2134" type="#_x0000_t75" stroked="false">
              <v:imagedata r:id="rId38" o:title=""/>
            </v:shape>
            <v:rect style="position:absolute;left:0;top:0;width:2406;height:851" filled="true" fillcolor="#bba1bc" stroked="false">
              <v:fill type="solid"/>
            </v:rect>
            <v:line style="position:absolute" from="0,0" to="0,850" stroked="true" strokeweight="0pt" strokecolor="#bba1bc">
              <v:stroke dashstyle="solid"/>
            </v:line>
            <w10:wrap type="none"/>
          </v:group>
        </w:pict>
      </w:r>
      <w:r>
        <w:rPr>
          <w:b/>
        </w:rPr>
        <w:t>Government Procurement </w:t>
      </w:r>
      <w:r>
        <w:rPr/>
        <w:t>has led </w:t>
      </w:r>
      <w:r>
        <w:rPr>
          <w:spacing w:val="-3"/>
        </w:rPr>
        <w:t>the </w:t>
      </w:r>
      <w:r>
        <w:rPr>
          <w:spacing w:val="-4"/>
        </w:rPr>
        <w:t>Government’s</w:t>
      </w:r>
      <w:r>
        <w:rPr>
          <w:spacing w:val="-30"/>
        </w:rPr>
        <w:t> </w:t>
      </w:r>
      <w:r>
        <w:rPr>
          <w:spacing w:val="-3"/>
        </w:rPr>
        <w:t>commitment</w:t>
      </w:r>
      <w:r>
        <w:rPr>
          <w:spacing w:val="-29"/>
        </w:rPr>
        <w:t> </w:t>
      </w:r>
      <w:r>
        <w:rPr>
          <w:spacing w:val="-4"/>
        </w:rPr>
        <w:t>to</w:t>
      </w:r>
      <w:r>
        <w:rPr>
          <w:spacing w:val="-29"/>
        </w:rPr>
        <w:t> </w:t>
      </w:r>
      <w:r>
        <w:rPr/>
        <w:t>increase</w:t>
      </w:r>
      <w:r>
        <w:rPr>
          <w:spacing w:val="-29"/>
        </w:rPr>
        <w:t> </w:t>
      </w:r>
      <w:r>
        <w:rPr/>
        <w:t>economic </w:t>
      </w:r>
      <w:r>
        <w:rPr>
          <w:spacing w:val="-3"/>
        </w:rPr>
        <w:t>participation</w:t>
      </w:r>
      <w:r>
        <w:rPr>
          <w:spacing w:val="-35"/>
        </w:rPr>
        <w:t> </w:t>
      </w:r>
      <w:r>
        <w:rPr>
          <w:spacing w:val="-3"/>
        </w:rPr>
        <w:t>of</w:t>
      </w:r>
      <w:r>
        <w:rPr>
          <w:spacing w:val="-34"/>
        </w:rPr>
        <w:t> </w:t>
      </w:r>
      <w:r>
        <w:rPr/>
        <w:t>Aboriginal</w:t>
      </w:r>
      <w:r>
        <w:rPr>
          <w:spacing w:val="-34"/>
        </w:rPr>
        <w:t> </w:t>
      </w:r>
      <w:r>
        <w:rPr/>
        <w:t>businesses</w:t>
      </w:r>
      <w:r>
        <w:rPr>
          <w:spacing w:val="-34"/>
        </w:rPr>
        <w:t> </w:t>
      </w:r>
      <w:r>
        <w:rPr>
          <w:spacing w:val="-3"/>
        </w:rPr>
        <w:t>through</w:t>
      </w:r>
      <w:r>
        <w:rPr>
          <w:spacing w:val="-34"/>
        </w:rPr>
        <w:t> </w:t>
      </w:r>
      <w:r>
        <w:rPr>
          <w:spacing w:val="-2"/>
        </w:rPr>
        <w:t>the </w:t>
      </w:r>
      <w:r>
        <w:rPr>
          <w:spacing w:val="-3"/>
        </w:rPr>
        <w:t>introduction</w:t>
      </w:r>
      <w:r>
        <w:rPr>
          <w:spacing w:val="-30"/>
        </w:rPr>
        <w:t> </w:t>
      </w:r>
      <w:r>
        <w:rPr>
          <w:spacing w:val="-3"/>
        </w:rPr>
        <w:t>of</w:t>
      </w:r>
      <w:r>
        <w:rPr>
          <w:spacing w:val="-30"/>
        </w:rPr>
        <w:t> </w:t>
      </w:r>
      <w:r>
        <w:rPr>
          <w:spacing w:val="-2"/>
        </w:rPr>
        <w:t>the</w:t>
      </w:r>
      <w:r>
        <w:rPr>
          <w:spacing w:val="-30"/>
        </w:rPr>
        <w:t> </w:t>
      </w:r>
      <w:r>
        <w:rPr/>
        <w:t>Aboriginal</w:t>
      </w:r>
      <w:r>
        <w:rPr>
          <w:spacing w:val="-29"/>
        </w:rPr>
        <w:t> </w:t>
      </w:r>
      <w:r>
        <w:rPr>
          <w:spacing w:val="-3"/>
        </w:rPr>
        <w:t>Procurement</w:t>
      </w:r>
      <w:r>
        <w:rPr>
          <w:spacing w:val="-30"/>
        </w:rPr>
        <w:t> </w:t>
      </w:r>
      <w:r>
        <w:rPr>
          <w:spacing w:val="-5"/>
        </w:rPr>
        <w:t>Policy.</w:t>
      </w:r>
    </w:p>
    <w:p>
      <w:pPr>
        <w:pStyle w:val="BodyText"/>
        <w:spacing w:before="3"/>
        <w:rPr>
          <w:sz w:val="23"/>
        </w:rPr>
      </w:pPr>
    </w:p>
    <w:p>
      <w:pPr>
        <w:pStyle w:val="BodyText"/>
        <w:spacing w:line="249" w:lineRule="auto"/>
        <w:ind w:left="1060" w:right="-8"/>
      </w:pPr>
      <w:r>
        <w:rPr>
          <w:spacing w:val="-3"/>
        </w:rPr>
        <w:t>The</w:t>
      </w:r>
      <w:r>
        <w:rPr>
          <w:spacing w:val="-26"/>
        </w:rPr>
        <w:t> </w:t>
      </w:r>
      <w:r>
        <w:rPr>
          <w:spacing w:val="-5"/>
        </w:rPr>
        <w:t>Policy</w:t>
      </w:r>
      <w:r>
        <w:rPr>
          <w:spacing w:val="-26"/>
        </w:rPr>
        <w:t> </w:t>
      </w:r>
      <w:r>
        <w:rPr>
          <w:spacing w:val="-5"/>
        </w:rPr>
        <w:t>requires</w:t>
      </w:r>
      <w:r>
        <w:rPr>
          <w:spacing w:val="-26"/>
        </w:rPr>
        <w:t> </w:t>
      </w:r>
      <w:r>
        <w:rPr>
          <w:spacing w:val="-4"/>
        </w:rPr>
        <w:t>agencies</w:t>
      </w:r>
      <w:r>
        <w:rPr>
          <w:spacing w:val="-25"/>
        </w:rPr>
        <w:t> </w:t>
      </w:r>
      <w:r>
        <w:rPr>
          <w:spacing w:val="-5"/>
        </w:rPr>
        <w:t>to</w:t>
      </w:r>
      <w:r>
        <w:rPr>
          <w:spacing w:val="-26"/>
        </w:rPr>
        <w:t> </w:t>
      </w:r>
      <w:r>
        <w:rPr>
          <w:spacing w:val="-5"/>
        </w:rPr>
        <w:t>award</w:t>
      </w:r>
      <w:r>
        <w:rPr>
          <w:spacing w:val="-26"/>
        </w:rPr>
        <w:t> </w:t>
      </w:r>
      <w:r>
        <w:rPr>
          <w:spacing w:val="-3"/>
        </w:rPr>
        <w:t>one</w:t>
      </w:r>
      <w:r>
        <w:rPr>
          <w:spacing w:val="-25"/>
        </w:rPr>
        <w:t> </w:t>
      </w:r>
      <w:r>
        <w:rPr>
          <w:spacing w:val="-3"/>
        </w:rPr>
        <w:t>per</w:t>
      </w:r>
      <w:r>
        <w:rPr>
          <w:spacing w:val="-26"/>
        </w:rPr>
        <w:t> </w:t>
      </w:r>
      <w:r>
        <w:rPr>
          <w:spacing w:val="-4"/>
        </w:rPr>
        <w:t>cent </w:t>
      </w:r>
      <w:r>
        <w:rPr>
          <w:spacing w:val="-3"/>
        </w:rPr>
        <w:t>of contracts </w:t>
      </w:r>
      <w:r>
        <w:rPr>
          <w:spacing w:val="-4"/>
        </w:rPr>
        <w:t>to </w:t>
      </w:r>
      <w:r>
        <w:rPr>
          <w:spacing w:val="-3"/>
        </w:rPr>
        <w:t>registered </w:t>
      </w:r>
      <w:r>
        <w:rPr/>
        <w:t>Aboriginal businesses from</w:t>
      </w:r>
      <w:r>
        <w:rPr>
          <w:spacing w:val="-12"/>
        </w:rPr>
        <w:t> </w:t>
      </w:r>
      <w:r>
        <w:rPr/>
        <w:t>1</w:t>
      </w:r>
      <w:r>
        <w:rPr>
          <w:spacing w:val="-12"/>
        </w:rPr>
        <w:t> </w:t>
      </w:r>
      <w:r>
        <w:rPr/>
        <w:t>July</w:t>
      </w:r>
      <w:r>
        <w:rPr>
          <w:spacing w:val="-12"/>
        </w:rPr>
        <w:t> </w:t>
      </w:r>
      <w:r>
        <w:rPr>
          <w:spacing w:val="-8"/>
        </w:rPr>
        <w:t>2018,</w:t>
      </w:r>
      <w:r>
        <w:rPr>
          <w:spacing w:val="-12"/>
        </w:rPr>
        <w:t> </w:t>
      </w:r>
      <w:r>
        <w:rPr>
          <w:spacing w:val="-3"/>
        </w:rPr>
        <w:t>increasing</w:t>
      </w:r>
      <w:r>
        <w:rPr>
          <w:spacing w:val="-12"/>
        </w:rPr>
        <w:t> </w:t>
      </w:r>
      <w:r>
        <w:rPr>
          <w:spacing w:val="-4"/>
        </w:rPr>
        <w:t>to</w:t>
      </w:r>
      <w:r>
        <w:rPr>
          <w:spacing w:val="-12"/>
        </w:rPr>
        <w:t> </w:t>
      </w:r>
      <w:r>
        <w:rPr/>
        <w:t>two</w:t>
      </w:r>
      <w:r>
        <w:rPr>
          <w:spacing w:val="-12"/>
        </w:rPr>
        <w:t> </w:t>
      </w:r>
      <w:r>
        <w:rPr/>
        <w:t>per</w:t>
      </w:r>
      <w:r>
        <w:rPr>
          <w:spacing w:val="-12"/>
        </w:rPr>
        <w:t> </w:t>
      </w:r>
      <w:r>
        <w:rPr/>
        <w:t>cent</w:t>
      </w:r>
      <w:r>
        <w:rPr>
          <w:spacing w:val="-12"/>
        </w:rPr>
        <w:t> </w:t>
      </w:r>
      <w:r>
        <w:rPr/>
        <w:t>on</w:t>
      </w:r>
    </w:p>
    <w:p>
      <w:pPr>
        <w:pStyle w:val="BodyText"/>
        <w:spacing w:line="249" w:lineRule="auto" w:before="3"/>
        <w:ind w:left="1060" w:right="33"/>
      </w:pPr>
      <w:r>
        <w:rPr/>
        <w:t>1 July </w:t>
      </w:r>
      <w:r>
        <w:rPr>
          <w:spacing w:val="-9"/>
        </w:rPr>
        <w:t>2019, </w:t>
      </w:r>
      <w:r>
        <w:rPr/>
        <w:t>and </w:t>
      </w:r>
      <w:r>
        <w:rPr>
          <w:spacing w:val="-3"/>
        </w:rPr>
        <w:t>three </w:t>
      </w:r>
      <w:r>
        <w:rPr/>
        <w:t>per cent on 1 July </w:t>
      </w:r>
      <w:r>
        <w:rPr>
          <w:spacing w:val="-5"/>
        </w:rPr>
        <w:t>2020. </w:t>
      </w:r>
      <w:r>
        <w:rPr/>
        <w:t>The </w:t>
      </w:r>
      <w:r>
        <w:rPr>
          <w:spacing w:val="-3"/>
        </w:rPr>
        <w:t>targets </w:t>
      </w:r>
      <w:r>
        <w:rPr/>
        <w:t>apply </w:t>
      </w:r>
      <w:r>
        <w:rPr>
          <w:spacing w:val="-4"/>
        </w:rPr>
        <w:t>to </w:t>
      </w:r>
      <w:r>
        <w:rPr/>
        <w:t>all </w:t>
      </w:r>
      <w:r>
        <w:rPr>
          <w:spacing w:val="-3"/>
        </w:rPr>
        <w:t>agencies, including government</w:t>
      </w:r>
      <w:r>
        <w:rPr>
          <w:spacing w:val="-32"/>
        </w:rPr>
        <w:t> </w:t>
      </w:r>
      <w:r>
        <w:rPr>
          <w:spacing w:val="-3"/>
        </w:rPr>
        <w:t>trading</w:t>
      </w:r>
      <w:r>
        <w:rPr>
          <w:spacing w:val="-32"/>
        </w:rPr>
        <w:t> </w:t>
      </w:r>
      <w:r>
        <w:rPr>
          <w:spacing w:val="-3"/>
        </w:rPr>
        <w:t>enterprises,</w:t>
      </w:r>
      <w:r>
        <w:rPr>
          <w:spacing w:val="-31"/>
        </w:rPr>
        <w:t> </w:t>
      </w:r>
      <w:r>
        <w:rPr/>
        <w:t>when</w:t>
      </w:r>
      <w:r>
        <w:rPr>
          <w:spacing w:val="-32"/>
        </w:rPr>
        <w:t> </w:t>
      </w:r>
      <w:r>
        <w:rPr>
          <w:spacing w:val="-3"/>
        </w:rPr>
        <w:t>purchasing goods,</w:t>
      </w:r>
      <w:r>
        <w:rPr>
          <w:spacing w:val="-26"/>
        </w:rPr>
        <w:t> </w:t>
      </w:r>
      <w:r>
        <w:rPr/>
        <w:t>services,</w:t>
      </w:r>
      <w:r>
        <w:rPr>
          <w:spacing w:val="-26"/>
        </w:rPr>
        <w:t> </w:t>
      </w:r>
      <w:r>
        <w:rPr/>
        <w:t>community</w:t>
      </w:r>
      <w:r>
        <w:rPr>
          <w:spacing w:val="-25"/>
        </w:rPr>
        <w:t> </w:t>
      </w:r>
      <w:r>
        <w:rPr/>
        <w:t>services</w:t>
      </w:r>
      <w:r>
        <w:rPr>
          <w:spacing w:val="-26"/>
        </w:rPr>
        <w:t> </w:t>
      </w:r>
      <w:r>
        <w:rPr/>
        <w:t>and</w:t>
      </w:r>
      <w:r>
        <w:rPr>
          <w:spacing w:val="-26"/>
        </w:rPr>
        <w:t> </w:t>
      </w:r>
      <w:r>
        <w:rPr>
          <w:spacing w:val="-3"/>
        </w:rPr>
        <w:t>works.</w:t>
      </w:r>
    </w:p>
    <w:p>
      <w:pPr>
        <w:pStyle w:val="BodyText"/>
        <w:spacing w:before="3"/>
        <w:rPr>
          <w:sz w:val="23"/>
        </w:rPr>
      </w:pPr>
    </w:p>
    <w:p>
      <w:pPr>
        <w:spacing w:before="0"/>
        <w:ind w:left="1060" w:right="0" w:firstLine="0"/>
        <w:jc w:val="left"/>
        <w:rPr>
          <w:b/>
          <w:sz w:val="22"/>
        </w:rPr>
      </w:pPr>
      <w:r>
        <w:rPr>
          <w:b/>
          <w:color w:val="6F2770"/>
          <w:sz w:val="22"/>
        </w:rPr>
        <w:t>Improving Economic Participation</w:t>
      </w:r>
    </w:p>
    <w:p>
      <w:pPr>
        <w:pStyle w:val="BodyText"/>
        <w:spacing w:before="10"/>
        <w:rPr>
          <w:b/>
          <w:sz w:val="23"/>
        </w:rPr>
      </w:pPr>
    </w:p>
    <w:p>
      <w:pPr>
        <w:pStyle w:val="BodyText"/>
        <w:spacing w:line="249" w:lineRule="auto"/>
        <w:ind w:left="1060" w:right="538"/>
      </w:pPr>
      <w:r>
        <w:rPr/>
        <w:t>The</w:t>
      </w:r>
      <w:r>
        <w:rPr>
          <w:spacing w:val="-40"/>
        </w:rPr>
        <w:t> </w:t>
      </w:r>
      <w:r>
        <w:rPr>
          <w:spacing w:val="-3"/>
        </w:rPr>
        <w:t>Western</w:t>
      </w:r>
      <w:r>
        <w:rPr>
          <w:spacing w:val="-40"/>
        </w:rPr>
        <w:t> </w:t>
      </w:r>
      <w:r>
        <w:rPr>
          <w:spacing w:val="-3"/>
        </w:rPr>
        <w:t>Australia</w:t>
      </w:r>
      <w:r>
        <w:rPr>
          <w:spacing w:val="-40"/>
        </w:rPr>
        <w:t> </w:t>
      </w:r>
      <w:r>
        <w:rPr>
          <w:spacing w:val="-3"/>
        </w:rPr>
        <w:t>(WA)</w:t>
      </w:r>
      <w:r>
        <w:rPr>
          <w:spacing w:val="-40"/>
        </w:rPr>
        <w:t> </w:t>
      </w:r>
      <w:r>
        <w:rPr>
          <w:spacing w:val="-3"/>
        </w:rPr>
        <w:t>Government,</w:t>
      </w:r>
      <w:r>
        <w:rPr>
          <w:spacing w:val="-40"/>
        </w:rPr>
        <w:t> </w:t>
      </w:r>
      <w:r>
        <w:rPr/>
        <w:t>as a</w:t>
      </w:r>
      <w:r>
        <w:rPr>
          <w:spacing w:val="-26"/>
        </w:rPr>
        <w:t> </w:t>
      </w:r>
      <w:r>
        <w:rPr/>
        <w:t>major</w:t>
      </w:r>
      <w:r>
        <w:rPr>
          <w:spacing w:val="-25"/>
        </w:rPr>
        <w:t> </w:t>
      </w:r>
      <w:r>
        <w:rPr>
          <w:spacing w:val="-5"/>
        </w:rPr>
        <w:t>employer,</w:t>
      </w:r>
      <w:r>
        <w:rPr>
          <w:spacing w:val="-25"/>
        </w:rPr>
        <w:t> </w:t>
      </w:r>
      <w:r>
        <w:rPr>
          <w:spacing w:val="-6"/>
        </w:rPr>
        <w:t>investor,</w:t>
      </w:r>
      <w:r>
        <w:rPr>
          <w:spacing w:val="-25"/>
        </w:rPr>
        <w:t> </w:t>
      </w:r>
      <w:r>
        <w:rPr/>
        <w:t>and</w:t>
      </w:r>
      <w:r>
        <w:rPr>
          <w:spacing w:val="-26"/>
        </w:rPr>
        <w:t> </w:t>
      </w:r>
      <w:r>
        <w:rPr>
          <w:spacing w:val="-3"/>
        </w:rPr>
        <w:t>purchaser</w:t>
      </w:r>
      <w:r>
        <w:rPr>
          <w:spacing w:val="-25"/>
        </w:rPr>
        <w:t> </w:t>
      </w:r>
      <w:r>
        <w:rPr>
          <w:spacing w:val="-3"/>
        </w:rPr>
        <w:t>of</w:t>
      </w:r>
    </w:p>
    <w:p>
      <w:pPr>
        <w:pStyle w:val="BodyText"/>
        <w:spacing w:line="249" w:lineRule="auto" w:before="2"/>
        <w:ind w:left="1060" w:right="246"/>
      </w:pPr>
      <w:r>
        <w:rPr/>
        <w:t>goods</w:t>
      </w:r>
      <w:r>
        <w:rPr>
          <w:spacing w:val="-27"/>
        </w:rPr>
        <w:t> </w:t>
      </w:r>
      <w:r>
        <w:rPr/>
        <w:t>and</w:t>
      </w:r>
      <w:r>
        <w:rPr>
          <w:spacing w:val="-27"/>
        </w:rPr>
        <w:t> </w:t>
      </w:r>
      <w:r>
        <w:rPr/>
        <w:t>services</w:t>
      </w:r>
      <w:r>
        <w:rPr>
          <w:spacing w:val="-27"/>
        </w:rPr>
        <w:t> </w:t>
      </w:r>
      <w:r>
        <w:rPr/>
        <w:t>in</w:t>
      </w:r>
      <w:r>
        <w:rPr>
          <w:spacing w:val="-27"/>
        </w:rPr>
        <w:t> </w:t>
      </w:r>
      <w:r>
        <w:rPr>
          <w:spacing w:val="-4"/>
        </w:rPr>
        <w:t>WA,</w:t>
      </w:r>
      <w:r>
        <w:rPr>
          <w:spacing w:val="-27"/>
        </w:rPr>
        <w:t> </w:t>
      </w:r>
      <w:r>
        <w:rPr/>
        <w:t>will</w:t>
      </w:r>
      <w:r>
        <w:rPr>
          <w:spacing w:val="-27"/>
        </w:rPr>
        <w:t> </w:t>
      </w:r>
      <w:r>
        <w:rPr/>
        <w:t>lead</w:t>
      </w:r>
      <w:r>
        <w:rPr>
          <w:spacing w:val="-26"/>
        </w:rPr>
        <w:t> </w:t>
      </w:r>
      <w:r>
        <w:rPr>
          <w:spacing w:val="-3"/>
        </w:rPr>
        <w:t>by</w:t>
      </w:r>
      <w:r>
        <w:rPr>
          <w:spacing w:val="-27"/>
        </w:rPr>
        <w:t> </w:t>
      </w:r>
      <w:r>
        <w:rPr>
          <w:spacing w:val="-3"/>
        </w:rPr>
        <w:t>example </w:t>
      </w:r>
      <w:r>
        <w:rPr/>
        <w:t>in </w:t>
      </w:r>
      <w:r>
        <w:rPr>
          <w:spacing w:val="-3"/>
        </w:rPr>
        <w:t>creating </w:t>
      </w:r>
      <w:r>
        <w:rPr/>
        <w:t>opportunities </w:t>
      </w:r>
      <w:r>
        <w:rPr>
          <w:spacing w:val="-3"/>
        </w:rPr>
        <w:t>for contracting </w:t>
      </w:r>
      <w:r>
        <w:rPr/>
        <w:t>with </w:t>
      </w:r>
      <w:r>
        <w:rPr>
          <w:spacing w:val="-2"/>
        </w:rPr>
        <w:t>Aboriginal-owned</w:t>
      </w:r>
      <w:r>
        <w:rPr>
          <w:spacing w:val="-9"/>
        </w:rPr>
        <w:t> </w:t>
      </w:r>
      <w:r>
        <w:rPr/>
        <w:t>businesses.</w:t>
      </w:r>
    </w:p>
    <w:p>
      <w:pPr>
        <w:pStyle w:val="BodyText"/>
        <w:spacing w:before="2"/>
        <w:rPr>
          <w:sz w:val="23"/>
        </w:rPr>
      </w:pPr>
    </w:p>
    <w:p>
      <w:pPr>
        <w:pStyle w:val="BodyText"/>
        <w:spacing w:line="249" w:lineRule="auto"/>
        <w:ind w:left="1060" w:right="9"/>
      </w:pPr>
      <w:r>
        <w:rPr/>
        <w:t>The </w:t>
      </w:r>
      <w:r>
        <w:rPr>
          <w:spacing w:val="-6"/>
        </w:rPr>
        <w:t>WA </w:t>
      </w:r>
      <w:r>
        <w:rPr>
          <w:spacing w:val="-3"/>
        </w:rPr>
        <w:t>Government procured over </w:t>
      </w:r>
      <w:r>
        <w:rPr/>
        <w:t>$300 </w:t>
      </w:r>
      <w:r>
        <w:rPr>
          <w:spacing w:val="-3"/>
        </w:rPr>
        <w:t>million of</w:t>
      </w:r>
      <w:r>
        <w:rPr>
          <w:spacing w:val="-38"/>
        </w:rPr>
        <w:t> </w:t>
      </w:r>
      <w:r>
        <w:rPr/>
        <w:t>goods</w:t>
      </w:r>
      <w:r>
        <w:rPr>
          <w:spacing w:val="-38"/>
        </w:rPr>
        <w:t> </w:t>
      </w:r>
      <w:r>
        <w:rPr/>
        <w:t>and</w:t>
      </w:r>
      <w:r>
        <w:rPr>
          <w:spacing w:val="-37"/>
        </w:rPr>
        <w:t> </w:t>
      </w:r>
      <w:r>
        <w:rPr/>
        <w:t>services</w:t>
      </w:r>
      <w:r>
        <w:rPr>
          <w:spacing w:val="-38"/>
        </w:rPr>
        <w:t> </w:t>
      </w:r>
      <w:r>
        <w:rPr/>
        <w:t>from</w:t>
      </w:r>
      <w:r>
        <w:rPr>
          <w:spacing w:val="-38"/>
        </w:rPr>
        <w:t> </w:t>
      </w:r>
      <w:r>
        <w:rPr/>
        <w:t>Aboriginal</w:t>
      </w:r>
      <w:r>
        <w:rPr>
          <w:spacing w:val="-37"/>
        </w:rPr>
        <w:t> </w:t>
      </w:r>
      <w:r>
        <w:rPr/>
        <w:t>businesses between </w:t>
      </w:r>
      <w:r>
        <w:rPr>
          <w:spacing w:val="-9"/>
        </w:rPr>
        <w:t>2012 </w:t>
      </w:r>
      <w:r>
        <w:rPr/>
        <w:t>and </w:t>
      </w:r>
      <w:r>
        <w:rPr>
          <w:spacing w:val="-10"/>
        </w:rPr>
        <w:t>2017 </w:t>
      </w:r>
      <w:r>
        <w:rPr/>
        <w:t>and </w:t>
      </w:r>
      <w:r>
        <w:rPr>
          <w:spacing w:val="-2"/>
        </w:rPr>
        <w:t>the </w:t>
      </w:r>
      <w:r>
        <w:rPr/>
        <w:t>Aboriginal </w:t>
      </w:r>
      <w:r>
        <w:rPr>
          <w:spacing w:val="-3"/>
        </w:rPr>
        <w:t>Procurement</w:t>
      </w:r>
      <w:r>
        <w:rPr>
          <w:spacing w:val="-16"/>
        </w:rPr>
        <w:t> </w:t>
      </w:r>
      <w:r>
        <w:rPr>
          <w:spacing w:val="-3"/>
        </w:rPr>
        <w:t>Policy</w:t>
      </w:r>
      <w:r>
        <w:rPr>
          <w:spacing w:val="-16"/>
        </w:rPr>
        <w:t> </w:t>
      </w:r>
      <w:r>
        <w:rPr/>
        <w:t>will</w:t>
      </w:r>
      <w:r>
        <w:rPr>
          <w:spacing w:val="-16"/>
        </w:rPr>
        <w:t> </w:t>
      </w:r>
      <w:r>
        <w:rPr/>
        <w:t>increase</w:t>
      </w:r>
      <w:r>
        <w:rPr>
          <w:spacing w:val="-16"/>
        </w:rPr>
        <w:t> </w:t>
      </w:r>
      <w:r>
        <w:rPr>
          <w:spacing w:val="-3"/>
        </w:rPr>
        <w:t>this</w:t>
      </w:r>
      <w:r>
        <w:rPr>
          <w:spacing w:val="-16"/>
        </w:rPr>
        <w:t> </w:t>
      </w:r>
      <w:r>
        <w:rPr>
          <w:spacing w:val="-4"/>
        </w:rPr>
        <w:t>further.</w:t>
      </w:r>
    </w:p>
    <w:p>
      <w:pPr>
        <w:pStyle w:val="BodyText"/>
        <w:spacing w:before="3"/>
        <w:rPr>
          <w:sz w:val="23"/>
        </w:rPr>
      </w:pPr>
    </w:p>
    <w:p>
      <w:pPr>
        <w:pStyle w:val="BodyText"/>
        <w:spacing w:line="249" w:lineRule="auto"/>
        <w:ind w:left="1060" w:right="196"/>
      </w:pPr>
      <w:r>
        <w:rPr/>
        <w:t>As</w:t>
      </w:r>
      <w:r>
        <w:rPr>
          <w:spacing w:val="-30"/>
        </w:rPr>
        <w:t> </w:t>
      </w:r>
      <w:r>
        <w:rPr/>
        <w:t>Aboriginal</w:t>
      </w:r>
      <w:r>
        <w:rPr>
          <w:spacing w:val="-29"/>
        </w:rPr>
        <w:t> </w:t>
      </w:r>
      <w:r>
        <w:rPr/>
        <w:t>businesses</w:t>
      </w:r>
      <w:r>
        <w:rPr>
          <w:spacing w:val="-29"/>
        </w:rPr>
        <w:t> </w:t>
      </w:r>
      <w:r>
        <w:rPr/>
        <w:t>are</w:t>
      </w:r>
      <w:r>
        <w:rPr>
          <w:spacing w:val="-30"/>
        </w:rPr>
        <w:t> </w:t>
      </w:r>
      <w:r>
        <w:rPr/>
        <w:t>more</w:t>
      </w:r>
      <w:r>
        <w:rPr>
          <w:spacing w:val="-29"/>
        </w:rPr>
        <w:t> </w:t>
      </w:r>
      <w:r>
        <w:rPr>
          <w:spacing w:val="-3"/>
        </w:rPr>
        <w:t>likely</w:t>
      </w:r>
      <w:r>
        <w:rPr>
          <w:spacing w:val="-29"/>
        </w:rPr>
        <w:t> </w:t>
      </w:r>
      <w:r>
        <w:rPr>
          <w:spacing w:val="-3"/>
        </w:rPr>
        <w:t>(than non-Aboriginal</w:t>
      </w:r>
      <w:r>
        <w:rPr>
          <w:spacing w:val="-43"/>
        </w:rPr>
        <w:t> </w:t>
      </w:r>
      <w:r>
        <w:rPr>
          <w:spacing w:val="-3"/>
        </w:rPr>
        <w:t>businesses)</w:t>
      </w:r>
      <w:r>
        <w:rPr>
          <w:spacing w:val="-42"/>
        </w:rPr>
        <w:t> </w:t>
      </w:r>
      <w:r>
        <w:rPr>
          <w:spacing w:val="-4"/>
        </w:rPr>
        <w:t>to</w:t>
      </w:r>
      <w:r>
        <w:rPr>
          <w:spacing w:val="-43"/>
        </w:rPr>
        <w:t> </w:t>
      </w:r>
      <w:r>
        <w:rPr>
          <w:spacing w:val="-3"/>
        </w:rPr>
        <w:t>employ</w:t>
      </w:r>
      <w:r>
        <w:rPr>
          <w:spacing w:val="-42"/>
        </w:rPr>
        <w:t> </w:t>
      </w:r>
      <w:r>
        <w:rPr/>
        <w:t>Aboriginal </w:t>
      </w:r>
      <w:r>
        <w:rPr>
          <w:spacing w:val="-3"/>
        </w:rPr>
        <w:t>people,</w:t>
      </w:r>
      <w:r>
        <w:rPr>
          <w:spacing w:val="-19"/>
        </w:rPr>
        <w:t> </w:t>
      </w:r>
      <w:r>
        <w:rPr>
          <w:spacing w:val="-2"/>
        </w:rPr>
        <w:t>the</w:t>
      </w:r>
      <w:r>
        <w:rPr>
          <w:spacing w:val="-19"/>
        </w:rPr>
        <w:t> </w:t>
      </w:r>
      <w:r>
        <w:rPr>
          <w:spacing w:val="-3"/>
        </w:rPr>
        <w:t>Policy</w:t>
      </w:r>
      <w:r>
        <w:rPr>
          <w:spacing w:val="-19"/>
        </w:rPr>
        <w:t> </w:t>
      </w:r>
      <w:r>
        <w:rPr/>
        <w:t>is</w:t>
      </w:r>
      <w:r>
        <w:rPr>
          <w:spacing w:val="-18"/>
        </w:rPr>
        <w:t> </w:t>
      </w:r>
      <w:r>
        <w:rPr/>
        <w:t>also</w:t>
      </w:r>
      <w:r>
        <w:rPr>
          <w:spacing w:val="-19"/>
        </w:rPr>
        <w:t> </w:t>
      </w:r>
      <w:r>
        <w:rPr>
          <w:spacing w:val="-3"/>
        </w:rPr>
        <w:t>expected</w:t>
      </w:r>
      <w:r>
        <w:rPr>
          <w:spacing w:val="-19"/>
        </w:rPr>
        <w:t> </w:t>
      </w:r>
      <w:r>
        <w:rPr>
          <w:spacing w:val="-4"/>
        </w:rPr>
        <w:t>to</w:t>
      </w:r>
      <w:r>
        <w:rPr>
          <w:spacing w:val="-18"/>
        </w:rPr>
        <w:t> </w:t>
      </w:r>
      <w:r>
        <w:rPr>
          <w:spacing w:val="-3"/>
        </w:rPr>
        <w:t>contribute </w:t>
      </w:r>
      <w:r>
        <w:rPr>
          <w:spacing w:val="-4"/>
        </w:rPr>
        <w:t>to </w:t>
      </w:r>
      <w:r>
        <w:rPr>
          <w:spacing w:val="-3"/>
        </w:rPr>
        <w:t>improved </w:t>
      </w:r>
      <w:r>
        <w:rPr/>
        <w:t>Aboriginal </w:t>
      </w:r>
      <w:r>
        <w:rPr>
          <w:spacing w:val="-3"/>
        </w:rPr>
        <w:t>employment outcomes across</w:t>
      </w:r>
      <w:r>
        <w:rPr>
          <w:spacing w:val="-6"/>
        </w:rPr>
        <w:t> </w:t>
      </w:r>
      <w:r>
        <w:rPr>
          <w:spacing w:val="-4"/>
        </w:rPr>
        <w:t>WA.</w:t>
      </w:r>
    </w:p>
    <w:p>
      <w:pPr>
        <w:spacing w:before="109"/>
        <w:ind w:left="313" w:right="0" w:firstLine="0"/>
        <w:jc w:val="left"/>
        <w:rPr>
          <w:b/>
          <w:sz w:val="22"/>
        </w:rPr>
      </w:pPr>
      <w:r>
        <w:rPr/>
        <w:br w:type="column"/>
      </w:r>
      <w:r>
        <w:rPr>
          <w:b/>
          <w:color w:val="6F2770"/>
          <w:sz w:val="22"/>
        </w:rPr>
        <w:t>Stakeholder Consultation</w:t>
      </w:r>
    </w:p>
    <w:p>
      <w:pPr>
        <w:pStyle w:val="BodyText"/>
        <w:spacing w:before="10"/>
        <w:rPr>
          <w:b/>
          <w:sz w:val="23"/>
        </w:rPr>
      </w:pPr>
    </w:p>
    <w:p>
      <w:pPr>
        <w:pStyle w:val="BodyText"/>
        <w:spacing w:line="249" w:lineRule="auto"/>
        <w:ind w:left="313" w:right="552"/>
      </w:pPr>
      <w:r>
        <w:rPr>
          <w:spacing w:val="-11"/>
        </w:rPr>
        <w:t>To</w:t>
      </w:r>
      <w:r>
        <w:rPr>
          <w:spacing w:val="-23"/>
        </w:rPr>
        <w:t> </w:t>
      </w:r>
      <w:r>
        <w:rPr>
          <w:spacing w:val="-2"/>
        </w:rPr>
        <w:t>ensure</w:t>
      </w:r>
      <w:r>
        <w:rPr>
          <w:spacing w:val="-23"/>
        </w:rPr>
        <w:t> </w:t>
      </w:r>
      <w:r>
        <w:rPr/>
        <w:t>a</w:t>
      </w:r>
      <w:r>
        <w:rPr>
          <w:spacing w:val="-22"/>
        </w:rPr>
        <w:t> </w:t>
      </w:r>
      <w:r>
        <w:rPr>
          <w:spacing w:val="-3"/>
        </w:rPr>
        <w:t>practical</w:t>
      </w:r>
      <w:r>
        <w:rPr>
          <w:spacing w:val="-23"/>
        </w:rPr>
        <w:t> </w:t>
      </w:r>
      <w:r>
        <w:rPr/>
        <w:t>and</w:t>
      </w:r>
      <w:r>
        <w:rPr>
          <w:spacing w:val="-22"/>
        </w:rPr>
        <w:t> </w:t>
      </w:r>
      <w:r>
        <w:rPr>
          <w:spacing w:val="-3"/>
        </w:rPr>
        <w:t>achievable</w:t>
      </w:r>
      <w:r>
        <w:rPr>
          <w:spacing w:val="-23"/>
        </w:rPr>
        <w:t> </w:t>
      </w:r>
      <w:r>
        <w:rPr>
          <w:spacing w:val="-5"/>
        </w:rPr>
        <w:t>policy, </w:t>
      </w:r>
      <w:r>
        <w:rPr>
          <w:spacing w:val="-2"/>
        </w:rPr>
        <w:t>the</w:t>
      </w:r>
      <w:r>
        <w:rPr>
          <w:spacing w:val="-31"/>
        </w:rPr>
        <w:t> </w:t>
      </w:r>
      <w:r>
        <w:rPr/>
        <w:t>Department</w:t>
      </w:r>
      <w:r>
        <w:rPr>
          <w:spacing w:val="-31"/>
        </w:rPr>
        <w:t> </w:t>
      </w:r>
      <w:r>
        <w:rPr/>
        <w:t>undertook</w:t>
      </w:r>
      <w:r>
        <w:rPr>
          <w:spacing w:val="-31"/>
        </w:rPr>
        <w:t> </w:t>
      </w:r>
      <w:r>
        <w:rPr>
          <w:spacing w:val="-3"/>
        </w:rPr>
        <w:t>consultation</w:t>
      </w:r>
      <w:r>
        <w:rPr>
          <w:spacing w:val="-31"/>
        </w:rPr>
        <w:t> </w:t>
      </w:r>
      <w:r>
        <w:rPr/>
        <w:t>with </w:t>
      </w:r>
      <w:r>
        <w:rPr>
          <w:spacing w:val="-3"/>
        </w:rPr>
        <w:t>government</w:t>
      </w:r>
      <w:r>
        <w:rPr>
          <w:spacing w:val="-21"/>
        </w:rPr>
        <w:t> </w:t>
      </w:r>
      <w:r>
        <w:rPr/>
        <w:t>agencies</w:t>
      </w:r>
      <w:r>
        <w:rPr>
          <w:spacing w:val="-20"/>
        </w:rPr>
        <w:t> </w:t>
      </w:r>
      <w:r>
        <w:rPr/>
        <w:t>and</w:t>
      </w:r>
      <w:r>
        <w:rPr>
          <w:spacing w:val="-20"/>
        </w:rPr>
        <w:t> </w:t>
      </w:r>
      <w:r>
        <w:rPr>
          <w:spacing w:val="-2"/>
        </w:rPr>
        <w:t>the</w:t>
      </w:r>
      <w:r>
        <w:rPr>
          <w:spacing w:val="-20"/>
        </w:rPr>
        <w:t> </w:t>
      </w:r>
      <w:r>
        <w:rPr/>
        <w:t>Aboriginal</w:t>
      </w:r>
    </w:p>
    <w:p>
      <w:pPr>
        <w:pStyle w:val="BodyText"/>
        <w:spacing w:line="249" w:lineRule="auto" w:before="3"/>
        <w:ind w:left="313" w:right="181"/>
      </w:pPr>
      <w:r>
        <w:rPr/>
        <w:t>business</w:t>
      </w:r>
      <w:r>
        <w:rPr>
          <w:spacing w:val="-25"/>
        </w:rPr>
        <w:t> </w:t>
      </w:r>
      <w:r>
        <w:rPr>
          <w:spacing w:val="-6"/>
        </w:rPr>
        <w:t>sector,</w:t>
      </w:r>
      <w:r>
        <w:rPr>
          <w:spacing w:val="-25"/>
        </w:rPr>
        <w:t> </w:t>
      </w:r>
      <w:r>
        <w:rPr/>
        <w:t>as</w:t>
      </w:r>
      <w:r>
        <w:rPr>
          <w:spacing w:val="-25"/>
        </w:rPr>
        <w:t> </w:t>
      </w:r>
      <w:r>
        <w:rPr>
          <w:spacing w:val="-3"/>
        </w:rPr>
        <w:t>well</w:t>
      </w:r>
      <w:r>
        <w:rPr>
          <w:spacing w:val="-25"/>
        </w:rPr>
        <w:t> </w:t>
      </w:r>
      <w:r>
        <w:rPr/>
        <w:t>as</w:t>
      </w:r>
      <w:r>
        <w:rPr>
          <w:spacing w:val="-25"/>
        </w:rPr>
        <w:t> </w:t>
      </w:r>
      <w:r>
        <w:rPr/>
        <w:t>briefing</w:t>
      </w:r>
      <w:r>
        <w:rPr>
          <w:spacing w:val="-25"/>
        </w:rPr>
        <w:t> </w:t>
      </w:r>
      <w:r>
        <w:rPr>
          <w:spacing w:val="-2"/>
        </w:rPr>
        <w:t>the</w:t>
      </w:r>
      <w:r>
        <w:rPr>
          <w:spacing w:val="-25"/>
        </w:rPr>
        <w:t> </w:t>
      </w:r>
      <w:r>
        <w:rPr>
          <w:spacing w:val="-3"/>
        </w:rPr>
        <w:t>Western </w:t>
      </w:r>
      <w:r>
        <w:rPr>
          <w:spacing w:val="-3"/>
          <w:w w:val="95"/>
        </w:rPr>
        <w:t>Australian </w:t>
      </w:r>
      <w:r>
        <w:rPr>
          <w:w w:val="95"/>
        </w:rPr>
        <w:t>Aboriginal Advisory </w:t>
      </w:r>
      <w:r>
        <w:rPr>
          <w:spacing w:val="-3"/>
          <w:w w:val="95"/>
        </w:rPr>
        <w:t>Council. </w:t>
      </w:r>
      <w:r>
        <w:rPr>
          <w:w w:val="95"/>
        </w:rPr>
        <w:t>Agencies </w:t>
      </w:r>
      <w:r>
        <w:rPr/>
        <w:t>and Aboriginal businesses </w:t>
      </w:r>
      <w:r>
        <w:rPr>
          <w:spacing w:val="-3"/>
        </w:rPr>
        <w:t>were invited </w:t>
      </w:r>
      <w:r>
        <w:rPr>
          <w:spacing w:val="-4"/>
        </w:rPr>
        <w:t>to </w:t>
      </w:r>
      <w:r>
        <w:rPr>
          <w:spacing w:val="-3"/>
        </w:rPr>
        <w:t>provide </w:t>
      </w:r>
      <w:r>
        <w:rPr/>
        <w:t>feedback on </w:t>
      </w:r>
      <w:r>
        <w:rPr>
          <w:spacing w:val="-2"/>
        </w:rPr>
        <w:t>the </w:t>
      </w:r>
      <w:r>
        <w:rPr>
          <w:spacing w:val="-3"/>
        </w:rPr>
        <w:t>Policy guidelines, </w:t>
      </w:r>
      <w:r>
        <w:rPr/>
        <w:t>and </w:t>
      </w:r>
      <w:r>
        <w:rPr>
          <w:spacing w:val="-3"/>
        </w:rPr>
        <w:t>implementation </w:t>
      </w:r>
      <w:r>
        <w:rPr/>
        <w:t>and </w:t>
      </w:r>
      <w:r>
        <w:rPr>
          <w:spacing w:val="-3"/>
        </w:rPr>
        <w:t>education</w:t>
      </w:r>
      <w:r>
        <w:rPr>
          <w:spacing w:val="-32"/>
        </w:rPr>
        <w:t> </w:t>
      </w:r>
      <w:r>
        <w:rPr>
          <w:spacing w:val="-3"/>
        </w:rPr>
        <w:t>strategies.</w:t>
      </w:r>
    </w:p>
    <w:p>
      <w:pPr>
        <w:pStyle w:val="BodyText"/>
        <w:spacing w:before="4"/>
        <w:rPr>
          <w:sz w:val="23"/>
        </w:rPr>
      </w:pPr>
    </w:p>
    <w:p>
      <w:pPr>
        <w:pStyle w:val="BodyText"/>
        <w:spacing w:line="249" w:lineRule="auto"/>
        <w:ind w:left="313" w:right="179"/>
      </w:pPr>
      <w:r>
        <w:rPr>
          <w:spacing w:val="-3"/>
        </w:rPr>
        <w:t>Education </w:t>
      </w:r>
      <w:r>
        <w:rPr/>
        <w:t>and </w:t>
      </w:r>
      <w:r>
        <w:rPr>
          <w:spacing w:val="-3"/>
        </w:rPr>
        <w:t>training </w:t>
      </w:r>
      <w:r>
        <w:rPr/>
        <w:t>sessions </w:t>
      </w:r>
      <w:r>
        <w:rPr>
          <w:spacing w:val="-3"/>
        </w:rPr>
        <w:t>were </w:t>
      </w:r>
      <w:r>
        <w:rPr/>
        <w:t>held </w:t>
      </w:r>
      <w:r>
        <w:rPr>
          <w:spacing w:val="-3"/>
        </w:rPr>
        <w:t>in </w:t>
      </w:r>
      <w:r>
        <w:rPr/>
        <w:t>Perth and nine regional </w:t>
      </w:r>
      <w:r>
        <w:rPr>
          <w:spacing w:val="-3"/>
        </w:rPr>
        <w:t>locations, focusing </w:t>
      </w:r>
      <w:r>
        <w:rPr/>
        <w:t>on </w:t>
      </w:r>
      <w:r>
        <w:rPr>
          <w:spacing w:val="-3"/>
        </w:rPr>
        <w:t>practical strategies </w:t>
      </w:r>
      <w:r>
        <w:rPr>
          <w:spacing w:val="-4"/>
        </w:rPr>
        <w:t>to </w:t>
      </w:r>
      <w:r>
        <w:rPr/>
        <w:t>assist Aboriginal businesses</w:t>
      </w:r>
      <w:r>
        <w:rPr>
          <w:spacing w:val="-26"/>
        </w:rPr>
        <w:t> </w:t>
      </w:r>
      <w:r>
        <w:rPr/>
        <w:t>in</w:t>
      </w:r>
      <w:r>
        <w:rPr>
          <w:spacing w:val="-25"/>
        </w:rPr>
        <w:t> </w:t>
      </w:r>
      <w:r>
        <w:rPr/>
        <w:t>taking</w:t>
      </w:r>
      <w:r>
        <w:rPr>
          <w:spacing w:val="-25"/>
        </w:rPr>
        <w:t> </w:t>
      </w:r>
      <w:r>
        <w:rPr>
          <w:spacing w:val="-3"/>
        </w:rPr>
        <w:t>advantage</w:t>
      </w:r>
      <w:r>
        <w:rPr>
          <w:spacing w:val="-25"/>
        </w:rPr>
        <w:t> </w:t>
      </w:r>
      <w:r>
        <w:rPr>
          <w:spacing w:val="-3"/>
        </w:rPr>
        <w:t>of</w:t>
      </w:r>
      <w:r>
        <w:rPr>
          <w:spacing w:val="-26"/>
        </w:rPr>
        <w:t> </w:t>
      </w:r>
      <w:r>
        <w:rPr>
          <w:spacing w:val="-3"/>
        </w:rPr>
        <w:t>government tendering</w:t>
      </w:r>
      <w:r>
        <w:rPr>
          <w:spacing w:val="-34"/>
        </w:rPr>
        <w:t> </w:t>
      </w:r>
      <w:r>
        <w:rPr/>
        <w:t>opportunities.</w:t>
      </w:r>
      <w:r>
        <w:rPr>
          <w:spacing w:val="-33"/>
        </w:rPr>
        <w:t> </w:t>
      </w:r>
      <w:r>
        <w:rPr/>
        <w:t>Briefing</w:t>
      </w:r>
      <w:r>
        <w:rPr>
          <w:spacing w:val="-33"/>
        </w:rPr>
        <w:t> </w:t>
      </w:r>
      <w:r>
        <w:rPr/>
        <w:t>sessions</w:t>
      </w:r>
      <w:r>
        <w:rPr>
          <w:spacing w:val="-34"/>
        </w:rPr>
        <w:t> </w:t>
      </w:r>
      <w:r>
        <w:rPr>
          <w:spacing w:val="-3"/>
        </w:rPr>
        <w:t>were </w:t>
      </w:r>
      <w:r>
        <w:rPr/>
        <w:t>also</w:t>
      </w:r>
      <w:r>
        <w:rPr>
          <w:spacing w:val="-28"/>
        </w:rPr>
        <w:t> </w:t>
      </w:r>
      <w:r>
        <w:rPr>
          <w:spacing w:val="-3"/>
        </w:rPr>
        <w:t>provided</w:t>
      </w:r>
      <w:r>
        <w:rPr>
          <w:spacing w:val="-27"/>
        </w:rPr>
        <w:t> </w:t>
      </w:r>
      <w:r>
        <w:rPr>
          <w:spacing w:val="-4"/>
        </w:rPr>
        <w:t>to</w:t>
      </w:r>
      <w:r>
        <w:rPr>
          <w:spacing w:val="-27"/>
        </w:rPr>
        <w:t> </w:t>
      </w:r>
      <w:r>
        <w:rPr>
          <w:spacing w:val="-3"/>
        </w:rPr>
        <w:t>government</w:t>
      </w:r>
      <w:r>
        <w:rPr>
          <w:spacing w:val="-27"/>
        </w:rPr>
        <w:t> </w:t>
      </w:r>
      <w:r>
        <w:rPr/>
        <w:t>agencies</w:t>
      </w:r>
      <w:r>
        <w:rPr>
          <w:spacing w:val="-28"/>
        </w:rPr>
        <w:t> </w:t>
      </w:r>
      <w:r>
        <w:rPr>
          <w:spacing w:val="-4"/>
        </w:rPr>
        <w:t>to</w:t>
      </w:r>
      <w:r>
        <w:rPr>
          <w:spacing w:val="-27"/>
        </w:rPr>
        <w:t> </w:t>
      </w:r>
      <w:r>
        <w:rPr>
          <w:spacing w:val="-2"/>
        </w:rPr>
        <w:t>ensure the</w:t>
      </w:r>
      <w:r>
        <w:rPr>
          <w:spacing w:val="-19"/>
        </w:rPr>
        <w:t> </w:t>
      </w:r>
      <w:r>
        <w:rPr>
          <w:spacing w:val="-3"/>
        </w:rPr>
        <w:t>requirements</w:t>
      </w:r>
      <w:r>
        <w:rPr>
          <w:spacing w:val="-19"/>
        </w:rPr>
        <w:t> </w:t>
      </w:r>
      <w:r>
        <w:rPr>
          <w:spacing w:val="-3"/>
        </w:rPr>
        <w:t>of</w:t>
      </w:r>
      <w:r>
        <w:rPr>
          <w:spacing w:val="-18"/>
        </w:rPr>
        <w:t> </w:t>
      </w:r>
      <w:r>
        <w:rPr>
          <w:spacing w:val="-2"/>
        </w:rPr>
        <w:t>the</w:t>
      </w:r>
      <w:r>
        <w:rPr>
          <w:spacing w:val="-19"/>
        </w:rPr>
        <w:t> </w:t>
      </w:r>
      <w:r>
        <w:rPr>
          <w:spacing w:val="-3"/>
        </w:rPr>
        <w:t>Policy</w:t>
      </w:r>
      <w:r>
        <w:rPr>
          <w:spacing w:val="-18"/>
        </w:rPr>
        <w:t> </w:t>
      </w:r>
      <w:r>
        <w:rPr>
          <w:spacing w:val="-3"/>
        </w:rPr>
        <w:t>were</w:t>
      </w:r>
      <w:r>
        <w:rPr>
          <w:spacing w:val="-19"/>
        </w:rPr>
        <w:t> </w:t>
      </w:r>
      <w:r>
        <w:rPr>
          <w:spacing w:val="-3"/>
        </w:rPr>
        <w:t>understood</w:t>
      </w:r>
    </w:p>
    <w:p>
      <w:pPr>
        <w:pStyle w:val="BodyText"/>
        <w:spacing w:line="249" w:lineRule="auto" w:before="6"/>
        <w:ind w:left="313" w:right="-10"/>
      </w:pPr>
      <w:r>
        <w:rPr/>
        <w:t>and</w:t>
      </w:r>
      <w:r>
        <w:rPr>
          <w:spacing w:val="-36"/>
        </w:rPr>
        <w:t> </w:t>
      </w:r>
      <w:r>
        <w:rPr/>
        <w:t>could</w:t>
      </w:r>
      <w:r>
        <w:rPr>
          <w:spacing w:val="-36"/>
        </w:rPr>
        <w:t> </w:t>
      </w:r>
      <w:r>
        <w:rPr/>
        <w:t>be</w:t>
      </w:r>
      <w:r>
        <w:rPr>
          <w:spacing w:val="-36"/>
        </w:rPr>
        <w:t> </w:t>
      </w:r>
      <w:r>
        <w:rPr/>
        <w:t>effectively</w:t>
      </w:r>
      <w:r>
        <w:rPr>
          <w:spacing w:val="-36"/>
        </w:rPr>
        <w:t> </w:t>
      </w:r>
      <w:r>
        <w:rPr>
          <w:spacing w:val="-3"/>
        </w:rPr>
        <w:t>implemented.</w:t>
      </w:r>
      <w:r>
        <w:rPr>
          <w:spacing w:val="-36"/>
        </w:rPr>
        <w:t> </w:t>
      </w:r>
      <w:r>
        <w:rPr>
          <w:spacing w:val="-3"/>
        </w:rPr>
        <w:t>Participants </w:t>
      </w:r>
      <w:r>
        <w:rPr/>
        <w:t>in these sessions </w:t>
      </w:r>
      <w:r>
        <w:rPr>
          <w:spacing w:val="-3"/>
        </w:rPr>
        <w:t>provided positive feedback, outlining how </w:t>
      </w:r>
      <w:r>
        <w:rPr>
          <w:spacing w:val="-2"/>
        </w:rPr>
        <w:t>the </w:t>
      </w:r>
      <w:r>
        <w:rPr>
          <w:spacing w:val="-3"/>
        </w:rPr>
        <w:t>training </w:t>
      </w:r>
      <w:r>
        <w:rPr/>
        <w:t>will help them </w:t>
      </w:r>
      <w:r>
        <w:rPr>
          <w:spacing w:val="-3"/>
        </w:rPr>
        <w:t>achieve </w:t>
      </w:r>
      <w:r>
        <w:rPr>
          <w:spacing w:val="-2"/>
        </w:rPr>
        <w:t>the </w:t>
      </w:r>
      <w:r>
        <w:rPr>
          <w:spacing w:val="-3"/>
        </w:rPr>
        <w:t>intended Policy</w:t>
      </w:r>
      <w:r>
        <w:rPr>
          <w:spacing w:val="-15"/>
        </w:rPr>
        <w:t> </w:t>
      </w:r>
      <w:r>
        <w:rPr>
          <w:spacing w:val="-3"/>
        </w:rPr>
        <w:t>outcomes.</w:t>
      </w:r>
    </w:p>
    <w:p>
      <w:pPr>
        <w:spacing w:before="109"/>
        <w:ind w:left="280" w:right="0" w:firstLine="0"/>
        <w:jc w:val="left"/>
        <w:rPr>
          <w:b/>
          <w:sz w:val="22"/>
        </w:rPr>
      </w:pPr>
      <w:r>
        <w:rPr/>
        <w:br w:type="column"/>
      </w:r>
      <w:r>
        <w:rPr>
          <w:b/>
          <w:color w:val="6F2770"/>
          <w:sz w:val="22"/>
        </w:rPr>
        <w:t>Engagement Events</w:t>
      </w:r>
    </w:p>
    <w:p>
      <w:pPr>
        <w:pStyle w:val="BodyText"/>
        <w:spacing w:before="10"/>
        <w:rPr>
          <w:b/>
          <w:sz w:val="23"/>
        </w:rPr>
      </w:pPr>
    </w:p>
    <w:p>
      <w:pPr>
        <w:pStyle w:val="BodyText"/>
        <w:spacing w:line="249" w:lineRule="auto"/>
        <w:ind w:left="280" w:right="1757"/>
      </w:pPr>
      <w:r>
        <w:rPr/>
        <w:t>The Department </w:t>
      </w:r>
      <w:r>
        <w:rPr>
          <w:spacing w:val="-3"/>
        </w:rPr>
        <w:t>hosted </w:t>
      </w:r>
      <w:r>
        <w:rPr>
          <w:spacing w:val="-2"/>
        </w:rPr>
        <w:t>the </w:t>
      </w:r>
      <w:r>
        <w:rPr/>
        <w:t>Aboriginal Business</w:t>
      </w:r>
      <w:r>
        <w:rPr>
          <w:spacing w:val="-22"/>
        </w:rPr>
        <w:t> </w:t>
      </w:r>
      <w:r>
        <w:rPr/>
        <w:t>Expo</w:t>
      </w:r>
      <w:r>
        <w:rPr>
          <w:spacing w:val="-22"/>
        </w:rPr>
        <w:t> </w:t>
      </w:r>
      <w:r>
        <w:rPr/>
        <w:t>on</w:t>
      </w:r>
      <w:r>
        <w:rPr>
          <w:spacing w:val="-22"/>
        </w:rPr>
        <w:t> </w:t>
      </w:r>
      <w:r>
        <w:rPr>
          <w:spacing w:val="-3"/>
        </w:rPr>
        <w:t>29</w:t>
      </w:r>
      <w:r>
        <w:rPr>
          <w:spacing w:val="-22"/>
        </w:rPr>
        <w:t> </w:t>
      </w:r>
      <w:r>
        <w:rPr/>
        <w:t>March</w:t>
      </w:r>
      <w:r>
        <w:rPr>
          <w:spacing w:val="-22"/>
        </w:rPr>
        <w:t> </w:t>
      </w:r>
      <w:r>
        <w:rPr>
          <w:spacing w:val="-9"/>
        </w:rPr>
        <w:t>2018</w:t>
      </w:r>
      <w:r>
        <w:rPr>
          <w:spacing w:val="-22"/>
        </w:rPr>
        <w:t> </w:t>
      </w:r>
      <w:r>
        <w:rPr>
          <w:spacing w:val="-4"/>
        </w:rPr>
        <w:t>to</w:t>
      </w:r>
      <w:r>
        <w:rPr>
          <w:spacing w:val="-21"/>
        </w:rPr>
        <w:t> </w:t>
      </w:r>
      <w:r>
        <w:rPr/>
        <w:t>launch</w:t>
      </w:r>
    </w:p>
    <w:p>
      <w:pPr>
        <w:pStyle w:val="BodyText"/>
        <w:spacing w:line="249" w:lineRule="auto" w:before="2"/>
        <w:ind w:left="280" w:right="1398"/>
      </w:pPr>
      <w:r>
        <w:rPr>
          <w:spacing w:val="-2"/>
        </w:rPr>
        <w:t>the</w:t>
      </w:r>
      <w:r>
        <w:rPr>
          <w:spacing w:val="-25"/>
        </w:rPr>
        <w:t> </w:t>
      </w:r>
      <w:r>
        <w:rPr>
          <w:spacing w:val="-5"/>
        </w:rPr>
        <w:t>Policy,</w:t>
      </w:r>
      <w:r>
        <w:rPr>
          <w:spacing w:val="-24"/>
        </w:rPr>
        <w:t> </w:t>
      </w:r>
      <w:r>
        <w:rPr>
          <w:spacing w:val="-3"/>
        </w:rPr>
        <w:t>showcase</w:t>
      </w:r>
      <w:r>
        <w:rPr>
          <w:spacing w:val="-25"/>
        </w:rPr>
        <w:t> </w:t>
      </w:r>
      <w:r>
        <w:rPr>
          <w:spacing w:val="-2"/>
        </w:rPr>
        <w:t>the</w:t>
      </w:r>
      <w:r>
        <w:rPr>
          <w:spacing w:val="-24"/>
        </w:rPr>
        <w:t> </w:t>
      </w:r>
      <w:r>
        <w:rPr/>
        <w:t>range</w:t>
      </w:r>
      <w:r>
        <w:rPr>
          <w:spacing w:val="-24"/>
        </w:rPr>
        <w:t> </w:t>
      </w:r>
      <w:r>
        <w:rPr>
          <w:spacing w:val="-3"/>
        </w:rPr>
        <w:t>of</w:t>
      </w:r>
      <w:r>
        <w:rPr>
          <w:spacing w:val="-25"/>
        </w:rPr>
        <w:t> </w:t>
      </w:r>
      <w:r>
        <w:rPr/>
        <w:t>quality</w:t>
      </w:r>
      <w:r>
        <w:rPr>
          <w:spacing w:val="-24"/>
        </w:rPr>
        <w:t> </w:t>
      </w:r>
      <w:r>
        <w:rPr/>
        <w:t>goods and services </w:t>
      </w:r>
      <w:r>
        <w:rPr>
          <w:spacing w:val="-3"/>
        </w:rPr>
        <w:t>available </w:t>
      </w:r>
      <w:r>
        <w:rPr>
          <w:spacing w:val="-4"/>
        </w:rPr>
        <w:t>to </w:t>
      </w:r>
      <w:r>
        <w:rPr>
          <w:spacing w:val="-3"/>
        </w:rPr>
        <w:t>government, </w:t>
      </w:r>
      <w:r>
        <w:rPr/>
        <w:t>and </w:t>
      </w:r>
      <w:r>
        <w:rPr>
          <w:spacing w:val="-3"/>
        </w:rPr>
        <w:t>strengthen </w:t>
      </w:r>
      <w:r>
        <w:rPr/>
        <w:t>business </w:t>
      </w:r>
      <w:r>
        <w:rPr>
          <w:spacing w:val="-3"/>
        </w:rPr>
        <w:t>relationships </w:t>
      </w:r>
      <w:r>
        <w:rPr/>
        <w:t>between agencies</w:t>
      </w:r>
      <w:r>
        <w:rPr>
          <w:spacing w:val="-23"/>
        </w:rPr>
        <w:t> </w:t>
      </w:r>
      <w:r>
        <w:rPr/>
        <w:t>and</w:t>
      </w:r>
      <w:r>
        <w:rPr>
          <w:spacing w:val="-22"/>
        </w:rPr>
        <w:t> </w:t>
      </w:r>
      <w:r>
        <w:rPr>
          <w:spacing w:val="-2"/>
        </w:rPr>
        <w:t>the</w:t>
      </w:r>
      <w:r>
        <w:rPr>
          <w:spacing w:val="-23"/>
        </w:rPr>
        <w:t> </w:t>
      </w:r>
      <w:r>
        <w:rPr/>
        <w:t>Aboriginal</w:t>
      </w:r>
      <w:r>
        <w:rPr>
          <w:spacing w:val="-22"/>
        </w:rPr>
        <w:t> </w:t>
      </w:r>
      <w:r>
        <w:rPr/>
        <w:t>business</w:t>
      </w:r>
      <w:r>
        <w:rPr>
          <w:spacing w:val="-23"/>
        </w:rPr>
        <w:t> </w:t>
      </w:r>
      <w:r>
        <w:rPr>
          <w:spacing w:val="-6"/>
        </w:rPr>
        <w:t>sector.</w:t>
      </w:r>
    </w:p>
    <w:p>
      <w:pPr>
        <w:pStyle w:val="BodyText"/>
        <w:spacing w:line="249" w:lineRule="auto" w:before="4"/>
        <w:ind w:left="280" w:right="1658"/>
      </w:pPr>
      <w:r>
        <w:rPr/>
        <w:t>The Expo </w:t>
      </w:r>
      <w:r>
        <w:rPr>
          <w:spacing w:val="-3"/>
        </w:rPr>
        <w:t>was </w:t>
      </w:r>
      <w:r>
        <w:rPr/>
        <w:t>a huge success and stands </w:t>
      </w:r>
      <w:r>
        <w:rPr>
          <w:spacing w:val="-3"/>
        </w:rPr>
        <w:t>featured</w:t>
      </w:r>
      <w:r>
        <w:rPr>
          <w:spacing w:val="-41"/>
        </w:rPr>
        <w:t> </w:t>
      </w:r>
      <w:r>
        <w:rPr/>
        <w:t>more</w:t>
      </w:r>
      <w:r>
        <w:rPr>
          <w:spacing w:val="-40"/>
        </w:rPr>
        <w:t> </w:t>
      </w:r>
      <w:r>
        <w:rPr/>
        <w:t>than</w:t>
      </w:r>
      <w:r>
        <w:rPr>
          <w:spacing w:val="-41"/>
        </w:rPr>
        <w:t> </w:t>
      </w:r>
      <w:r>
        <w:rPr/>
        <w:t>60</w:t>
      </w:r>
      <w:r>
        <w:rPr>
          <w:spacing w:val="-40"/>
        </w:rPr>
        <w:t> </w:t>
      </w:r>
      <w:r>
        <w:rPr/>
        <w:t>Aboriginal</w:t>
      </w:r>
      <w:r>
        <w:rPr>
          <w:spacing w:val="-41"/>
        </w:rPr>
        <w:t> </w:t>
      </w:r>
      <w:r>
        <w:rPr/>
        <w:t>businesses with </w:t>
      </w:r>
      <w:r>
        <w:rPr>
          <w:spacing w:val="-3"/>
        </w:rPr>
        <w:t>approximately </w:t>
      </w:r>
      <w:r>
        <w:rPr/>
        <w:t>200 </w:t>
      </w:r>
      <w:r>
        <w:rPr>
          <w:spacing w:val="-3"/>
        </w:rPr>
        <w:t>government representatives </w:t>
      </w:r>
      <w:r>
        <w:rPr/>
        <w:t>in</w:t>
      </w:r>
      <w:r>
        <w:rPr>
          <w:spacing w:val="-15"/>
        </w:rPr>
        <w:t> </w:t>
      </w:r>
      <w:r>
        <w:rPr>
          <w:spacing w:val="-3"/>
        </w:rPr>
        <w:t>attendance.</w:t>
      </w:r>
    </w:p>
    <w:p>
      <w:pPr>
        <w:pStyle w:val="BodyText"/>
        <w:spacing w:before="3"/>
        <w:rPr>
          <w:sz w:val="23"/>
        </w:rPr>
      </w:pPr>
    </w:p>
    <w:p>
      <w:pPr>
        <w:pStyle w:val="BodyText"/>
        <w:ind w:left="280"/>
      </w:pPr>
      <w:r>
        <w:rPr/>
        <w:t>Following the commencement of the Policy,</w:t>
      </w:r>
    </w:p>
    <w:p>
      <w:pPr>
        <w:pStyle w:val="BodyText"/>
        <w:spacing w:line="249" w:lineRule="auto" w:before="11"/>
        <w:ind w:left="280" w:right="1249"/>
      </w:pPr>
      <w:r>
        <w:rPr>
          <w:spacing w:val="-2"/>
        </w:rPr>
        <w:t>the </w:t>
      </w:r>
      <w:r>
        <w:rPr/>
        <w:t>Department will </w:t>
      </w:r>
      <w:r>
        <w:rPr>
          <w:spacing w:val="-3"/>
        </w:rPr>
        <w:t>administer $500,000 </w:t>
      </w:r>
      <w:r>
        <w:rPr/>
        <w:t>a year in</w:t>
      </w:r>
      <w:r>
        <w:rPr>
          <w:spacing w:val="-32"/>
        </w:rPr>
        <w:t> </w:t>
      </w:r>
      <w:r>
        <w:rPr>
          <w:spacing w:val="-3"/>
        </w:rPr>
        <w:t>grants</w:t>
      </w:r>
      <w:r>
        <w:rPr>
          <w:spacing w:val="-32"/>
        </w:rPr>
        <w:t> </w:t>
      </w:r>
      <w:r>
        <w:rPr>
          <w:spacing w:val="-4"/>
        </w:rPr>
        <w:t>to</w:t>
      </w:r>
      <w:r>
        <w:rPr>
          <w:spacing w:val="-32"/>
        </w:rPr>
        <w:t> </w:t>
      </w:r>
      <w:r>
        <w:rPr/>
        <w:t>build</w:t>
      </w:r>
      <w:r>
        <w:rPr>
          <w:spacing w:val="-32"/>
        </w:rPr>
        <w:t> </w:t>
      </w:r>
      <w:r>
        <w:rPr/>
        <w:t>skills</w:t>
      </w:r>
      <w:r>
        <w:rPr>
          <w:spacing w:val="-32"/>
        </w:rPr>
        <w:t> </w:t>
      </w:r>
      <w:r>
        <w:rPr/>
        <w:t>and</w:t>
      </w:r>
      <w:r>
        <w:rPr>
          <w:spacing w:val="-32"/>
        </w:rPr>
        <w:t> </w:t>
      </w:r>
      <w:r>
        <w:rPr/>
        <w:t>capability</w:t>
      </w:r>
      <w:r>
        <w:rPr>
          <w:spacing w:val="-32"/>
        </w:rPr>
        <w:t> </w:t>
      </w:r>
      <w:r>
        <w:rPr/>
        <w:t>in</w:t>
      </w:r>
      <w:r>
        <w:rPr>
          <w:spacing w:val="-32"/>
        </w:rPr>
        <w:t> </w:t>
      </w:r>
      <w:r>
        <w:rPr/>
        <w:t>Aboriginal businesses </w:t>
      </w:r>
      <w:r>
        <w:rPr>
          <w:spacing w:val="-3"/>
        </w:rPr>
        <w:t>across </w:t>
      </w:r>
      <w:r>
        <w:rPr>
          <w:spacing w:val="-4"/>
        </w:rPr>
        <w:t>WA. </w:t>
      </w:r>
      <w:r>
        <w:rPr/>
        <w:t>A </w:t>
      </w:r>
      <w:r>
        <w:rPr>
          <w:spacing w:val="-3"/>
        </w:rPr>
        <w:t>consultation </w:t>
      </w:r>
      <w:r>
        <w:rPr/>
        <w:t>process will </w:t>
      </w:r>
      <w:r>
        <w:rPr>
          <w:spacing w:val="-2"/>
        </w:rPr>
        <w:t>ensure </w:t>
      </w:r>
      <w:r>
        <w:rPr>
          <w:spacing w:val="-3"/>
        </w:rPr>
        <w:t>this </w:t>
      </w:r>
      <w:r>
        <w:rPr/>
        <w:t>funding </w:t>
      </w:r>
      <w:r>
        <w:rPr>
          <w:spacing w:val="-3"/>
        </w:rPr>
        <w:t>achieves practical </w:t>
      </w:r>
      <w:r>
        <w:rPr/>
        <w:t>and </w:t>
      </w:r>
      <w:r>
        <w:rPr>
          <w:spacing w:val="-3"/>
        </w:rPr>
        <w:t>positive</w:t>
      </w:r>
      <w:r>
        <w:rPr>
          <w:spacing w:val="-19"/>
        </w:rPr>
        <w:t> </w:t>
      </w:r>
      <w:r>
        <w:rPr>
          <w:spacing w:val="-3"/>
        </w:rPr>
        <w:t>outcomes</w:t>
      </w:r>
      <w:r>
        <w:rPr>
          <w:spacing w:val="-18"/>
        </w:rPr>
        <w:t> </w:t>
      </w:r>
      <w:r>
        <w:rPr>
          <w:spacing w:val="-3"/>
        </w:rPr>
        <w:t>for</w:t>
      </w:r>
      <w:r>
        <w:rPr>
          <w:spacing w:val="-18"/>
        </w:rPr>
        <w:t> </w:t>
      </w:r>
      <w:r>
        <w:rPr/>
        <w:t>Aboriginal</w:t>
      </w:r>
      <w:r>
        <w:rPr>
          <w:spacing w:val="-19"/>
        </w:rPr>
        <w:t> </w:t>
      </w:r>
      <w:r>
        <w:rPr/>
        <w:t>businesses.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8"/>
        </w:rPr>
      </w:pPr>
    </w:p>
    <w:p>
      <w:pPr>
        <w:spacing w:before="0"/>
        <w:ind w:left="2160" w:right="0" w:firstLine="0"/>
        <w:jc w:val="left"/>
        <w:rPr>
          <w:b/>
          <w:sz w:val="20"/>
        </w:rPr>
      </w:pPr>
      <w:r>
        <w:rPr>
          <w:b/>
          <w:color w:val="FFFFFF"/>
          <w:sz w:val="20"/>
        </w:rPr>
        <w:t>Aboriginal Business Expo</w:t>
      </w:r>
    </w:p>
    <w:p>
      <w:pPr>
        <w:spacing w:after="0"/>
        <w:jc w:val="left"/>
        <w:rPr>
          <w:sz w:val="20"/>
        </w:rPr>
        <w:sectPr>
          <w:type w:val="continuous"/>
          <w:pgSz w:w="16840" w:h="11910" w:orient="landscape"/>
          <w:pgMar w:top="1100" w:bottom="280" w:left="0" w:right="0"/>
          <w:cols w:num="3" w:equalWidth="0">
            <w:col w:w="5700" w:space="40"/>
            <w:col w:w="4963" w:space="39"/>
            <w:col w:w="6098"/>
          </w:cols>
        </w:sectPr>
      </w:pPr>
    </w:p>
    <w:p>
      <w:pPr>
        <w:tabs>
          <w:tab w:pos="4810" w:val="left" w:leader="none"/>
          <w:tab w:pos="9621" w:val="left" w:leader="none"/>
          <w:tab w:pos="14432" w:val="left" w:leader="none"/>
        </w:tabs>
        <w:spacing w:line="240" w:lineRule="auto"/>
        <w:ind w:left="0" w:right="-58" w:firstLine="0"/>
        <w:rPr>
          <w:sz w:val="20"/>
        </w:rPr>
      </w:pPr>
      <w:bookmarkStart w:name="_bookmark7" w:id="8"/>
      <w:bookmarkEnd w:id="8"/>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Heading1"/>
        <w:spacing w:before="254"/>
      </w:pPr>
      <w:r>
        <w:rPr/>
        <w:pict>
          <v:group style="position:absolute;margin-left:280.589264pt;margin-top:55.482094pt;width:561.35pt;height:484.55pt;mso-position-horizontal-relative:page;mso-position-vertical-relative:paragraph;z-index:-709024" coordorigin="5612,1110" coordsize="11227,9691">
            <v:shape style="position:absolute;left:5611;top:1109;width:11227;height:9691" type="#_x0000_t75" stroked="false">
              <v:imagedata r:id="rId40" o:title=""/>
            </v:shape>
            <v:shape style="position:absolute;left:-1663;top:18912;width:962;height:962" coordorigin="-1662,18912" coordsize="962,962" path="m11891,8560l12184,8853m11755,8534l12211,8990m11650,8539l12206,9095m11563,8563l12182,9181m11488,8599l12146,9256m11424,8644l12101,9321m11368,8699l12046,9377m11321,8762l11982,9424m11284,8836l11909,9461m11259,8920l11824,9486m11249,9021l11723,9496m11270,9152l11592,9475e" filled="false" stroked="true" strokeweight=".25pt" strokecolor="#aebd37">
              <v:path arrowok="t"/>
              <v:stroke dashstyle="solid"/>
            </v:shape>
            <v:shape style="position:absolute;left:-4488;top:-541;width:1796;height:1796" coordorigin="-4488,-541" coordsize="1796,1796" path="m12115,9223l11784,8892m12308,9305l11701,8699m12447,9335l11672,8559m12566,9343l11664,8441m12669,9336l11671,8337m12763,9320l11687,8243m12850,9296l11711,8157m12929,9264l11742,8078m13002,9227l11779,8004m13070,9185l11822,7936m13133,9138l11869,7873m13191,9085l11921,7815m13245,9029l11978,7762m13293,8967l12040,7713m13336,8900l12107,7670m13375,8827l12179,7632m13407,8749l12257,7599m13433,8665l12341,7573m13451,8573l12434,7555m13460,8471l12535,7547m13456,8357l12649,7550m13434,8224l12782,7573m13369,8050l12957,7637e" filled="false" stroked="true" strokeweight=".25pt" strokecolor="#6f2770">
              <v:path arrowok="t"/>
              <v:stroke dashstyle="solid"/>
            </v:shape>
            <v:shape style="position:absolute;left:6009;top:2664;width:199;height:199" type="#_x0000_t75" stroked="false">
              <v:imagedata r:id="rId41" o:title=""/>
            </v:shape>
            <v:shape style="position:absolute;left:6009;top:3991;width:199;height:199" type="#_x0000_t75" stroked="false">
              <v:imagedata r:id="rId42" o:title=""/>
            </v:shape>
            <v:shape style="position:absolute;left:16356;top:9826;width:482;height:831" coordorigin="16357,9826" coordsize="482,831" path="m16772,9826l16697,9833,16627,9852,16562,9883,16504,9924,16454,9974,16413,10032,16383,10096,16363,10167,16357,10241,16363,10316,16383,10386,16413,10451,16454,10509,16504,10559,16562,10600,16627,10631,16697,10650,16772,10657,16789,10656,16805,10655,16822,10653,16838,10651,16838,9832,16822,9830,16805,9828,16789,9827,16772,9826xe" filled="true" fillcolor="#ffffff" stroked="false">
              <v:path arrowok="t"/>
              <v:fill type="solid"/>
            </v:shape>
            <v:shape style="position:absolute;left:16356;top:9826;width:482;height:831" coordorigin="16357,9826" coordsize="482,831" path="m16772,9826l16697,9833,16627,9852,16562,9883,16504,9924,16454,9974,16413,10032,16383,10096,16363,10167,16357,10241,16363,10316,16383,10386,16413,10451,16454,10509,16504,10559,16562,10600,16627,10631,16697,10650,16772,10657,16789,10656,16805,10655,16822,10653,16838,10651,16838,9832,16822,9830,16805,9828,16789,9827,16772,9826xe" filled="true" fillcolor="#aebd37" stroked="false">
              <v:path arrowok="t"/>
              <v:fill opacity="13107f" type="solid"/>
            </v:shape>
            <v:shape style="position:absolute;left:16571;top:10155;width:93;height:171" coordorigin="16571,10155" coordsize="93,171" path="m16590,10155l16582,10155,16571,10166,16571,10174,16638,10240,16638,10242,16571,10309,16571,10317,16579,10325,16582,10326,16589,10326,16592,10325,16655,10262,16662,10252,16664,10242,16664,10240,16662,10231,16655,10221,16590,10155xe" filled="true" fillcolor="#000000" stroked="false">
              <v:path arrowok="t"/>
              <v:fill type="solid"/>
            </v:shape>
            <w10:wrap type="none"/>
          </v:group>
        </w:pict>
      </w:r>
      <w:r>
        <w:rPr/>
        <w:pict>
          <v:shape style="position:absolute;margin-left:601.348999pt;margin-top:-55.274212pt;width:120.3pt;height:42.55pt;mso-position-horizontal-relative:page;mso-position-vertical-relative:paragraph;z-index:352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354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5.274212pt;width:120.3pt;height:42.55pt;mso-position-horizontal-relative:page;mso-position-vertical-relative:paragraph;z-index:356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spacing w:val="-15"/>
          <w:w w:val="95"/>
        </w:rPr>
        <w:t>Leading </w:t>
      </w:r>
      <w:r>
        <w:rPr>
          <w:color w:val="6F2770"/>
          <w:spacing w:val="-8"/>
          <w:w w:val="95"/>
        </w:rPr>
        <w:t>and </w:t>
      </w:r>
      <w:r>
        <w:rPr>
          <w:color w:val="6F2770"/>
          <w:spacing w:val="-11"/>
          <w:w w:val="95"/>
        </w:rPr>
        <w:t>Supporting </w:t>
      </w:r>
      <w:r>
        <w:rPr>
          <w:color w:val="6F2770"/>
          <w:spacing w:val="-17"/>
          <w:w w:val="95"/>
        </w:rPr>
        <w:t>Cross-Government</w:t>
      </w:r>
      <w:r>
        <w:rPr>
          <w:color w:val="6F2770"/>
          <w:spacing w:val="-143"/>
          <w:w w:val="95"/>
        </w:rPr>
        <w:t> </w:t>
      </w:r>
      <w:r>
        <w:rPr>
          <w:color w:val="6F2770"/>
          <w:spacing w:val="-16"/>
          <w:w w:val="95"/>
        </w:rPr>
        <w:t>Initiatives</w:t>
      </w:r>
    </w:p>
    <w:p>
      <w:pPr>
        <w:pStyle w:val="Heading4"/>
        <w:spacing w:line="249" w:lineRule="auto" w:before="271"/>
      </w:pPr>
      <w:r>
        <w:rPr>
          <w:color w:val="6F2770"/>
        </w:rPr>
        <w:t>The Department of Finance leads and supports important cross-government initiatives to deliver enhanced benefits to government, industry and the community.</w:t>
      </w:r>
    </w:p>
    <w:p>
      <w:pPr>
        <w:pStyle w:val="BodyText"/>
        <w:spacing w:before="4"/>
        <w:rPr>
          <w:sz w:val="27"/>
        </w:rPr>
      </w:pPr>
    </w:p>
    <w:p>
      <w:pPr>
        <w:spacing w:after="0"/>
        <w:rPr>
          <w:sz w:val="27"/>
        </w:rPr>
        <w:sectPr>
          <w:footerReference w:type="default" r:id="rId39"/>
          <w:pgSz w:w="16840" w:h="11910" w:orient="landscape"/>
          <w:pgMar w:footer="0" w:header="0" w:top="0" w:bottom="0" w:left="0" w:right="0"/>
        </w:sectPr>
      </w:pPr>
    </w:p>
    <w:p>
      <w:pPr>
        <w:pStyle w:val="BodyText"/>
        <w:spacing w:line="249" w:lineRule="auto" w:before="107"/>
        <w:ind w:left="765" w:right="204"/>
      </w:pPr>
      <w:r>
        <w:rPr/>
        <w:t>In</w:t>
      </w:r>
      <w:r>
        <w:rPr>
          <w:spacing w:val="-25"/>
        </w:rPr>
        <w:t> </w:t>
      </w:r>
      <w:r>
        <w:rPr/>
        <w:t>July</w:t>
      </w:r>
      <w:r>
        <w:rPr>
          <w:spacing w:val="-24"/>
        </w:rPr>
        <w:t> </w:t>
      </w:r>
      <w:r>
        <w:rPr>
          <w:spacing w:val="-13"/>
        </w:rPr>
        <w:t>2017,</w:t>
      </w:r>
      <w:r>
        <w:rPr>
          <w:spacing w:val="-24"/>
        </w:rPr>
        <w:t> </w:t>
      </w:r>
      <w:r>
        <w:rPr/>
        <w:t>Finance</w:t>
      </w:r>
      <w:r>
        <w:rPr>
          <w:spacing w:val="-25"/>
        </w:rPr>
        <w:t> </w:t>
      </w:r>
      <w:r>
        <w:rPr/>
        <w:t>commenced</w:t>
      </w:r>
      <w:r>
        <w:rPr>
          <w:spacing w:val="-24"/>
        </w:rPr>
        <w:t> </w:t>
      </w:r>
      <w:r>
        <w:rPr/>
        <w:t>the</w:t>
      </w:r>
      <w:r>
        <w:rPr>
          <w:spacing w:val="-24"/>
        </w:rPr>
        <w:t> </w:t>
      </w:r>
      <w:r>
        <w:rPr/>
        <w:t>five-year Government Office Accommodation Reform Program in support of Government’s Debt Reduction</w:t>
      </w:r>
      <w:r>
        <w:rPr>
          <w:spacing w:val="-2"/>
        </w:rPr>
        <w:t> </w:t>
      </w:r>
      <w:r>
        <w:rPr>
          <w:spacing w:val="-3"/>
        </w:rPr>
        <w:t>Strategy.</w:t>
      </w:r>
    </w:p>
    <w:p>
      <w:pPr>
        <w:pStyle w:val="BodyText"/>
        <w:spacing w:before="3"/>
        <w:rPr>
          <w:sz w:val="23"/>
        </w:rPr>
      </w:pPr>
    </w:p>
    <w:p>
      <w:pPr>
        <w:pStyle w:val="BodyText"/>
        <w:spacing w:line="249" w:lineRule="auto"/>
        <w:ind w:left="765" w:right="57"/>
      </w:pPr>
      <w:r>
        <w:rPr/>
        <w:t>The Program, led by </w:t>
      </w:r>
      <w:r>
        <w:rPr>
          <w:b/>
        </w:rPr>
        <w:t>Building Management and Works</w:t>
      </w:r>
      <w:r>
        <w:rPr/>
        <w:t>, is expected </w:t>
      </w:r>
      <w:r>
        <w:rPr>
          <w:spacing w:val="-3"/>
        </w:rPr>
        <w:t>to </w:t>
      </w:r>
      <w:r>
        <w:rPr/>
        <w:t>reduce government office</w:t>
      </w:r>
      <w:r>
        <w:rPr>
          <w:spacing w:val="-18"/>
        </w:rPr>
        <w:t> </w:t>
      </w:r>
      <w:r>
        <w:rPr/>
        <w:t>accommodation</w:t>
      </w:r>
      <w:r>
        <w:rPr>
          <w:spacing w:val="-18"/>
        </w:rPr>
        <w:t> </w:t>
      </w:r>
      <w:r>
        <w:rPr/>
        <w:t>by</w:t>
      </w:r>
      <w:r>
        <w:rPr>
          <w:spacing w:val="-18"/>
        </w:rPr>
        <w:t> </w:t>
      </w:r>
      <w:r>
        <w:rPr/>
        <w:t>around</w:t>
      </w:r>
      <w:r>
        <w:rPr>
          <w:spacing w:val="-18"/>
        </w:rPr>
        <w:t> </w:t>
      </w:r>
      <w:r>
        <w:rPr/>
        <w:t>50,000</w:t>
      </w:r>
      <w:r>
        <w:rPr>
          <w:spacing w:val="-17"/>
        </w:rPr>
        <w:t> </w:t>
      </w:r>
      <w:r>
        <w:rPr/>
        <w:t>square metres</w:t>
      </w:r>
      <w:r>
        <w:rPr>
          <w:spacing w:val="-9"/>
        </w:rPr>
        <w:t> </w:t>
      </w:r>
      <w:r>
        <w:rPr/>
        <w:t>and</w:t>
      </w:r>
      <w:r>
        <w:rPr>
          <w:spacing w:val="-9"/>
        </w:rPr>
        <w:t> </w:t>
      </w:r>
      <w:r>
        <w:rPr/>
        <w:t>realise</w:t>
      </w:r>
      <w:r>
        <w:rPr>
          <w:spacing w:val="-9"/>
        </w:rPr>
        <w:t> </w:t>
      </w:r>
      <w:r>
        <w:rPr/>
        <w:t>gross</w:t>
      </w:r>
      <w:r>
        <w:rPr>
          <w:spacing w:val="-9"/>
        </w:rPr>
        <w:t> </w:t>
      </w:r>
      <w:r>
        <w:rPr/>
        <w:t>savings</w:t>
      </w:r>
      <w:r>
        <w:rPr>
          <w:spacing w:val="-9"/>
        </w:rPr>
        <w:t> </w:t>
      </w:r>
      <w:r>
        <w:rPr/>
        <w:t>of</w:t>
      </w:r>
      <w:r>
        <w:rPr>
          <w:spacing w:val="-9"/>
        </w:rPr>
        <w:t> </w:t>
      </w:r>
      <w:r>
        <w:rPr/>
        <w:t>over</w:t>
      </w:r>
    </w:p>
    <w:p>
      <w:pPr>
        <w:pStyle w:val="BodyText"/>
        <w:spacing w:line="249" w:lineRule="auto" w:before="3"/>
        <w:ind w:left="765" w:right="312"/>
      </w:pPr>
      <w:r>
        <w:rPr>
          <w:spacing w:val="-7"/>
        </w:rPr>
        <w:t>$140 </w:t>
      </w:r>
      <w:r>
        <w:rPr/>
        <w:t>million over a five-year period. Savings for the </w:t>
      </w:r>
      <w:r>
        <w:rPr>
          <w:spacing w:val="-14"/>
        </w:rPr>
        <w:t>2017-18 </w:t>
      </w:r>
      <w:r>
        <w:rPr/>
        <w:t>period exceeded the financial </w:t>
      </w:r>
      <w:r>
        <w:rPr>
          <w:spacing w:val="-3"/>
        </w:rPr>
        <w:t>year’s </w:t>
      </w:r>
      <w:r>
        <w:rPr/>
        <w:t>target.</w:t>
      </w:r>
    </w:p>
    <w:p>
      <w:pPr>
        <w:pStyle w:val="BodyText"/>
        <w:spacing w:before="2"/>
        <w:rPr>
          <w:sz w:val="23"/>
        </w:rPr>
      </w:pPr>
    </w:p>
    <w:p>
      <w:pPr>
        <w:pStyle w:val="BodyText"/>
        <w:spacing w:line="249" w:lineRule="auto" w:before="1"/>
        <w:ind w:left="765" w:right="268"/>
      </w:pPr>
      <w:r>
        <w:rPr/>
        <w:t>Initiatives</w:t>
      </w:r>
      <w:r>
        <w:rPr>
          <w:spacing w:val="-22"/>
        </w:rPr>
        <w:t> </w:t>
      </w:r>
      <w:r>
        <w:rPr/>
        <w:t>being</w:t>
      </w:r>
      <w:r>
        <w:rPr>
          <w:spacing w:val="-22"/>
        </w:rPr>
        <w:t> </w:t>
      </w:r>
      <w:r>
        <w:rPr/>
        <w:t>pursued</w:t>
      </w:r>
      <w:r>
        <w:rPr>
          <w:spacing w:val="-22"/>
        </w:rPr>
        <w:t> </w:t>
      </w:r>
      <w:r>
        <w:rPr/>
        <w:t>as</w:t>
      </w:r>
      <w:r>
        <w:rPr>
          <w:spacing w:val="-22"/>
        </w:rPr>
        <w:t> </w:t>
      </w:r>
      <w:r>
        <w:rPr/>
        <w:t>part</w:t>
      </w:r>
      <w:r>
        <w:rPr>
          <w:spacing w:val="-21"/>
        </w:rPr>
        <w:t> </w:t>
      </w:r>
      <w:r>
        <w:rPr/>
        <w:t>of</w:t>
      </w:r>
      <w:r>
        <w:rPr>
          <w:spacing w:val="-22"/>
        </w:rPr>
        <w:t> </w:t>
      </w:r>
      <w:r>
        <w:rPr/>
        <w:t>the</w:t>
      </w:r>
      <w:r>
        <w:rPr>
          <w:spacing w:val="-22"/>
        </w:rPr>
        <w:t> </w:t>
      </w:r>
      <w:r>
        <w:rPr/>
        <w:t>Reform Program</w:t>
      </w:r>
      <w:r>
        <w:rPr>
          <w:spacing w:val="-2"/>
        </w:rPr>
        <w:t> </w:t>
      </w:r>
      <w:r>
        <w:rPr/>
        <w:t>include:</w:t>
      </w:r>
    </w:p>
    <w:p>
      <w:pPr>
        <w:pStyle w:val="BodyText"/>
        <w:spacing w:before="1"/>
        <w:rPr>
          <w:sz w:val="23"/>
        </w:rPr>
      </w:pPr>
    </w:p>
    <w:p>
      <w:pPr>
        <w:pStyle w:val="BodyText"/>
        <w:spacing w:line="249" w:lineRule="auto"/>
        <w:ind w:left="1057" w:right="365" w:hanging="292"/>
      </w:pPr>
      <w:r>
        <w:rPr>
          <w:position w:val="-2"/>
        </w:rPr>
        <w:drawing>
          <wp:inline distT="0" distB="0" distL="0" distR="0">
            <wp:extent cx="125999" cy="125999"/>
            <wp:effectExtent l="0" t="0" r="0" b="0"/>
            <wp:docPr id="3" name="image29.png" descr=""/>
            <wp:cNvGraphicFramePr>
              <a:graphicFrameLocks noChangeAspect="1"/>
            </wp:cNvGraphicFramePr>
            <a:graphic>
              <a:graphicData uri="http://schemas.openxmlformats.org/drawingml/2006/picture">
                <pic:pic>
                  <pic:nvPicPr>
                    <pic:cNvPr id="4" name="image29.png"/>
                    <pic:cNvPicPr/>
                  </pic:nvPicPr>
                  <pic:blipFill>
                    <a:blip r:embed="rId43"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maximising</w:t>
      </w:r>
      <w:r>
        <w:rPr>
          <w:spacing w:val="-28"/>
        </w:rPr>
        <w:t> </w:t>
      </w:r>
      <w:r>
        <w:rPr/>
        <w:t>existing</w:t>
      </w:r>
      <w:r>
        <w:rPr>
          <w:spacing w:val="-27"/>
        </w:rPr>
        <w:t> </w:t>
      </w:r>
      <w:r>
        <w:rPr/>
        <w:t>space</w:t>
      </w:r>
      <w:r>
        <w:rPr>
          <w:spacing w:val="-27"/>
        </w:rPr>
        <w:t> </w:t>
      </w:r>
      <w:r>
        <w:rPr/>
        <w:t>and</w:t>
      </w:r>
      <w:r>
        <w:rPr>
          <w:spacing w:val="-28"/>
        </w:rPr>
        <w:t> </w:t>
      </w:r>
      <w:r>
        <w:rPr/>
        <w:t>limiting</w:t>
      </w:r>
      <w:r>
        <w:rPr>
          <w:spacing w:val="-27"/>
        </w:rPr>
        <w:t> </w:t>
      </w:r>
      <w:r>
        <w:rPr/>
        <w:t>the procurement of new</w:t>
      </w:r>
      <w:r>
        <w:rPr>
          <w:spacing w:val="-8"/>
        </w:rPr>
        <w:t> </w:t>
      </w:r>
      <w:r>
        <w:rPr/>
        <w:t>space;</w:t>
      </w:r>
    </w:p>
    <w:p>
      <w:pPr>
        <w:pStyle w:val="BodyText"/>
        <w:spacing w:before="1"/>
        <w:rPr>
          <w:sz w:val="23"/>
        </w:rPr>
      </w:pPr>
    </w:p>
    <w:p>
      <w:pPr>
        <w:pStyle w:val="BodyText"/>
        <w:spacing w:line="249" w:lineRule="auto"/>
        <w:ind w:left="1057" w:right="-11" w:hanging="292"/>
      </w:pPr>
      <w:r>
        <w:rPr>
          <w:position w:val="-2"/>
        </w:rPr>
        <w:drawing>
          <wp:inline distT="0" distB="0" distL="0" distR="0">
            <wp:extent cx="125999" cy="125999"/>
            <wp:effectExtent l="0" t="0" r="0" b="0"/>
            <wp:docPr id="5" name="image30.png" descr=""/>
            <wp:cNvGraphicFramePr>
              <a:graphicFrameLocks noChangeAspect="1"/>
            </wp:cNvGraphicFramePr>
            <a:graphic>
              <a:graphicData uri="http://schemas.openxmlformats.org/drawingml/2006/picture">
                <pic:pic>
                  <pic:nvPicPr>
                    <pic:cNvPr id="6" name="image30.png"/>
                    <pic:cNvPicPr/>
                  </pic:nvPicPr>
                  <pic:blipFill>
                    <a:blip r:embed="rId44"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cost</w:t>
      </w:r>
      <w:r>
        <w:rPr>
          <w:spacing w:val="-18"/>
        </w:rPr>
        <w:t> </w:t>
      </w:r>
      <w:r>
        <w:rPr/>
        <w:t>reduction</w:t>
      </w:r>
      <w:r>
        <w:rPr>
          <w:spacing w:val="-17"/>
        </w:rPr>
        <w:t> </w:t>
      </w:r>
      <w:r>
        <w:rPr/>
        <w:t>through</w:t>
      </w:r>
      <w:r>
        <w:rPr>
          <w:spacing w:val="-18"/>
        </w:rPr>
        <w:t> </w:t>
      </w:r>
      <w:r>
        <w:rPr/>
        <w:t>negotiation</w:t>
      </w:r>
      <w:r>
        <w:rPr>
          <w:spacing w:val="-18"/>
        </w:rPr>
        <w:t> </w:t>
      </w:r>
      <w:r>
        <w:rPr/>
        <w:t>of</w:t>
      </w:r>
      <w:r>
        <w:rPr>
          <w:spacing w:val="-17"/>
        </w:rPr>
        <w:t> </w:t>
      </w:r>
      <w:r>
        <w:rPr/>
        <w:t>reduced lease costs, reduced fit-out costs, and improved</w:t>
      </w:r>
      <w:r>
        <w:rPr>
          <w:spacing w:val="-26"/>
        </w:rPr>
        <w:t> </w:t>
      </w:r>
      <w:r>
        <w:rPr/>
        <w:t>efficiency</w:t>
      </w:r>
      <w:r>
        <w:rPr>
          <w:spacing w:val="-25"/>
        </w:rPr>
        <w:t> </w:t>
      </w:r>
      <w:r>
        <w:rPr/>
        <w:t>and</w:t>
      </w:r>
      <w:r>
        <w:rPr>
          <w:spacing w:val="-26"/>
        </w:rPr>
        <w:t> </w:t>
      </w:r>
      <w:r>
        <w:rPr/>
        <w:t>use</w:t>
      </w:r>
      <w:r>
        <w:rPr>
          <w:spacing w:val="-25"/>
        </w:rPr>
        <w:t> </w:t>
      </w:r>
      <w:r>
        <w:rPr/>
        <w:t>of</w:t>
      </w:r>
      <w:r>
        <w:rPr>
          <w:spacing w:val="-25"/>
        </w:rPr>
        <w:t> </w:t>
      </w:r>
      <w:r>
        <w:rPr/>
        <w:t>existing</w:t>
      </w:r>
      <w:r>
        <w:rPr>
          <w:spacing w:val="-26"/>
        </w:rPr>
        <w:t> </w:t>
      </w:r>
      <w:r>
        <w:rPr/>
        <w:t>space;</w:t>
      </w:r>
    </w:p>
    <w:p>
      <w:pPr>
        <w:pStyle w:val="BodyText"/>
        <w:spacing w:line="249" w:lineRule="auto" w:before="107"/>
        <w:ind w:left="860" w:right="108"/>
      </w:pPr>
      <w:r>
        <w:rPr/>
        <w:br w:type="column"/>
      </w:r>
      <w:r>
        <w:rPr/>
        <w:t>development</w:t>
      </w:r>
      <w:r>
        <w:rPr>
          <w:spacing w:val="-26"/>
        </w:rPr>
        <w:t> </w:t>
      </w:r>
      <w:r>
        <w:rPr/>
        <w:t>of</w:t>
      </w:r>
      <w:r>
        <w:rPr>
          <w:spacing w:val="-25"/>
        </w:rPr>
        <w:t> </w:t>
      </w:r>
      <w:r>
        <w:rPr/>
        <w:t>an</w:t>
      </w:r>
      <w:r>
        <w:rPr>
          <w:spacing w:val="-26"/>
        </w:rPr>
        <w:t> </w:t>
      </w:r>
      <w:r>
        <w:rPr/>
        <w:t>information</w:t>
      </w:r>
      <w:r>
        <w:rPr>
          <w:spacing w:val="-25"/>
        </w:rPr>
        <w:t> </w:t>
      </w:r>
      <w:r>
        <w:rPr/>
        <w:t>management framework </w:t>
      </w:r>
      <w:r>
        <w:rPr>
          <w:spacing w:val="-3"/>
        </w:rPr>
        <w:t>to </w:t>
      </w:r>
      <w:r>
        <w:rPr/>
        <w:t>collect and analyse accommodation</w:t>
      </w:r>
      <w:r>
        <w:rPr>
          <w:spacing w:val="-23"/>
        </w:rPr>
        <w:t> </w:t>
      </w:r>
      <w:r>
        <w:rPr/>
        <w:t>information</w:t>
      </w:r>
      <w:r>
        <w:rPr>
          <w:spacing w:val="-22"/>
        </w:rPr>
        <w:t> </w:t>
      </w:r>
      <w:r>
        <w:rPr/>
        <w:t>and</w:t>
      </w:r>
      <w:r>
        <w:rPr>
          <w:spacing w:val="-22"/>
        </w:rPr>
        <w:t> </w:t>
      </w:r>
      <w:r>
        <w:rPr/>
        <w:t>assist</w:t>
      </w:r>
      <w:r>
        <w:rPr>
          <w:spacing w:val="-22"/>
        </w:rPr>
        <w:t> </w:t>
      </w:r>
      <w:r>
        <w:rPr/>
        <w:t>in</w:t>
      </w:r>
      <w:r>
        <w:rPr>
          <w:spacing w:val="-22"/>
        </w:rPr>
        <w:t> </w:t>
      </w:r>
      <w:r>
        <w:rPr/>
        <w:t>the identification of underutilised space;</w:t>
      </w:r>
      <w:r>
        <w:rPr>
          <w:spacing w:val="-47"/>
        </w:rPr>
        <w:t> </w:t>
      </w:r>
      <w:r>
        <w:rPr/>
        <w:t>and</w:t>
      </w:r>
    </w:p>
    <w:p>
      <w:pPr>
        <w:pStyle w:val="BodyText"/>
        <w:spacing w:before="3"/>
        <w:rPr>
          <w:sz w:val="23"/>
        </w:rPr>
      </w:pPr>
    </w:p>
    <w:p>
      <w:pPr>
        <w:pStyle w:val="BodyText"/>
        <w:spacing w:line="249" w:lineRule="auto"/>
        <w:ind w:left="860" w:right="345"/>
      </w:pPr>
      <w:r>
        <w:rPr/>
        <w:t>development of an asset management platform to enhance decision-making and evidence-based savings opportunities.</w:t>
      </w:r>
    </w:p>
    <w:p>
      <w:pPr>
        <w:pStyle w:val="BodyText"/>
        <w:spacing w:before="2"/>
        <w:rPr>
          <w:sz w:val="23"/>
        </w:rPr>
      </w:pPr>
    </w:p>
    <w:p>
      <w:pPr>
        <w:pStyle w:val="BodyText"/>
        <w:spacing w:line="249" w:lineRule="auto"/>
        <w:ind w:left="568" w:right="86"/>
      </w:pPr>
      <w:r>
        <w:rPr/>
        <w:t>Innovative relocation and decentralisation strategies are a core focus for </w:t>
      </w:r>
      <w:r>
        <w:rPr>
          <w:b/>
        </w:rPr>
        <w:t>Building Management and Works</w:t>
      </w:r>
      <w:r>
        <w:rPr/>
        <w:t>, demonstrated through</w:t>
      </w:r>
      <w:r>
        <w:rPr>
          <w:spacing w:val="-26"/>
        </w:rPr>
        <w:t> </w:t>
      </w:r>
      <w:r>
        <w:rPr/>
        <w:t>the</w:t>
      </w:r>
      <w:r>
        <w:rPr>
          <w:spacing w:val="-25"/>
        </w:rPr>
        <w:t> </w:t>
      </w:r>
      <w:r>
        <w:rPr/>
        <w:t>development</w:t>
      </w:r>
      <w:r>
        <w:rPr>
          <w:spacing w:val="-26"/>
        </w:rPr>
        <w:t> </w:t>
      </w:r>
      <w:r>
        <w:rPr/>
        <w:t>of</w:t>
      </w:r>
      <w:r>
        <w:rPr>
          <w:spacing w:val="-25"/>
        </w:rPr>
        <w:t> </w:t>
      </w:r>
      <w:r>
        <w:rPr/>
        <w:t>metropolitan</w:t>
      </w:r>
      <w:r>
        <w:rPr>
          <w:spacing w:val="-25"/>
        </w:rPr>
        <w:t> </w:t>
      </w:r>
      <w:r>
        <w:rPr/>
        <w:t>activity centres in Joondalup and</w:t>
      </w:r>
      <w:r>
        <w:rPr>
          <w:spacing w:val="-23"/>
        </w:rPr>
        <w:t> </w:t>
      </w:r>
      <w:r>
        <w:rPr/>
        <w:t>Fremantle.</w:t>
      </w:r>
    </w:p>
    <w:p>
      <w:pPr>
        <w:pStyle w:val="BodyText"/>
        <w:spacing w:before="4"/>
        <w:rPr>
          <w:sz w:val="23"/>
        </w:rPr>
      </w:pPr>
    </w:p>
    <w:p>
      <w:pPr>
        <w:pStyle w:val="BodyText"/>
        <w:spacing w:line="249" w:lineRule="auto"/>
        <w:ind w:left="568" w:right="-8"/>
      </w:pPr>
      <w:r>
        <w:rPr/>
        <w:t>Throughout this </w:t>
      </w:r>
      <w:r>
        <w:rPr>
          <w:spacing w:val="-4"/>
        </w:rPr>
        <w:t>year, </w:t>
      </w:r>
      <w:r>
        <w:rPr/>
        <w:t>Finance worked closely with</w:t>
      </w:r>
      <w:r>
        <w:rPr>
          <w:spacing w:val="-22"/>
        </w:rPr>
        <w:t> </w:t>
      </w:r>
      <w:r>
        <w:rPr/>
        <w:t>the</w:t>
      </w:r>
      <w:r>
        <w:rPr>
          <w:spacing w:val="-21"/>
        </w:rPr>
        <w:t> </w:t>
      </w:r>
      <w:r>
        <w:rPr/>
        <w:t>Department</w:t>
      </w:r>
      <w:r>
        <w:rPr>
          <w:spacing w:val="-21"/>
        </w:rPr>
        <w:t> </w:t>
      </w:r>
      <w:r>
        <w:rPr/>
        <w:t>of</w:t>
      </w:r>
      <w:r>
        <w:rPr>
          <w:spacing w:val="-21"/>
        </w:rPr>
        <w:t> </w:t>
      </w:r>
      <w:r>
        <w:rPr>
          <w:spacing w:val="-3"/>
        </w:rPr>
        <w:t>Water</w:t>
      </w:r>
      <w:r>
        <w:rPr>
          <w:spacing w:val="-22"/>
        </w:rPr>
        <w:t> </w:t>
      </w:r>
      <w:r>
        <w:rPr/>
        <w:t>and</w:t>
      </w:r>
      <w:r>
        <w:rPr>
          <w:spacing w:val="-21"/>
        </w:rPr>
        <w:t> </w:t>
      </w:r>
      <w:r>
        <w:rPr/>
        <w:t>Environmental Regulation </w:t>
      </w:r>
      <w:r>
        <w:rPr>
          <w:spacing w:val="-3"/>
        </w:rPr>
        <w:t>to </w:t>
      </w:r>
      <w:r>
        <w:rPr/>
        <w:t>determine their future workplace design</w:t>
      </w:r>
      <w:r>
        <w:rPr>
          <w:spacing w:val="-17"/>
        </w:rPr>
        <w:t> </w:t>
      </w:r>
      <w:r>
        <w:rPr/>
        <w:t>and</w:t>
      </w:r>
      <w:r>
        <w:rPr>
          <w:spacing w:val="-17"/>
        </w:rPr>
        <w:t> </w:t>
      </w:r>
      <w:r>
        <w:rPr/>
        <w:t>oversaw</w:t>
      </w:r>
      <w:r>
        <w:rPr>
          <w:spacing w:val="-17"/>
        </w:rPr>
        <w:t> </w:t>
      </w:r>
      <w:r>
        <w:rPr/>
        <w:t>the</w:t>
      </w:r>
      <w:r>
        <w:rPr>
          <w:spacing w:val="-17"/>
        </w:rPr>
        <w:t> </w:t>
      </w:r>
      <w:r>
        <w:rPr/>
        <w:t>construction</w:t>
      </w:r>
      <w:r>
        <w:rPr>
          <w:spacing w:val="-17"/>
        </w:rPr>
        <w:t> </w:t>
      </w:r>
      <w:r>
        <w:rPr/>
        <w:t>of</w:t>
      </w:r>
      <w:r>
        <w:rPr>
          <w:spacing w:val="-17"/>
        </w:rPr>
        <w:t> </w:t>
      </w:r>
      <w:r>
        <w:rPr/>
        <w:t>the</w:t>
      </w:r>
      <w:r>
        <w:rPr>
          <w:spacing w:val="-17"/>
        </w:rPr>
        <w:t> </w:t>
      </w:r>
      <w:r>
        <w:rPr/>
        <w:t>office building which was completed by the developer in May </w:t>
      </w:r>
      <w:r>
        <w:rPr>
          <w:spacing w:val="-7"/>
        </w:rPr>
        <w:t>2018. </w:t>
      </w:r>
      <w:r>
        <w:rPr/>
        <w:t>Fit-out works commence</w:t>
      </w:r>
      <w:r>
        <w:rPr>
          <w:spacing w:val="-17"/>
        </w:rPr>
        <w:t> </w:t>
      </w:r>
      <w:r>
        <w:rPr/>
        <w:t>in</w:t>
      </w:r>
    </w:p>
    <w:p>
      <w:pPr>
        <w:pStyle w:val="BodyText"/>
        <w:spacing w:line="249" w:lineRule="auto" w:before="6"/>
        <w:ind w:left="568" w:right="335"/>
      </w:pPr>
      <w:r>
        <w:rPr/>
        <w:t>July</w:t>
      </w:r>
      <w:r>
        <w:rPr>
          <w:spacing w:val="-18"/>
        </w:rPr>
        <w:t> </w:t>
      </w:r>
      <w:r>
        <w:rPr>
          <w:spacing w:val="-7"/>
        </w:rPr>
        <w:t>2018</w:t>
      </w:r>
      <w:r>
        <w:rPr>
          <w:spacing w:val="-17"/>
        </w:rPr>
        <w:t> </w:t>
      </w:r>
      <w:r>
        <w:rPr/>
        <w:t>with</w:t>
      </w:r>
      <w:r>
        <w:rPr>
          <w:spacing w:val="-17"/>
        </w:rPr>
        <w:t> </w:t>
      </w:r>
      <w:r>
        <w:rPr/>
        <w:t>an</w:t>
      </w:r>
      <w:r>
        <w:rPr>
          <w:spacing w:val="-17"/>
        </w:rPr>
        <w:t> </w:t>
      </w:r>
      <w:r>
        <w:rPr/>
        <w:t>anticipated</w:t>
      </w:r>
      <w:r>
        <w:rPr>
          <w:spacing w:val="-17"/>
        </w:rPr>
        <w:t> </w:t>
      </w:r>
      <w:r>
        <w:rPr/>
        <w:t>completion</w:t>
      </w:r>
      <w:r>
        <w:rPr>
          <w:spacing w:val="-18"/>
        </w:rPr>
        <w:t> </w:t>
      </w:r>
      <w:r>
        <w:rPr/>
        <w:t>date of December</w:t>
      </w:r>
      <w:r>
        <w:rPr>
          <w:spacing w:val="-2"/>
        </w:rPr>
        <w:t> </w:t>
      </w:r>
      <w:r>
        <w:rPr>
          <w:spacing w:val="-7"/>
        </w:rPr>
        <w:t>2018.</w:t>
      </w:r>
    </w:p>
    <w:p>
      <w:pPr>
        <w:pStyle w:val="BodyText"/>
        <w:spacing w:line="249" w:lineRule="auto" w:before="107"/>
        <w:ind w:left="542" w:right="1000"/>
      </w:pPr>
      <w:r>
        <w:rPr/>
        <w:br w:type="column"/>
      </w:r>
      <w:r>
        <w:rPr/>
        <w:t>The relocation of approximately 800 staff from the Department of </w:t>
      </w:r>
      <w:r>
        <w:rPr>
          <w:spacing w:val="-3"/>
        </w:rPr>
        <w:t>Water </w:t>
      </w:r>
      <w:r>
        <w:rPr/>
        <w:t>and Environmental Regulation </w:t>
      </w:r>
      <w:r>
        <w:rPr>
          <w:spacing w:val="-3"/>
        </w:rPr>
        <w:t>to </w:t>
      </w:r>
      <w:r>
        <w:rPr/>
        <w:t>new office space in Joondalup in early </w:t>
      </w:r>
      <w:r>
        <w:rPr>
          <w:spacing w:val="-7"/>
        </w:rPr>
        <w:t>2019 </w:t>
      </w:r>
      <w:r>
        <w:rPr/>
        <w:t>will see a reduction in government’s office</w:t>
      </w:r>
      <w:r>
        <w:rPr>
          <w:spacing w:val="-27"/>
        </w:rPr>
        <w:t> </w:t>
      </w:r>
      <w:r>
        <w:rPr/>
        <w:t>accommodation</w:t>
      </w:r>
      <w:r>
        <w:rPr>
          <w:spacing w:val="-26"/>
        </w:rPr>
        <w:t> </w:t>
      </w:r>
      <w:r>
        <w:rPr/>
        <w:t>footprint</w:t>
      </w:r>
      <w:r>
        <w:rPr>
          <w:spacing w:val="-26"/>
        </w:rPr>
        <w:t> </w:t>
      </w:r>
      <w:r>
        <w:rPr/>
        <w:t>of</w:t>
      </w:r>
      <w:r>
        <w:rPr>
          <w:spacing w:val="-26"/>
        </w:rPr>
        <w:t> </w:t>
      </w:r>
      <w:r>
        <w:rPr/>
        <w:t>approximately 3,800 square</w:t>
      </w:r>
      <w:r>
        <w:rPr>
          <w:spacing w:val="-3"/>
        </w:rPr>
        <w:t> </w:t>
      </w:r>
      <w:r>
        <w:rPr/>
        <w:t>metres.</w:t>
      </w:r>
    </w:p>
    <w:p>
      <w:pPr>
        <w:pStyle w:val="BodyText"/>
        <w:spacing w:before="4"/>
        <w:rPr>
          <w:sz w:val="23"/>
        </w:rPr>
      </w:pPr>
    </w:p>
    <w:p>
      <w:pPr>
        <w:pStyle w:val="BodyText"/>
        <w:spacing w:line="249" w:lineRule="auto" w:before="1"/>
        <w:ind w:left="542" w:right="1311"/>
      </w:pPr>
      <w:r>
        <w:rPr/>
        <w:t>The Fremantle relocation project will also deliver significant savings for government, accommodating around 1,350 staff from the</w:t>
      </w:r>
    </w:p>
    <w:p>
      <w:pPr>
        <w:pStyle w:val="BodyText"/>
        <w:spacing w:line="249" w:lineRule="auto" w:before="2"/>
        <w:ind w:left="542" w:right="809"/>
      </w:pPr>
      <w:r>
        <w:rPr/>
        <w:t>Department of Communities, currently located in the</w:t>
      </w:r>
      <w:r>
        <w:rPr>
          <w:spacing w:val="-23"/>
        </w:rPr>
        <w:t> </w:t>
      </w:r>
      <w:r>
        <w:rPr/>
        <w:t>Perth</w:t>
      </w:r>
      <w:r>
        <w:rPr>
          <w:spacing w:val="-22"/>
        </w:rPr>
        <w:t> </w:t>
      </w:r>
      <w:r>
        <w:rPr/>
        <w:t>central</w:t>
      </w:r>
      <w:r>
        <w:rPr>
          <w:spacing w:val="-22"/>
        </w:rPr>
        <w:t> </w:t>
      </w:r>
      <w:r>
        <w:rPr/>
        <w:t>business</w:t>
      </w:r>
      <w:r>
        <w:rPr>
          <w:spacing w:val="-22"/>
        </w:rPr>
        <w:t> </w:t>
      </w:r>
      <w:r>
        <w:rPr/>
        <w:t>district</w:t>
      </w:r>
      <w:r>
        <w:rPr>
          <w:spacing w:val="-22"/>
        </w:rPr>
        <w:t> </w:t>
      </w:r>
      <w:r>
        <w:rPr/>
        <w:t>and</w:t>
      </w:r>
      <w:r>
        <w:rPr>
          <w:spacing w:val="-23"/>
        </w:rPr>
        <w:t> </w:t>
      </w:r>
      <w:r>
        <w:rPr/>
        <w:t>surrounding area, and approximately </w:t>
      </w:r>
      <w:r>
        <w:rPr>
          <w:spacing w:val="-5"/>
        </w:rPr>
        <w:t>180 </w:t>
      </w:r>
      <w:r>
        <w:rPr/>
        <w:t>Department of Transport</w:t>
      </w:r>
      <w:r>
        <w:rPr>
          <w:spacing w:val="-10"/>
        </w:rPr>
        <w:t> </w:t>
      </w:r>
      <w:r>
        <w:rPr/>
        <w:t>staff</w:t>
      </w:r>
      <w:r>
        <w:rPr>
          <w:spacing w:val="-9"/>
        </w:rPr>
        <w:t> </w:t>
      </w:r>
      <w:r>
        <w:rPr/>
        <w:t>moving</w:t>
      </w:r>
      <w:r>
        <w:rPr>
          <w:spacing w:val="-10"/>
        </w:rPr>
        <w:t> </w:t>
      </w:r>
      <w:r>
        <w:rPr/>
        <w:t>from</w:t>
      </w:r>
      <w:r>
        <w:rPr>
          <w:spacing w:val="-9"/>
        </w:rPr>
        <w:t> </w:t>
      </w:r>
      <w:r>
        <w:rPr/>
        <w:t>an</w:t>
      </w:r>
      <w:r>
        <w:rPr>
          <w:spacing w:val="-10"/>
        </w:rPr>
        <w:t> </w:t>
      </w:r>
      <w:r>
        <w:rPr/>
        <w:t>older</w:t>
      </w:r>
      <w:r>
        <w:rPr>
          <w:spacing w:val="-9"/>
        </w:rPr>
        <w:t> </w:t>
      </w:r>
      <w:r>
        <w:rPr/>
        <w:t>building</w:t>
      </w:r>
    </w:p>
    <w:p>
      <w:pPr>
        <w:pStyle w:val="BodyText"/>
        <w:spacing w:before="4"/>
        <w:ind w:left="542"/>
      </w:pPr>
      <w:r>
        <w:rPr/>
        <w:t>in Fremantle.</w:t>
      </w:r>
    </w:p>
    <w:p>
      <w:pPr>
        <w:spacing w:after="0"/>
        <w:sectPr>
          <w:type w:val="continuous"/>
          <w:pgSz w:w="16840" w:h="11910" w:orient="landscape"/>
          <w:pgMar w:top="1100" w:bottom="280" w:left="0" w:right="0"/>
          <w:cols w:num="3" w:equalWidth="0">
            <w:col w:w="5401" w:space="40"/>
            <w:col w:w="5231" w:space="39"/>
            <w:col w:w="61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tabs>
          <w:tab w:pos="1227" w:val="left" w:leader="none"/>
          <w:tab w:pos="5951" w:val="left" w:leader="none"/>
          <w:tab w:pos="16072" w:val="left" w:leader="none"/>
        </w:tabs>
        <w:spacing w:before="0"/>
        <w:ind w:left="765" w:right="0" w:firstLine="0"/>
        <w:jc w:val="left"/>
        <w:rPr>
          <w:b/>
          <w:sz w:val="20"/>
        </w:rPr>
      </w:pPr>
      <w:r>
        <w:rPr/>
        <w:pict>
          <v:group style="position:absolute;margin-left:0pt;margin-top:-14.855018pt;width:24.1pt;height:41.55pt;mso-position-horizontal-relative:page;mso-position-vertical-relative:paragraph;z-index:3496"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ffffff" stroked="false">
              <v:path arrowok="t"/>
              <v:fill type="solid"/>
            </v:shape>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b/>
          <w:color w:val="6F2770"/>
          <w:sz w:val="20"/>
        </w:rPr>
        <w:t>10</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after="0"/>
        <w:rPr>
          <w:sz w:val="20"/>
        </w:rPr>
        <w:sectPr>
          <w:footerReference w:type="default" r:id="rId45"/>
          <w:pgSz w:w="16840" w:h="11910" w:orient="landscape"/>
          <w:pgMar w:footer="0" w:header="0" w:top="0" w:bottom="0" w:left="0" w:right="0"/>
        </w:sectPr>
      </w:pPr>
    </w:p>
    <w:p>
      <w:pPr>
        <w:pStyle w:val="BodyText"/>
        <w:spacing w:line="249" w:lineRule="auto" w:before="107"/>
        <w:ind w:left="765" w:right="236"/>
      </w:pPr>
      <w:r>
        <w:rPr/>
        <w:pict>
          <v:shape style="position:absolute;margin-left:360.811798pt;margin-top:-101.32032pt;width:120.3pt;height:42.55pt;mso-position-horizontal-relative:page;mso-position-vertical-relative:paragraph;z-index:380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101.32032pt;width:120.3pt;height:42.55pt;mso-position-horizontal-relative:page;mso-position-vertical-relative:paragraph;z-index:383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t>The</w:t>
      </w:r>
      <w:r>
        <w:rPr>
          <w:spacing w:val="-20"/>
        </w:rPr>
        <w:t> </w:t>
      </w:r>
      <w:r>
        <w:rPr/>
        <w:t>Department</w:t>
      </w:r>
      <w:r>
        <w:rPr>
          <w:spacing w:val="-19"/>
        </w:rPr>
        <w:t> </w:t>
      </w:r>
      <w:r>
        <w:rPr/>
        <w:t>focused</w:t>
      </w:r>
      <w:r>
        <w:rPr>
          <w:spacing w:val="-20"/>
        </w:rPr>
        <w:t> </w:t>
      </w:r>
      <w:r>
        <w:rPr/>
        <w:t>on</w:t>
      </w:r>
      <w:r>
        <w:rPr>
          <w:spacing w:val="-19"/>
        </w:rPr>
        <w:t> </w:t>
      </w:r>
      <w:r>
        <w:rPr/>
        <w:t>the</w:t>
      </w:r>
      <w:r>
        <w:rPr>
          <w:spacing w:val="-19"/>
        </w:rPr>
        <w:t> </w:t>
      </w:r>
      <w:r>
        <w:rPr>
          <w:spacing w:val="-2"/>
        </w:rPr>
        <w:t>base-building </w:t>
      </w:r>
      <w:r>
        <w:rPr/>
        <w:t>construction phase this </w:t>
      </w:r>
      <w:r>
        <w:rPr>
          <w:spacing w:val="-5"/>
        </w:rPr>
        <w:t>year, </w:t>
      </w:r>
      <w:r>
        <w:rPr/>
        <w:t>appointing the lead</w:t>
      </w:r>
      <w:r>
        <w:rPr>
          <w:spacing w:val="-14"/>
        </w:rPr>
        <w:t> </w:t>
      </w:r>
      <w:r>
        <w:rPr/>
        <w:t>consultant</w:t>
      </w:r>
      <w:r>
        <w:rPr>
          <w:spacing w:val="-13"/>
        </w:rPr>
        <w:t> </w:t>
      </w:r>
      <w:r>
        <w:rPr/>
        <w:t>for</w:t>
      </w:r>
      <w:r>
        <w:rPr>
          <w:spacing w:val="-14"/>
        </w:rPr>
        <w:t> </w:t>
      </w:r>
      <w:r>
        <w:rPr/>
        <w:t>the</w:t>
      </w:r>
      <w:r>
        <w:rPr>
          <w:spacing w:val="-13"/>
        </w:rPr>
        <w:t> </w:t>
      </w:r>
      <w:r>
        <w:rPr/>
        <w:t>workplace</w:t>
      </w:r>
      <w:r>
        <w:rPr>
          <w:spacing w:val="-14"/>
        </w:rPr>
        <w:t> </w:t>
      </w:r>
      <w:r>
        <w:rPr/>
        <w:t>design</w:t>
      </w:r>
      <w:r>
        <w:rPr>
          <w:spacing w:val="-13"/>
        </w:rPr>
        <w:t> </w:t>
      </w:r>
      <w:r>
        <w:rPr/>
        <w:t>and undertaking extensive consultation with the Department of Communities on their future needs to inform the design</w:t>
      </w:r>
      <w:r>
        <w:rPr>
          <w:spacing w:val="-21"/>
        </w:rPr>
        <w:t> </w:t>
      </w:r>
      <w:r>
        <w:rPr/>
        <w:t>process.</w:t>
      </w:r>
    </w:p>
    <w:p>
      <w:pPr>
        <w:pStyle w:val="BodyText"/>
        <w:spacing w:before="4"/>
        <w:rPr>
          <w:sz w:val="23"/>
        </w:rPr>
      </w:pPr>
    </w:p>
    <w:p>
      <w:pPr>
        <w:pStyle w:val="BodyText"/>
        <w:spacing w:line="249" w:lineRule="auto" w:before="1"/>
        <w:ind w:left="765" w:right="-10"/>
      </w:pPr>
      <w:r>
        <w:rPr/>
        <w:t>The new office building in Fremantle will be designed to meet a five-star Green Star rating, providing</w:t>
      </w:r>
      <w:r>
        <w:rPr>
          <w:spacing w:val="-30"/>
        </w:rPr>
        <w:t> </w:t>
      </w:r>
      <w:r>
        <w:rPr/>
        <w:t>substantial</w:t>
      </w:r>
      <w:r>
        <w:rPr>
          <w:spacing w:val="-30"/>
        </w:rPr>
        <w:t> </w:t>
      </w:r>
      <w:r>
        <w:rPr/>
        <w:t>improvements</w:t>
      </w:r>
      <w:r>
        <w:rPr>
          <w:spacing w:val="-30"/>
        </w:rPr>
        <w:t> </w:t>
      </w:r>
      <w:r>
        <w:rPr/>
        <w:t>in</w:t>
      </w:r>
      <w:r>
        <w:rPr>
          <w:spacing w:val="-29"/>
        </w:rPr>
        <w:t> </w:t>
      </w:r>
      <w:r>
        <w:rPr>
          <w:spacing w:val="-3"/>
        </w:rPr>
        <w:t>workplace </w:t>
      </w:r>
      <w:r>
        <w:rPr/>
        <w:t>quality for staff and reducing agency operating costs.</w:t>
      </w:r>
    </w:p>
    <w:p>
      <w:pPr>
        <w:pStyle w:val="BodyText"/>
        <w:spacing w:before="3"/>
        <w:rPr>
          <w:sz w:val="23"/>
        </w:rPr>
      </w:pPr>
    </w:p>
    <w:p>
      <w:pPr>
        <w:pStyle w:val="BodyText"/>
        <w:spacing w:line="249" w:lineRule="auto" w:before="1"/>
        <w:ind w:left="765" w:right="192"/>
      </w:pPr>
      <w:r>
        <w:rPr/>
        <w:t>Construction of the building is expected to be completed in October 2019, with agency staff commencing relocations in early 2020 once fit-out works are complete.</w:t>
      </w:r>
    </w:p>
    <w:p>
      <w:pPr>
        <w:pStyle w:val="BodyText"/>
        <w:spacing w:before="3"/>
        <w:rPr>
          <w:sz w:val="23"/>
        </w:rPr>
      </w:pPr>
    </w:p>
    <w:p>
      <w:pPr>
        <w:pStyle w:val="BodyText"/>
        <w:spacing w:line="249" w:lineRule="auto"/>
        <w:ind w:left="765" w:right="170"/>
      </w:pPr>
      <w:r>
        <w:rPr/>
        <w:pict>
          <v:group style="position:absolute;margin-left:0pt;margin-top:12.11575pt;width:97.4pt;height:238.9pt;mso-position-horizontal-relative:page;mso-position-vertical-relative:paragraph;z-index:-708808" coordorigin="0,242" coordsize="1948,4778">
            <v:shape style="position:absolute;left:0;top:242;width:1948;height:4778" type="#_x0000_t75" stroked="false">
              <v:imagedata r:id="rId46" o:title=""/>
            </v:shape>
            <v:shape style="position:absolute;left:0;top:4046;width:482;height:831" coordorigin="0,4046" coordsize="482,831" path="m66,4046l49,4047,33,4048,16,4050,0,4052,0,4871,16,4873,33,4875,49,4876,66,4877,140,4870,211,4851,275,4820,333,4779,383,4729,424,4671,455,4606,474,4536,481,4461,474,4387,455,4317,424,4252,383,4194,333,4144,275,4103,211,4072,140,4053,66,4046xe" filled="true" fillcolor="#ffffff" stroked="false">
              <v:path arrowok="t"/>
              <v:fill type="solid"/>
            </v:shape>
            <v:shape style="position:absolute;left:0;top:4046;width:482;height:831" coordorigin="0,4046" coordsize="482,831" path="m66,4046l49,4047,33,4048,16,4050,0,4052,0,4871,16,4873,33,4875,49,4876,66,4877,140,4870,211,4851,275,4820,333,4779,383,4729,424,4671,455,4606,474,4536,481,4461,474,4387,455,4317,424,4252,383,4194,333,4144,275,4103,211,4072,140,4053,66,4046xe" filled="true" fillcolor="#aebd37" stroked="false">
              <v:path arrowok="t"/>
              <v:fill opacity="13107f" type="solid"/>
            </v:shape>
            <v:shape style="position:absolute;left:174;top:4375;width:93;height:171" coordorigin="174,4375" coordsize="93,171" path="m256,4375l248,4375,182,4441,176,4451,174,4461,174,4462,176,4472,182,4482,245,4545,249,4546,256,4546,259,4545,267,4537,267,4529,200,4462,200,4461,267,4394,267,4386,256,4375xe" filled="true" fillcolor="#000000" stroked="false">
              <v:path arrowok="t"/>
              <v:fill type="solid"/>
            </v:shape>
            <w10:wrap type="none"/>
          </v:group>
        </w:pict>
      </w:r>
      <w:r>
        <w:rPr/>
        <w:t>The Department has collaborated with the Department</w:t>
      </w:r>
      <w:r>
        <w:rPr>
          <w:spacing w:val="-28"/>
        </w:rPr>
        <w:t> </w:t>
      </w:r>
      <w:r>
        <w:rPr/>
        <w:t>of</w:t>
      </w:r>
      <w:r>
        <w:rPr>
          <w:spacing w:val="-27"/>
        </w:rPr>
        <w:t> </w:t>
      </w:r>
      <w:r>
        <w:rPr/>
        <w:t>Education</w:t>
      </w:r>
      <w:r>
        <w:rPr>
          <w:spacing w:val="-27"/>
        </w:rPr>
        <w:t> </w:t>
      </w:r>
      <w:r>
        <w:rPr/>
        <w:t>(Education)</w:t>
      </w:r>
      <w:r>
        <w:rPr>
          <w:spacing w:val="-28"/>
        </w:rPr>
        <w:t> </w:t>
      </w:r>
      <w:r>
        <w:rPr/>
        <w:t>this</w:t>
      </w:r>
      <w:r>
        <w:rPr>
          <w:spacing w:val="-27"/>
        </w:rPr>
        <w:t> </w:t>
      </w:r>
      <w:r>
        <w:rPr/>
        <w:t>year to</w:t>
      </w:r>
      <w:r>
        <w:rPr>
          <w:spacing w:val="-21"/>
        </w:rPr>
        <w:t> </w:t>
      </w:r>
      <w:r>
        <w:rPr/>
        <w:t>examine</w:t>
      </w:r>
      <w:r>
        <w:rPr>
          <w:spacing w:val="-21"/>
        </w:rPr>
        <w:t> </w:t>
      </w:r>
      <w:r>
        <w:rPr/>
        <w:t>new</w:t>
      </w:r>
      <w:r>
        <w:rPr>
          <w:spacing w:val="-21"/>
        </w:rPr>
        <w:t> </w:t>
      </w:r>
      <w:r>
        <w:rPr/>
        <w:t>software</w:t>
      </w:r>
      <w:r>
        <w:rPr>
          <w:spacing w:val="-20"/>
        </w:rPr>
        <w:t> </w:t>
      </w:r>
      <w:r>
        <w:rPr/>
        <w:t>applications</w:t>
      </w:r>
      <w:r>
        <w:rPr>
          <w:spacing w:val="-21"/>
        </w:rPr>
        <w:t> </w:t>
      </w:r>
      <w:r>
        <w:rPr/>
        <w:t>across</w:t>
      </w:r>
      <w:r>
        <w:rPr>
          <w:spacing w:val="-21"/>
        </w:rPr>
        <w:t> </w:t>
      </w:r>
      <w:r>
        <w:rPr>
          <w:spacing w:val="-17"/>
        </w:rPr>
        <w:t>a </w:t>
      </w:r>
      <w:r>
        <w:rPr/>
        <w:t>shared technology platform to</w:t>
      </w:r>
      <w:r>
        <w:rPr>
          <w:spacing w:val="-23"/>
        </w:rPr>
        <w:t> </w:t>
      </w:r>
      <w:r>
        <w:rPr/>
        <w:t>improve</w:t>
      </w:r>
    </w:p>
    <w:p>
      <w:pPr>
        <w:pStyle w:val="BodyText"/>
        <w:spacing w:line="249" w:lineRule="auto" w:before="3"/>
        <w:ind w:left="765" w:right="361"/>
      </w:pPr>
      <w:r>
        <w:rPr/>
        <w:t>the</w:t>
      </w:r>
      <w:r>
        <w:rPr>
          <w:spacing w:val="-35"/>
        </w:rPr>
        <w:t> </w:t>
      </w:r>
      <w:r>
        <w:rPr/>
        <w:t>planning,</w:t>
      </w:r>
      <w:r>
        <w:rPr>
          <w:spacing w:val="-35"/>
        </w:rPr>
        <w:t> </w:t>
      </w:r>
      <w:r>
        <w:rPr/>
        <w:t>management</w:t>
      </w:r>
      <w:r>
        <w:rPr>
          <w:spacing w:val="-34"/>
        </w:rPr>
        <w:t> </w:t>
      </w:r>
      <w:r>
        <w:rPr/>
        <w:t>and</w:t>
      </w:r>
      <w:r>
        <w:rPr>
          <w:spacing w:val="-35"/>
        </w:rPr>
        <w:t> </w:t>
      </w:r>
      <w:r>
        <w:rPr/>
        <w:t>maintenance of </w:t>
      </w:r>
      <w:r>
        <w:rPr>
          <w:spacing w:val="-3"/>
        </w:rPr>
        <w:t>Education’s </w:t>
      </w:r>
      <w:r>
        <w:rPr/>
        <w:t>vast portfolio of</w:t>
      </w:r>
      <w:r>
        <w:rPr>
          <w:spacing w:val="-33"/>
        </w:rPr>
        <w:t> </w:t>
      </w:r>
      <w:r>
        <w:rPr/>
        <w:t>buildings.</w:t>
      </w:r>
    </w:p>
    <w:p>
      <w:pPr>
        <w:pStyle w:val="BodyText"/>
        <w:spacing w:before="2"/>
        <w:rPr>
          <w:sz w:val="23"/>
        </w:rPr>
      </w:pPr>
    </w:p>
    <w:p>
      <w:pPr>
        <w:pStyle w:val="BodyText"/>
        <w:spacing w:line="249" w:lineRule="auto"/>
        <w:ind w:left="765" w:right="214"/>
      </w:pPr>
      <w:r>
        <w:rPr/>
        <w:t>Current asset management software applications used by Finance and Education vary</w:t>
      </w:r>
      <w:r>
        <w:rPr>
          <w:spacing w:val="-34"/>
        </w:rPr>
        <w:t> </w:t>
      </w:r>
      <w:r>
        <w:rPr/>
        <w:t>in</w:t>
      </w:r>
      <w:r>
        <w:rPr>
          <w:spacing w:val="-34"/>
        </w:rPr>
        <w:t> </w:t>
      </w:r>
      <w:r>
        <w:rPr/>
        <w:t>functionality,</w:t>
      </w:r>
      <w:r>
        <w:rPr>
          <w:spacing w:val="-34"/>
        </w:rPr>
        <w:t> </w:t>
      </w:r>
      <w:r>
        <w:rPr/>
        <w:t>hosting</w:t>
      </w:r>
      <w:r>
        <w:rPr>
          <w:spacing w:val="-33"/>
        </w:rPr>
        <w:t> </w:t>
      </w:r>
      <w:r>
        <w:rPr/>
        <w:t>arrangements</w:t>
      </w:r>
      <w:r>
        <w:rPr>
          <w:spacing w:val="-34"/>
        </w:rPr>
        <w:t> </w:t>
      </w:r>
      <w:r>
        <w:rPr>
          <w:spacing w:val="-6"/>
        </w:rPr>
        <w:t>and </w:t>
      </w:r>
      <w:r>
        <w:rPr/>
        <w:t>digital</w:t>
      </w:r>
      <w:r>
        <w:rPr>
          <w:spacing w:val="-19"/>
        </w:rPr>
        <w:t> </w:t>
      </w:r>
      <w:r>
        <w:rPr/>
        <w:t>services</w:t>
      </w:r>
      <w:r>
        <w:rPr>
          <w:spacing w:val="-18"/>
        </w:rPr>
        <w:t> </w:t>
      </w:r>
      <w:r>
        <w:rPr/>
        <w:t>capability,</w:t>
      </w:r>
      <w:r>
        <w:rPr>
          <w:spacing w:val="-19"/>
        </w:rPr>
        <w:t> </w:t>
      </w:r>
      <w:r>
        <w:rPr/>
        <w:t>with</w:t>
      </w:r>
      <w:r>
        <w:rPr>
          <w:spacing w:val="-18"/>
        </w:rPr>
        <w:t> </w:t>
      </w:r>
      <w:r>
        <w:rPr/>
        <w:t>limited</w:t>
      </w:r>
      <w:r>
        <w:rPr>
          <w:spacing w:val="-18"/>
        </w:rPr>
        <w:t> </w:t>
      </w:r>
      <w:r>
        <w:rPr/>
        <w:t>ability</w:t>
      </w:r>
    </w:p>
    <w:p>
      <w:pPr>
        <w:pStyle w:val="BodyText"/>
        <w:spacing w:before="3"/>
        <w:ind w:left="765"/>
      </w:pPr>
      <w:r>
        <w:rPr/>
        <w:t>to easily share building related information.</w:t>
      </w:r>
    </w:p>
    <w:p>
      <w:pPr>
        <w:pStyle w:val="BodyText"/>
        <w:spacing w:line="249" w:lineRule="auto" w:before="107"/>
        <w:ind w:left="607" w:right="94"/>
      </w:pPr>
      <w:r>
        <w:rPr/>
        <w:br w:type="column"/>
      </w:r>
      <w:r>
        <w:rPr/>
        <w:t>In</w:t>
      </w:r>
      <w:r>
        <w:rPr>
          <w:spacing w:val="-31"/>
        </w:rPr>
        <w:t> </w:t>
      </w:r>
      <w:r>
        <w:rPr/>
        <w:t>early</w:t>
      </w:r>
      <w:r>
        <w:rPr>
          <w:spacing w:val="-31"/>
        </w:rPr>
        <w:t> </w:t>
      </w:r>
      <w:r>
        <w:rPr/>
        <w:t>2018,</w:t>
      </w:r>
      <w:r>
        <w:rPr>
          <w:spacing w:val="-30"/>
        </w:rPr>
        <w:t> </w:t>
      </w:r>
      <w:r>
        <w:rPr/>
        <w:t>Finance</w:t>
      </w:r>
      <w:r>
        <w:rPr>
          <w:spacing w:val="-31"/>
        </w:rPr>
        <w:t> </w:t>
      </w:r>
      <w:r>
        <w:rPr/>
        <w:t>and</w:t>
      </w:r>
      <w:r>
        <w:rPr>
          <w:spacing w:val="-30"/>
        </w:rPr>
        <w:t> </w:t>
      </w:r>
      <w:r>
        <w:rPr/>
        <w:t>Education</w:t>
      </w:r>
      <w:r>
        <w:rPr>
          <w:spacing w:val="-31"/>
        </w:rPr>
        <w:t> </w:t>
      </w:r>
      <w:r>
        <w:rPr/>
        <w:t>established combined high-level system requirements and went to market through a formal Request for Information (RFI) process to understand the breadth</w:t>
      </w:r>
      <w:r>
        <w:rPr>
          <w:spacing w:val="-24"/>
        </w:rPr>
        <w:t> </w:t>
      </w:r>
      <w:r>
        <w:rPr/>
        <w:t>and</w:t>
      </w:r>
      <w:r>
        <w:rPr>
          <w:spacing w:val="-24"/>
        </w:rPr>
        <w:t> </w:t>
      </w:r>
      <w:r>
        <w:rPr/>
        <w:t>suitability</w:t>
      </w:r>
      <w:r>
        <w:rPr>
          <w:spacing w:val="-23"/>
        </w:rPr>
        <w:t> </w:t>
      </w:r>
      <w:r>
        <w:rPr/>
        <w:t>of</w:t>
      </w:r>
      <w:r>
        <w:rPr>
          <w:spacing w:val="-24"/>
        </w:rPr>
        <w:t> </w:t>
      </w:r>
      <w:r>
        <w:rPr/>
        <w:t>commercially</w:t>
      </w:r>
      <w:r>
        <w:rPr>
          <w:spacing w:val="-24"/>
        </w:rPr>
        <w:t> </w:t>
      </w:r>
      <w:r>
        <w:rPr/>
        <w:t>available asset management software solutions. The RFI generated</w:t>
      </w:r>
      <w:r>
        <w:rPr>
          <w:spacing w:val="-25"/>
        </w:rPr>
        <w:t> </w:t>
      </w:r>
      <w:r>
        <w:rPr/>
        <w:t>significant</w:t>
      </w:r>
      <w:r>
        <w:rPr>
          <w:spacing w:val="-24"/>
        </w:rPr>
        <w:t> </w:t>
      </w:r>
      <w:r>
        <w:rPr/>
        <w:t>interest</w:t>
      </w:r>
      <w:r>
        <w:rPr>
          <w:spacing w:val="-24"/>
        </w:rPr>
        <w:t> </w:t>
      </w:r>
      <w:r>
        <w:rPr/>
        <w:t>and</w:t>
      </w:r>
      <w:r>
        <w:rPr>
          <w:spacing w:val="-25"/>
        </w:rPr>
        <w:t> </w:t>
      </w:r>
      <w:r>
        <w:rPr/>
        <w:t>response</w:t>
      </w:r>
      <w:r>
        <w:rPr>
          <w:spacing w:val="-24"/>
        </w:rPr>
        <w:t> </w:t>
      </w:r>
      <w:r>
        <w:rPr/>
        <w:t>from industry which was reviewed and incorporated into a preliminary business</w:t>
      </w:r>
      <w:r>
        <w:rPr>
          <w:spacing w:val="-18"/>
        </w:rPr>
        <w:t> </w:t>
      </w:r>
      <w:r>
        <w:rPr/>
        <w:t>case.</w:t>
      </w:r>
    </w:p>
    <w:p>
      <w:pPr>
        <w:pStyle w:val="BodyText"/>
        <w:spacing w:before="7"/>
        <w:rPr>
          <w:sz w:val="23"/>
        </w:rPr>
      </w:pPr>
    </w:p>
    <w:p>
      <w:pPr>
        <w:pStyle w:val="BodyText"/>
        <w:spacing w:line="249" w:lineRule="auto"/>
        <w:ind w:left="607" w:right="234"/>
      </w:pPr>
      <w:r>
        <w:rPr/>
        <w:pict>
          <v:group style="position:absolute;margin-left:413.902008pt;margin-top:-185.264603pt;width:86.1pt;height:84.95pt;mso-position-horizontal-relative:page;mso-position-vertical-relative:paragraph;z-index:-708760" coordorigin="8278,-3705" coordsize="1722,1699">
            <v:shape style="position:absolute;left:-18;top:17122;width:1448;height:1463" coordorigin="-18,17123" coordsize="1448,1463" path="m9312,-3401l9657,-3055m9144,-3458l9715,-2887m9020,-3471l9728,-2763m8913,-3468l9725,-2657m8820,-3451l9707,-2564m8736,-3424l9681,-2479m8660,-3390l9647,-2403m8591,-3349l9607,-2333m8528,-3302l9559,-2270m8470,-3249l9506,-2213m8419,-3190l9447,-2162m8373,-3125l9382,-2117m8334,-3054l9310,-2078m8302,-2976l9232,-2046m8281,-2887l9146,-2022m8281,-2777l9048,-2009m8281,-2666l8937,-2010m8290,-2547l8803,-2033m8376,-2350l8607,-2119e" filled="false" stroked="true" strokeweight=".25pt" strokecolor="#bbbcbb">
              <v:path arrowok="t"/>
              <v:stroke dashstyle="solid"/>
            </v:shape>
            <v:shape style="position:absolute;left:915;top:16891;width:784;height:784" coordorigin="916,16892" coordsize="784,784" path="m9674,-3701l9996,-3379m9561,-3703l9998,-3267m9471,-3683l9978,-3176m9397,-3646l9941,-3103m9335,-3598l9892,-3041m9284,-3538l9833,-2990m9245,-3468l9763,-2950m9218,-3384l9679,-2923m9214,-3278l9572,-2919m9261,-3120l9415,-2966e" filled="false" stroked="true" strokeweight=".25pt" strokecolor="#6f2770">
              <v:path arrowok="t"/>
              <v:stroke dashstyle="solid"/>
            </v:shape>
            <w10:wrap type="none"/>
          </v:group>
        </w:pict>
      </w:r>
      <w:r>
        <w:rPr/>
        <w:t>The</w:t>
      </w:r>
      <w:r>
        <w:rPr>
          <w:spacing w:val="-26"/>
        </w:rPr>
        <w:t> </w:t>
      </w:r>
      <w:r>
        <w:rPr/>
        <w:t>preliminary</w:t>
      </w:r>
      <w:r>
        <w:rPr>
          <w:spacing w:val="-26"/>
        </w:rPr>
        <w:t> </w:t>
      </w:r>
      <w:r>
        <w:rPr/>
        <w:t>business</w:t>
      </w:r>
      <w:r>
        <w:rPr>
          <w:spacing w:val="-26"/>
        </w:rPr>
        <w:t> </w:t>
      </w:r>
      <w:r>
        <w:rPr/>
        <w:t>case</w:t>
      </w:r>
      <w:r>
        <w:rPr>
          <w:spacing w:val="-26"/>
        </w:rPr>
        <w:t> </w:t>
      </w:r>
      <w:r>
        <w:rPr/>
        <w:t>was</w:t>
      </w:r>
      <w:r>
        <w:rPr>
          <w:spacing w:val="-26"/>
        </w:rPr>
        <w:t> </w:t>
      </w:r>
      <w:r>
        <w:rPr/>
        <w:t>then</w:t>
      </w:r>
      <w:r>
        <w:rPr>
          <w:spacing w:val="-26"/>
        </w:rPr>
        <w:t> </w:t>
      </w:r>
      <w:r>
        <w:rPr>
          <w:spacing w:val="-3"/>
        </w:rPr>
        <w:t>subject </w:t>
      </w:r>
      <w:r>
        <w:rPr/>
        <w:t>to</w:t>
      </w:r>
      <w:r>
        <w:rPr>
          <w:spacing w:val="-11"/>
        </w:rPr>
        <w:t> </w:t>
      </w:r>
      <w:r>
        <w:rPr/>
        <w:t>a</w:t>
      </w:r>
      <w:r>
        <w:rPr>
          <w:spacing w:val="-11"/>
        </w:rPr>
        <w:t> </w:t>
      </w:r>
      <w:r>
        <w:rPr/>
        <w:t>Gateway</w:t>
      </w:r>
      <w:r>
        <w:rPr>
          <w:spacing w:val="-11"/>
        </w:rPr>
        <w:t> </w:t>
      </w:r>
      <w:r>
        <w:rPr/>
        <w:t>review</w:t>
      </w:r>
      <w:r>
        <w:rPr>
          <w:spacing w:val="-11"/>
        </w:rPr>
        <w:t> </w:t>
      </w:r>
      <w:r>
        <w:rPr/>
        <w:t>in</w:t>
      </w:r>
      <w:r>
        <w:rPr>
          <w:spacing w:val="-11"/>
        </w:rPr>
        <w:t> </w:t>
      </w:r>
      <w:r>
        <w:rPr/>
        <w:t>June</w:t>
      </w:r>
      <w:r>
        <w:rPr>
          <w:spacing w:val="-11"/>
        </w:rPr>
        <w:t> </w:t>
      </w:r>
      <w:r>
        <w:rPr/>
        <w:t>2018,</w:t>
      </w:r>
      <w:r>
        <w:rPr>
          <w:spacing w:val="-11"/>
        </w:rPr>
        <w:t> </w:t>
      </w:r>
      <w:r>
        <w:rPr/>
        <w:t>providing</w:t>
      </w:r>
    </w:p>
    <w:p>
      <w:pPr>
        <w:pStyle w:val="BodyText"/>
        <w:spacing w:line="249" w:lineRule="auto" w:before="2"/>
        <w:ind w:left="607" w:right="515"/>
        <w:jc w:val="both"/>
      </w:pPr>
      <w:r>
        <w:rPr/>
        <w:t>an</w:t>
      </w:r>
      <w:r>
        <w:rPr>
          <w:spacing w:val="-22"/>
        </w:rPr>
        <w:t> </w:t>
      </w:r>
      <w:r>
        <w:rPr/>
        <w:t>independent</w:t>
      </w:r>
      <w:r>
        <w:rPr>
          <w:spacing w:val="-22"/>
        </w:rPr>
        <w:t> </w:t>
      </w:r>
      <w:r>
        <w:rPr/>
        <w:t>assessment</w:t>
      </w:r>
      <w:r>
        <w:rPr>
          <w:spacing w:val="-22"/>
        </w:rPr>
        <w:t> </w:t>
      </w:r>
      <w:r>
        <w:rPr/>
        <w:t>of</w:t>
      </w:r>
      <w:r>
        <w:rPr>
          <w:spacing w:val="-22"/>
        </w:rPr>
        <w:t> </w:t>
      </w:r>
      <w:r>
        <w:rPr/>
        <w:t>the</w:t>
      </w:r>
      <w:r>
        <w:rPr>
          <w:spacing w:val="-22"/>
        </w:rPr>
        <w:t> </w:t>
      </w:r>
      <w:r>
        <w:rPr/>
        <w:t>proposal. The</w:t>
      </w:r>
      <w:r>
        <w:rPr>
          <w:spacing w:val="-26"/>
        </w:rPr>
        <w:t> </w:t>
      </w:r>
      <w:r>
        <w:rPr/>
        <w:t>review</w:t>
      </w:r>
      <w:r>
        <w:rPr>
          <w:spacing w:val="-25"/>
        </w:rPr>
        <w:t> </w:t>
      </w:r>
      <w:r>
        <w:rPr/>
        <w:t>made</w:t>
      </w:r>
      <w:r>
        <w:rPr>
          <w:spacing w:val="-25"/>
        </w:rPr>
        <w:t> </w:t>
      </w:r>
      <w:r>
        <w:rPr/>
        <w:t>recommendations</w:t>
      </w:r>
      <w:r>
        <w:rPr>
          <w:spacing w:val="-25"/>
        </w:rPr>
        <w:t> </w:t>
      </w:r>
      <w:r>
        <w:rPr/>
        <w:t>to</w:t>
      </w:r>
      <w:r>
        <w:rPr>
          <w:spacing w:val="-25"/>
        </w:rPr>
        <w:t> </w:t>
      </w:r>
      <w:r>
        <w:rPr>
          <w:spacing w:val="-3"/>
        </w:rPr>
        <w:t>assist </w:t>
      </w:r>
      <w:r>
        <w:rPr/>
        <w:t>Finance</w:t>
      </w:r>
      <w:r>
        <w:rPr>
          <w:spacing w:val="-14"/>
        </w:rPr>
        <w:t> </w:t>
      </w:r>
      <w:r>
        <w:rPr/>
        <w:t>and</w:t>
      </w:r>
      <w:r>
        <w:rPr>
          <w:spacing w:val="-13"/>
        </w:rPr>
        <w:t> </w:t>
      </w:r>
      <w:r>
        <w:rPr/>
        <w:t>Education</w:t>
      </w:r>
      <w:r>
        <w:rPr>
          <w:spacing w:val="-13"/>
        </w:rPr>
        <w:t> </w:t>
      </w:r>
      <w:r>
        <w:rPr/>
        <w:t>to</w:t>
      </w:r>
      <w:r>
        <w:rPr>
          <w:spacing w:val="-13"/>
        </w:rPr>
        <w:t> </w:t>
      </w:r>
      <w:r>
        <w:rPr/>
        <w:t>refine</w:t>
      </w:r>
      <w:r>
        <w:rPr>
          <w:spacing w:val="-14"/>
        </w:rPr>
        <w:t> </w:t>
      </w:r>
      <w:r>
        <w:rPr/>
        <w:t>the</w:t>
      </w:r>
      <w:r>
        <w:rPr>
          <w:spacing w:val="-13"/>
        </w:rPr>
        <w:t> </w:t>
      </w:r>
      <w:r>
        <w:rPr/>
        <w:t>scope</w:t>
      </w:r>
    </w:p>
    <w:p>
      <w:pPr>
        <w:pStyle w:val="BodyText"/>
        <w:spacing w:line="249" w:lineRule="auto" w:before="3"/>
        <w:ind w:left="607" w:right="371"/>
      </w:pPr>
      <w:r>
        <w:rPr/>
        <w:t>of</w:t>
      </w:r>
      <w:r>
        <w:rPr>
          <w:spacing w:val="-18"/>
        </w:rPr>
        <w:t> </w:t>
      </w:r>
      <w:r>
        <w:rPr/>
        <w:t>the</w:t>
      </w:r>
      <w:r>
        <w:rPr>
          <w:spacing w:val="-18"/>
        </w:rPr>
        <w:t> </w:t>
      </w:r>
      <w:r>
        <w:rPr/>
        <w:t>proposal</w:t>
      </w:r>
      <w:r>
        <w:rPr>
          <w:spacing w:val="-18"/>
        </w:rPr>
        <w:t> </w:t>
      </w:r>
      <w:r>
        <w:rPr/>
        <w:t>and</w:t>
      </w:r>
      <w:r>
        <w:rPr>
          <w:spacing w:val="-18"/>
        </w:rPr>
        <w:t> </w:t>
      </w:r>
      <w:r>
        <w:rPr/>
        <w:t>progress</w:t>
      </w:r>
      <w:r>
        <w:rPr>
          <w:spacing w:val="-17"/>
        </w:rPr>
        <w:t> </w:t>
      </w:r>
      <w:r>
        <w:rPr/>
        <w:t>to</w:t>
      </w:r>
      <w:r>
        <w:rPr>
          <w:spacing w:val="-18"/>
        </w:rPr>
        <w:t> </w:t>
      </w:r>
      <w:r>
        <w:rPr/>
        <w:t>a</w:t>
      </w:r>
      <w:r>
        <w:rPr>
          <w:spacing w:val="-18"/>
        </w:rPr>
        <w:t> </w:t>
      </w:r>
      <w:r>
        <w:rPr/>
        <w:t>full</w:t>
      </w:r>
      <w:r>
        <w:rPr>
          <w:spacing w:val="-18"/>
        </w:rPr>
        <w:t> </w:t>
      </w:r>
      <w:r>
        <w:rPr/>
        <w:t>business case.</w:t>
      </w:r>
    </w:p>
    <w:p>
      <w:pPr>
        <w:pStyle w:val="BodyText"/>
        <w:spacing w:before="1"/>
        <w:rPr>
          <w:sz w:val="23"/>
        </w:rPr>
      </w:pPr>
    </w:p>
    <w:p>
      <w:pPr>
        <w:pStyle w:val="BodyText"/>
        <w:spacing w:line="249" w:lineRule="auto"/>
        <w:ind w:left="607" w:right="7"/>
      </w:pPr>
      <w:r>
        <w:rPr/>
        <w:t>The potential benefits for improved asset management offered by modern asset management</w:t>
      </w:r>
      <w:r>
        <w:rPr>
          <w:spacing w:val="-23"/>
        </w:rPr>
        <w:t> </w:t>
      </w:r>
      <w:r>
        <w:rPr/>
        <w:t>applications</w:t>
      </w:r>
      <w:r>
        <w:rPr>
          <w:spacing w:val="-23"/>
        </w:rPr>
        <w:t> </w:t>
      </w:r>
      <w:r>
        <w:rPr/>
        <w:t>is</w:t>
      </w:r>
      <w:r>
        <w:rPr>
          <w:spacing w:val="-23"/>
        </w:rPr>
        <w:t> </w:t>
      </w:r>
      <w:r>
        <w:rPr/>
        <w:t>not</w:t>
      </w:r>
      <w:r>
        <w:rPr>
          <w:spacing w:val="-22"/>
        </w:rPr>
        <w:t> </w:t>
      </w:r>
      <w:r>
        <w:rPr/>
        <w:t>limited</w:t>
      </w:r>
      <w:r>
        <w:rPr>
          <w:spacing w:val="-23"/>
        </w:rPr>
        <w:t> </w:t>
      </w:r>
      <w:r>
        <w:rPr/>
        <w:t>to</w:t>
      </w:r>
      <w:r>
        <w:rPr>
          <w:spacing w:val="-23"/>
        </w:rPr>
        <w:t> </w:t>
      </w:r>
      <w:r>
        <w:rPr>
          <w:spacing w:val="-3"/>
        </w:rPr>
        <w:t>Finance </w:t>
      </w:r>
      <w:r>
        <w:rPr/>
        <w:t>and Education and there may be scope for other government</w:t>
      </w:r>
      <w:r>
        <w:rPr>
          <w:spacing w:val="-11"/>
        </w:rPr>
        <w:t> </w:t>
      </w:r>
      <w:r>
        <w:rPr/>
        <w:t>agencies</w:t>
      </w:r>
      <w:r>
        <w:rPr>
          <w:spacing w:val="-11"/>
        </w:rPr>
        <w:t> </w:t>
      </w:r>
      <w:r>
        <w:rPr/>
        <w:t>to</w:t>
      </w:r>
      <w:r>
        <w:rPr>
          <w:spacing w:val="-10"/>
        </w:rPr>
        <w:t> </w:t>
      </w:r>
      <w:r>
        <w:rPr/>
        <w:t>benefit</w:t>
      </w:r>
      <w:r>
        <w:rPr>
          <w:spacing w:val="-11"/>
        </w:rPr>
        <w:t> </w:t>
      </w:r>
      <w:r>
        <w:rPr/>
        <w:t>from</w:t>
      </w:r>
      <w:r>
        <w:rPr>
          <w:spacing w:val="-10"/>
        </w:rPr>
        <w:t> </w:t>
      </w:r>
      <w:r>
        <w:rPr/>
        <w:t>access</w:t>
      </w:r>
      <w:r>
        <w:rPr>
          <w:spacing w:val="-11"/>
        </w:rPr>
        <w:t> </w:t>
      </w:r>
      <w:r>
        <w:rPr/>
        <w:t>to</w:t>
      </w:r>
    </w:p>
    <w:p>
      <w:pPr>
        <w:pStyle w:val="BodyText"/>
        <w:spacing w:line="249" w:lineRule="auto" w:before="5"/>
        <w:ind w:left="607" w:right="229"/>
      </w:pPr>
      <w:r>
        <w:rPr/>
        <w:t>a</w:t>
      </w:r>
      <w:r>
        <w:rPr>
          <w:spacing w:val="-25"/>
        </w:rPr>
        <w:t> </w:t>
      </w:r>
      <w:r>
        <w:rPr/>
        <w:t>shared</w:t>
      </w:r>
      <w:r>
        <w:rPr>
          <w:spacing w:val="-25"/>
        </w:rPr>
        <w:t> </w:t>
      </w:r>
      <w:r>
        <w:rPr/>
        <w:t>technology</w:t>
      </w:r>
      <w:r>
        <w:rPr>
          <w:spacing w:val="-25"/>
        </w:rPr>
        <w:t> </w:t>
      </w:r>
      <w:r>
        <w:rPr/>
        <w:t>platform</w:t>
      </w:r>
      <w:r>
        <w:rPr>
          <w:spacing w:val="-25"/>
        </w:rPr>
        <w:t> </w:t>
      </w:r>
      <w:r>
        <w:rPr/>
        <w:t>offering</w:t>
      </w:r>
      <w:r>
        <w:rPr>
          <w:spacing w:val="-24"/>
        </w:rPr>
        <w:t> </w:t>
      </w:r>
      <w:r>
        <w:rPr>
          <w:spacing w:val="-3"/>
        </w:rPr>
        <w:t>advanced </w:t>
      </w:r>
      <w:r>
        <w:rPr/>
        <w:t>systems</w:t>
      </w:r>
      <w:r>
        <w:rPr>
          <w:spacing w:val="-3"/>
        </w:rPr>
        <w:t> </w:t>
      </w:r>
      <w:r>
        <w:rPr/>
        <w:t>functionality.</w:t>
      </w:r>
    </w:p>
    <w:p>
      <w:pPr>
        <w:pStyle w:val="BodyText"/>
        <w:spacing w:before="1"/>
        <w:rPr>
          <w:sz w:val="23"/>
        </w:rPr>
      </w:pPr>
    </w:p>
    <w:p>
      <w:pPr>
        <w:pStyle w:val="BodyText"/>
        <w:spacing w:line="249" w:lineRule="auto"/>
        <w:ind w:left="607" w:right="-6"/>
      </w:pPr>
      <w:r>
        <w:rPr/>
        <w:t>Security of payment is a priority for Government. The</w:t>
      </w:r>
      <w:r>
        <w:rPr>
          <w:spacing w:val="-20"/>
        </w:rPr>
        <w:t> </w:t>
      </w:r>
      <w:r>
        <w:rPr/>
        <w:t>Department</w:t>
      </w:r>
      <w:r>
        <w:rPr>
          <w:spacing w:val="-20"/>
        </w:rPr>
        <w:t> </w:t>
      </w:r>
      <w:r>
        <w:rPr/>
        <w:t>of</w:t>
      </w:r>
      <w:r>
        <w:rPr>
          <w:spacing w:val="-19"/>
        </w:rPr>
        <w:t> </w:t>
      </w:r>
      <w:r>
        <w:rPr/>
        <w:t>Finance</w:t>
      </w:r>
      <w:r>
        <w:rPr>
          <w:spacing w:val="-20"/>
        </w:rPr>
        <w:t> </w:t>
      </w:r>
      <w:r>
        <w:rPr/>
        <w:t>is</w:t>
      </w:r>
      <w:r>
        <w:rPr>
          <w:spacing w:val="-19"/>
        </w:rPr>
        <w:t> </w:t>
      </w:r>
      <w:r>
        <w:rPr/>
        <w:t>well</w:t>
      </w:r>
      <w:r>
        <w:rPr>
          <w:spacing w:val="-20"/>
        </w:rPr>
        <w:t> </w:t>
      </w:r>
      <w:r>
        <w:rPr/>
        <w:t>placed</w:t>
      </w:r>
      <w:r>
        <w:rPr>
          <w:spacing w:val="-20"/>
        </w:rPr>
        <w:t> </w:t>
      </w:r>
      <w:r>
        <w:rPr/>
        <w:t>to</w:t>
      </w:r>
      <w:r>
        <w:rPr>
          <w:spacing w:val="-19"/>
        </w:rPr>
        <w:t> </w:t>
      </w:r>
      <w:r>
        <w:rPr>
          <w:spacing w:val="-4"/>
        </w:rPr>
        <w:t>assist </w:t>
      </w:r>
      <w:r>
        <w:rPr/>
        <w:t>given</w:t>
      </w:r>
      <w:r>
        <w:rPr>
          <w:spacing w:val="-17"/>
        </w:rPr>
        <w:t> </w:t>
      </w:r>
      <w:r>
        <w:rPr/>
        <w:t>its</w:t>
      </w:r>
      <w:r>
        <w:rPr>
          <w:spacing w:val="-16"/>
        </w:rPr>
        <w:t> </w:t>
      </w:r>
      <w:r>
        <w:rPr/>
        <w:t>experience</w:t>
      </w:r>
      <w:r>
        <w:rPr>
          <w:spacing w:val="-16"/>
        </w:rPr>
        <w:t> </w:t>
      </w:r>
      <w:r>
        <w:rPr/>
        <w:t>in</w:t>
      </w:r>
      <w:r>
        <w:rPr>
          <w:spacing w:val="-16"/>
        </w:rPr>
        <w:t> </w:t>
      </w:r>
      <w:r>
        <w:rPr/>
        <w:t>implementing</w:t>
      </w:r>
      <w:r>
        <w:rPr>
          <w:spacing w:val="-16"/>
        </w:rPr>
        <w:t> </w:t>
      </w:r>
      <w:r>
        <w:rPr/>
        <w:t>numerous</w:t>
      </w:r>
    </w:p>
    <w:p>
      <w:pPr>
        <w:pStyle w:val="BodyText"/>
        <w:spacing w:line="249" w:lineRule="auto" w:before="107"/>
        <w:ind w:left="456" w:right="794"/>
      </w:pPr>
      <w:r>
        <w:rPr/>
        <w:br w:type="column"/>
      </w:r>
      <w:r>
        <w:rPr/>
        <w:t>security</w:t>
      </w:r>
      <w:r>
        <w:rPr>
          <w:spacing w:val="-27"/>
        </w:rPr>
        <w:t> </w:t>
      </w:r>
      <w:r>
        <w:rPr/>
        <w:t>of</w:t>
      </w:r>
      <w:r>
        <w:rPr>
          <w:spacing w:val="-27"/>
        </w:rPr>
        <w:t> </w:t>
      </w:r>
      <w:r>
        <w:rPr/>
        <w:t>payment</w:t>
      </w:r>
      <w:r>
        <w:rPr>
          <w:spacing w:val="-27"/>
        </w:rPr>
        <w:t> </w:t>
      </w:r>
      <w:r>
        <w:rPr/>
        <w:t>initiatives</w:t>
      </w:r>
      <w:r>
        <w:rPr>
          <w:spacing w:val="-27"/>
        </w:rPr>
        <w:t> </w:t>
      </w:r>
      <w:r>
        <w:rPr/>
        <w:t>and</w:t>
      </w:r>
      <w:r>
        <w:rPr>
          <w:spacing w:val="-27"/>
        </w:rPr>
        <w:t> </w:t>
      </w:r>
      <w:r>
        <w:rPr/>
        <w:t>providing</w:t>
      </w:r>
      <w:r>
        <w:rPr>
          <w:spacing w:val="-27"/>
        </w:rPr>
        <w:t> </w:t>
      </w:r>
      <w:r>
        <w:rPr>
          <w:spacing w:val="-3"/>
        </w:rPr>
        <w:t>advice </w:t>
      </w:r>
      <w:r>
        <w:rPr/>
        <w:t>to agencies on the implementation and operation of project bank</w:t>
      </w:r>
      <w:r>
        <w:rPr>
          <w:spacing w:val="-3"/>
        </w:rPr>
        <w:t> </w:t>
      </w:r>
      <w:r>
        <w:rPr/>
        <w:t>accounts.</w:t>
      </w:r>
    </w:p>
    <w:p>
      <w:pPr>
        <w:pStyle w:val="BodyText"/>
        <w:spacing w:before="2"/>
        <w:rPr>
          <w:sz w:val="23"/>
        </w:rPr>
      </w:pPr>
    </w:p>
    <w:p>
      <w:pPr>
        <w:pStyle w:val="BodyText"/>
        <w:spacing w:line="249" w:lineRule="auto"/>
        <w:ind w:left="456" w:right="783"/>
      </w:pPr>
      <w:r>
        <w:rPr/>
        <w:t>The</w:t>
      </w:r>
      <w:r>
        <w:rPr>
          <w:spacing w:val="-22"/>
        </w:rPr>
        <w:t> </w:t>
      </w:r>
      <w:r>
        <w:rPr/>
        <w:t>Department</w:t>
      </w:r>
      <w:r>
        <w:rPr>
          <w:spacing w:val="-21"/>
        </w:rPr>
        <w:t> </w:t>
      </w:r>
      <w:r>
        <w:rPr/>
        <w:t>is</w:t>
      </w:r>
      <w:r>
        <w:rPr>
          <w:spacing w:val="-22"/>
        </w:rPr>
        <w:t> </w:t>
      </w:r>
      <w:r>
        <w:rPr/>
        <w:t>currently</w:t>
      </w:r>
      <w:r>
        <w:rPr>
          <w:spacing w:val="-21"/>
        </w:rPr>
        <w:t> </w:t>
      </w:r>
      <w:r>
        <w:rPr/>
        <w:t>the</w:t>
      </w:r>
      <w:r>
        <w:rPr>
          <w:spacing w:val="-22"/>
        </w:rPr>
        <w:t> </w:t>
      </w:r>
      <w:r>
        <w:rPr/>
        <w:t>only</w:t>
      </w:r>
      <w:r>
        <w:rPr>
          <w:spacing w:val="-21"/>
        </w:rPr>
        <w:t> </w:t>
      </w:r>
      <w:r>
        <w:rPr/>
        <w:t>works</w:t>
      </w:r>
      <w:r>
        <w:rPr>
          <w:spacing w:val="-22"/>
        </w:rPr>
        <w:t> </w:t>
      </w:r>
      <w:r>
        <w:rPr>
          <w:spacing w:val="-3"/>
        </w:rPr>
        <w:t>agency </w:t>
      </w:r>
      <w:r>
        <w:rPr/>
        <w:t>using</w:t>
      </w:r>
      <w:r>
        <w:rPr>
          <w:spacing w:val="-16"/>
        </w:rPr>
        <w:t> </w:t>
      </w:r>
      <w:r>
        <w:rPr/>
        <w:t>project</w:t>
      </w:r>
      <w:r>
        <w:rPr>
          <w:spacing w:val="-15"/>
        </w:rPr>
        <w:t> </w:t>
      </w:r>
      <w:r>
        <w:rPr/>
        <w:t>bank</w:t>
      </w:r>
      <w:r>
        <w:rPr>
          <w:spacing w:val="-15"/>
        </w:rPr>
        <w:t> </w:t>
      </w:r>
      <w:r>
        <w:rPr/>
        <w:t>accounts</w:t>
      </w:r>
      <w:r>
        <w:rPr>
          <w:spacing w:val="-15"/>
        </w:rPr>
        <w:t> </w:t>
      </w:r>
      <w:r>
        <w:rPr/>
        <w:t>and</w:t>
      </w:r>
      <w:r>
        <w:rPr>
          <w:spacing w:val="-15"/>
        </w:rPr>
        <w:t> </w:t>
      </w:r>
      <w:r>
        <w:rPr/>
        <w:t>these</w:t>
      </w:r>
      <w:r>
        <w:rPr>
          <w:spacing w:val="-15"/>
        </w:rPr>
        <w:t> </w:t>
      </w:r>
      <w:r>
        <w:rPr/>
        <w:t>have</w:t>
      </w:r>
      <w:r>
        <w:rPr>
          <w:spacing w:val="-15"/>
        </w:rPr>
        <w:t> </w:t>
      </w:r>
      <w:r>
        <w:rPr/>
        <w:t>been applied to the majority of departmental works contracts since September</w:t>
      </w:r>
      <w:r>
        <w:rPr>
          <w:spacing w:val="-6"/>
        </w:rPr>
        <w:t> </w:t>
      </w:r>
      <w:r>
        <w:rPr/>
        <w:t>2016.</w:t>
      </w:r>
    </w:p>
    <w:p>
      <w:pPr>
        <w:pStyle w:val="BodyText"/>
        <w:spacing w:before="3"/>
        <w:rPr>
          <w:sz w:val="23"/>
        </w:rPr>
      </w:pPr>
    </w:p>
    <w:p>
      <w:pPr>
        <w:pStyle w:val="BodyText"/>
        <w:spacing w:line="249" w:lineRule="auto"/>
        <w:ind w:left="456" w:right="736"/>
      </w:pPr>
      <w:r>
        <w:rPr/>
        <w:t>Finance has shared its experience with agencies considering security of payment measures and recently assisted the Department of Biodiversity, Conservation and Attractions in the application of project bank accounts for a contract related to the Kalbarri National Park.</w:t>
      </w:r>
    </w:p>
    <w:p>
      <w:pPr>
        <w:pStyle w:val="BodyText"/>
        <w:spacing w:before="5"/>
        <w:rPr>
          <w:sz w:val="23"/>
        </w:rPr>
      </w:pPr>
    </w:p>
    <w:p>
      <w:pPr>
        <w:pStyle w:val="BodyText"/>
        <w:spacing w:line="249" w:lineRule="auto"/>
        <w:ind w:left="456" w:right="781"/>
      </w:pPr>
      <w:r>
        <w:rPr/>
        <w:t>The Department sits on the recently convened Industry Advisory Group, the formation of which was</w:t>
      </w:r>
      <w:r>
        <w:rPr>
          <w:spacing w:val="-16"/>
        </w:rPr>
        <w:t> </w:t>
      </w:r>
      <w:r>
        <w:rPr/>
        <w:t>announced</w:t>
      </w:r>
      <w:r>
        <w:rPr>
          <w:spacing w:val="-16"/>
        </w:rPr>
        <w:t> </w:t>
      </w:r>
      <w:r>
        <w:rPr/>
        <w:t>by</w:t>
      </w:r>
      <w:r>
        <w:rPr>
          <w:spacing w:val="-16"/>
        </w:rPr>
        <w:t> </w:t>
      </w:r>
      <w:r>
        <w:rPr/>
        <w:t>the</w:t>
      </w:r>
      <w:r>
        <w:rPr>
          <w:spacing w:val="-16"/>
        </w:rPr>
        <w:t> </w:t>
      </w:r>
      <w:r>
        <w:rPr/>
        <w:t>Minister</w:t>
      </w:r>
      <w:r>
        <w:rPr>
          <w:spacing w:val="-16"/>
        </w:rPr>
        <w:t> </w:t>
      </w:r>
      <w:r>
        <w:rPr/>
        <w:t>for</w:t>
      </w:r>
      <w:r>
        <w:rPr>
          <w:spacing w:val="-16"/>
        </w:rPr>
        <w:t> </w:t>
      </w:r>
      <w:r>
        <w:rPr/>
        <w:t>Commerce</w:t>
      </w:r>
      <w:r>
        <w:rPr>
          <w:spacing w:val="-16"/>
        </w:rPr>
        <w:t> </w:t>
      </w:r>
      <w:r>
        <w:rPr>
          <w:spacing w:val="-6"/>
        </w:rPr>
        <w:t>and </w:t>
      </w:r>
      <w:r>
        <w:rPr/>
        <w:t>Industrial Relations in February 2018. This group will inform the review into security of payment in the building and construction sector being led by Mr John</w:t>
      </w:r>
      <w:r>
        <w:rPr>
          <w:spacing w:val="-2"/>
        </w:rPr>
        <w:t> </w:t>
      </w:r>
      <w:r>
        <w:rPr/>
        <w:t>Fiocco.</w:t>
      </w:r>
    </w:p>
    <w:p>
      <w:pPr>
        <w:pStyle w:val="BodyText"/>
        <w:spacing w:before="6"/>
        <w:rPr>
          <w:sz w:val="23"/>
        </w:rPr>
      </w:pPr>
    </w:p>
    <w:p>
      <w:pPr>
        <w:pStyle w:val="BodyText"/>
        <w:spacing w:line="249" w:lineRule="auto"/>
        <w:ind w:left="456" w:right="1186"/>
      </w:pPr>
      <w:r>
        <w:rPr/>
        <w:t>Finance</w:t>
      </w:r>
      <w:r>
        <w:rPr>
          <w:spacing w:val="-24"/>
        </w:rPr>
        <w:t> </w:t>
      </w:r>
      <w:r>
        <w:rPr/>
        <w:t>is</w:t>
      </w:r>
      <w:r>
        <w:rPr>
          <w:spacing w:val="-24"/>
        </w:rPr>
        <w:t> </w:t>
      </w:r>
      <w:r>
        <w:rPr/>
        <w:t>also</w:t>
      </w:r>
      <w:r>
        <w:rPr>
          <w:spacing w:val="-24"/>
        </w:rPr>
        <w:t> </w:t>
      </w:r>
      <w:r>
        <w:rPr/>
        <w:t>working</w:t>
      </w:r>
      <w:r>
        <w:rPr>
          <w:spacing w:val="-24"/>
        </w:rPr>
        <w:t> </w:t>
      </w:r>
      <w:r>
        <w:rPr/>
        <w:t>with</w:t>
      </w:r>
      <w:r>
        <w:rPr>
          <w:spacing w:val="-24"/>
        </w:rPr>
        <w:t> </w:t>
      </w:r>
      <w:r>
        <w:rPr/>
        <w:t>other</w:t>
      </w:r>
      <w:r>
        <w:rPr>
          <w:spacing w:val="-24"/>
        </w:rPr>
        <w:t> </w:t>
      </w:r>
      <w:r>
        <w:rPr/>
        <w:t>government agencies to identify further opportunities to improve security of payment on government projects.</w:t>
      </w:r>
    </w:p>
    <w:p>
      <w:pPr>
        <w:spacing w:after="0" w:line="249" w:lineRule="auto"/>
        <w:sectPr>
          <w:type w:val="continuous"/>
          <w:pgSz w:w="16840" w:h="11910" w:orient="landscape"/>
          <w:pgMar w:top="1100" w:bottom="280" w:left="0" w:right="0"/>
          <w:cols w:num="3" w:equalWidth="0">
            <w:col w:w="5362" w:space="40"/>
            <w:col w:w="5356" w:space="39"/>
            <w:col w:w="6043"/>
          </w:cols>
        </w:sectPr>
      </w:pPr>
    </w:p>
    <w:p>
      <w:pPr>
        <w:pStyle w:val="BodyText"/>
        <w:rPr>
          <w:sz w:val="20"/>
        </w:rPr>
      </w:pPr>
      <w:r>
        <w:rPr/>
        <w:pict>
          <v:shape style="position:absolute;margin-left:601.348999pt;margin-top:.000001pt;width:120.3pt;height:42.55pt;mso-position-horizontal-relative:page;mso-position-vertical-relative:page;z-index:378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tabs>
          <w:tab w:pos="10886" w:val="left" w:leader="none"/>
          <w:tab w:pos="11199" w:val="left" w:leader="none"/>
          <w:tab w:pos="15849" w:val="left" w:leader="none"/>
        </w:tabs>
        <w:spacing w:before="0"/>
        <w:ind w:left="765" w:right="0" w:firstLine="0"/>
        <w:jc w:val="left"/>
        <w:rPr>
          <w:b/>
          <w:sz w:val="20"/>
        </w:rPr>
      </w:pPr>
      <w:r>
        <w:rPr/>
        <w:pict>
          <v:shape style="position:absolute;margin-left:148.791077pt;margin-top:500.275635pt;width:172.35pt;height:113.4pt;mso-position-horizontal-relative:page;mso-position-vertical-relative:paragraph;z-index:3712" coordorigin="2976,10006" coordsize="3447,2268" path="m14497,-1319l15019,-797m14260,-1446l15147,-559m14083,-1513l15213,-382m13933,-1552l15252,-233m13799,-1575l15276,-99m13677,-1587l15288,23m13563,-1591l15291,137m13457,-1587l15287,244m13356,-1578l15278,345m13260,-1563l15264,441m13168,-1544l15245,532m13081,-1521l15221,619m12998,-1494l15169,677m12918,-1464l15058,677m12841,-1430l14948,677m12767,-1394l14838,677m12696,-1354l14727,677m12628,-1312l14617,677m12563,-1267l14507,677m12500,-1220l14396,677m12439,-1170l14286,677m12381,-1117l14176,677m12326,-1062l14065,677m12273,-1005l13955,677m12223,-945l13844,677m12175,-882l13734,677m12130,-817l13624,677m12087,-749l13513,677m12047,-679l13403,677m12010,-606l13293,677m11976,-529l13182,677m11945,-450l13072,677m11918,-367l12962,677m11894,-280l12851,677m11875,-190l12741,677m11859,-95l12631,677m11849,6l12520,677m11845,111l12410,677m11847,224l12300,677m11857,345l12189,677m11879,477l12079,677m11916,624l11969,677e" filled="false" stroked="true" strokeweight=".25pt" strokecolor="#aebd37">
            <v:path arrowok="t"/>
            <v:stroke dashstyle="solid"/>
            <w10:wrap type="none"/>
          </v:shape>
        </w:pict>
      </w:r>
      <w:r>
        <w:rPr/>
        <w:pict>
          <v:group style="position:absolute;margin-left:817.839111pt;margin-top:-14.855018pt;width:24.1pt;height:41.55pt;mso-position-horizontal-relative:page;mso-position-vertical-relative:paragraph;z-index:3760"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11</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spacing w:after="0"/>
        <w:rPr>
          <w:sz w:val="19"/>
        </w:rPr>
        <w:sectPr>
          <w:footerReference w:type="default" r:id="rId47"/>
          <w:pgSz w:w="16840" w:h="11910" w:orient="landscape"/>
          <w:pgMar w:footer="774" w:header="0" w:top="0" w:bottom="960" w:left="0" w:right="0"/>
        </w:sectPr>
      </w:pPr>
    </w:p>
    <w:p>
      <w:pPr>
        <w:pStyle w:val="BodyText"/>
        <w:spacing w:line="249" w:lineRule="auto" w:before="108"/>
        <w:ind w:left="765" w:right="419"/>
      </w:pPr>
      <w:r>
        <w:rPr/>
        <w:pict>
          <v:shape style="position:absolute;margin-left:601.348999pt;margin-top:-101.270226pt;width:120.3pt;height:42.55pt;mso-position-horizontal-relative:page;mso-position-vertical-relative:paragraph;z-index:3976" type="#_x0000_t202" filled="false"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101.270226pt;width:120.3pt;height:42.55pt;mso-position-horizontal-relative:page;mso-position-vertical-relative:paragraph;z-index:4000"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101.270226pt;width:120.3pt;height:42.55pt;mso-position-horizontal-relative:page;mso-position-vertical-relative:paragraph;z-index:402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rPr>
        <w:t>Government Procurement </w:t>
      </w:r>
      <w:r>
        <w:rPr/>
        <w:t>continued its efforts to achieve value-for-money outcomes for government and has established a Better </w:t>
      </w:r>
      <w:r>
        <w:rPr>
          <w:spacing w:val="-3"/>
        </w:rPr>
        <w:t>Value</w:t>
      </w:r>
      <w:r>
        <w:rPr>
          <w:spacing w:val="-39"/>
        </w:rPr>
        <w:t> </w:t>
      </w:r>
      <w:r>
        <w:rPr/>
        <w:t>Procurement</w:t>
      </w:r>
      <w:r>
        <w:rPr>
          <w:spacing w:val="-38"/>
        </w:rPr>
        <w:t> </w:t>
      </w:r>
      <w:r>
        <w:rPr/>
        <w:t>Working</w:t>
      </w:r>
      <w:r>
        <w:rPr>
          <w:spacing w:val="-38"/>
        </w:rPr>
        <w:t> </w:t>
      </w:r>
      <w:r>
        <w:rPr/>
        <w:t>Group</w:t>
      </w:r>
      <w:r>
        <w:rPr>
          <w:spacing w:val="-39"/>
        </w:rPr>
        <w:t> </w:t>
      </w:r>
      <w:r>
        <w:rPr/>
        <w:t>comprising</w:t>
      </w:r>
    </w:p>
    <w:p>
      <w:pPr>
        <w:pStyle w:val="BodyText"/>
        <w:spacing w:line="249" w:lineRule="auto" w:before="4"/>
        <w:ind w:left="765" w:right="217"/>
      </w:pPr>
      <w:r>
        <w:rPr/>
        <w:t>representatives</w:t>
      </w:r>
      <w:r>
        <w:rPr>
          <w:spacing w:val="-29"/>
        </w:rPr>
        <w:t> </w:t>
      </w:r>
      <w:r>
        <w:rPr/>
        <w:t>of</w:t>
      </w:r>
      <w:r>
        <w:rPr>
          <w:spacing w:val="-28"/>
        </w:rPr>
        <w:t> </w:t>
      </w:r>
      <w:r>
        <w:rPr/>
        <w:t>seven</w:t>
      </w:r>
      <w:r>
        <w:rPr>
          <w:spacing w:val="-28"/>
        </w:rPr>
        <w:t> </w:t>
      </w:r>
      <w:r>
        <w:rPr/>
        <w:t>major</w:t>
      </w:r>
      <w:r>
        <w:rPr>
          <w:spacing w:val="-29"/>
        </w:rPr>
        <w:t> </w:t>
      </w:r>
      <w:r>
        <w:rPr/>
        <w:t>agencies</w:t>
      </w:r>
      <w:r>
        <w:rPr>
          <w:spacing w:val="-28"/>
        </w:rPr>
        <w:t> </w:t>
      </w:r>
      <w:r>
        <w:rPr/>
        <w:t>with</w:t>
      </w:r>
      <w:r>
        <w:rPr>
          <w:spacing w:val="-28"/>
        </w:rPr>
        <w:t> </w:t>
      </w:r>
      <w:r>
        <w:rPr>
          <w:spacing w:val="-6"/>
        </w:rPr>
        <w:t>the </w:t>
      </w:r>
      <w:r>
        <w:rPr/>
        <w:t>highest goods and services</w:t>
      </w:r>
      <w:r>
        <w:rPr>
          <w:spacing w:val="-28"/>
        </w:rPr>
        <w:t> </w:t>
      </w:r>
      <w:r>
        <w:rPr/>
        <w:t>expenditure.</w:t>
      </w:r>
    </w:p>
    <w:p>
      <w:pPr>
        <w:pStyle w:val="BodyText"/>
        <w:spacing w:before="1"/>
        <w:rPr>
          <w:sz w:val="23"/>
        </w:rPr>
      </w:pPr>
    </w:p>
    <w:p>
      <w:pPr>
        <w:pStyle w:val="BodyText"/>
        <w:spacing w:line="249" w:lineRule="auto"/>
        <w:ind w:left="765" w:right="373"/>
      </w:pPr>
      <w:r>
        <w:rPr/>
        <w:t>While Common Use Arrangements (CUAs) provide</w:t>
      </w:r>
      <w:r>
        <w:rPr>
          <w:spacing w:val="-27"/>
        </w:rPr>
        <w:t> </w:t>
      </w:r>
      <w:r>
        <w:rPr/>
        <w:t>a</w:t>
      </w:r>
      <w:r>
        <w:rPr>
          <w:spacing w:val="-27"/>
        </w:rPr>
        <w:t> </w:t>
      </w:r>
      <w:r>
        <w:rPr/>
        <w:t>level</w:t>
      </w:r>
      <w:r>
        <w:rPr>
          <w:spacing w:val="-27"/>
        </w:rPr>
        <w:t> </w:t>
      </w:r>
      <w:r>
        <w:rPr/>
        <w:t>of</w:t>
      </w:r>
      <w:r>
        <w:rPr>
          <w:spacing w:val="-27"/>
        </w:rPr>
        <w:t> </w:t>
      </w:r>
      <w:r>
        <w:rPr/>
        <w:t>aggregation,</w:t>
      </w:r>
      <w:r>
        <w:rPr>
          <w:spacing w:val="-27"/>
        </w:rPr>
        <w:t> </w:t>
      </w:r>
      <w:r>
        <w:rPr/>
        <w:t>there</w:t>
      </w:r>
      <w:r>
        <w:rPr>
          <w:spacing w:val="-27"/>
        </w:rPr>
        <w:t> </w:t>
      </w:r>
      <w:r>
        <w:rPr/>
        <w:t>is</w:t>
      </w:r>
      <w:r>
        <w:rPr>
          <w:spacing w:val="-27"/>
        </w:rPr>
        <w:t> </w:t>
      </w:r>
      <w:r>
        <w:rPr/>
        <w:t>potential for</w:t>
      </w:r>
      <w:r>
        <w:rPr>
          <w:spacing w:val="-19"/>
        </w:rPr>
        <w:t> </w:t>
      </w:r>
      <w:r>
        <w:rPr/>
        <w:t>increased</w:t>
      </w:r>
      <w:r>
        <w:rPr>
          <w:spacing w:val="-19"/>
        </w:rPr>
        <w:t> </w:t>
      </w:r>
      <w:r>
        <w:rPr/>
        <w:t>savings</w:t>
      </w:r>
      <w:r>
        <w:rPr>
          <w:spacing w:val="-19"/>
        </w:rPr>
        <w:t> </w:t>
      </w:r>
      <w:r>
        <w:rPr/>
        <w:t>by</w:t>
      </w:r>
      <w:r>
        <w:rPr>
          <w:spacing w:val="-19"/>
        </w:rPr>
        <w:t> </w:t>
      </w:r>
      <w:r>
        <w:rPr/>
        <w:t>taking</w:t>
      </w:r>
      <w:r>
        <w:rPr>
          <w:spacing w:val="-19"/>
        </w:rPr>
        <w:t> </w:t>
      </w:r>
      <w:r>
        <w:rPr/>
        <w:t>a</w:t>
      </w:r>
      <w:r>
        <w:rPr>
          <w:spacing w:val="-19"/>
        </w:rPr>
        <w:t> </w:t>
      </w:r>
      <w:r>
        <w:rPr/>
        <w:t>consolidated whole-of-government</w:t>
      </w:r>
      <w:r>
        <w:rPr>
          <w:spacing w:val="-32"/>
        </w:rPr>
        <w:t> </w:t>
      </w:r>
      <w:r>
        <w:rPr/>
        <w:t>approach.</w:t>
      </w:r>
      <w:r>
        <w:rPr>
          <w:spacing w:val="-32"/>
        </w:rPr>
        <w:t> </w:t>
      </w:r>
      <w:r>
        <w:rPr/>
        <w:t>This</w:t>
      </w:r>
      <w:r>
        <w:rPr>
          <w:spacing w:val="-31"/>
        </w:rPr>
        <w:t> </w:t>
      </w:r>
      <w:r>
        <w:rPr/>
        <w:t>achieves better value-for-money</w:t>
      </w:r>
      <w:r>
        <w:rPr>
          <w:spacing w:val="-5"/>
        </w:rPr>
        <w:t> </w:t>
      </w:r>
      <w:r>
        <w:rPr/>
        <w:t>by:</w:t>
      </w:r>
    </w:p>
    <w:p>
      <w:pPr>
        <w:pStyle w:val="BodyText"/>
        <w:spacing w:before="4"/>
        <w:rPr>
          <w:sz w:val="23"/>
        </w:rPr>
      </w:pPr>
    </w:p>
    <w:p>
      <w:pPr>
        <w:pStyle w:val="BodyText"/>
        <w:spacing w:line="249" w:lineRule="auto"/>
        <w:ind w:left="1057" w:right="226" w:hanging="292"/>
      </w:pPr>
      <w:r>
        <w:rPr>
          <w:position w:val="-1"/>
        </w:rPr>
        <w:drawing>
          <wp:inline distT="0" distB="0" distL="0" distR="0">
            <wp:extent cx="125999" cy="125999"/>
            <wp:effectExtent l="0" t="0" r="0" b="0"/>
            <wp:docPr id="7" name="image32.png" descr=""/>
            <wp:cNvGraphicFramePr>
              <a:graphicFrameLocks noChangeAspect="1"/>
            </wp:cNvGraphicFramePr>
            <a:graphic>
              <a:graphicData uri="http://schemas.openxmlformats.org/drawingml/2006/picture">
                <pic:pic>
                  <pic:nvPicPr>
                    <pic:cNvPr id="8" name="image32.png"/>
                    <pic:cNvPicPr/>
                  </pic:nvPicPr>
                  <pic:blipFill>
                    <a:blip r:embed="rId48" cstate="print"/>
                    <a:stretch>
                      <a:fillRect/>
                    </a:stretch>
                  </pic:blipFill>
                  <pic:spPr>
                    <a:xfrm>
                      <a:off x="0" y="0"/>
                      <a:ext cx="125999" cy="125999"/>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7"/>
          <w:sz w:val="20"/>
        </w:rPr>
        <w:t> </w:t>
      </w:r>
      <w:r>
        <w:rPr/>
        <w:t>leveraging volumes and government’s significant</w:t>
      </w:r>
      <w:r>
        <w:rPr>
          <w:spacing w:val="-21"/>
        </w:rPr>
        <w:t> </w:t>
      </w:r>
      <w:r>
        <w:rPr/>
        <w:t>market</w:t>
      </w:r>
      <w:r>
        <w:rPr>
          <w:spacing w:val="-21"/>
        </w:rPr>
        <w:t> </w:t>
      </w:r>
      <w:r>
        <w:rPr/>
        <w:t>power</w:t>
      </w:r>
      <w:r>
        <w:rPr>
          <w:spacing w:val="-21"/>
        </w:rPr>
        <w:t> </w:t>
      </w:r>
      <w:r>
        <w:rPr/>
        <w:t>to</w:t>
      </w:r>
      <w:r>
        <w:rPr>
          <w:spacing w:val="-20"/>
        </w:rPr>
        <w:t> </w:t>
      </w:r>
      <w:r>
        <w:rPr/>
        <w:t>renegotiate</w:t>
      </w:r>
      <w:r>
        <w:rPr>
          <w:spacing w:val="-21"/>
        </w:rPr>
        <w:t> </w:t>
      </w:r>
      <w:r>
        <w:rPr>
          <w:spacing w:val="-3"/>
        </w:rPr>
        <w:t>better </w:t>
      </w:r>
      <w:r>
        <w:rPr/>
        <w:t>pricing with</w:t>
      </w:r>
      <w:r>
        <w:rPr>
          <w:spacing w:val="-3"/>
        </w:rPr>
        <w:t> </w:t>
      </w:r>
      <w:r>
        <w:rPr/>
        <w:t>suppliers;</w:t>
      </w:r>
    </w:p>
    <w:p>
      <w:pPr>
        <w:pStyle w:val="BodyText"/>
        <w:spacing w:line="249" w:lineRule="auto" w:before="3"/>
        <w:ind w:left="1057" w:right="264" w:hanging="292"/>
      </w:pPr>
      <w:r>
        <w:rPr>
          <w:position w:val="-2"/>
        </w:rPr>
        <w:drawing>
          <wp:inline distT="0" distB="0" distL="0" distR="0">
            <wp:extent cx="125999" cy="125999"/>
            <wp:effectExtent l="0" t="0" r="0" b="0"/>
            <wp:docPr id="9" name="image33.png" descr=""/>
            <wp:cNvGraphicFramePr>
              <a:graphicFrameLocks noChangeAspect="1"/>
            </wp:cNvGraphicFramePr>
            <a:graphic>
              <a:graphicData uri="http://schemas.openxmlformats.org/drawingml/2006/picture">
                <pic:pic>
                  <pic:nvPicPr>
                    <pic:cNvPr id="10" name="image33.png"/>
                    <pic:cNvPicPr/>
                  </pic:nvPicPr>
                  <pic:blipFill>
                    <a:blip r:embed="rId49"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identifying</w:t>
      </w:r>
      <w:r>
        <w:rPr>
          <w:spacing w:val="-30"/>
        </w:rPr>
        <w:t> </w:t>
      </w:r>
      <w:r>
        <w:rPr/>
        <w:t>opportunities</w:t>
      </w:r>
      <w:r>
        <w:rPr>
          <w:spacing w:val="-29"/>
        </w:rPr>
        <w:t> </w:t>
      </w:r>
      <w:r>
        <w:rPr/>
        <w:t>to</w:t>
      </w:r>
      <w:r>
        <w:rPr>
          <w:spacing w:val="-30"/>
        </w:rPr>
        <w:t> </w:t>
      </w:r>
      <w:r>
        <w:rPr/>
        <w:t>aggregate</w:t>
      </w:r>
      <w:r>
        <w:rPr>
          <w:spacing w:val="-29"/>
        </w:rPr>
        <w:t> </w:t>
      </w:r>
      <w:r>
        <w:rPr>
          <w:spacing w:val="-3"/>
        </w:rPr>
        <w:t>agency </w:t>
      </w:r>
      <w:r>
        <w:rPr/>
        <w:t>purchasing;</w:t>
      </w:r>
      <w:r>
        <w:rPr>
          <w:spacing w:val="-1"/>
        </w:rPr>
        <w:t> </w:t>
      </w:r>
      <w:r>
        <w:rPr/>
        <w:t>and</w:t>
      </w:r>
    </w:p>
    <w:p>
      <w:pPr>
        <w:pStyle w:val="BodyText"/>
        <w:spacing w:line="249" w:lineRule="auto" w:before="2"/>
        <w:ind w:left="1057" w:right="137" w:hanging="292"/>
      </w:pPr>
      <w:r>
        <w:rPr>
          <w:position w:val="-2"/>
        </w:rPr>
        <w:drawing>
          <wp:inline distT="0" distB="0" distL="0" distR="0">
            <wp:extent cx="125999" cy="125999"/>
            <wp:effectExtent l="0" t="0" r="0" b="0"/>
            <wp:docPr id="11" name="image33.png" descr=""/>
            <wp:cNvGraphicFramePr>
              <a:graphicFrameLocks noChangeAspect="1"/>
            </wp:cNvGraphicFramePr>
            <a:graphic>
              <a:graphicData uri="http://schemas.openxmlformats.org/drawingml/2006/picture">
                <pic:pic>
                  <pic:nvPicPr>
                    <pic:cNvPr id="12" name="image33.png"/>
                    <pic:cNvPicPr/>
                  </pic:nvPicPr>
                  <pic:blipFill>
                    <a:blip r:embed="rId49"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sharing</w:t>
      </w:r>
      <w:r>
        <w:rPr>
          <w:spacing w:val="-36"/>
        </w:rPr>
        <w:t> </w:t>
      </w:r>
      <w:r>
        <w:rPr/>
        <w:t>pricing</w:t>
      </w:r>
      <w:r>
        <w:rPr>
          <w:spacing w:val="-35"/>
        </w:rPr>
        <w:t> </w:t>
      </w:r>
      <w:r>
        <w:rPr/>
        <w:t>information</w:t>
      </w:r>
      <w:r>
        <w:rPr>
          <w:spacing w:val="-35"/>
        </w:rPr>
        <w:t> </w:t>
      </w:r>
      <w:r>
        <w:rPr/>
        <w:t>across</w:t>
      </w:r>
      <w:r>
        <w:rPr>
          <w:spacing w:val="-36"/>
        </w:rPr>
        <w:t> </w:t>
      </w:r>
      <w:r>
        <w:rPr/>
        <w:t>government to</w:t>
      </w:r>
      <w:r>
        <w:rPr>
          <w:spacing w:val="-17"/>
        </w:rPr>
        <w:t> </w:t>
      </w:r>
      <w:r>
        <w:rPr/>
        <w:t>ensure</w:t>
      </w:r>
      <w:r>
        <w:rPr>
          <w:spacing w:val="-17"/>
        </w:rPr>
        <w:t> </w:t>
      </w:r>
      <w:r>
        <w:rPr/>
        <w:t>agencies</w:t>
      </w:r>
      <w:r>
        <w:rPr>
          <w:spacing w:val="-17"/>
        </w:rPr>
        <w:t> </w:t>
      </w:r>
      <w:r>
        <w:rPr/>
        <w:t>always</w:t>
      </w:r>
      <w:r>
        <w:rPr>
          <w:spacing w:val="-17"/>
        </w:rPr>
        <w:t> </w:t>
      </w:r>
      <w:r>
        <w:rPr/>
        <w:t>pay</w:t>
      </w:r>
      <w:r>
        <w:rPr>
          <w:spacing w:val="-17"/>
        </w:rPr>
        <w:t> </w:t>
      </w:r>
      <w:r>
        <w:rPr/>
        <w:t>below</w:t>
      </w:r>
      <w:r>
        <w:rPr>
          <w:spacing w:val="-16"/>
        </w:rPr>
        <w:t> </w:t>
      </w:r>
      <w:r>
        <w:rPr/>
        <w:t>market rates.</w:t>
      </w:r>
    </w:p>
    <w:p>
      <w:pPr>
        <w:pStyle w:val="BodyText"/>
        <w:spacing w:before="2"/>
        <w:rPr>
          <w:sz w:val="23"/>
        </w:rPr>
      </w:pPr>
    </w:p>
    <w:p>
      <w:pPr>
        <w:pStyle w:val="BodyText"/>
        <w:spacing w:line="249" w:lineRule="auto"/>
        <w:ind w:left="765" w:right="-13"/>
      </w:pPr>
      <w:r>
        <w:rPr/>
        <w:t>Interagency collaboration through the Working Group, combined with the adoption of more sophisticated</w:t>
      </w:r>
      <w:r>
        <w:rPr>
          <w:spacing w:val="-42"/>
        </w:rPr>
        <w:t> </w:t>
      </w:r>
      <w:r>
        <w:rPr/>
        <w:t>expenditure</w:t>
      </w:r>
      <w:r>
        <w:rPr>
          <w:spacing w:val="-41"/>
        </w:rPr>
        <w:t> </w:t>
      </w:r>
      <w:r>
        <w:rPr/>
        <w:t>analytics</w:t>
      </w:r>
      <w:r>
        <w:rPr>
          <w:spacing w:val="-41"/>
        </w:rPr>
        <w:t> </w:t>
      </w:r>
      <w:r>
        <w:rPr/>
        <w:t>by</w:t>
      </w:r>
      <w:r>
        <w:rPr>
          <w:spacing w:val="-42"/>
        </w:rPr>
        <w:t> </w:t>
      </w:r>
      <w:r>
        <w:rPr/>
        <w:t>Government Procurement,</w:t>
      </w:r>
      <w:r>
        <w:rPr>
          <w:spacing w:val="-21"/>
        </w:rPr>
        <w:t> </w:t>
      </w:r>
      <w:r>
        <w:rPr/>
        <w:t>will</w:t>
      </w:r>
      <w:r>
        <w:rPr>
          <w:spacing w:val="-21"/>
        </w:rPr>
        <w:t> </w:t>
      </w:r>
      <w:r>
        <w:rPr/>
        <w:t>provide</w:t>
      </w:r>
      <w:r>
        <w:rPr>
          <w:spacing w:val="-21"/>
        </w:rPr>
        <w:t> </w:t>
      </w:r>
      <w:r>
        <w:rPr/>
        <w:t>agencies</w:t>
      </w:r>
      <w:r>
        <w:rPr>
          <w:spacing w:val="-20"/>
        </w:rPr>
        <w:t> </w:t>
      </w:r>
      <w:r>
        <w:rPr/>
        <w:t>with</w:t>
      </w:r>
      <w:r>
        <w:rPr>
          <w:spacing w:val="-21"/>
        </w:rPr>
        <w:t> </w:t>
      </w:r>
      <w:r>
        <w:rPr/>
        <w:t>improved insight</w:t>
      </w:r>
      <w:r>
        <w:rPr>
          <w:spacing w:val="-21"/>
        </w:rPr>
        <w:t> </w:t>
      </w:r>
      <w:r>
        <w:rPr/>
        <w:t>into</w:t>
      </w:r>
      <w:r>
        <w:rPr>
          <w:spacing w:val="-22"/>
        </w:rPr>
        <w:t> </w:t>
      </w:r>
      <w:r>
        <w:rPr/>
        <w:t>buyer</w:t>
      </w:r>
      <w:r>
        <w:rPr>
          <w:spacing w:val="-21"/>
        </w:rPr>
        <w:t> </w:t>
      </w:r>
      <w:r>
        <w:rPr/>
        <w:t>behaviour</w:t>
      </w:r>
      <w:r>
        <w:rPr>
          <w:spacing w:val="-21"/>
        </w:rPr>
        <w:t> </w:t>
      </w:r>
      <w:r>
        <w:rPr/>
        <w:t>as</w:t>
      </w:r>
      <w:r>
        <w:rPr>
          <w:spacing w:val="-21"/>
        </w:rPr>
        <w:t> </w:t>
      </w:r>
      <w:r>
        <w:rPr/>
        <w:t>well</w:t>
      </w:r>
      <w:r>
        <w:rPr>
          <w:spacing w:val="-21"/>
        </w:rPr>
        <w:t> </w:t>
      </w:r>
      <w:r>
        <w:rPr/>
        <w:t>as</w:t>
      </w:r>
      <w:r>
        <w:rPr>
          <w:spacing w:val="-21"/>
        </w:rPr>
        <w:t> </w:t>
      </w:r>
      <w:r>
        <w:rPr/>
        <w:t>highlighting best practice and opportunities for better procurement</w:t>
      </w:r>
      <w:r>
        <w:rPr>
          <w:spacing w:val="-21"/>
        </w:rPr>
        <w:t> </w:t>
      </w:r>
      <w:r>
        <w:rPr/>
        <w:t>outcomes.</w:t>
      </w:r>
      <w:r>
        <w:rPr>
          <w:spacing w:val="-20"/>
        </w:rPr>
        <w:t> </w:t>
      </w:r>
      <w:r>
        <w:rPr/>
        <w:t>Other</w:t>
      </w:r>
      <w:r>
        <w:rPr>
          <w:spacing w:val="-20"/>
        </w:rPr>
        <w:t> </w:t>
      </w:r>
      <w:r>
        <w:rPr/>
        <w:t>benefits</w:t>
      </w:r>
      <w:r>
        <w:rPr>
          <w:spacing w:val="-20"/>
        </w:rPr>
        <w:t> </w:t>
      </w:r>
      <w:r>
        <w:rPr/>
        <w:t>include</w:t>
      </w:r>
      <w:r>
        <w:rPr>
          <w:spacing w:val="-20"/>
        </w:rPr>
        <w:t> </w:t>
      </w:r>
      <w:r>
        <w:rPr/>
        <w:t>the potential to aggregate services across agencies, analysis of market trends, and opportunities for agencies</w:t>
      </w:r>
      <w:r>
        <w:rPr>
          <w:spacing w:val="-10"/>
        </w:rPr>
        <w:t> </w:t>
      </w:r>
      <w:r>
        <w:rPr/>
        <w:t>to</w:t>
      </w:r>
      <w:r>
        <w:rPr>
          <w:spacing w:val="-9"/>
        </w:rPr>
        <w:t> </w:t>
      </w:r>
      <w:r>
        <w:rPr/>
        <w:t>leverage</w:t>
      </w:r>
      <w:r>
        <w:rPr>
          <w:spacing w:val="-9"/>
        </w:rPr>
        <w:t> </w:t>
      </w:r>
      <w:r>
        <w:rPr/>
        <w:t>each</w:t>
      </w:r>
      <w:r>
        <w:rPr>
          <w:spacing w:val="-9"/>
        </w:rPr>
        <w:t> </w:t>
      </w:r>
      <w:r>
        <w:rPr/>
        <w:t>others’</w:t>
      </w:r>
      <w:r>
        <w:rPr>
          <w:spacing w:val="-9"/>
        </w:rPr>
        <w:t> </w:t>
      </w:r>
      <w:r>
        <w:rPr/>
        <w:t>expertise.</w:t>
      </w:r>
    </w:p>
    <w:p>
      <w:pPr>
        <w:pStyle w:val="BodyText"/>
        <w:spacing w:line="249" w:lineRule="auto" w:before="108"/>
        <w:ind w:left="385" w:right="300"/>
      </w:pPr>
      <w:r>
        <w:rPr/>
        <w:br w:type="column"/>
      </w:r>
      <w:r>
        <w:rPr/>
        <w:t>The Department of Finance has worked collaboratively with the Department of Jobs, </w:t>
      </w:r>
      <w:r>
        <w:rPr>
          <w:spacing w:val="-4"/>
        </w:rPr>
        <w:t>Tourism,</w:t>
      </w:r>
      <w:r>
        <w:rPr>
          <w:spacing w:val="-35"/>
        </w:rPr>
        <w:t> </w:t>
      </w:r>
      <w:r>
        <w:rPr/>
        <w:t>Science</w:t>
      </w:r>
      <w:r>
        <w:rPr>
          <w:spacing w:val="-34"/>
        </w:rPr>
        <w:t> </w:t>
      </w:r>
      <w:r>
        <w:rPr/>
        <w:t>and</w:t>
      </w:r>
      <w:r>
        <w:rPr>
          <w:spacing w:val="-35"/>
        </w:rPr>
        <w:t> </w:t>
      </w:r>
      <w:r>
        <w:rPr/>
        <w:t>Innovation</w:t>
      </w:r>
      <w:r>
        <w:rPr>
          <w:spacing w:val="-34"/>
        </w:rPr>
        <w:t> </w:t>
      </w:r>
      <w:r>
        <w:rPr/>
        <w:t>(JTSI)</w:t>
      </w:r>
      <w:r>
        <w:rPr>
          <w:spacing w:val="-35"/>
        </w:rPr>
        <w:t> </w:t>
      </w:r>
      <w:r>
        <w:rPr/>
        <w:t>this</w:t>
      </w:r>
      <w:r>
        <w:rPr>
          <w:spacing w:val="-34"/>
        </w:rPr>
        <w:t> </w:t>
      </w:r>
      <w:r>
        <w:rPr>
          <w:spacing w:val="-5"/>
        </w:rPr>
        <w:t>year </w:t>
      </w:r>
      <w:r>
        <w:rPr/>
        <w:t>to</w:t>
      </w:r>
      <w:r>
        <w:rPr>
          <w:spacing w:val="-16"/>
        </w:rPr>
        <w:t> </w:t>
      </w:r>
      <w:r>
        <w:rPr/>
        <w:t>progress</w:t>
      </w:r>
      <w:r>
        <w:rPr>
          <w:spacing w:val="-16"/>
        </w:rPr>
        <w:t> </w:t>
      </w:r>
      <w:r>
        <w:rPr/>
        <w:t>the</w:t>
      </w:r>
      <w:r>
        <w:rPr>
          <w:spacing w:val="-16"/>
        </w:rPr>
        <w:t> </w:t>
      </w:r>
      <w:r>
        <w:rPr/>
        <w:t>implementation</w:t>
      </w:r>
      <w:r>
        <w:rPr>
          <w:spacing w:val="-16"/>
        </w:rPr>
        <w:t> </w:t>
      </w:r>
      <w:r>
        <w:rPr/>
        <w:t>of</w:t>
      </w:r>
      <w:r>
        <w:rPr>
          <w:spacing w:val="-16"/>
        </w:rPr>
        <w:t> </w:t>
      </w:r>
      <w:r>
        <w:rPr/>
        <w:t>the</w:t>
      </w:r>
      <w:r>
        <w:rPr>
          <w:spacing w:val="-16"/>
        </w:rPr>
        <w:t> </w:t>
      </w:r>
      <w:r>
        <w:rPr>
          <w:i/>
        </w:rPr>
        <w:t>Western </w:t>
      </w:r>
      <w:r>
        <w:rPr>
          <w:i/>
        </w:rPr>
        <w:t>Australian Jobs Act 2017 </w:t>
      </w:r>
      <w:r>
        <w:rPr/>
        <w:t>and the Western Australian Industry Participation</w:t>
      </w:r>
      <w:r>
        <w:rPr>
          <w:spacing w:val="-33"/>
        </w:rPr>
        <w:t> </w:t>
      </w:r>
      <w:r>
        <w:rPr>
          <w:spacing w:val="-3"/>
        </w:rPr>
        <w:t>Strategy.</w:t>
      </w:r>
    </w:p>
    <w:p>
      <w:pPr>
        <w:pStyle w:val="BodyText"/>
        <w:spacing w:before="5"/>
        <w:rPr>
          <w:sz w:val="23"/>
        </w:rPr>
      </w:pPr>
    </w:p>
    <w:p>
      <w:pPr>
        <w:pStyle w:val="BodyText"/>
        <w:spacing w:line="249" w:lineRule="auto"/>
        <w:ind w:left="385" w:right="15"/>
      </w:pPr>
      <w:r>
        <w:rPr/>
        <w:t>Representatives from Government Procurement and Building Management and Works are members</w:t>
      </w:r>
      <w:r>
        <w:rPr>
          <w:spacing w:val="-19"/>
        </w:rPr>
        <w:t> </w:t>
      </w:r>
      <w:r>
        <w:rPr/>
        <w:t>of</w:t>
      </w:r>
      <w:r>
        <w:rPr>
          <w:spacing w:val="-19"/>
        </w:rPr>
        <w:t> </w:t>
      </w:r>
      <w:r>
        <w:rPr/>
        <w:t>a</w:t>
      </w:r>
      <w:r>
        <w:rPr>
          <w:spacing w:val="-18"/>
        </w:rPr>
        <w:t> </w:t>
      </w:r>
      <w:r>
        <w:rPr/>
        <w:t>working</w:t>
      </w:r>
      <w:r>
        <w:rPr>
          <w:spacing w:val="-19"/>
        </w:rPr>
        <w:t> </w:t>
      </w:r>
      <w:r>
        <w:rPr/>
        <w:t>group</w:t>
      </w:r>
      <w:r>
        <w:rPr>
          <w:spacing w:val="-18"/>
        </w:rPr>
        <w:t> </w:t>
      </w:r>
      <w:r>
        <w:rPr/>
        <w:t>(led</w:t>
      </w:r>
      <w:r>
        <w:rPr>
          <w:spacing w:val="-19"/>
        </w:rPr>
        <w:t> </w:t>
      </w:r>
      <w:r>
        <w:rPr/>
        <w:t>by</w:t>
      </w:r>
      <w:r>
        <w:rPr>
          <w:spacing w:val="-19"/>
        </w:rPr>
        <w:t> </w:t>
      </w:r>
      <w:r>
        <w:rPr/>
        <w:t>JTSI)</w:t>
      </w:r>
      <w:r>
        <w:rPr>
          <w:spacing w:val="-18"/>
        </w:rPr>
        <w:t> </w:t>
      </w:r>
      <w:r>
        <w:rPr>
          <w:spacing w:val="-3"/>
        </w:rPr>
        <w:t>charged </w:t>
      </w:r>
      <w:r>
        <w:rPr/>
        <w:t>with establishing an implementation strategy including</w:t>
      </w:r>
      <w:r>
        <w:rPr>
          <w:spacing w:val="-16"/>
        </w:rPr>
        <w:t> </w:t>
      </w:r>
      <w:r>
        <w:rPr/>
        <w:t>the</w:t>
      </w:r>
      <w:r>
        <w:rPr>
          <w:spacing w:val="-15"/>
        </w:rPr>
        <w:t> </w:t>
      </w:r>
      <w:r>
        <w:rPr/>
        <w:t>development</w:t>
      </w:r>
      <w:r>
        <w:rPr>
          <w:spacing w:val="-15"/>
        </w:rPr>
        <w:t> </w:t>
      </w:r>
      <w:r>
        <w:rPr/>
        <w:t>of</w:t>
      </w:r>
      <w:r>
        <w:rPr>
          <w:spacing w:val="-15"/>
        </w:rPr>
        <w:t> </w:t>
      </w:r>
      <w:r>
        <w:rPr/>
        <w:t>supporting</w:t>
      </w:r>
      <w:r>
        <w:rPr>
          <w:spacing w:val="-15"/>
        </w:rPr>
        <w:t> </w:t>
      </w:r>
      <w:r>
        <w:rPr/>
        <w:t>tools</w:t>
      </w:r>
      <w:r>
        <w:rPr>
          <w:spacing w:val="-15"/>
        </w:rPr>
        <w:t> </w:t>
      </w:r>
      <w:r>
        <w:rPr/>
        <w:t>and guides.</w:t>
      </w:r>
    </w:p>
    <w:p>
      <w:pPr>
        <w:pStyle w:val="BodyText"/>
        <w:spacing w:before="5"/>
        <w:rPr>
          <w:sz w:val="23"/>
        </w:rPr>
      </w:pPr>
    </w:p>
    <w:p>
      <w:pPr>
        <w:pStyle w:val="BodyText"/>
        <w:spacing w:line="249" w:lineRule="auto"/>
        <w:ind w:left="385"/>
      </w:pPr>
      <w:r>
        <w:rPr/>
        <w:t>The</w:t>
      </w:r>
      <w:r>
        <w:rPr>
          <w:spacing w:val="-40"/>
        </w:rPr>
        <w:t> </w:t>
      </w:r>
      <w:r>
        <w:rPr/>
        <w:t>Department</w:t>
      </w:r>
      <w:r>
        <w:rPr>
          <w:spacing w:val="-40"/>
        </w:rPr>
        <w:t> </w:t>
      </w:r>
      <w:r>
        <w:rPr/>
        <w:t>of</w:t>
      </w:r>
      <w:r>
        <w:rPr>
          <w:spacing w:val="-40"/>
        </w:rPr>
        <w:t> </w:t>
      </w:r>
      <w:r>
        <w:rPr/>
        <w:t>Primary</w:t>
      </w:r>
      <w:r>
        <w:rPr>
          <w:spacing w:val="-40"/>
        </w:rPr>
        <w:t> </w:t>
      </w:r>
      <w:r>
        <w:rPr/>
        <w:t>Industries</w:t>
      </w:r>
      <w:r>
        <w:rPr>
          <w:spacing w:val="-40"/>
        </w:rPr>
        <w:t> </w:t>
      </w:r>
      <w:r>
        <w:rPr/>
        <w:t>and</w:t>
      </w:r>
      <w:r>
        <w:rPr>
          <w:spacing w:val="-40"/>
        </w:rPr>
        <w:t> </w:t>
      </w:r>
      <w:r>
        <w:rPr/>
        <w:t>Regional Development appointed </w:t>
      </w:r>
      <w:r>
        <w:rPr>
          <w:spacing w:val="-3"/>
        </w:rPr>
        <w:t>regionally-based </w:t>
      </w:r>
      <w:r>
        <w:rPr/>
        <w:t>Local Content</w:t>
      </w:r>
      <w:r>
        <w:rPr>
          <w:spacing w:val="-35"/>
        </w:rPr>
        <w:t> </w:t>
      </w:r>
      <w:r>
        <w:rPr/>
        <w:t>Advisors</w:t>
      </w:r>
      <w:r>
        <w:rPr>
          <w:spacing w:val="-35"/>
        </w:rPr>
        <w:t> </w:t>
      </w:r>
      <w:r>
        <w:rPr/>
        <w:t>to</w:t>
      </w:r>
      <w:r>
        <w:rPr>
          <w:spacing w:val="-34"/>
        </w:rPr>
        <w:t> </w:t>
      </w:r>
      <w:r>
        <w:rPr/>
        <w:t>support</w:t>
      </w:r>
      <w:r>
        <w:rPr>
          <w:spacing w:val="-35"/>
        </w:rPr>
        <w:t> </w:t>
      </w:r>
      <w:r>
        <w:rPr/>
        <w:t>the</w:t>
      </w:r>
      <w:r>
        <w:rPr>
          <w:spacing w:val="-34"/>
        </w:rPr>
        <w:t> </w:t>
      </w:r>
      <w:r>
        <w:rPr/>
        <w:t>Western</w:t>
      </w:r>
      <w:r>
        <w:rPr>
          <w:spacing w:val="-35"/>
        </w:rPr>
        <w:t> </w:t>
      </w:r>
      <w:r>
        <w:rPr/>
        <w:t>Australian Industry Participation </w:t>
      </w:r>
      <w:r>
        <w:rPr>
          <w:spacing w:val="-4"/>
        </w:rPr>
        <w:t>Strategy. </w:t>
      </w:r>
      <w:r>
        <w:rPr/>
        <w:t>Each </w:t>
      </w:r>
      <w:r>
        <w:rPr>
          <w:spacing w:val="-5"/>
        </w:rPr>
        <w:t>quarter, </w:t>
      </w:r>
      <w:r>
        <w:rPr/>
        <w:t>Government </w:t>
      </w:r>
      <w:r>
        <w:rPr>
          <w:spacing w:val="-3"/>
        </w:rPr>
        <w:t>Procurement provides </w:t>
      </w:r>
      <w:r>
        <w:rPr/>
        <w:t>State-wide </w:t>
      </w:r>
      <w:r>
        <w:rPr>
          <w:spacing w:val="-3"/>
        </w:rPr>
        <w:t>reports </w:t>
      </w:r>
      <w:r>
        <w:rPr/>
        <w:t>on the </w:t>
      </w:r>
      <w:r>
        <w:rPr>
          <w:spacing w:val="-3"/>
        </w:rPr>
        <w:t>proportion </w:t>
      </w:r>
      <w:r>
        <w:rPr/>
        <w:t>of contracts</w:t>
      </w:r>
      <w:r>
        <w:rPr>
          <w:spacing w:val="-41"/>
        </w:rPr>
        <w:t> </w:t>
      </w:r>
      <w:r>
        <w:rPr>
          <w:spacing w:val="-3"/>
        </w:rPr>
        <w:t>awarded</w:t>
      </w:r>
    </w:p>
    <w:p>
      <w:pPr>
        <w:pStyle w:val="BodyText"/>
        <w:spacing w:line="249" w:lineRule="auto" w:before="5"/>
        <w:ind w:left="385"/>
      </w:pPr>
      <w:r>
        <w:rPr/>
        <w:t>to suppliers inside or outside each </w:t>
      </w:r>
      <w:r>
        <w:rPr>
          <w:spacing w:val="-3"/>
        </w:rPr>
        <w:t>region. </w:t>
      </w:r>
      <w:r>
        <w:rPr/>
        <w:t>These </w:t>
      </w:r>
      <w:r>
        <w:rPr>
          <w:spacing w:val="-3"/>
        </w:rPr>
        <w:t>reports</w:t>
      </w:r>
      <w:r>
        <w:rPr>
          <w:spacing w:val="-27"/>
        </w:rPr>
        <w:t> </w:t>
      </w:r>
      <w:r>
        <w:rPr/>
        <w:t>enable</w:t>
      </w:r>
      <w:r>
        <w:rPr>
          <w:spacing w:val="-27"/>
        </w:rPr>
        <w:t> </w:t>
      </w:r>
      <w:r>
        <w:rPr/>
        <w:t>a</w:t>
      </w:r>
      <w:r>
        <w:rPr>
          <w:spacing w:val="-27"/>
        </w:rPr>
        <w:t> </w:t>
      </w:r>
      <w:r>
        <w:rPr/>
        <w:t>better</w:t>
      </w:r>
      <w:r>
        <w:rPr>
          <w:spacing w:val="-27"/>
        </w:rPr>
        <w:t> </w:t>
      </w:r>
      <w:r>
        <w:rPr/>
        <w:t>understanding</w:t>
      </w:r>
      <w:r>
        <w:rPr>
          <w:spacing w:val="-26"/>
        </w:rPr>
        <w:t> </w:t>
      </w:r>
      <w:r>
        <w:rPr/>
        <w:t>of</w:t>
      </w:r>
      <w:r>
        <w:rPr>
          <w:spacing w:val="-27"/>
        </w:rPr>
        <w:t> </w:t>
      </w:r>
      <w:r>
        <w:rPr/>
        <w:t>the</w:t>
      </w:r>
      <w:r>
        <w:rPr>
          <w:spacing w:val="-27"/>
        </w:rPr>
        <w:t> </w:t>
      </w:r>
      <w:r>
        <w:rPr/>
        <w:t>factors that</w:t>
      </w:r>
      <w:r>
        <w:rPr>
          <w:spacing w:val="-23"/>
        </w:rPr>
        <w:t> </w:t>
      </w:r>
      <w:r>
        <w:rPr/>
        <w:t>lead</w:t>
      </w:r>
      <w:r>
        <w:rPr>
          <w:spacing w:val="-22"/>
        </w:rPr>
        <w:t> </w:t>
      </w:r>
      <w:r>
        <w:rPr/>
        <w:t>to</w:t>
      </w:r>
      <w:r>
        <w:rPr>
          <w:spacing w:val="-23"/>
        </w:rPr>
        <w:t> </w:t>
      </w:r>
      <w:r>
        <w:rPr/>
        <w:t>the</w:t>
      </w:r>
      <w:r>
        <w:rPr>
          <w:spacing w:val="-22"/>
        </w:rPr>
        <w:t> </w:t>
      </w:r>
      <w:r>
        <w:rPr/>
        <w:t>appointment</w:t>
      </w:r>
      <w:r>
        <w:rPr>
          <w:spacing w:val="-23"/>
        </w:rPr>
        <w:t> </w:t>
      </w:r>
      <w:r>
        <w:rPr/>
        <w:t>of</w:t>
      </w:r>
      <w:r>
        <w:rPr>
          <w:spacing w:val="-22"/>
        </w:rPr>
        <w:t> </w:t>
      </w:r>
      <w:r>
        <w:rPr/>
        <w:t>contractors</w:t>
      </w:r>
      <w:r>
        <w:rPr>
          <w:spacing w:val="-23"/>
        </w:rPr>
        <w:t> </w:t>
      </w:r>
      <w:r>
        <w:rPr/>
        <w:t>internal or external to a </w:t>
      </w:r>
      <w:r>
        <w:rPr>
          <w:spacing w:val="-3"/>
        </w:rPr>
        <w:t>region, </w:t>
      </w:r>
      <w:r>
        <w:rPr/>
        <w:t>and </w:t>
      </w:r>
      <w:r>
        <w:rPr>
          <w:spacing w:val="-3"/>
        </w:rPr>
        <w:t>are </w:t>
      </w:r>
      <w:r>
        <w:rPr/>
        <w:t>expected to help Local Content Advisors </w:t>
      </w:r>
      <w:r>
        <w:rPr>
          <w:spacing w:val="-3"/>
        </w:rPr>
        <w:t>increase </w:t>
      </w:r>
      <w:r>
        <w:rPr/>
        <w:t>the level of local industry participation over</w:t>
      </w:r>
      <w:r>
        <w:rPr>
          <w:spacing w:val="-21"/>
        </w:rPr>
        <w:t> </w:t>
      </w:r>
      <w:r>
        <w:rPr/>
        <w:t>time.</w:t>
      </w:r>
    </w:p>
    <w:p>
      <w:pPr>
        <w:pStyle w:val="BodyText"/>
        <w:spacing w:before="5"/>
        <w:rPr>
          <w:sz w:val="23"/>
        </w:rPr>
      </w:pPr>
    </w:p>
    <w:p>
      <w:pPr>
        <w:pStyle w:val="BodyText"/>
        <w:spacing w:line="249" w:lineRule="auto"/>
        <w:ind w:left="385" w:right="570"/>
      </w:pPr>
      <w:r>
        <w:rPr/>
        <w:t>The</w:t>
      </w:r>
      <w:r>
        <w:rPr>
          <w:spacing w:val="-38"/>
        </w:rPr>
        <w:t> </w:t>
      </w:r>
      <w:r>
        <w:rPr/>
        <w:t>2017</w:t>
      </w:r>
      <w:r>
        <w:rPr>
          <w:spacing w:val="-37"/>
        </w:rPr>
        <w:t> </w:t>
      </w:r>
      <w:r>
        <w:rPr/>
        <w:t>Machinery</w:t>
      </w:r>
      <w:r>
        <w:rPr>
          <w:spacing w:val="-37"/>
        </w:rPr>
        <w:t> </w:t>
      </w:r>
      <w:r>
        <w:rPr/>
        <w:t>of</w:t>
      </w:r>
      <w:r>
        <w:rPr>
          <w:spacing w:val="-37"/>
        </w:rPr>
        <w:t> </w:t>
      </w:r>
      <w:r>
        <w:rPr/>
        <w:t>Government</w:t>
      </w:r>
      <w:r>
        <w:rPr>
          <w:spacing w:val="-38"/>
        </w:rPr>
        <w:t> </w:t>
      </w:r>
      <w:r>
        <w:rPr/>
        <w:t>changes to</w:t>
      </w:r>
      <w:r>
        <w:rPr>
          <w:spacing w:val="-12"/>
        </w:rPr>
        <w:t> </w:t>
      </w:r>
      <w:r>
        <w:rPr/>
        <w:t>the</w:t>
      </w:r>
      <w:r>
        <w:rPr>
          <w:spacing w:val="-12"/>
        </w:rPr>
        <w:t> </w:t>
      </w:r>
      <w:r>
        <w:rPr/>
        <w:t>public</w:t>
      </w:r>
      <w:r>
        <w:rPr>
          <w:spacing w:val="-11"/>
        </w:rPr>
        <w:t> </w:t>
      </w:r>
      <w:r>
        <w:rPr/>
        <w:t>sector</w:t>
      </w:r>
      <w:r>
        <w:rPr>
          <w:spacing w:val="-12"/>
        </w:rPr>
        <w:t> </w:t>
      </w:r>
      <w:r>
        <w:rPr>
          <w:spacing w:val="-3"/>
        </w:rPr>
        <w:t>provided</w:t>
      </w:r>
      <w:r>
        <w:rPr>
          <w:spacing w:val="-11"/>
        </w:rPr>
        <w:t> </w:t>
      </w:r>
      <w:r>
        <w:rPr/>
        <w:t>an</w:t>
      </w:r>
      <w:r>
        <w:rPr>
          <w:spacing w:val="-12"/>
        </w:rPr>
        <w:t> </w:t>
      </w:r>
      <w:r>
        <w:rPr/>
        <w:t>important</w:t>
      </w:r>
    </w:p>
    <w:p>
      <w:pPr>
        <w:pStyle w:val="BodyText"/>
        <w:spacing w:line="249" w:lineRule="auto" w:before="2"/>
        <w:ind w:left="385" w:right="15"/>
      </w:pPr>
      <w:r>
        <w:rPr/>
        <w:t>opportunity</w:t>
      </w:r>
      <w:r>
        <w:rPr>
          <w:spacing w:val="-28"/>
        </w:rPr>
        <w:t> </w:t>
      </w:r>
      <w:r>
        <w:rPr/>
        <w:t>for</w:t>
      </w:r>
      <w:r>
        <w:rPr>
          <w:spacing w:val="-28"/>
        </w:rPr>
        <w:t> </w:t>
      </w:r>
      <w:r>
        <w:rPr/>
        <w:t>the</w:t>
      </w:r>
      <w:r>
        <w:rPr>
          <w:spacing w:val="-27"/>
        </w:rPr>
        <w:t> </w:t>
      </w:r>
      <w:r>
        <w:rPr/>
        <w:t>Department</w:t>
      </w:r>
      <w:r>
        <w:rPr>
          <w:spacing w:val="-28"/>
        </w:rPr>
        <w:t> </w:t>
      </w:r>
      <w:r>
        <w:rPr/>
        <w:t>to</w:t>
      </w:r>
      <w:r>
        <w:rPr>
          <w:spacing w:val="-27"/>
        </w:rPr>
        <w:t> </w:t>
      </w:r>
      <w:r>
        <w:rPr/>
        <w:t>use</w:t>
      </w:r>
      <w:r>
        <w:rPr>
          <w:spacing w:val="-28"/>
        </w:rPr>
        <w:t> </w:t>
      </w:r>
      <w:r>
        <w:rPr/>
        <w:t>its</w:t>
      </w:r>
      <w:r>
        <w:rPr>
          <w:spacing w:val="-28"/>
        </w:rPr>
        <w:t> </w:t>
      </w:r>
      <w:r>
        <w:rPr/>
        <w:t>expertise in </w:t>
      </w:r>
      <w:r>
        <w:rPr>
          <w:spacing w:val="-3"/>
        </w:rPr>
        <w:t>procurement </w:t>
      </w:r>
      <w:r>
        <w:rPr/>
        <w:t>and asset management to </w:t>
      </w:r>
      <w:r>
        <w:rPr>
          <w:spacing w:val="-2"/>
        </w:rPr>
        <w:t>assist </w:t>
      </w:r>
      <w:r>
        <w:rPr>
          <w:spacing w:val="-3"/>
        </w:rPr>
        <w:t>affected</w:t>
      </w:r>
      <w:r>
        <w:rPr>
          <w:spacing w:val="-5"/>
        </w:rPr>
        <w:t> </w:t>
      </w:r>
      <w:r>
        <w:rPr/>
        <w:t>agencies.</w:t>
      </w:r>
    </w:p>
    <w:p>
      <w:pPr>
        <w:spacing w:line="249" w:lineRule="auto" w:before="108"/>
        <w:ind w:left="387" w:right="1307" w:firstLine="0"/>
        <w:jc w:val="left"/>
        <w:rPr>
          <w:sz w:val="22"/>
        </w:rPr>
      </w:pPr>
      <w:r>
        <w:rPr/>
        <w:br w:type="column"/>
      </w:r>
      <w:r>
        <w:rPr>
          <w:b/>
          <w:sz w:val="22"/>
        </w:rPr>
        <w:t>Building Management and Works </w:t>
      </w:r>
      <w:r>
        <w:rPr>
          <w:sz w:val="22"/>
        </w:rPr>
        <w:t>provided each newly formed agency with office</w:t>
      </w:r>
      <w:r>
        <w:rPr>
          <w:spacing w:val="-27"/>
          <w:sz w:val="22"/>
        </w:rPr>
        <w:t> </w:t>
      </w:r>
      <w:r>
        <w:rPr>
          <w:sz w:val="22"/>
        </w:rPr>
        <w:t>accommodation</w:t>
      </w:r>
      <w:r>
        <w:rPr>
          <w:spacing w:val="-27"/>
          <w:sz w:val="22"/>
        </w:rPr>
        <w:t> </w:t>
      </w:r>
      <w:r>
        <w:rPr>
          <w:sz w:val="22"/>
        </w:rPr>
        <w:t>and</w:t>
      </w:r>
      <w:r>
        <w:rPr>
          <w:spacing w:val="-27"/>
          <w:sz w:val="22"/>
        </w:rPr>
        <w:t> </w:t>
      </w:r>
      <w:r>
        <w:rPr>
          <w:sz w:val="22"/>
        </w:rPr>
        <w:t>operational</w:t>
      </w:r>
      <w:r>
        <w:rPr>
          <w:spacing w:val="-26"/>
          <w:sz w:val="22"/>
        </w:rPr>
        <w:t> </w:t>
      </w:r>
      <w:r>
        <w:rPr>
          <w:spacing w:val="-3"/>
          <w:sz w:val="22"/>
        </w:rPr>
        <w:t>facility</w:t>
      </w:r>
    </w:p>
    <w:p>
      <w:pPr>
        <w:pStyle w:val="BodyText"/>
        <w:spacing w:line="249" w:lineRule="auto" w:before="3"/>
        <w:ind w:left="387" w:right="1151"/>
      </w:pPr>
      <w:r>
        <w:rPr/>
        <w:pict>
          <v:group style="position:absolute;margin-left:601.348999pt;margin-top:-146.244232pt;width:240.7pt;height:113.35pt;mso-position-horizontal-relative:page;mso-position-vertical-relative:paragraph;z-index:-708544" coordorigin="12027,-2925" coordsize="4814,2267">
            <v:shape style="position:absolute;left:2923;top:19497;width:1992;height:2262" coordorigin="2923,19498" coordsize="1992,2262" path="m16810,-2922l16838,-2895m16700,-2922l16838,-2784m16589,-2922l16838,-2674m16479,-2922l16838,-2564m16369,-2922l16838,-2453m16258,-2922l16838,-2343m16148,-2922l16838,-2233m16038,-2922l16838,-2122m15927,-2922l16838,-2012m15817,-2922l16838,-1902m15707,-2922l16838,-1791m15596,-2922l16838,-1681m15486,-2922l16838,-1571m15376,-2922l16838,-1460m15265,-2922l16838,-1350m15155,-2922l16838,-1240m15045,-2922l16838,-1129m14934,-2922l16838,-1019m14895,-2852l16838,-908m14875,-2760l16838,-798m14861,-2665l16838,-688m14851,-2564l16750,-666m14846,-2458l16644,-661m14849,-2346l16531,-664m14859,-2226l16411,-674m14879,-2094l16279,-694m14914,-1949l16134,-729m14971,-1782l15967,-786m15071,-1572l15757,-886e" filled="false" stroked="true" strokeweight=".25pt" strokecolor="#aebd37">
              <v:path arrowok="t"/>
              <v:stroke dashstyle="solid"/>
            </v:shape>
            <v:shape style="position:absolute;left:20;top:118;width:1781;height:1396" coordorigin="20,118" coordsize="1781,1396" path="m14228,-1645l13900,-1974m14421,-1563l13818,-2166m14560,-1534l13789,-2305m14678,-1527l13781,-2423m14781,-1534l13789,-2526m14875,-1550l13805,-2620m14961,-1574l13830,-2706m15040,-1606l13861,-2785m15113,-1644l13898,-2858m15180,-1686l13944,-2922m15243,-1734l14055,-2922m15300,-1787l14165,-2922m15353,-1844l14275,-2922m15401,-1907l14386,-2922m15444,-1974l14496,-2922m15482,-2047l14606,-2922m15513,-2126l14717,-2922m15538,-2212l14827,-2922m15555,-2305l14937,-2922m15562,-2408l15048,-2922m15556,-2525l15158,-2922m15526,-2664l15268,-2922m15449,-2852l15379,-2922e" filled="false" stroked="true" strokeweight=".25pt" strokecolor="#6f2770">
              <v:path arrowok="t"/>
              <v:stroke dashstyle="solid"/>
            </v:shape>
            <v:rect style="position:absolute;left:12026;top:-2923;width:2406;height:851" filled="true" fillcolor="#c3acc4" stroked="false">
              <v:fill type="solid"/>
            </v:rect>
            <v:rect style="position:absolute;left:14432;top:-2923;width:2406;height:851" filled="true" fillcolor="#bba1bc" stroked="false">
              <v:fill type="solid"/>
            </v:rect>
            <w10:wrap type="none"/>
          </v:group>
        </w:pict>
      </w:r>
      <w:r>
        <w:rPr/>
        <w:t>information</w:t>
      </w:r>
      <w:r>
        <w:rPr>
          <w:spacing w:val="-19"/>
        </w:rPr>
        <w:t> </w:t>
      </w:r>
      <w:r>
        <w:rPr/>
        <w:t>to</w:t>
      </w:r>
      <w:r>
        <w:rPr>
          <w:spacing w:val="-18"/>
        </w:rPr>
        <w:t> </w:t>
      </w:r>
      <w:r>
        <w:rPr/>
        <w:t>assist</w:t>
      </w:r>
      <w:r>
        <w:rPr>
          <w:spacing w:val="-18"/>
        </w:rPr>
        <w:t> </w:t>
      </w:r>
      <w:r>
        <w:rPr/>
        <w:t>them</w:t>
      </w:r>
      <w:r>
        <w:rPr>
          <w:spacing w:val="-18"/>
        </w:rPr>
        <w:t> </w:t>
      </w:r>
      <w:r>
        <w:rPr/>
        <w:t>in</w:t>
      </w:r>
      <w:r>
        <w:rPr>
          <w:spacing w:val="-18"/>
        </w:rPr>
        <w:t> </w:t>
      </w:r>
      <w:r>
        <w:rPr/>
        <w:t>planning</w:t>
      </w:r>
      <w:r>
        <w:rPr>
          <w:spacing w:val="-18"/>
        </w:rPr>
        <w:t> </w:t>
      </w:r>
      <w:r>
        <w:rPr/>
        <w:t>for</w:t>
      </w:r>
      <w:r>
        <w:rPr>
          <w:spacing w:val="-19"/>
        </w:rPr>
        <w:t> </w:t>
      </w:r>
      <w:r>
        <w:rPr>
          <w:spacing w:val="-5"/>
        </w:rPr>
        <w:t>future </w:t>
      </w:r>
      <w:r>
        <w:rPr/>
        <w:t>accommodation</w:t>
      </w:r>
      <w:r>
        <w:rPr>
          <w:spacing w:val="-1"/>
        </w:rPr>
        <w:t> </w:t>
      </w:r>
      <w:r>
        <w:rPr/>
        <w:t>needs.</w:t>
      </w:r>
    </w:p>
    <w:p>
      <w:pPr>
        <w:pStyle w:val="BodyText"/>
        <w:spacing w:before="1"/>
        <w:rPr>
          <w:sz w:val="23"/>
        </w:rPr>
      </w:pPr>
    </w:p>
    <w:p>
      <w:pPr>
        <w:pStyle w:val="BodyText"/>
        <w:spacing w:line="249" w:lineRule="auto"/>
        <w:ind w:left="387" w:right="713"/>
      </w:pPr>
      <w:r>
        <w:rPr/>
        <w:t>Building Management and Works also consulted with the newly formed agencies to understand their operational needs and service delivery methods. This helped to inform options for improving the utilisation of existing government office accommodation. Various options were considered including co-location of similar functions and the consolidation of </w:t>
      </w:r>
      <w:r>
        <w:rPr>
          <w:spacing w:val="-2"/>
        </w:rPr>
        <w:t>accommodation </w:t>
      </w:r>
      <w:r>
        <w:rPr/>
        <w:t>where a number of agencies were combined to form a new</w:t>
      </w:r>
      <w:r>
        <w:rPr>
          <w:spacing w:val="-3"/>
        </w:rPr>
        <w:t> agency.</w:t>
      </w:r>
    </w:p>
    <w:p>
      <w:pPr>
        <w:pStyle w:val="BodyText"/>
        <w:spacing w:before="9"/>
        <w:rPr>
          <w:sz w:val="23"/>
        </w:rPr>
      </w:pPr>
    </w:p>
    <w:p>
      <w:pPr>
        <w:pStyle w:val="BodyText"/>
        <w:spacing w:line="249" w:lineRule="auto"/>
        <w:ind w:left="387" w:right="1115"/>
      </w:pPr>
      <w:r>
        <w:rPr>
          <w:b/>
        </w:rPr>
        <w:t>Government Procurement </w:t>
      </w:r>
      <w:r>
        <w:rPr/>
        <w:t>ensured that agencies received comprehensive data about existing contracts to gain oversight of expiring contracts for similar services and identify aggregation</w:t>
      </w:r>
      <w:r>
        <w:rPr>
          <w:spacing w:val="-30"/>
        </w:rPr>
        <w:t> </w:t>
      </w:r>
      <w:r>
        <w:rPr/>
        <w:t>opportunities.</w:t>
      </w:r>
      <w:r>
        <w:rPr>
          <w:spacing w:val="-30"/>
        </w:rPr>
        <w:t> </w:t>
      </w:r>
      <w:r>
        <w:rPr/>
        <w:t>Expenditure</w:t>
      </w:r>
      <w:r>
        <w:rPr>
          <w:spacing w:val="-30"/>
        </w:rPr>
        <w:t> </w:t>
      </w:r>
      <w:r>
        <w:rPr/>
        <w:t>data</w:t>
      </w:r>
      <w:r>
        <w:rPr>
          <w:spacing w:val="-30"/>
        </w:rPr>
        <w:t> </w:t>
      </w:r>
      <w:r>
        <w:rPr>
          <w:spacing w:val="-6"/>
        </w:rPr>
        <w:t>for </w:t>
      </w:r>
      <w:r>
        <w:rPr/>
        <w:t>individual</w:t>
      </w:r>
      <w:r>
        <w:rPr>
          <w:spacing w:val="-18"/>
        </w:rPr>
        <w:t> </w:t>
      </w:r>
      <w:r>
        <w:rPr/>
        <w:t>CUAs</w:t>
      </w:r>
      <w:r>
        <w:rPr>
          <w:spacing w:val="-17"/>
        </w:rPr>
        <w:t> </w:t>
      </w:r>
      <w:r>
        <w:rPr/>
        <w:t>was</w:t>
      </w:r>
      <w:r>
        <w:rPr>
          <w:spacing w:val="-18"/>
        </w:rPr>
        <w:t> </w:t>
      </w:r>
      <w:r>
        <w:rPr/>
        <w:t>also</w:t>
      </w:r>
      <w:r>
        <w:rPr>
          <w:spacing w:val="-17"/>
        </w:rPr>
        <w:t> </w:t>
      </w:r>
      <w:r>
        <w:rPr/>
        <w:t>provided</w:t>
      </w:r>
      <w:r>
        <w:rPr>
          <w:spacing w:val="-17"/>
        </w:rPr>
        <w:t> </w:t>
      </w:r>
      <w:r>
        <w:rPr/>
        <w:t>to</w:t>
      </w:r>
      <w:r>
        <w:rPr>
          <w:spacing w:val="-18"/>
        </w:rPr>
        <w:t> </w:t>
      </w:r>
      <w:r>
        <w:rPr/>
        <w:t>affected agencies.</w:t>
      </w:r>
    </w:p>
    <w:p>
      <w:pPr>
        <w:pStyle w:val="BodyText"/>
        <w:spacing w:before="5"/>
        <w:rPr>
          <w:sz w:val="23"/>
        </w:rPr>
      </w:pPr>
    </w:p>
    <w:p>
      <w:pPr>
        <w:pStyle w:val="BodyText"/>
        <w:spacing w:line="249" w:lineRule="auto" w:before="1"/>
        <w:ind w:left="387" w:right="1116"/>
      </w:pPr>
      <w:r>
        <w:rPr/>
        <w:t>Government Procurement also worked with agencies</w:t>
      </w:r>
      <w:r>
        <w:rPr>
          <w:spacing w:val="-27"/>
        </w:rPr>
        <w:t> </w:t>
      </w:r>
      <w:r>
        <w:rPr/>
        <w:t>to</w:t>
      </w:r>
      <w:r>
        <w:rPr>
          <w:spacing w:val="-26"/>
        </w:rPr>
        <w:t> </w:t>
      </w:r>
      <w:r>
        <w:rPr/>
        <w:t>identify</w:t>
      </w:r>
      <w:r>
        <w:rPr>
          <w:spacing w:val="-26"/>
        </w:rPr>
        <w:t> </w:t>
      </w:r>
      <w:r>
        <w:rPr/>
        <w:t>opportunities</w:t>
      </w:r>
      <w:r>
        <w:rPr>
          <w:spacing w:val="-27"/>
        </w:rPr>
        <w:t> </w:t>
      </w:r>
      <w:r>
        <w:rPr/>
        <w:t>for</w:t>
      </w:r>
      <w:r>
        <w:rPr>
          <w:spacing w:val="-26"/>
        </w:rPr>
        <w:t> </w:t>
      </w:r>
      <w:r>
        <w:rPr/>
        <w:t>optimising vehicle</w:t>
      </w:r>
      <w:r>
        <w:rPr>
          <w:spacing w:val="-16"/>
        </w:rPr>
        <w:t> </w:t>
      </w:r>
      <w:r>
        <w:rPr/>
        <w:t>fleets</w:t>
      </w:r>
      <w:r>
        <w:rPr>
          <w:spacing w:val="-15"/>
        </w:rPr>
        <w:t> </w:t>
      </w:r>
      <w:r>
        <w:rPr/>
        <w:t>and</w:t>
      </w:r>
      <w:r>
        <w:rPr>
          <w:spacing w:val="-15"/>
        </w:rPr>
        <w:t> </w:t>
      </w:r>
      <w:r>
        <w:rPr/>
        <w:t>this</w:t>
      </w:r>
      <w:r>
        <w:rPr>
          <w:spacing w:val="-16"/>
        </w:rPr>
        <w:t> </w:t>
      </w:r>
      <w:r>
        <w:rPr/>
        <w:t>work</w:t>
      </w:r>
      <w:r>
        <w:rPr>
          <w:spacing w:val="-15"/>
        </w:rPr>
        <w:t> </w:t>
      </w:r>
      <w:r>
        <w:rPr/>
        <w:t>will</w:t>
      </w:r>
      <w:r>
        <w:rPr>
          <w:spacing w:val="-15"/>
        </w:rPr>
        <w:t> </w:t>
      </w:r>
      <w:r>
        <w:rPr/>
        <w:t>continue</w:t>
      </w:r>
      <w:r>
        <w:rPr>
          <w:spacing w:val="-16"/>
        </w:rPr>
        <w:t> </w:t>
      </w:r>
      <w:r>
        <w:rPr/>
        <w:t>in</w:t>
      </w:r>
      <w:r>
        <w:rPr>
          <w:spacing w:val="-15"/>
        </w:rPr>
        <w:t> </w:t>
      </w:r>
      <w:r>
        <w:rPr/>
        <w:t>the coming year as more sophisticated telematics tools become available under a new fleet management</w:t>
      </w:r>
      <w:r>
        <w:rPr>
          <w:spacing w:val="-1"/>
        </w:rPr>
        <w:t> </w:t>
      </w:r>
      <w:r>
        <w:rPr/>
        <w:t>contract.</w:t>
      </w:r>
    </w:p>
    <w:p>
      <w:pPr>
        <w:spacing w:after="0" w:line="249" w:lineRule="auto"/>
        <w:sectPr>
          <w:type w:val="continuous"/>
          <w:pgSz w:w="16840" w:h="11910" w:orient="landscape"/>
          <w:pgMar w:top="1100" w:bottom="280" w:left="0" w:right="0"/>
          <w:cols w:num="3" w:equalWidth="0">
            <w:col w:w="5584" w:space="40"/>
            <w:col w:w="5203" w:space="39"/>
            <w:col w:w="5974"/>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spacing w:before="249"/>
        <w:ind w:left="1074" w:right="0" w:firstLine="0"/>
        <w:jc w:val="left"/>
        <w:rPr>
          <w:b/>
          <w:sz w:val="43"/>
        </w:rPr>
      </w:pPr>
      <w:r>
        <w:rPr/>
        <w:pict>
          <v:shape style="position:absolute;margin-left:601.348999pt;margin-top:-66.772255pt;width:120.3pt;height:42.55pt;mso-position-horizontal-relative:page;mso-position-vertical-relative:paragraph;z-index:416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6.772255pt;width:120.3pt;height:42.55pt;mso-position-horizontal-relative:page;mso-position-vertical-relative:paragraph;z-index:419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6.772255pt;width:120.3pt;height:42.55pt;mso-position-horizontal-relative:page;mso-position-vertical-relative:paragraph;z-index:421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43"/>
        </w:rPr>
        <w:t>Special Inquiry into Government Programs and Projects</w:t>
      </w:r>
    </w:p>
    <w:p>
      <w:pPr>
        <w:pStyle w:val="BodyText"/>
        <w:rPr>
          <w:b/>
          <w:sz w:val="14"/>
        </w:rPr>
      </w:pPr>
    </w:p>
    <w:p>
      <w:pPr>
        <w:spacing w:after="0"/>
        <w:rPr>
          <w:sz w:val="14"/>
        </w:rPr>
        <w:sectPr>
          <w:footerReference w:type="default" r:id="rId50"/>
          <w:pgSz w:w="16840" w:h="11910" w:orient="landscape"/>
          <w:pgMar w:footer="774" w:header="0" w:top="0" w:bottom="960" w:left="0" w:right="0"/>
        </w:sectPr>
      </w:pPr>
    </w:p>
    <w:p>
      <w:pPr>
        <w:pStyle w:val="BodyText"/>
        <w:spacing w:line="249" w:lineRule="auto" w:before="106"/>
        <w:ind w:left="1074" w:right="289"/>
      </w:pPr>
      <w:r>
        <w:rPr/>
        <w:pict>
          <v:group style="position:absolute;margin-left:-.124993pt;margin-top:-.123995pt;width:803.75pt;height:544.4pt;mso-position-horizontal-relative:page;mso-position-vertical-relative:page;z-index:-708352" coordorigin="-2,-2" coordsize="16075,10888">
            <v:shape style="position:absolute;left:4914;top:22419;width:1561;height:2247" coordorigin="4914,22420" coordsize="1561,2247" path="m1407,0l1522,115m1296,0l1545,248m1186,0l1557,371m1076,0l1561,485m965,0l1557,592m855,0l1548,693m745,0l1535,790m634,0l1516,882m524,0l1494,969m414,0l1467,1054m303,0l1438,1135m193,0l1405,1212m83,0l1370,1287m0,28l1331,1359m0,138l1290,1428m0,248l1246,1494m0,359l1200,1558m0,469l1151,1620m0,579l1099,1679m0,690l1046,1736m0,800l990,1790m0,910l931,1842m0,1021l870,1891m0,1131l807,1938m0,1242l741,1982m0,1352l672,2024m0,1462l601,2063m0,1573l527,2099m0,1683l450,2132m0,1793l369,2163m0,1904l286,2190m0,2014l199,2213m0,2124l107,2232m0,2235l12,2247e" filled="false" stroked="true" strokeweight=".25pt" strokecolor="#aebd37">
              <v:path arrowok="t"/>
              <v:stroke dashstyle="solid"/>
            </v:shape>
            <v:rect style="position:absolute;left:765;top:1242;width:15308;height:9638" filled="true" fillcolor="#f0eee8" stroked="false">
              <v:fill type="solid"/>
            </v:rect>
            <v:shape style="position:absolute;left:165;top:2970;width:1099;height:1099" coordorigin="166,2970" coordsize="1099,1099" path="m14025,9243l13709,8927m14169,9277l13675,8783m14280,9277l13675,8673m14373,9260l13692,8579m14453,9230l13722,8499m14524,9191l13761,8428m14587,9143l13809,8365m14642,9088l13864,8310m14689,9025l13927,8263m14728,8953l13999,8224m14757,8872l14080,8195m14773,8778l14174,8179m14773,8667l14285,8180m14735,8519l14433,8217e" filled="false" stroked="true" strokeweight=".25pt" strokecolor="#6f2770">
              <v:path arrowok="t"/>
              <v:stroke dashstyle="solid"/>
            </v:shape>
            <v:shape style="position:absolute;left:14189;top:8582;width:1588;height:1588" type="#_x0000_t75" stroked="false">
              <v:imagedata r:id="rId51" o:title=""/>
            </v:shape>
            <v:shape style="position:absolute;left:14369;top:8762;width:1226;height:1226" coordorigin="14370,8763" coordsize="1226,1226" path="m14983,8763l14906,8768,14832,8782,14761,8804,14695,8835,14633,8873,14576,8918,14525,8969,14480,9026,14442,9088,14411,9154,14389,9225,14375,9299,14370,9376,14375,9453,14389,9527,14411,9597,14442,9664,14480,9726,14525,9783,14576,9834,14633,9879,14695,9917,14761,9948,14832,9970,14906,9984,14983,9989,15060,9984,15134,9970,15204,9948,15271,9917,15333,9879,15390,9834,15441,9783,15486,9726,15524,9664,15555,9597,15577,9527,15591,9453,15596,9376,15591,9299,15577,9225,15555,9154,15524,9088,15486,9026,15441,8969,15390,8918,15333,8873,15271,8835,15204,8804,15134,8782,15060,8768,14983,8763xe" filled="true" fillcolor="#f0eee8" stroked="false">
              <v:path arrowok="t"/>
              <v:fill type="solid"/>
            </v:shape>
            <v:shape style="position:absolute;left:2557;top:21906;width:3072;height:1763" coordorigin="2558,21907" coordsize="3072,1763" path="m13297,9411l13633,9747m13030,9255l13789,10014m12851,9186l13858,10193m12702,9148l13897,10342m12571,9127l13917,10473m12451,9117l13927,10593m12341,9117l13927,10703m12237,9124l13920,10807m12140,9137l13883,10880m12048,9155l13773,10880m11960,9178l13662,10880m11876,9204l13552,10880m11797,9235l13442,10880m11721,9270l13331,10880m11649,9308l13221,10880m11579,9349l13111,10880m11513,9392l13000,10880m11449,9439l12890,10880m11388,9489l12780,10880m11330,9541l12669,10880m11276,9597l12559,10880m11223,9655l12449,10880m11174,9716l12338,10880m11127,9780l12228,10880m11084,9846l12118,10880m11043,9916l12007,10880m11006,9989l11897,10880m10972,10065l11786,10880m10941,10145l11676,10880m10915,10229l11566,10880m10892,10317l11455,10880m10875,10409l11345,10880m10862,10507l11235,10880m10856,10612l11124,10880m10857,10723l11014,10880m10867,10843l10904,10880e" filled="false" stroked="true" strokeweight=".5pt" strokecolor="#aebd37">
              <v:path arrowok="t"/>
              <v:stroke dashstyle="solid"/>
            </v:shape>
            <v:rect style="position:absolute;left:0;top:0;width:2406;height:851" filled="true" fillcolor="#bba1bc" stroked="false">
              <v:fill type="solid"/>
            </v:rect>
            <v:line style="position:absolute" from="0,0" to="0,850" stroked="true" strokeweight="0pt" strokecolor="#bba1bc">
              <v:stroke dashstyle="solid"/>
            </v:line>
            <w10:wrap type="none"/>
          </v:group>
        </w:pict>
      </w:r>
      <w:r>
        <w:rPr/>
        <w:t>In </w:t>
      </w:r>
      <w:r>
        <w:rPr>
          <w:spacing w:val="-3"/>
        </w:rPr>
        <w:t>May </w:t>
      </w:r>
      <w:r>
        <w:rPr>
          <w:spacing w:val="-15"/>
        </w:rPr>
        <w:t>2017, </w:t>
      </w:r>
      <w:r>
        <w:rPr>
          <w:spacing w:val="-2"/>
        </w:rPr>
        <w:t>the </w:t>
      </w:r>
      <w:r>
        <w:rPr>
          <w:spacing w:val="-4"/>
        </w:rPr>
        <w:t>State </w:t>
      </w:r>
      <w:r>
        <w:rPr>
          <w:spacing w:val="-3"/>
        </w:rPr>
        <w:t>Government </w:t>
      </w:r>
      <w:r>
        <w:rPr/>
        <w:t>launched </w:t>
      </w:r>
      <w:r>
        <w:rPr>
          <w:spacing w:val="-2"/>
        </w:rPr>
        <w:t>the</w:t>
      </w:r>
      <w:r>
        <w:rPr>
          <w:spacing w:val="-30"/>
        </w:rPr>
        <w:t> </w:t>
      </w:r>
      <w:r>
        <w:rPr/>
        <w:t>Special</w:t>
      </w:r>
      <w:r>
        <w:rPr>
          <w:spacing w:val="-29"/>
        </w:rPr>
        <w:t> </w:t>
      </w:r>
      <w:r>
        <w:rPr/>
        <w:t>Inquiry</w:t>
      </w:r>
      <w:r>
        <w:rPr>
          <w:spacing w:val="-29"/>
        </w:rPr>
        <w:t> </w:t>
      </w:r>
      <w:r>
        <w:rPr>
          <w:spacing w:val="-4"/>
        </w:rPr>
        <w:t>into</w:t>
      </w:r>
      <w:r>
        <w:rPr>
          <w:spacing w:val="-29"/>
        </w:rPr>
        <w:t> </w:t>
      </w:r>
      <w:r>
        <w:rPr>
          <w:spacing w:val="-3"/>
        </w:rPr>
        <w:t>Government</w:t>
      </w:r>
      <w:r>
        <w:rPr>
          <w:spacing w:val="-29"/>
        </w:rPr>
        <w:t> </w:t>
      </w:r>
      <w:r>
        <w:rPr>
          <w:spacing w:val="-3"/>
        </w:rPr>
        <w:t>Programs </w:t>
      </w:r>
      <w:r>
        <w:rPr/>
        <w:t>and </w:t>
      </w:r>
      <w:r>
        <w:rPr>
          <w:spacing w:val="-3"/>
        </w:rPr>
        <w:t>Projects (the </w:t>
      </w:r>
      <w:r>
        <w:rPr/>
        <w:t>Special Inquiry) </w:t>
      </w:r>
      <w:r>
        <w:rPr>
          <w:spacing w:val="-3"/>
        </w:rPr>
        <w:t>examining governance arrangements, </w:t>
      </w:r>
      <w:r>
        <w:rPr/>
        <w:t>decision-making processes</w:t>
      </w:r>
      <w:r>
        <w:rPr>
          <w:spacing w:val="-28"/>
        </w:rPr>
        <w:t> </w:t>
      </w:r>
      <w:r>
        <w:rPr/>
        <w:t>and</w:t>
      </w:r>
      <w:r>
        <w:rPr>
          <w:spacing w:val="-27"/>
        </w:rPr>
        <w:t> </w:t>
      </w:r>
      <w:r>
        <w:rPr/>
        <w:t>financial</w:t>
      </w:r>
      <w:r>
        <w:rPr>
          <w:spacing w:val="-27"/>
        </w:rPr>
        <w:t> </w:t>
      </w:r>
      <w:r>
        <w:rPr/>
        <w:t>consequences</w:t>
      </w:r>
      <w:r>
        <w:rPr>
          <w:spacing w:val="-27"/>
        </w:rPr>
        <w:t> </w:t>
      </w:r>
      <w:r>
        <w:rPr>
          <w:spacing w:val="-3"/>
        </w:rPr>
        <w:t>for</w:t>
      </w:r>
      <w:r>
        <w:rPr>
          <w:spacing w:val="-27"/>
        </w:rPr>
        <w:t> </w:t>
      </w:r>
      <w:r>
        <w:rPr>
          <w:spacing w:val="-7"/>
        </w:rPr>
        <w:t>31 </w:t>
      </w:r>
      <w:r>
        <w:rPr>
          <w:spacing w:val="-3"/>
        </w:rPr>
        <w:t>infrastructure</w:t>
      </w:r>
      <w:r>
        <w:rPr>
          <w:spacing w:val="-23"/>
        </w:rPr>
        <w:t> </w:t>
      </w:r>
      <w:r>
        <w:rPr/>
        <w:t>and</w:t>
      </w:r>
      <w:r>
        <w:rPr>
          <w:spacing w:val="-23"/>
        </w:rPr>
        <w:t> </w:t>
      </w:r>
      <w:r>
        <w:rPr>
          <w:spacing w:val="-3"/>
        </w:rPr>
        <w:t>other</w:t>
      </w:r>
      <w:r>
        <w:rPr>
          <w:spacing w:val="-23"/>
        </w:rPr>
        <w:t> </w:t>
      </w:r>
      <w:r>
        <w:rPr>
          <w:spacing w:val="-3"/>
        </w:rPr>
        <w:t>projects</w:t>
      </w:r>
      <w:r>
        <w:rPr>
          <w:spacing w:val="-23"/>
        </w:rPr>
        <w:t> </w:t>
      </w:r>
      <w:r>
        <w:rPr>
          <w:spacing w:val="-3"/>
        </w:rPr>
        <w:t>initiated</w:t>
      </w:r>
      <w:r>
        <w:rPr>
          <w:spacing w:val="-23"/>
        </w:rPr>
        <w:t> </w:t>
      </w:r>
      <w:r>
        <w:rPr>
          <w:spacing w:val="-3"/>
        </w:rPr>
        <w:t>by</w:t>
      </w:r>
      <w:r>
        <w:rPr>
          <w:spacing w:val="-22"/>
        </w:rPr>
        <w:t> </w:t>
      </w:r>
      <w:r>
        <w:rPr>
          <w:spacing w:val="-2"/>
        </w:rPr>
        <w:t>the </w:t>
      </w:r>
      <w:r>
        <w:rPr>
          <w:spacing w:val="-3"/>
        </w:rPr>
        <w:t>previous </w:t>
      </w:r>
      <w:r>
        <w:rPr>
          <w:spacing w:val="-4"/>
        </w:rPr>
        <w:t>State</w:t>
      </w:r>
      <w:r>
        <w:rPr>
          <w:spacing w:val="-12"/>
        </w:rPr>
        <w:t> </w:t>
      </w:r>
      <w:r>
        <w:rPr>
          <w:spacing w:val="-3"/>
        </w:rPr>
        <w:t>Government.</w:t>
      </w:r>
    </w:p>
    <w:p>
      <w:pPr>
        <w:pStyle w:val="BodyText"/>
        <w:spacing w:before="6"/>
        <w:rPr>
          <w:sz w:val="23"/>
        </w:rPr>
      </w:pPr>
    </w:p>
    <w:p>
      <w:pPr>
        <w:pStyle w:val="BodyText"/>
        <w:spacing w:line="249" w:lineRule="auto"/>
        <w:ind w:left="1074" w:right="211"/>
      </w:pPr>
      <w:r>
        <w:rPr/>
        <w:t>The</w:t>
      </w:r>
      <w:r>
        <w:rPr>
          <w:spacing w:val="-28"/>
        </w:rPr>
        <w:t> </w:t>
      </w:r>
      <w:r>
        <w:rPr/>
        <w:t>Department</w:t>
      </w:r>
      <w:r>
        <w:rPr>
          <w:spacing w:val="-28"/>
        </w:rPr>
        <w:t> </w:t>
      </w:r>
      <w:r>
        <w:rPr>
          <w:spacing w:val="-3"/>
        </w:rPr>
        <w:t>of</w:t>
      </w:r>
      <w:r>
        <w:rPr>
          <w:spacing w:val="-27"/>
        </w:rPr>
        <w:t> </w:t>
      </w:r>
      <w:r>
        <w:rPr/>
        <w:t>Finance</w:t>
      </w:r>
      <w:r>
        <w:rPr>
          <w:spacing w:val="-28"/>
        </w:rPr>
        <w:t> </w:t>
      </w:r>
      <w:r>
        <w:rPr/>
        <w:t>seconded</w:t>
      </w:r>
      <w:r>
        <w:rPr>
          <w:spacing w:val="-27"/>
        </w:rPr>
        <w:t> </w:t>
      </w:r>
      <w:r>
        <w:rPr/>
        <w:t>six</w:t>
      </w:r>
      <w:r>
        <w:rPr>
          <w:spacing w:val="-28"/>
        </w:rPr>
        <w:t> </w:t>
      </w:r>
      <w:r>
        <w:rPr/>
        <w:t>staff </w:t>
      </w:r>
      <w:r>
        <w:rPr>
          <w:spacing w:val="-4"/>
        </w:rPr>
        <w:t>to </w:t>
      </w:r>
      <w:r>
        <w:rPr>
          <w:spacing w:val="-2"/>
        </w:rPr>
        <w:t>the </w:t>
      </w:r>
      <w:r>
        <w:rPr/>
        <w:t>Special Inquiry and performed </w:t>
      </w:r>
      <w:r>
        <w:rPr>
          <w:spacing w:val="-3"/>
        </w:rPr>
        <w:t>several functions including </w:t>
      </w:r>
      <w:r>
        <w:rPr>
          <w:spacing w:val="-2"/>
        </w:rPr>
        <w:t>the </w:t>
      </w:r>
      <w:r>
        <w:rPr>
          <w:spacing w:val="-4"/>
        </w:rPr>
        <w:t>executive </w:t>
      </w:r>
      <w:r>
        <w:rPr>
          <w:spacing w:val="-3"/>
        </w:rPr>
        <w:t>role of ‘Public Sector Lead’ </w:t>
      </w:r>
      <w:r>
        <w:rPr/>
        <w:t>which established and led a </w:t>
      </w:r>
      <w:r>
        <w:rPr>
          <w:spacing w:val="-3"/>
        </w:rPr>
        <w:t>project team </w:t>
      </w:r>
      <w:r>
        <w:rPr/>
        <w:t>under </w:t>
      </w:r>
      <w:r>
        <w:rPr>
          <w:spacing w:val="-2"/>
        </w:rPr>
        <w:t>the </w:t>
      </w:r>
      <w:r>
        <w:rPr>
          <w:spacing w:val="-3"/>
        </w:rPr>
        <w:t>direction of </w:t>
      </w:r>
      <w:r>
        <w:rPr>
          <w:spacing w:val="-2"/>
        </w:rPr>
        <w:t>the </w:t>
      </w:r>
      <w:r>
        <w:rPr/>
        <w:t>Special </w:t>
      </w:r>
      <w:r>
        <w:rPr>
          <w:spacing w:val="-5"/>
        </w:rPr>
        <w:t>Inquirer. </w:t>
      </w:r>
      <w:r>
        <w:rPr/>
        <w:t>Finance staff </w:t>
      </w:r>
      <w:r>
        <w:rPr>
          <w:spacing w:val="-3"/>
        </w:rPr>
        <w:t>contributed valuable skills,</w:t>
      </w:r>
      <w:r>
        <w:rPr>
          <w:spacing w:val="-34"/>
        </w:rPr>
        <w:t> </w:t>
      </w:r>
      <w:r>
        <w:rPr/>
        <w:t>knowledge</w:t>
      </w:r>
      <w:r>
        <w:rPr>
          <w:spacing w:val="-33"/>
        </w:rPr>
        <w:t> </w:t>
      </w:r>
      <w:r>
        <w:rPr/>
        <w:t>and</w:t>
      </w:r>
      <w:r>
        <w:rPr>
          <w:spacing w:val="-33"/>
        </w:rPr>
        <w:t> </w:t>
      </w:r>
      <w:r>
        <w:rPr/>
        <w:t>experience</w:t>
      </w:r>
      <w:r>
        <w:rPr>
          <w:spacing w:val="-33"/>
        </w:rPr>
        <w:t> </w:t>
      </w:r>
      <w:r>
        <w:rPr/>
        <w:t>in</w:t>
      </w:r>
      <w:r>
        <w:rPr>
          <w:spacing w:val="-33"/>
        </w:rPr>
        <w:t> </w:t>
      </w:r>
      <w:r>
        <w:rPr>
          <w:spacing w:val="-2"/>
        </w:rPr>
        <w:t>the</w:t>
      </w:r>
      <w:r>
        <w:rPr>
          <w:spacing w:val="-33"/>
        </w:rPr>
        <w:t> </w:t>
      </w:r>
      <w:r>
        <w:rPr/>
        <w:t>areas</w:t>
      </w:r>
      <w:r>
        <w:rPr>
          <w:spacing w:val="-33"/>
        </w:rPr>
        <w:t> </w:t>
      </w:r>
      <w:r>
        <w:rPr>
          <w:spacing w:val="-3"/>
        </w:rPr>
        <w:t>of </w:t>
      </w:r>
      <w:r>
        <w:rPr/>
        <w:t>leadership and </w:t>
      </w:r>
      <w:r>
        <w:rPr>
          <w:spacing w:val="-3"/>
        </w:rPr>
        <w:t>governance, procurement </w:t>
      </w:r>
      <w:r>
        <w:rPr/>
        <w:t>and </w:t>
      </w:r>
      <w:r>
        <w:rPr>
          <w:spacing w:val="-3"/>
        </w:rPr>
        <w:t>contract management, project management, </w:t>
      </w:r>
      <w:r>
        <w:rPr>
          <w:spacing w:val="-4"/>
        </w:rPr>
        <w:t>investigations,</w:t>
      </w:r>
      <w:r>
        <w:rPr>
          <w:spacing w:val="-23"/>
        </w:rPr>
        <w:t> </w:t>
      </w:r>
      <w:r>
        <w:rPr>
          <w:spacing w:val="-3"/>
        </w:rPr>
        <w:t>reviews</w:t>
      </w:r>
      <w:r>
        <w:rPr>
          <w:spacing w:val="-23"/>
        </w:rPr>
        <w:t> </w:t>
      </w:r>
      <w:r>
        <w:rPr/>
        <w:t>and</w:t>
      </w:r>
      <w:r>
        <w:rPr>
          <w:spacing w:val="-23"/>
        </w:rPr>
        <w:t> </w:t>
      </w:r>
      <w:r>
        <w:rPr>
          <w:spacing w:val="-4"/>
        </w:rPr>
        <w:t>executive</w:t>
      </w:r>
      <w:r>
        <w:rPr>
          <w:spacing w:val="-23"/>
        </w:rPr>
        <w:t> </w:t>
      </w:r>
      <w:r>
        <w:rPr/>
        <w:t>support.</w:t>
      </w:r>
    </w:p>
    <w:p>
      <w:pPr>
        <w:pStyle w:val="BodyText"/>
        <w:spacing w:before="8"/>
        <w:rPr>
          <w:sz w:val="23"/>
        </w:rPr>
      </w:pPr>
    </w:p>
    <w:p>
      <w:pPr>
        <w:pStyle w:val="BodyText"/>
        <w:spacing w:line="249" w:lineRule="auto" w:before="1"/>
        <w:ind w:left="1074" w:right="306"/>
      </w:pPr>
      <w:r>
        <w:rPr/>
        <w:t>In</w:t>
      </w:r>
      <w:r>
        <w:rPr>
          <w:spacing w:val="-19"/>
        </w:rPr>
        <w:t> </w:t>
      </w:r>
      <w:r>
        <w:rPr>
          <w:spacing w:val="-3"/>
        </w:rPr>
        <w:t>addition</w:t>
      </w:r>
      <w:r>
        <w:rPr>
          <w:spacing w:val="-19"/>
        </w:rPr>
        <w:t> </w:t>
      </w:r>
      <w:r>
        <w:rPr>
          <w:spacing w:val="-4"/>
        </w:rPr>
        <w:t>to</w:t>
      </w:r>
      <w:r>
        <w:rPr>
          <w:spacing w:val="-18"/>
        </w:rPr>
        <w:t> </w:t>
      </w:r>
      <w:r>
        <w:rPr>
          <w:spacing w:val="-3"/>
        </w:rPr>
        <w:t>providing</w:t>
      </w:r>
      <w:r>
        <w:rPr>
          <w:spacing w:val="-19"/>
        </w:rPr>
        <w:t> </w:t>
      </w:r>
      <w:r>
        <w:rPr/>
        <w:t>support</w:t>
      </w:r>
      <w:r>
        <w:rPr>
          <w:spacing w:val="-18"/>
        </w:rPr>
        <w:t> </w:t>
      </w:r>
      <w:r>
        <w:rPr>
          <w:spacing w:val="-3"/>
        </w:rPr>
        <w:t>for</w:t>
      </w:r>
      <w:r>
        <w:rPr>
          <w:spacing w:val="-19"/>
        </w:rPr>
        <w:t> </w:t>
      </w:r>
      <w:r>
        <w:rPr>
          <w:spacing w:val="-2"/>
        </w:rPr>
        <w:t>the</w:t>
      </w:r>
      <w:r>
        <w:rPr>
          <w:spacing w:val="-18"/>
        </w:rPr>
        <w:t> </w:t>
      </w:r>
      <w:r>
        <w:rPr/>
        <w:t>Special Inquiry</w:t>
      </w:r>
      <w:r>
        <w:rPr>
          <w:spacing w:val="-29"/>
        </w:rPr>
        <w:t> </w:t>
      </w:r>
      <w:r>
        <w:rPr>
          <w:spacing w:val="-3"/>
        </w:rPr>
        <w:t>process,</w:t>
      </w:r>
      <w:r>
        <w:rPr>
          <w:spacing w:val="-28"/>
        </w:rPr>
        <w:t> </w:t>
      </w:r>
      <w:r>
        <w:rPr/>
        <w:t>Finance</w:t>
      </w:r>
      <w:r>
        <w:rPr>
          <w:spacing w:val="-28"/>
        </w:rPr>
        <w:t> </w:t>
      </w:r>
      <w:r>
        <w:rPr/>
        <w:t>also</w:t>
      </w:r>
      <w:r>
        <w:rPr>
          <w:spacing w:val="-28"/>
        </w:rPr>
        <w:t> </w:t>
      </w:r>
      <w:r>
        <w:rPr/>
        <w:t>had</w:t>
      </w:r>
      <w:r>
        <w:rPr>
          <w:spacing w:val="-28"/>
        </w:rPr>
        <w:t> </w:t>
      </w:r>
      <w:r>
        <w:rPr>
          <w:spacing w:val="-3"/>
        </w:rPr>
        <w:t>oversight</w:t>
      </w:r>
      <w:r>
        <w:rPr>
          <w:spacing w:val="-28"/>
        </w:rPr>
        <w:t> </w:t>
      </w:r>
      <w:r>
        <w:rPr>
          <w:spacing w:val="-3"/>
        </w:rPr>
        <w:t>of numerous programs </w:t>
      </w:r>
      <w:r>
        <w:rPr/>
        <w:t>and </w:t>
      </w:r>
      <w:r>
        <w:rPr>
          <w:spacing w:val="-3"/>
        </w:rPr>
        <w:t>projects that were </w:t>
      </w:r>
      <w:r>
        <w:rPr>
          <w:spacing w:val="-2"/>
        </w:rPr>
        <w:t>the</w:t>
      </w:r>
      <w:r>
        <w:rPr>
          <w:spacing w:val="-29"/>
        </w:rPr>
        <w:t> </w:t>
      </w:r>
      <w:r>
        <w:rPr/>
        <w:t>subject</w:t>
      </w:r>
      <w:r>
        <w:rPr>
          <w:spacing w:val="-29"/>
        </w:rPr>
        <w:t> </w:t>
      </w:r>
      <w:r>
        <w:rPr>
          <w:spacing w:val="-3"/>
        </w:rPr>
        <w:t>of</w:t>
      </w:r>
      <w:r>
        <w:rPr>
          <w:spacing w:val="-28"/>
        </w:rPr>
        <w:t> </w:t>
      </w:r>
      <w:r>
        <w:rPr>
          <w:spacing w:val="-2"/>
        </w:rPr>
        <w:t>the</w:t>
      </w:r>
      <w:r>
        <w:rPr>
          <w:spacing w:val="-29"/>
        </w:rPr>
        <w:t> </w:t>
      </w:r>
      <w:r>
        <w:rPr/>
        <w:t>Special</w:t>
      </w:r>
      <w:r>
        <w:rPr>
          <w:spacing w:val="-28"/>
        </w:rPr>
        <w:t> </w:t>
      </w:r>
      <w:r>
        <w:rPr>
          <w:spacing w:val="-4"/>
        </w:rPr>
        <w:t>Inquiry.</w:t>
      </w:r>
      <w:r>
        <w:rPr>
          <w:spacing w:val="-29"/>
        </w:rPr>
        <w:t> </w:t>
      </w:r>
      <w:r>
        <w:rPr/>
        <w:t>This</w:t>
      </w:r>
      <w:r>
        <w:rPr>
          <w:spacing w:val="-28"/>
        </w:rPr>
        <w:t> </w:t>
      </w:r>
      <w:r>
        <w:rPr>
          <w:spacing w:val="-3"/>
        </w:rPr>
        <w:t>required </w:t>
      </w:r>
      <w:r>
        <w:rPr/>
        <w:t>input</w:t>
      </w:r>
      <w:r>
        <w:rPr>
          <w:spacing w:val="-25"/>
        </w:rPr>
        <w:t> </w:t>
      </w:r>
      <w:r>
        <w:rPr/>
        <w:t>from</w:t>
      </w:r>
      <w:r>
        <w:rPr>
          <w:spacing w:val="-24"/>
        </w:rPr>
        <w:t> </w:t>
      </w:r>
      <w:r>
        <w:rPr/>
        <w:t>many</w:t>
      </w:r>
      <w:r>
        <w:rPr>
          <w:spacing w:val="-24"/>
        </w:rPr>
        <w:t> </w:t>
      </w:r>
      <w:r>
        <w:rPr/>
        <w:t>areas</w:t>
      </w:r>
      <w:r>
        <w:rPr>
          <w:spacing w:val="-25"/>
        </w:rPr>
        <w:t> </w:t>
      </w:r>
      <w:r>
        <w:rPr>
          <w:spacing w:val="-3"/>
        </w:rPr>
        <w:t>of</w:t>
      </w:r>
      <w:r>
        <w:rPr>
          <w:spacing w:val="-24"/>
        </w:rPr>
        <w:t> </w:t>
      </w:r>
      <w:r>
        <w:rPr>
          <w:spacing w:val="-2"/>
        </w:rPr>
        <w:t>the</w:t>
      </w:r>
      <w:r>
        <w:rPr>
          <w:spacing w:val="-24"/>
        </w:rPr>
        <w:t> </w:t>
      </w:r>
      <w:r>
        <w:rPr/>
        <w:t>Department</w:t>
      </w:r>
      <w:r>
        <w:rPr>
          <w:spacing w:val="-24"/>
        </w:rPr>
        <w:t> </w:t>
      </w:r>
      <w:r>
        <w:rPr/>
        <w:t>and</w:t>
      </w:r>
    </w:p>
    <w:p>
      <w:pPr>
        <w:pStyle w:val="BodyText"/>
        <w:spacing w:line="249" w:lineRule="auto" w:before="4"/>
        <w:ind w:left="1074" w:right="230"/>
      </w:pPr>
      <w:r>
        <w:rPr/>
        <w:t>all</w:t>
      </w:r>
      <w:r>
        <w:rPr>
          <w:spacing w:val="-26"/>
        </w:rPr>
        <w:t> </w:t>
      </w:r>
      <w:r>
        <w:rPr>
          <w:spacing w:val="-3"/>
        </w:rPr>
        <w:t>requests</w:t>
      </w:r>
      <w:r>
        <w:rPr>
          <w:spacing w:val="-25"/>
        </w:rPr>
        <w:t> </w:t>
      </w:r>
      <w:r>
        <w:rPr>
          <w:spacing w:val="-3"/>
        </w:rPr>
        <w:t>for</w:t>
      </w:r>
      <w:r>
        <w:rPr>
          <w:spacing w:val="-25"/>
        </w:rPr>
        <w:t> </w:t>
      </w:r>
      <w:r>
        <w:rPr>
          <w:spacing w:val="-3"/>
        </w:rPr>
        <w:t>information</w:t>
      </w:r>
      <w:r>
        <w:rPr>
          <w:spacing w:val="-25"/>
        </w:rPr>
        <w:t> </w:t>
      </w:r>
      <w:r>
        <w:rPr>
          <w:spacing w:val="-3"/>
        </w:rPr>
        <w:t>were</w:t>
      </w:r>
      <w:r>
        <w:rPr>
          <w:spacing w:val="-25"/>
        </w:rPr>
        <w:t> </w:t>
      </w:r>
      <w:r>
        <w:rPr>
          <w:spacing w:val="-3"/>
        </w:rPr>
        <w:t>provided</w:t>
      </w:r>
      <w:r>
        <w:rPr>
          <w:spacing w:val="-25"/>
        </w:rPr>
        <w:t> </w:t>
      </w:r>
      <w:r>
        <w:rPr>
          <w:spacing w:val="-3"/>
        </w:rPr>
        <w:t>within timeframes</w:t>
      </w:r>
      <w:r>
        <w:rPr>
          <w:spacing w:val="-20"/>
        </w:rPr>
        <w:t> </w:t>
      </w:r>
      <w:r>
        <w:rPr/>
        <w:t>specified</w:t>
      </w:r>
      <w:r>
        <w:rPr>
          <w:spacing w:val="-20"/>
        </w:rPr>
        <w:t> </w:t>
      </w:r>
      <w:r>
        <w:rPr>
          <w:spacing w:val="-3"/>
        </w:rPr>
        <w:t>by</w:t>
      </w:r>
      <w:r>
        <w:rPr>
          <w:spacing w:val="-19"/>
        </w:rPr>
        <w:t> </w:t>
      </w:r>
      <w:r>
        <w:rPr>
          <w:spacing w:val="-2"/>
        </w:rPr>
        <w:t>the</w:t>
      </w:r>
      <w:r>
        <w:rPr>
          <w:spacing w:val="-20"/>
        </w:rPr>
        <w:t> </w:t>
      </w:r>
      <w:r>
        <w:rPr/>
        <w:t>Special</w:t>
      </w:r>
      <w:r>
        <w:rPr>
          <w:spacing w:val="-20"/>
        </w:rPr>
        <w:t> </w:t>
      </w:r>
      <w:r>
        <w:rPr>
          <w:spacing w:val="-5"/>
        </w:rPr>
        <w:t>Inquirer.</w:t>
      </w:r>
    </w:p>
    <w:p>
      <w:pPr>
        <w:pStyle w:val="BodyText"/>
        <w:spacing w:before="1"/>
        <w:rPr>
          <w:sz w:val="23"/>
        </w:rPr>
      </w:pPr>
    </w:p>
    <w:p>
      <w:pPr>
        <w:pStyle w:val="BodyText"/>
        <w:spacing w:line="249" w:lineRule="auto"/>
        <w:ind w:left="1074" w:right="-10"/>
      </w:pPr>
      <w:r>
        <w:rPr/>
        <w:t>Special </w:t>
      </w:r>
      <w:r>
        <w:rPr>
          <w:spacing w:val="-3"/>
        </w:rPr>
        <w:t>mention was </w:t>
      </w:r>
      <w:r>
        <w:rPr/>
        <w:t>made </w:t>
      </w:r>
      <w:r>
        <w:rPr>
          <w:spacing w:val="-3"/>
        </w:rPr>
        <w:t>of </w:t>
      </w:r>
      <w:r>
        <w:rPr>
          <w:b/>
        </w:rPr>
        <w:t>Strategic Projects</w:t>
      </w:r>
      <w:r>
        <w:rPr/>
        <w:t>,</w:t>
      </w:r>
      <w:r>
        <w:rPr>
          <w:spacing w:val="-18"/>
        </w:rPr>
        <w:t> </w:t>
      </w:r>
      <w:r>
        <w:rPr/>
        <w:t>which</w:t>
      </w:r>
      <w:r>
        <w:rPr>
          <w:spacing w:val="-18"/>
        </w:rPr>
        <w:t> </w:t>
      </w:r>
      <w:r>
        <w:rPr/>
        <w:t>had</w:t>
      </w:r>
      <w:r>
        <w:rPr>
          <w:spacing w:val="-18"/>
        </w:rPr>
        <w:t> </w:t>
      </w:r>
      <w:r>
        <w:rPr>
          <w:spacing w:val="-3"/>
        </w:rPr>
        <w:t>oversight</w:t>
      </w:r>
      <w:r>
        <w:rPr>
          <w:spacing w:val="-18"/>
        </w:rPr>
        <w:t> </w:t>
      </w:r>
      <w:r>
        <w:rPr>
          <w:spacing w:val="-3"/>
        </w:rPr>
        <w:t>of</w:t>
      </w:r>
      <w:r>
        <w:rPr>
          <w:spacing w:val="-18"/>
        </w:rPr>
        <w:t> </w:t>
      </w:r>
      <w:r>
        <w:rPr/>
        <w:t>six</w:t>
      </w:r>
      <w:r>
        <w:rPr>
          <w:spacing w:val="-18"/>
        </w:rPr>
        <w:t> </w:t>
      </w:r>
      <w:r>
        <w:rPr>
          <w:spacing w:val="-3"/>
        </w:rPr>
        <w:t>of</w:t>
      </w:r>
      <w:r>
        <w:rPr>
          <w:spacing w:val="-18"/>
        </w:rPr>
        <w:t> </w:t>
      </w:r>
      <w:r>
        <w:rPr>
          <w:spacing w:val="-2"/>
        </w:rPr>
        <w:t>the</w:t>
      </w:r>
      <w:r>
        <w:rPr>
          <w:spacing w:val="-18"/>
        </w:rPr>
        <w:t> </w:t>
      </w:r>
      <w:r>
        <w:rPr/>
        <w:t>major </w:t>
      </w:r>
      <w:r>
        <w:rPr>
          <w:spacing w:val="-3"/>
        </w:rPr>
        <w:t>projects</w:t>
      </w:r>
      <w:r>
        <w:rPr>
          <w:spacing w:val="-35"/>
        </w:rPr>
        <w:t> </w:t>
      </w:r>
      <w:r>
        <w:rPr>
          <w:spacing w:val="-3"/>
        </w:rPr>
        <w:t>reviewed</w:t>
      </w:r>
      <w:r>
        <w:rPr>
          <w:spacing w:val="-35"/>
        </w:rPr>
        <w:t> </w:t>
      </w:r>
      <w:r>
        <w:rPr>
          <w:spacing w:val="-3"/>
        </w:rPr>
        <w:t>by</w:t>
      </w:r>
      <w:r>
        <w:rPr>
          <w:spacing w:val="-34"/>
        </w:rPr>
        <w:t> </w:t>
      </w:r>
      <w:r>
        <w:rPr>
          <w:spacing w:val="-2"/>
        </w:rPr>
        <w:t>the</w:t>
      </w:r>
      <w:r>
        <w:rPr>
          <w:spacing w:val="-35"/>
        </w:rPr>
        <w:t> </w:t>
      </w:r>
      <w:r>
        <w:rPr/>
        <w:t>Special</w:t>
      </w:r>
      <w:r>
        <w:rPr>
          <w:spacing w:val="-34"/>
        </w:rPr>
        <w:t> </w:t>
      </w:r>
      <w:r>
        <w:rPr>
          <w:spacing w:val="-5"/>
        </w:rPr>
        <w:t>Inquirer,</w:t>
      </w:r>
      <w:r>
        <w:rPr>
          <w:spacing w:val="-35"/>
        </w:rPr>
        <w:t> </w:t>
      </w:r>
      <w:r>
        <w:rPr/>
        <w:t>requiring </w:t>
      </w:r>
      <w:r>
        <w:rPr>
          <w:spacing w:val="-3"/>
        </w:rPr>
        <w:t>its</w:t>
      </w:r>
      <w:r>
        <w:rPr>
          <w:spacing w:val="-21"/>
        </w:rPr>
        <w:t> </w:t>
      </w:r>
      <w:r>
        <w:rPr>
          <w:spacing w:val="-3"/>
        </w:rPr>
        <w:t>involvement</w:t>
      </w:r>
      <w:r>
        <w:rPr>
          <w:spacing w:val="-21"/>
        </w:rPr>
        <w:t> </w:t>
      </w:r>
      <w:r>
        <w:rPr>
          <w:spacing w:val="-3"/>
        </w:rPr>
        <w:t>over</w:t>
      </w:r>
      <w:r>
        <w:rPr>
          <w:spacing w:val="-21"/>
        </w:rPr>
        <w:t> </w:t>
      </w:r>
      <w:r>
        <w:rPr/>
        <w:t>many</w:t>
      </w:r>
      <w:r>
        <w:rPr>
          <w:spacing w:val="-21"/>
        </w:rPr>
        <w:t> </w:t>
      </w:r>
      <w:r>
        <w:rPr>
          <w:spacing w:val="-3"/>
        </w:rPr>
        <w:t>months.</w:t>
      </w:r>
      <w:r>
        <w:rPr>
          <w:spacing w:val="-21"/>
        </w:rPr>
        <w:t> </w:t>
      </w:r>
      <w:r>
        <w:rPr/>
        <w:t>The</w:t>
      </w:r>
      <w:r>
        <w:rPr>
          <w:spacing w:val="-20"/>
        </w:rPr>
        <w:t> </w:t>
      </w:r>
      <w:r>
        <w:rPr/>
        <w:t>Special</w:t>
      </w:r>
    </w:p>
    <w:p>
      <w:pPr>
        <w:pStyle w:val="BodyText"/>
        <w:spacing w:line="249" w:lineRule="auto" w:before="106"/>
        <w:ind w:left="298" w:right="-10"/>
      </w:pPr>
      <w:r>
        <w:rPr/>
        <w:br w:type="column"/>
      </w:r>
      <w:r>
        <w:rPr/>
        <w:t>Inquiry sourced a large </w:t>
      </w:r>
      <w:r>
        <w:rPr>
          <w:spacing w:val="-3"/>
        </w:rPr>
        <w:t>volume of information </w:t>
      </w:r>
      <w:r>
        <w:rPr/>
        <w:t>from</w:t>
      </w:r>
      <w:r>
        <w:rPr>
          <w:spacing w:val="-34"/>
        </w:rPr>
        <w:t> </w:t>
      </w:r>
      <w:r>
        <w:rPr>
          <w:spacing w:val="-3"/>
        </w:rPr>
        <w:t>Strategic</w:t>
      </w:r>
      <w:r>
        <w:rPr>
          <w:spacing w:val="-33"/>
        </w:rPr>
        <w:t> </w:t>
      </w:r>
      <w:r>
        <w:rPr>
          <w:spacing w:val="-3"/>
        </w:rPr>
        <w:t>Projects</w:t>
      </w:r>
      <w:r>
        <w:rPr>
          <w:spacing w:val="-33"/>
        </w:rPr>
        <w:t> </w:t>
      </w:r>
      <w:r>
        <w:rPr/>
        <w:t>in</w:t>
      </w:r>
      <w:r>
        <w:rPr>
          <w:spacing w:val="-33"/>
        </w:rPr>
        <w:t> </w:t>
      </w:r>
      <w:r>
        <w:rPr>
          <w:spacing w:val="-3"/>
        </w:rPr>
        <w:t>relation</w:t>
      </w:r>
      <w:r>
        <w:rPr>
          <w:spacing w:val="-33"/>
        </w:rPr>
        <w:t> </w:t>
      </w:r>
      <w:r>
        <w:rPr>
          <w:spacing w:val="-4"/>
        </w:rPr>
        <w:t>to</w:t>
      </w:r>
      <w:r>
        <w:rPr>
          <w:spacing w:val="-33"/>
        </w:rPr>
        <w:t> </w:t>
      </w:r>
      <w:r>
        <w:rPr/>
        <w:t>Fiona</w:t>
      </w:r>
      <w:r>
        <w:rPr>
          <w:spacing w:val="-33"/>
        </w:rPr>
        <w:t> </w:t>
      </w:r>
      <w:r>
        <w:rPr/>
        <w:t>Stanley </w:t>
      </w:r>
      <w:r>
        <w:rPr>
          <w:spacing w:val="-3"/>
        </w:rPr>
        <w:t>Hospital, </w:t>
      </w:r>
      <w:r>
        <w:rPr>
          <w:spacing w:val="-2"/>
        </w:rPr>
        <w:t>the </w:t>
      </w:r>
      <w:r>
        <w:rPr/>
        <w:t>Queen </w:t>
      </w:r>
      <w:r>
        <w:rPr>
          <w:spacing w:val="-3"/>
        </w:rPr>
        <w:t>Elizabeth </w:t>
      </w:r>
      <w:r>
        <w:rPr/>
        <w:t>II Medical </w:t>
      </w:r>
      <w:r>
        <w:rPr>
          <w:spacing w:val="-3"/>
        </w:rPr>
        <w:t>Centre </w:t>
      </w:r>
      <w:r>
        <w:rPr/>
        <w:t>Car Parking </w:t>
      </w:r>
      <w:r>
        <w:rPr>
          <w:spacing w:val="-3"/>
        </w:rPr>
        <w:t>project, </w:t>
      </w:r>
      <w:r>
        <w:rPr/>
        <w:t>Midland Health </w:t>
      </w:r>
      <w:r>
        <w:rPr>
          <w:spacing w:val="-3"/>
        </w:rPr>
        <w:t>Campus, Karratha </w:t>
      </w:r>
      <w:r>
        <w:rPr/>
        <w:t>Health </w:t>
      </w:r>
      <w:r>
        <w:rPr>
          <w:spacing w:val="-3"/>
        </w:rPr>
        <w:t>Campus, </w:t>
      </w:r>
      <w:r>
        <w:rPr/>
        <w:t>Perth </w:t>
      </w:r>
      <w:r>
        <w:rPr>
          <w:spacing w:val="-5"/>
        </w:rPr>
        <w:t>Children’s </w:t>
      </w:r>
      <w:r>
        <w:rPr/>
        <w:t>Hospital and </w:t>
      </w:r>
      <w:r>
        <w:rPr>
          <w:spacing w:val="-3"/>
        </w:rPr>
        <w:t>Optus</w:t>
      </w:r>
      <w:r>
        <w:rPr>
          <w:spacing w:val="-22"/>
        </w:rPr>
        <w:t> </w:t>
      </w:r>
      <w:r>
        <w:rPr>
          <w:spacing w:val="-3"/>
        </w:rPr>
        <w:t>Stadium.</w:t>
      </w:r>
    </w:p>
    <w:p>
      <w:pPr>
        <w:pStyle w:val="BodyText"/>
        <w:spacing w:before="5"/>
        <w:rPr>
          <w:sz w:val="23"/>
        </w:rPr>
      </w:pPr>
    </w:p>
    <w:p>
      <w:pPr>
        <w:pStyle w:val="BodyText"/>
        <w:spacing w:line="249" w:lineRule="auto"/>
        <w:ind w:left="298" w:right="-10"/>
      </w:pPr>
      <w:r>
        <w:rPr>
          <w:w w:val="95"/>
        </w:rPr>
        <w:t>This significant undertaking </w:t>
      </w:r>
      <w:r>
        <w:rPr>
          <w:spacing w:val="-3"/>
          <w:w w:val="95"/>
        </w:rPr>
        <w:t>required coordination </w:t>
      </w:r>
      <w:r>
        <w:rPr/>
        <w:t>between </w:t>
      </w:r>
      <w:r>
        <w:rPr>
          <w:spacing w:val="-3"/>
        </w:rPr>
        <w:t>Strategic Projects </w:t>
      </w:r>
      <w:r>
        <w:rPr/>
        <w:t>and </w:t>
      </w:r>
      <w:r>
        <w:rPr>
          <w:spacing w:val="-3"/>
        </w:rPr>
        <w:t>multiple agencies, </w:t>
      </w:r>
      <w:r>
        <w:rPr/>
        <w:t>with staff working in </w:t>
      </w:r>
      <w:r>
        <w:rPr>
          <w:spacing w:val="-3"/>
        </w:rPr>
        <w:t>collaboration </w:t>
      </w:r>
      <w:r>
        <w:rPr>
          <w:spacing w:val="-4"/>
        </w:rPr>
        <w:t>to </w:t>
      </w:r>
      <w:r>
        <w:rPr>
          <w:spacing w:val="-3"/>
        </w:rPr>
        <w:t>provide hundreds of documents that </w:t>
      </w:r>
      <w:r>
        <w:rPr/>
        <w:t>addressed </w:t>
      </w:r>
      <w:r>
        <w:rPr>
          <w:spacing w:val="-3"/>
        </w:rPr>
        <w:t>numerous requests for information </w:t>
      </w:r>
      <w:r>
        <w:rPr/>
        <w:t>about each </w:t>
      </w:r>
      <w:r>
        <w:rPr>
          <w:spacing w:val="-3"/>
        </w:rPr>
        <w:t>project.</w:t>
      </w:r>
    </w:p>
    <w:p>
      <w:pPr>
        <w:pStyle w:val="BodyText"/>
        <w:spacing w:before="5"/>
        <w:rPr>
          <w:sz w:val="23"/>
        </w:rPr>
      </w:pPr>
    </w:p>
    <w:p>
      <w:pPr>
        <w:pStyle w:val="BodyText"/>
        <w:spacing w:line="249" w:lineRule="auto"/>
        <w:ind w:left="298" w:right="87"/>
      </w:pPr>
      <w:r>
        <w:rPr>
          <w:spacing w:val="-11"/>
        </w:rPr>
        <w:t>To </w:t>
      </w:r>
      <w:r>
        <w:rPr>
          <w:spacing w:val="-4"/>
        </w:rPr>
        <w:t>protect </w:t>
      </w:r>
      <w:r>
        <w:rPr/>
        <w:t>commercial </w:t>
      </w:r>
      <w:r>
        <w:rPr>
          <w:spacing w:val="-4"/>
        </w:rPr>
        <w:t>interests </w:t>
      </w:r>
      <w:r>
        <w:rPr/>
        <w:t>and </w:t>
      </w:r>
      <w:r>
        <w:rPr>
          <w:spacing w:val="-4"/>
        </w:rPr>
        <w:t>confidentiality, </w:t>
      </w:r>
      <w:r>
        <w:rPr>
          <w:spacing w:val="-3"/>
        </w:rPr>
        <w:t>Strategic Projects </w:t>
      </w:r>
      <w:r>
        <w:rPr/>
        <w:t>engaged with </w:t>
      </w:r>
      <w:r>
        <w:rPr>
          <w:spacing w:val="-2"/>
        </w:rPr>
        <w:t>the</w:t>
      </w:r>
      <w:r>
        <w:rPr>
          <w:spacing w:val="-24"/>
        </w:rPr>
        <w:t> </w:t>
      </w:r>
      <w:r>
        <w:rPr>
          <w:spacing w:val="-4"/>
        </w:rPr>
        <w:t>State</w:t>
      </w:r>
      <w:r>
        <w:rPr>
          <w:spacing w:val="-24"/>
        </w:rPr>
        <w:t> </w:t>
      </w:r>
      <w:r>
        <w:rPr>
          <w:spacing w:val="-4"/>
        </w:rPr>
        <w:t>Solicitor’s</w:t>
      </w:r>
      <w:r>
        <w:rPr>
          <w:spacing w:val="-23"/>
        </w:rPr>
        <w:t> </w:t>
      </w:r>
      <w:r>
        <w:rPr/>
        <w:t>Office</w:t>
      </w:r>
      <w:r>
        <w:rPr>
          <w:spacing w:val="-24"/>
        </w:rPr>
        <w:t> </w:t>
      </w:r>
      <w:r>
        <w:rPr>
          <w:spacing w:val="-3"/>
        </w:rPr>
        <w:t>for</w:t>
      </w:r>
      <w:r>
        <w:rPr>
          <w:spacing w:val="-23"/>
        </w:rPr>
        <w:t> </w:t>
      </w:r>
      <w:r>
        <w:rPr/>
        <w:t>clarification</w:t>
      </w:r>
      <w:r>
        <w:rPr>
          <w:spacing w:val="-24"/>
        </w:rPr>
        <w:t> </w:t>
      </w:r>
      <w:r>
        <w:rPr/>
        <w:t>on</w:t>
      </w:r>
      <w:r>
        <w:rPr>
          <w:spacing w:val="-23"/>
        </w:rPr>
        <w:t> </w:t>
      </w:r>
      <w:r>
        <w:rPr>
          <w:spacing w:val="-2"/>
        </w:rPr>
        <w:t>the </w:t>
      </w:r>
      <w:r>
        <w:rPr/>
        <w:t>release </w:t>
      </w:r>
      <w:r>
        <w:rPr>
          <w:spacing w:val="-3"/>
        </w:rPr>
        <w:t>of information, having </w:t>
      </w:r>
      <w:r>
        <w:rPr/>
        <w:t>particular </w:t>
      </w:r>
      <w:r>
        <w:rPr>
          <w:spacing w:val="-3"/>
        </w:rPr>
        <w:t>regard </w:t>
      </w:r>
      <w:r>
        <w:rPr>
          <w:spacing w:val="-4"/>
        </w:rPr>
        <w:t>to</w:t>
      </w:r>
      <w:r>
        <w:rPr>
          <w:spacing w:val="-33"/>
        </w:rPr>
        <w:t> </w:t>
      </w:r>
      <w:r>
        <w:rPr/>
        <w:t>public</w:t>
      </w:r>
      <w:r>
        <w:rPr>
          <w:spacing w:val="-33"/>
        </w:rPr>
        <w:t> </w:t>
      </w:r>
      <w:r>
        <w:rPr>
          <w:spacing w:val="-3"/>
        </w:rPr>
        <w:t>interest</w:t>
      </w:r>
      <w:r>
        <w:rPr>
          <w:spacing w:val="-33"/>
        </w:rPr>
        <w:t> </w:t>
      </w:r>
      <w:r>
        <w:rPr/>
        <w:t>immunity</w:t>
      </w:r>
      <w:r>
        <w:rPr>
          <w:spacing w:val="-33"/>
        </w:rPr>
        <w:t> </w:t>
      </w:r>
      <w:r>
        <w:rPr/>
        <w:t>and</w:t>
      </w:r>
      <w:r>
        <w:rPr>
          <w:spacing w:val="-32"/>
        </w:rPr>
        <w:t> </w:t>
      </w:r>
      <w:r>
        <w:rPr/>
        <w:t>legal</w:t>
      </w:r>
      <w:r>
        <w:rPr>
          <w:spacing w:val="-33"/>
        </w:rPr>
        <w:t> </w:t>
      </w:r>
      <w:r>
        <w:rPr>
          <w:spacing w:val="-3"/>
        </w:rPr>
        <w:t>professional privilege.</w:t>
      </w:r>
    </w:p>
    <w:p>
      <w:pPr>
        <w:pStyle w:val="BodyText"/>
        <w:spacing w:before="5"/>
        <w:rPr>
          <w:sz w:val="23"/>
        </w:rPr>
      </w:pPr>
    </w:p>
    <w:p>
      <w:pPr>
        <w:pStyle w:val="BodyText"/>
        <w:spacing w:line="249" w:lineRule="auto"/>
        <w:ind w:left="298" w:right="469"/>
      </w:pPr>
      <w:r>
        <w:rPr/>
        <w:t>Mr John Langoulant AO (Special Inquirer) acknowledged Strategic Projects for the application of strong principles of project management and the robust standard and completeness of its documentation:</w:t>
      </w:r>
    </w:p>
    <w:p>
      <w:pPr>
        <w:pStyle w:val="BodyText"/>
        <w:spacing w:before="4"/>
        <w:rPr>
          <w:sz w:val="23"/>
        </w:rPr>
      </w:pPr>
    </w:p>
    <w:p>
      <w:pPr>
        <w:spacing w:line="249" w:lineRule="auto" w:before="0"/>
        <w:ind w:left="298" w:right="101" w:firstLine="0"/>
        <w:jc w:val="left"/>
        <w:rPr>
          <w:i/>
          <w:sz w:val="22"/>
        </w:rPr>
      </w:pPr>
      <w:r>
        <w:rPr>
          <w:i/>
          <w:sz w:val="22"/>
        </w:rPr>
        <w:t>“The Special Inquirer </w:t>
      </w:r>
      <w:r>
        <w:rPr>
          <w:i/>
          <w:spacing w:val="-3"/>
          <w:sz w:val="22"/>
        </w:rPr>
        <w:t>has found that </w:t>
      </w:r>
      <w:r>
        <w:rPr>
          <w:i/>
          <w:sz w:val="22"/>
        </w:rPr>
        <w:t>the </w:t>
      </w:r>
      <w:r>
        <w:rPr>
          <w:i/>
          <w:sz w:val="22"/>
        </w:rPr>
        <w:t>disciplines used </w:t>
      </w:r>
      <w:r>
        <w:rPr>
          <w:i/>
          <w:spacing w:val="-4"/>
          <w:sz w:val="22"/>
        </w:rPr>
        <w:t>by </w:t>
      </w:r>
      <w:r>
        <w:rPr>
          <w:i/>
          <w:spacing w:val="-3"/>
          <w:sz w:val="22"/>
        </w:rPr>
        <w:t>Strategic Projects </w:t>
      </w:r>
      <w:r>
        <w:rPr>
          <w:i/>
          <w:sz w:val="22"/>
        </w:rPr>
        <w:t>are </w:t>
      </w:r>
      <w:r>
        <w:rPr>
          <w:i/>
          <w:spacing w:val="-4"/>
          <w:sz w:val="22"/>
        </w:rPr>
        <w:t>consistent</w:t>
      </w:r>
      <w:r>
        <w:rPr>
          <w:i/>
          <w:spacing w:val="-28"/>
          <w:sz w:val="22"/>
        </w:rPr>
        <w:t> </w:t>
      </w:r>
      <w:r>
        <w:rPr>
          <w:i/>
          <w:spacing w:val="-3"/>
          <w:sz w:val="22"/>
        </w:rPr>
        <w:t>with</w:t>
      </w:r>
      <w:r>
        <w:rPr>
          <w:i/>
          <w:spacing w:val="-27"/>
          <w:sz w:val="22"/>
        </w:rPr>
        <w:t> </w:t>
      </w:r>
      <w:r>
        <w:rPr>
          <w:i/>
          <w:sz w:val="22"/>
        </w:rPr>
        <w:t>the</w:t>
      </w:r>
      <w:r>
        <w:rPr>
          <w:i/>
          <w:spacing w:val="-27"/>
          <w:sz w:val="22"/>
        </w:rPr>
        <w:t> </w:t>
      </w:r>
      <w:r>
        <w:rPr>
          <w:i/>
          <w:spacing w:val="-3"/>
          <w:sz w:val="22"/>
        </w:rPr>
        <w:t>Strategic</w:t>
      </w:r>
      <w:r>
        <w:rPr>
          <w:i/>
          <w:spacing w:val="-27"/>
          <w:sz w:val="22"/>
        </w:rPr>
        <w:t> </w:t>
      </w:r>
      <w:r>
        <w:rPr>
          <w:i/>
          <w:spacing w:val="-3"/>
          <w:sz w:val="22"/>
        </w:rPr>
        <w:t>Asset</w:t>
      </w:r>
      <w:r>
        <w:rPr>
          <w:i/>
          <w:spacing w:val="-27"/>
          <w:sz w:val="22"/>
        </w:rPr>
        <w:t> </w:t>
      </w:r>
      <w:r>
        <w:rPr>
          <w:i/>
          <w:sz w:val="22"/>
        </w:rPr>
        <w:t>Management </w:t>
      </w:r>
      <w:r>
        <w:rPr>
          <w:i/>
          <w:spacing w:val="-3"/>
          <w:sz w:val="22"/>
        </w:rPr>
        <w:t>Framework,</w:t>
      </w:r>
      <w:r>
        <w:rPr>
          <w:i/>
          <w:spacing w:val="-13"/>
          <w:sz w:val="22"/>
        </w:rPr>
        <w:t> </w:t>
      </w:r>
      <w:r>
        <w:rPr>
          <w:i/>
          <w:spacing w:val="-4"/>
          <w:sz w:val="22"/>
        </w:rPr>
        <w:t>have</w:t>
      </w:r>
      <w:r>
        <w:rPr>
          <w:i/>
          <w:spacing w:val="-13"/>
          <w:sz w:val="22"/>
        </w:rPr>
        <w:t> </w:t>
      </w:r>
      <w:r>
        <w:rPr>
          <w:i/>
          <w:sz w:val="22"/>
        </w:rPr>
        <w:t>useful</w:t>
      </w:r>
      <w:r>
        <w:rPr>
          <w:i/>
          <w:spacing w:val="-13"/>
          <w:sz w:val="22"/>
        </w:rPr>
        <w:t> </w:t>
      </w:r>
      <w:r>
        <w:rPr>
          <w:i/>
          <w:spacing w:val="-4"/>
          <w:sz w:val="22"/>
        </w:rPr>
        <w:t>tools,</w:t>
      </w:r>
      <w:r>
        <w:rPr>
          <w:i/>
          <w:spacing w:val="-13"/>
          <w:sz w:val="22"/>
        </w:rPr>
        <w:t> </w:t>
      </w:r>
      <w:r>
        <w:rPr>
          <w:i/>
          <w:sz w:val="22"/>
        </w:rPr>
        <w:t>are</w:t>
      </w:r>
      <w:r>
        <w:rPr>
          <w:i/>
          <w:spacing w:val="-12"/>
          <w:sz w:val="22"/>
        </w:rPr>
        <w:t> </w:t>
      </w:r>
      <w:r>
        <w:rPr>
          <w:i/>
          <w:sz w:val="22"/>
        </w:rPr>
        <w:t>used</w:t>
      </w:r>
    </w:p>
    <w:p>
      <w:pPr>
        <w:spacing w:line="249" w:lineRule="auto" w:before="106"/>
        <w:ind w:left="348" w:right="1271" w:firstLine="0"/>
        <w:jc w:val="left"/>
        <w:rPr>
          <w:i/>
          <w:sz w:val="22"/>
        </w:rPr>
      </w:pPr>
      <w:r>
        <w:rPr/>
        <w:br w:type="column"/>
      </w:r>
      <w:r>
        <w:rPr>
          <w:i/>
          <w:spacing w:val="-3"/>
          <w:sz w:val="22"/>
        </w:rPr>
        <w:t>consistently</w:t>
      </w:r>
      <w:r>
        <w:rPr>
          <w:i/>
          <w:spacing w:val="-19"/>
          <w:sz w:val="22"/>
        </w:rPr>
        <w:t> </w:t>
      </w:r>
      <w:r>
        <w:rPr>
          <w:i/>
          <w:spacing w:val="-3"/>
          <w:sz w:val="22"/>
        </w:rPr>
        <w:t>across</w:t>
      </w:r>
      <w:r>
        <w:rPr>
          <w:i/>
          <w:spacing w:val="-19"/>
          <w:sz w:val="22"/>
        </w:rPr>
        <w:t> </w:t>
      </w:r>
      <w:r>
        <w:rPr>
          <w:i/>
          <w:spacing w:val="-3"/>
          <w:sz w:val="22"/>
        </w:rPr>
        <w:t>projects,</w:t>
      </w:r>
      <w:r>
        <w:rPr>
          <w:i/>
          <w:spacing w:val="-19"/>
          <w:sz w:val="22"/>
        </w:rPr>
        <w:t> </w:t>
      </w:r>
      <w:r>
        <w:rPr>
          <w:i/>
          <w:sz w:val="22"/>
        </w:rPr>
        <w:t>can</w:t>
      </w:r>
      <w:r>
        <w:rPr>
          <w:i/>
          <w:spacing w:val="-19"/>
          <w:sz w:val="22"/>
        </w:rPr>
        <w:t> </w:t>
      </w:r>
      <w:r>
        <w:rPr>
          <w:i/>
          <w:sz w:val="22"/>
        </w:rPr>
        <w:t>be</w:t>
      </w:r>
      <w:r>
        <w:rPr>
          <w:i/>
          <w:spacing w:val="-19"/>
          <w:sz w:val="22"/>
        </w:rPr>
        <w:t> </w:t>
      </w:r>
      <w:r>
        <w:rPr>
          <w:i/>
          <w:sz w:val="22"/>
        </w:rPr>
        <w:t>applied</w:t>
      </w:r>
      <w:r>
        <w:rPr>
          <w:i/>
          <w:spacing w:val="-19"/>
          <w:sz w:val="22"/>
        </w:rPr>
        <w:t> </w:t>
      </w:r>
      <w:r>
        <w:rPr>
          <w:i/>
          <w:sz w:val="22"/>
        </w:rPr>
        <w:t>in</w:t>
      </w:r>
      <w:r>
        <w:rPr>
          <w:i/>
          <w:spacing w:val="-18"/>
          <w:sz w:val="22"/>
        </w:rPr>
        <w:t> </w:t>
      </w:r>
      <w:r>
        <w:rPr>
          <w:i/>
          <w:sz w:val="22"/>
        </w:rPr>
        <w:t>a </w:t>
      </w:r>
      <w:r>
        <w:rPr>
          <w:i/>
          <w:sz w:val="22"/>
        </w:rPr>
        <w:t>flexible</w:t>
      </w:r>
      <w:r>
        <w:rPr>
          <w:i/>
          <w:spacing w:val="-32"/>
          <w:sz w:val="22"/>
        </w:rPr>
        <w:t> </w:t>
      </w:r>
      <w:r>
        <w:rPr>
          <w:i/>
          <w:spacing w:val="-5"/>
          <w:sz w:val="22"/>
        </w:rPr>
        <w:t>way</w:t>
      </w:r>
      <w:r>
        <w:rPr>
          <w:i/>
          <w:spacing w:val="-31"/>
          <w:sz w:val="22"/>
        </w:rPr>
        <w:t> </w:t>
      </w:r>
      <w:r>
        <w:rPr>
          <w:i/>
          <w:sz w:val="22"/>
        </w:rPr>
        <w:t>and</w:t>
      </w:r>
      <w:r>
        <w:rPr>
          <w:i/>
          <w:spacing w:val="-31"/>
          <w:sz w:val="22"/>
        </w:rPr>
        <w:t> </w:t>
      </w:r>
      <w:r>
        <w:rPr>
          <w:i/>
          <w:sz w:val="22"/>
        </w:rPr>
        <w:t>apply</w:t>
      </w:r>
      <w:r>
        <w:rPr>
          <w:i/>
          <w:spacing w:val="-31"/>
          <w:sz w:val="22"/>
        </w:rPr>
        <w:t> </w:t>
      </w:r>
      <w:r>
        <w:rPr>
          <w:i/>
          <w:spacing w:val="-3"/>
          <w:sz w:val="22"/>
        </w:rPr>
        <w:t>strong</w:t>
      </w:r>
      <w:r>
        <w:rPr>
          <w:i/>
          <w:spacing w:val="-31"/>
          <w:sz w:val="22"/>
        </w:rPr>
        <w:t> </w:t>
      </w:r>
      <w:r>
        <w:rPr>
          <w:i/>
          <w:sz w:val="22"/>
        </w:rPr>
        <w:t>principles</w:t>
      </w:r>
      <w:r>
        <w:rPr>
          <w:i/>
          <w:spacing w:val="-31"/>
          <w:sz w:val="22"/>
        </w:rPr>
        <w:t> </w:t>
      </w:r>
      <w:r>
        <w:rPr>
          <w:i/>
          <w:spacing w:val="-3"/>
          <w:sz w:val="22"/>
        </w:rPr>
        <w:t>of</w:t>
      </w:r>
      <w:r>
        <w:rPr>
          <w:i/>
          <w:spacing w:val="-31"/>
          <w:sz w:val="22"/>
        </w:rPr>
        <w:t> </w:t>
      </w:r>
      <w:r>
        <w:rPr>
          <w:i/>
          <w:sz w:val="22"/>
        </w:rPr>
        <w:t>project </w:t>
      </w:r>
      <w:r>
        <w:rPr>
          <w:i/>
          <w:spacing w:val="-4"/>
          <w:sz w:val="22"/>
        </w:rPr>
        <w:t>management.”</w:t>
      </w:r>
    </w:p>
    <w:p>
      <w:pPr>
        <w:pStyle w:val="BodyText"/>
        <w:spacing w:before="2"/>
        <w:rPr>
          <w:i/>
          <w:sz w:val="23"/>
        </w:rPr>
      </w:pPr>
    </w:p>
    <w:p>
      <w:pPr>
        <w:spacing w:before="0"/>
        <w:ind w:left="348" w:right="0" w:firstLine="0"/>
        <w:jc w:val="left"/>
        <w:rPr>
          <w:i/>
          <w:sz w:val="22"/>
        </w:rPr>
      </w:pPr>
      <w:r>
        <w:rPr>
          <w:i/>
          <w:sz w:val="22"/>
        </w:rPr>
        <w:t>(Special Inquiry into Government Programs</w:t>
      </w:r>
    </w:p>
    <w:p>
      <w:pPr>
        <w:spacing w:line="249" w:lineRule="auto" w:before="11"/>
        <w:ind w:left="348" w:right="1389" w:firstLine="0"/>
        <w:jc w:val="left"/>
        <w:rPr>
          <w:i/>
          <w:sz w:val="22"/>
        </w:rPr>
      </w:pPr>
      <w:r>
        <w:rPr>
          <w:i/>
          <w:sz w:val="22"/>
        </w:rPr>
        <w:t>and</w:t>
      </w:r>
      <w:r>
        <w:rPr>
          <w:i/>
          <w:spacing w:val="-27"/>
          <w:sz w:val="22"/>
        </w:rPr>
        <w:t> </w:t>
      </w:r>
      <w:r>
        <w:rPr>
          <w:i/>
          <w:spacing w:val="-3"/>
          <w:sz w:val="22"/>
        </w:rPr>
        <w:t>Projects</w:t>
      </w:r>
      <w:r>
        <w:rPr>
          <w:i/>
          <w:spacing w:val="-26"/>
          <w:sz w:val="22"/>
        </w:rPr>
        <w:t> </w:t>
      </w:r>
      <w:r>
        <w:rPr>
          <w:i/>
          <w:sz w:val="22"/>
        </w:rPr>
        <w:t>–</w:t>
      </w:r>
      <w:r>
        <w:rPr>
          <w:i/>
          <w:spacing w:val="-26"/>
          <w:sz w:val="22"/>
        </w:rPr>
        <w:t> </w:t>
      </w:r>
      <w:r>
        <w:rPr>
          <w:i/>
          <w:sz w:val="22"/>
        </w:rPr>
        <w:t>Final</w:t>
      </w:r>
      <w:r>
        <w:rPr>
          <w:i/>
          <w:spacing w:val="-26"/>
          <w:sz w:val="22"/>
        </w:rPr>
        <w:t> </w:t>
      </w:r>
      <w:r>
        <w:rPr>
          <w:i/>
          <w:sz w:val="22"/>
        </w:rPr>
        <w:t>Report</w:t>
      </w:r>
      <w:r>
        <w:rPr>
          <w:i/>
          <w:spacing w:val="-27"/>
          <w:sz w:val="22"/>
        </w:rPr>
        <w:t> </w:t>
      </w:r>
      <w:r>
        <w:rPr>
          <w:i/>
          <w:spacing w:val="-4"/>
          <w:sz w:val="22"/>
        </w:rPr>
        <w:t>Volume</w:t>
      </w:r>
      <w:r>
        <w:rPr>
          <w:i/>
          <w:spacing w:val="-26"/>
          <w:sz w:val="22"/>
        </w:rPr>
        <w:t> </w:t>
      </w:r>
      <w:r>
        <w:rPr>
          <w:i/>
          <w:sz w:val="22"/>
        </w:rPr>
        <w:t>1</w:t>
      </w:r>
      <w:r>
        <w:rPr>
          <w:i/>
          <w:spacing w:val="-26"/>
          <w:sz w:val="22"/>
        </w:rPr>
        <w:t> </w:t>
      </w:r>
      <w:r>
        <w:rPr>
          <w:i/>
          <w:sz w:val="22"/>
        </w:rPr>
        <w:t>page</w:t>
      </w:r>
      <w:r>
        <w:rPr>
          <w:i/>
          <w:spacing w:val="-26"/>
          <w:sz w:val="22"/>
        </w:rPr>
        <w:t> </w:t>
      </w:r>
      <w:r>
        <w:rPr>
          <w:i/>
          <w:spacing w:val="-8"/>
          <w:sz w:val="22"/>
        </w:rPr>
        <w:t>102, </w:t>
      </w:r>
      <w:r>
        <w:rPr>
          <w:i/>
          <w:sz w:val="22"/>
        </w:rPr>
        <w:t>February</w:t>
      </w:r>
      <w:r>
        <w:rPr>
          <w:i/>
          <w:spacing w:val="-7"/>
          <w:sz w:val="22"/>
        </w:rPr>
        <w:t> </w:t>
      </w:r>
      <w:r>
        <w:rPr>
          <w:i/>
          <w:spacing w:val="-10"/>
          <w:sz w:val="22"/>
        </w:rPr>
        <w:t>2018).</w:t>
      </w:r>
    </w:p>
    <w:p>
      <w:pPr>
        <w:pStyle w:val="BodyText"/>
        <w:spacing w:before="2"/>
        <w:rPr>
          <w:i/>
          <w:sz w:val="23"/>
        </w:rPr>
      </w:pPr>
    </w:p>
    <w:p>
      <w:pPr>
        <w:pStyle w:val="BodyText"/>
        <w:spacing w:line="249" w:lineRule="auto"/>
        <w:ind w:left="348" w:right="1689"/>
        <w:jc w:val="both"/>
      </w:pPr>
      <w:r>
        <w:rPr/>
        <w:t>The</w:t>
      </w:r>
      <w:r>
        <w:rPr>
          <w:spacing w:val="-35"/>
        </w:rPr>
        <w:t> </w:t>
      </w:r>
      <w:r>
        <w:rPr/>
        <w:t>Special</w:t>
      </w:r>
      <w:r>
        <w:rPr>
          <w:spacing w:val="-35"/>
        </w:rPr>
        <w:t> </w:t>
      </w:r>
      <w:r>
        <w:rPr>
          <w:spacing w:val="-3"/>
        </w:rPr>
        <w:t>Inquirer</w:t>
      </w:r>
      <w:r>
        <w:rPr>
          <w:spacing w:val="-35"/>
        </w:rPr>
        <w:t> </w:t>
      </w:r>
      <w:r>
        <w:rPr>
          <w:spacing w:val="-3"/>
        </w:rPr>
        <w:t>presented</w:t>
      </w:r>
      <w:r>
        <w:rPr>
          <w:spacing w:val="-35"/>
        </w:rPr>
        <w:t> </w:t>
      </w:r>
      <w:r>
        <w:rPr/>
        <w:t>his</w:t>
      </w:r>
      <w:r>
        <w:rPr>
          <w:spacing w:val="-35"/>
        </w:rPr>
        <w:t> </w:t>
      </w:r>
      <w:r>
        <w:rPr/>
        <w:t>900-page final</w:t>
      </w:r>
      <w:r>
        <w:rPr>
          <w:spacing w:val="-24"/>
        </w:rPr>
        <w:t> </w:t>
      </w:r>
      <w:r>
        <w:rPr/>
        <w:t>report</w:t>
      </w:r>
      <w:r>
        <w:rPr>
          <w:spacing w:val="-24"/>
        </w:rPr>
        <w:t> </w:t>
      </w:r>
      <w:r>
        <w:rPr>
          <w:spacing w:val="-4"/>
        </w:rPr>
        <w:t>to</w:t>
      </w:r>
      <w:r>
        <w:rPr>
          <w:spacing w:val="-23"/>
        </w:rPr>
        <w:t> </w:t>
      </w:r>
      <w:r>
        <w:rPr>
          <w:spacing w:val="-2"/>
        </w:rPr>
        <w:t>the</w:t>
      </w:r>
      <w:r>
        <w:rPr>
          <w:spacing w:val="-24"/>
        </w:rPr>
        <w:t> </w:t>
      </w:r>
      <w:r>
        <w:rPr>
          <w:spacing w:val="-3"/>
        </w:rPr>
        <w:t>Public</w:t>
      </w:r>
      <w:r>
        <w:rPr>
          <w:spacing w:val="-24"/>
        </w:rPr>
        <w:t> </w:t>
      </w:r>
      <w:r>
        <w:rPr>
          <w:spacing w:val="-3"/>
        </w:rPr>
        <w:t>Sector</w:t>
      </w:r>
      <w:r>
        <w:rPr>
          <w:spacing w:val="-23"/>
        </w:rPr>
        <w:t> </w:t>
      </w:r>
      <w:r>
        <w:rPr/>
        <w:t>Commission in</w:t>
      </w:r>
      <w:r>
        <w:rPr>
          <w:spacing w:val="-21"/>
        </w:rPr>
        <w:t> </w:t>
      </w:r>
      <w:r>
        <w:rPr/>
        <w:t>December</w:t>
      </w:r>
      <w:r>
        <w:rPr>
          <w:spacing w:val="-20"/>
        </w:rPr>
        <w:t> </w:t>
      </w:r>
      <w:r>
        <w:rPr>
          <w:spacing w:val="-15"/>
        </w:rPr>
        <w:t>2017.</w:t>
      </w:r>
      <w:r>
        <w:rPr>
          <w:spacing w:val="-20"/>
        </w:rPr>
        <w:t> </w:t>
      </w:r>
      <w:r>
        <w:rPr/>
        <w:t>The</w:t>
      </w:r>
      <w:r>
        <w:rPr>
          <w:spacing w:val="-20"/>
        </w:rPr>
        <w:t> </w:t>
      </w:r>
      <w:r>
        <w:rPr/>
        <w:t>report</w:t>
      </w:r>
      <w:r>
        <w:rPr>
          <w:spacing w:val="-20"/>
        </w:rPr>
        <w:t> </w:t>
      </w:r>
      <w:r>
        <w:rPr/>
        <w:t>included</w:t>
      </w:r>
      <w:r>
        <w:rPr>
          <w:spacing w:val="-20"/>
        </w:rPr>
        <w:t> </w:t>
      </w:r>
      <w:r>
        <w:rPr>
          <w:spacing w:val="-7"/>
        </w:rPr>
        <w:t>154</w:t>
      </w:r>
    </w:p>
    <w:p>
      <w:pPr>
        <w:pStyle w:val="BodyText"/>
        <w:spacing w:line="249" w:lineRule="auto" w:before="3"/>
        <w:ind w:left="348" w:right="1258"/>
      </w:pPr>
      <w:r>
        <w:rPr>
          <w:spacing w:val="-3"/>
        </w:rPr>
        <w:t>recommendations</w:t>
      </w:r>
      <w:r>
        <w:rPr>
          <w:spacing w:val="-23"/>
        </w:rPr>
        <w:t> </w:t>
      </w:r>
      <w:r>
        <w:rPr/>
        <w:t>which</w:t>
      </w:r>
      <w:r>
        <w:rPr>
          <w:spacing w:val="-22"/>
        </w:rPr>
        <w:t> </w:t>
      </w:r>
      <w:r>
        <w:rPr>
          <w:spacing w:val="-3"/>
        </w:rPr>
        <w:t>were</w:t>
      </w:r>
      <w:r>
        <w:rPr>
          <w:spacing w:val="-23"/>
        </w:rPr>
        <w:t> </w:t>
      </w:r>
      <w:r>
        <w:rPr/>
        <w:t>designed</w:t>
      </w:r>
      <w:r>
        <w:rPr>
          <w:spacing w:val="-22"/>
        </w:rPr>
        <w:t> </w:t>
      </w:r>
      <w:r>
        <w:rPr>
          <w:spacing w:val="-4"/>
        </w:rPr>
        <w:t>to</w:t>
      </w:r>
      <w:r>
        <w:rPr>
          <w:spacing w:val="-22"/>
        </w:rPr>
        <w:t> </w:t>
      </w:r>
      <w:r>
        <w:rPr>
          <w:spacing w:val="-3"/>
        </w:rPr>
        <w:t>better prepare</w:t>
      </w:r>
      <w:r>
        <w:rPr>
          <w:spacing w:val="-27"/>
        </w:rPr>
        <w:t> </w:t>
      </w:r>
      <w:r>
        <w:rPr>
          <w:spacing w:val="-2"/>
        </w:rPr>
        <w:t>the</w:t>
      </w:r>
      <w:r>
        <w:rPr>
          <w:spacing w:val="-27"/>
        </w:rPr>
        <w:t> </w:t>
      </w:r>
      <w:r>
        <w:rPr>
          <w:spacing w:val="-4"/>
        </w:rPr>
        <w:t>State</w:t>
      </w:r>
      <w:r>
        <w:rPr>
          <w:spacing w:val="-27"/>
        </w:rPr>
        <w:t> </w:t>
      </w:r>
      <w:r>
        <w:rPr>
          <w:spacing w:val="-3"/>
        </w:rPr>
        <w:t>Government</w:t>
      </w:r>
      <w:r>
        <w:rPr>
          <w:spacing w:val="-27"/>
        </w:rPr>
        <w:t> </w:t>
      </w:r>
      <w:r>
        <w:rPr>
          <w:spacing w:val="-3"/>
        </w:rPr>
        <w:t>for</w:t>
      </w:r>
      <w:r>
        <w:rPr>
          <w:spacing w:val="-26"/>
        </w:rPr>
        <w:t> </w:t>
      </w:r>
      <w:r>
        <w:rPr>
          <w:spacing w:val="-2"/>
        </w:rPr>
        <w:t>the</w:t>
      </w:r>
      <w:r>
        <w:rPr>
          <w:spacing w:val="-27"/>
        </w:rPr>
        <w:t> </w:t>
      </w:r>
      <w:r>
        <w:rPr/>
        <w:t>challenges </w:t>
      </w:r>
      <w:r>
        <w:rPr>
          <w:spacing w:val="-3"/>
        </w:rPr>
        <w:t>of </w:t>
      </w:r>
      <w:r>
        <w:rPr/>
        <w:t>a contemporary business </w:t>
      </w:r>
      <w:r>
        <w:rPr>
          <w:spacing w:val="-3"/>
        </w:rPr>
        <w:t>environment, </w:t>
      </w:r>
      <w:r>
        <w:rPr/>
        <w:t>limit </w:t>
      </w:r>
      <w:r>
        <w:rPr>
          <w:spacing w:val="-3"/>
        </w:rPr>
        <w:t>wasteful</w:t>
      </w:r>
      <w:r>
        <w:rPr>
          <w:spacing w:val="-33"/>
        </w:rPr>
        <w:t> </w:t>
      </w:r>
      <w:r>
        <w:rPr>
          <w:spacing w:val="-3"/>
        </w:rPr>
        <w:t>expenditure</w:t>
      </w:r>
      <w:r>
        <w:rPr>
          <w:spacing w:val="-33"/>
        </w:rPr>
        <w:t> </w:t>
      </w:r>
      <w:r>
        <w:rPr/>
        <w:t>and</w:t>
      </w:r>
      <w:r>
        <w:rPr>
          <w:spacing w:val="-32"/>
        </w:rPr>
        <w:t> </w:t>
      </w:r>
      <w:r>
        <w:rPr/>
        <w:t>offer</w:t>
      </w:r>
      <w:r>
        <w:rPr>
          <w:spacing w:val="-33"/>
        </w:rPr>
        <w:t> </w:t>
      </w:r>
      <w:r>
        <w:rPr/>
        <w:t>an</w:t>
      </w:r>
      <w:r>
        <w:rPr>
          <w:spacing w:val="-32"/>
        </w:rPr>
        <w:t> </w:t>
      </w:r>
      <w:r>
        <w:rPr/>
        <w:t>increased</w:t>
      </w:r>
      <w:r>
        <w:rPr>
          <w:spacing w:val="-33"/>
        </w:rPr>
        <w:t> </w:t>
      </w:r>
      <w:r>
        <w:rPr>
          <w:spacing w:val="-3"/>
        </w:rPr>
        <w:t>level of </w:t>
      </w:r>
      <w:r>
        <w:rPr/>
        <w:t>accountability </w:t>
      </w:r>
      <w:r>
        <w:rPr>
          <w:spacing w:val="-4"/>
        </w:rPr>
        <w:t>to</w:t>
      </w:r>
      <w:r>
        <w:rPr>
          <w:spacing w:val="-20"/>
        </w:rPr>
        <w:t> </w:t>
      </w:r>
      <w:r>
        <w:rPr>
          <w:spacing w:val="-3"/>
        </w:rPr>
        <w:t>taxpayers.</w:t>
      </w:r>
    </w:p>
    <w:p>
      <w:pPr>
        <w:pStyle w:val="BodyText"/>
        <w:spacing w:before="3"/>
        <w:rPr>
          <w:sz w:val="23"/>
        </w:rPr>
      </w:pPr>
    </w:p>
    <w:p>
      <w:pPr>
        <w:pStyle w:val="BodyText"/>
        <w:spacing w:line="249" w:lineRule="auto" w:before="1"/>
        <w:ind w:left="348" w:right="1394"/>
      </w:pPr>
      <w:r>
        <w:rPr/>
        <w:t>The</w:t>
      </w:r>
      <w:r>
        <w:rPr>
          <w:spacing w:val="-21"/>
        </w:rPr>
        <w:t> </w:t>
      </w:r>
      <w:r>
        <w:rPr/>
        <w:t>delivery</w:t>
      </w:r>
      <w:r>
        <w:rPr>
          <w:spacing w:val="-21"/>
        </w:rPr>
        <w:t> </w:t>
      </w:r>
      <w:r>
        <w:rPr>
          <w:spacing w:val="-3"/>
        </w:rPr>
        <w:t>of</w:t>
      </w:r>
      <w:r>
        <w:rPr>
          <w:spacing w:val="-21"/>
        </w:rPr>
        <w:t> </w:t>
      </w:r>
      <w:r>
        <w:rPr>
          <w:spacing w:val="-3"/>
        </w:rPr>
        <w:t>this</w:t>
      </w:r>
      <w:r>
        <w:rPr>
          <w:spacing w:val="-21"/>
        </w:rPr>
        <w:t> </w:t>
      </w:r>
      <w:r>
        <w:rPr/>
        <w:t>report</w:t>
      </w:r>
      <w:r>
        <w:rPr>
          <w:spacing w:val="-21"/>
        </w:rPr>
        <w:t> </w:t>
      </w:r>
      <w:r>
        <w:rPr/>
        <w:t>could</w:t>
      </w:r>
      <w:r>
        <w:rPr>
          <w:spacing w:val="-21"/>
        </w:rPr>
        <w:t> </w:t>
      </w:r>
      <w:r>
        <w:rPr>
          <w:spacing w:val="-3"/>
        </w:rPr>
        <w:t>not</w:t>
      </w:r>
      <w:r>
        <w:rPr>
          <w:spacing w:val="-21"/>
        </w:rPr>
        <w:t> </w:t>
      </w:r>
      <w:r>
        <w:rPr>
          <w:spacing w:val="-4"/>
        </w:rPr>
        <w:t>have</w:t>
      </w:r>
      <w:r>
        <w:rPr>
          <w:spacing w:val="-21"/>
        </w:rPr>
        <w:t> </w:t>
      </w:r>
      <w:r>
        <w:rPr/>
        <w:t>been </w:t>
      </w:r>
      <w:r>
        <w:rPr>
          <w:spacing w:val="-3"/>
        </w:rPr>
        <w:t>achieved </w:t>
      </w:r>
      <w:r>
        <w:rPr/>
        <w:t>without </w:t>
      </w:r>
      <w:r>
        <w:rPr>
          <w:spacing w:val="-2"/>
        </w:rPr>
        <w:t>the </w:t>
      </w:r>
      <w:r>
        <w:rPr/>
        <w:t>significant support and </w:t>
      </w:r>
      <w:r>
        <w:rPr>
          <w:spacing w:val="-3"/>
        </w:rPr>
        <w:t>detailed</w:t>
      </w:r>
      <w:r>
        <w:rPr>
          <w:spacing w:val="-30"/>
        </w:rPr>
        <w:t> </w:t>
      </w:r>
      <w:r>
        <w:rPr/>
        <w:t>analysis</w:t>
      </w:r>
      <w:r>
        <w:rPr>
          <w:spacing w:val="-30"/>
        </w:rPr>
        <w:t> </w:t>
      </w:r>
      <w:r>
        <w:rPr>
          <w:spacing w:val="-3"/>
        </w:rPr>
        <w:t>provided</w:t>
      </w:r>
      <w:r>
        <w:rPr>
          <w:spacing w:val="-30"/>
        </w:rPr>
        <w:t> </w:t>
      </w:r>
      <w:r>
        <w:rPr>
          <w:spacing w:val="-3"/>
        </w:rPr>
        <w:t>by</w:t>
      </w:r>
      <w:r>
        <w:rPr>
          <w:spacing w:val="-30"/>
        </w:rPr>
        <w:t> </w:t>
      </w:r>
      <w:r>
        <w:rPr>
          <w:spacing w:val="-2"/>
        </w:rPr>
        <w:t>the</w:t>
      </w:r>
      <w:r>
        <w:rPr>
          <w:spacing w:val="-30"/>
        </w:rPr>
        <w:t> </w:t>
      </w:r>
      <w:r>
        <w:rPr/>
        <w:t>Department</w:t>
      </w:r>
      <w:r>
        <w:rPr>
          <w:spacing w:val="-30"/>
        </w:rPr>
        <w:t> </w:t>
      </w:r>
      <w:r>
        <w:rPr>
          <w:spacing w:val="-3"/>
        </w:rPr>
        <w:t>of </w:t>
      </w:r>
      <w:r>
        <w:rPr/>
        <w:t>Finance</w:t>
      </w:r>
      <w:r>
        <w:rPr>
          <w:spacing w:val="-16"/>
        </w:rPr>
        <w:t> </w:t>
      </w:r>
      <w:r>
        <w:rPr/>
        <w:t>Special</w:t>
      </w:r>
      <w:r>
        <w:rPr>
          <w:spacing w:val="-16"/>
        </w:rPr>
        <w:t> </w:t>
      </w:r>
      <w:r>
        <w:rPr/>
        <w:t>Inquiry</w:t>
      </w:r>
      <w:r>
        <w:rPr>
          <w:spacing w:val="-16"/>
        </w:rPr>
        <w:t> </w:t>
      </w:r>
      <w:r>
        <w:rPr>
          <w:spacing w:val="-3"/>
        </w:rPr>
        <w:t>team</w:t>
      </w:r>
      <w:r>
        <w:rPr>
          <w:spacing w:val="-16"/>
        </w:rPr>
        <w:t> </w:t>
      </w:r>
      <w:r>
        <w:rPr/>
        <w:t>members.</w:t>
      </w:r>
    </w:p>
    <w:p>
      <w:pPr>
        <w:spacing w:after="0" w:line="249" w:lineRule="auto"/>
        <w:sectPr>
          <w:type w:val="continuous"/>
          <w:pgSz w:w="16840" w:h="11910" w:orient="landscape"/>
          <w:pgMar w:top="1100" w:bottom="280" w:left="0" w:right="0"/>
          <w:cols w:num="3" w:equalWidth="0">
            <w:col w:w="5712" w:space="40"/>
            <w:col w:w="4885" w:space="39"/>
            <w:col w:w="6164"/>
          </w:cols>
        </w:sectPr>
      </w:pPr>
    </w:p>
    <w:p>
      <w:pPr>
        <w:tabs>
          <w:tab w:pos="4810" w:val="left" w:leader="none"/>
          <w:tab w:pos="9621" w:val="left" w:leader="none"/>
          <w:tab w:pos="14432" w:val="left" w:leader="none"/>
        </w:tabs>
        <w:spacing w:line="240" w:lineRule="auto"/>
        <w:ind w:left="0" w:right="-58" w:firstLine="0"/>
        <w:rPr>
          <w:sz w:val="20"/>
        </w:rPr>
      </w:pPr>
      <w:bookmarkStart w:name="_bookmark8" w:id="9"/>
      <w:bookmarkEnd w:id="9"/>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7"/>
        <w:rPr>
          <w:sz w:val="24"/>
        </w:rPr>
      </w:pPr>
    </w:p>
    <w:p>
      <w:pPr>
        <w:pStyle w:val="Heading3"/>
      </w:pPr>
      <w:r>
        <w:rPr/>
        <w:pict>
          <v:group style="position:absolute;margin-left:38.268002pt;margin-top:-7.314259pt;width:765.4pt;height:481.9pt;mso-position-horizontal-relative:page;mso-position-vertical-relative:paragraph;z-index:-708160" coordorigin="765,-146" coordsize="15308,9638">
            <v:rect style="position:absolute;left:765;top:-147;width:15308;height:9638" filled="true" fillcolor="#f0eee8" stroked="false">
              <v:fill type="solid"/>
            </v:rect>
            <v:shape style="position:absolute;left:6049;top:4088;width:199;height:199" type="#_x0000_t75" stroked="false">
              <v:imagedata r:id="rId53" o:title=""/>
            </v:shape>
            <v:shape style="position:absolute;left:11024;top:1967;width:199;height:199" type="#_x0000_t75" stroked="false">
              <v:imagedata r:id="rId54" o:title=""/>
            </v:shape>
            <v:shape style="position:absolute;left:11024;top:2217;width:199;height:199" type="#_x0000_t75" stroked="false">
              <v:imagedata r:id="rId55" o:title=""/>
            </v:shape>
            <v:shape style="position:absolute;left:11024;top:3294;width:199;height:199" type="#_x0000_t75" stroked="false">
              <v:imagedata r:id="rId53" o:title=""/>
            </v:shape>
            <v:shape style="position:absolute;left:11024;top:4076;width:199;height:199" type="#_x0000_t75" stroked="false">
              <v:imagedata r:id="rId56" o:title=""/>
            </v:shape>
            <v:shape style="position:absolute;left:11024;top:5652;width:199;height:199" type="#_x0000_t75" stroked="false">
              <v:imagedata r:id="rId57" o:title=""/>
            </v:shape>
            <v:shape style="position:absolute;left:11024;top:4893;width:199;height:199" type="#_x0000_t75" stroked="false">
              <v:imagedata r:id="rId57" o:title=""/>
            </v:shape>
            <v:shape style="position:absolute;left:11024;top:6446;width:199;height:199" type="#_x0000_t75" stroked="false">
              <v:imagedata r:id="rId58" o:title=""/>
            </v:shape>
            <v:shape style="position:absolute;left:6049;top:4870;width:199;height:199" type="#_x0000_t75" stroked="false">
              <v:imagedata r:id="rId58" o:title=""/>
            </v:shape>
            <v:shape style="position:absolute;left:6049;top:5652;width:199;height:199" type="#_x0000_t75" stroked="false">
              <v:imagedata r:id="rId59" o:title=""/>
            </v:shape>
            <v:shape style="position:absolute;left:6049;top:6729;width:199;height:199" type="#_x0000_t75" stroked="false">
              <v:imagedata r:id="rId60" o:title=""/>
            </v:shape>
            <w10:wrap type="none"/>
          </v:group>
        </w:pict>
      </w:r>
      <w:r>
        <w:rPr/>
        <w:pict>
          <v:shape style="position:absolute;margin-left:601.348999pt;margin-top:-69.422256pt;width:120.3pt;height:42.55pt;mso-position-horizontal-relative:page;mso-position-vertical-relative:paragraph;z-index:4360"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9.422256pt;width:120.3pt;height:42.55pt;mso-position-horizontal-relative:page;mso-position-vertical-relative:paragraph;z-index:438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9.422256pt;width:120.3pt;height:42.55pt;mso-position-horizontal-relative:page;mso-position-vertical-relative:paragraph;z-index:4408"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CEO Working Group Report on Public Sector Efficiency</w:t>
      </w:r>
    </w:p>
    <w:p>
      <w:pPr>
        <w:pStyle w:val="BodyText"/>
        <w:rPr>
          <w:b/>
          <w:sz w:val="14"/>
        </w:rPr>
      </w:pPr>
    </w:p>
    <w:p>
      <w:pPr>
        <w:spacing w:after="0"/>
        <w:rPr>
          <w:sz w:val="14"/>
        </w:rPr>
        <w:sectPr>
          <w:footerReference w:type="default" r:id="rId52"/>
          <w:pgSz w:w="16840" w:h="11910" w:orient="landscape"/>
          <w:pgMar w:footer="746" w:header="0" w:top="0" w:bottom="940" w:left="0" w:right="0"/>
        </w:sectPr>
      </w:pPr>
    </w:p>
    <w:p>
      <w:pPr>
        <w:pStyle w:val="BodyText"/>
        <w:spacing w:line="249" w:lineRule="auto" w:before="106"/>
        <w:ind w:left="1074" w:right="204"/>
      </w:pPr>
      <w:r>
        <w:rPr/>
        <w:t>The </w:t>
      </w:r>
      <w:r>
        <w:rPr>
          <w:spacing w:val="-3"/>
        </w:rPr>
        <w:t>CEO Working </w:t>
      </w:r>
      <w:r>
        <w:rPr/>
        <w:t>Group on </w:t>
      </w:r>
      <w:r>
        <w:rPr>
          <w:spacing w:val="-3"/>
        </w:rPr>
        <w:t>Public Sector </w:t>
      </w:r>
      <w:r>
        <w:rPr/>
        <w:t>Efficiency </w:t>
      </w:r>
      <w:r>
        <w:rPr>
          <w:spacing w:val="-3"/>
        </w:rPr>
        <w:t>was </w:t>
      </w:r>
      <w:r>
        <w:rPr/>
        <w:t>formed as part </w:t>
      </w:r>
      <w:r>
        <w:rPr>
          <w:spacing w:val="-3"/>
        </w:rPr>
        <w:t>of </w:t>
      </w:r>
      <w:r>
        <w:rPr/>
        <w:t>a </w:t>
      </w:r>
      <w:r>
        <w:rPr>
          <w:spacing w:val="-3"/>
        </w:rPr>
        <w:t>suite of initiatives</w:t>
      </w:r>
      <w:r>
        <w:rPr>
          <w:spacing w:val="-30"/>
        </w:rPr>
        <w:t> </w:t>
      </w:r>
      <w:r>
        <w:rPr/>
        <w:t>under</w:t>
      </w:r>
      <w:r>
        <w:rPr>
          <w:spacing w:val="-30"/>
        </w:rPr>
        <w:t> </w:t>
      </w:r>
      <w:r>
        <w:rPr>
          <w:spacing w:val="-2"/>
        </w:rPr>
        <w:t>the</w:t>
      </w:r>
      <w:r>
        <w:rPr>
          <w:spacing w:val="-30"/>
        </w:rPr>
        <w:t> </w:t>
      </w:r>
      <w:r>
        <w:rPr>
          <w:spacing w:val="-4"/>
        </w:rPr>
        <w:t>Government’s</w:t>
      </w:r>
      <w:r>
        <w:rPr>
          <w:spacing w:val="-29"/>
        </w:rPr>
        <w:t> </w:t>
      </w:r>
      <w:r>
        <w:rPr>
          <w:spacing w:val="-3"/>
        </w:rPr>
        <w:t>Public</w:t>
      </w:r>
      <w:r>
        <w:rPr>
          <w:spacing w:val="-30"/>
        </w:rPr>
        <w:t> </w:t>
      </w:r>
      <w:r>
        <w:rPr>
          <w:spacing w:val="-3"/>
        </w:rPr>
        <w:t>Sector Renewal</w:t>
      </w:r>
      <w:r>
        <w:rPr>
          <w:spacing w:val="-29"/>
        </w:rPr>
        <w:t> </w:t>
      </w:r>
      <w:r>
        <w:rPr>
          <w:spacing w:val="-3"/>
        </w:rPr>
        <w:t>Program.</w:t>
      </w:r>
      <w:r>
        <w:rPr>
          <w:spacing w:val="-29"/>
        </w:rPr>
        <w:t> </w:t>
      </w:r>
      <w:r>
        <w:rPr/>
        <w:t>The</w:t>
      </w:r>
      <w:r>
        <w:rPr>
          <w:spacing w:val="-28"/>
        </w:rPr>
        <w:t> </w:t>
      </w:r>
      <w:r>
        <w:rPr>
          <w:spacing w:val="-3"/>
        </w:rPr>
        <w:t>Working</w:t>
      </w:r>
      <w:r>
        <w:rPr>
          <w:spacing w:val="-29"/>
        </w:rPr>
        <w:t> </w:t>
      </w:r>
      <w:r>
        <w:rPr>
          <w:spacing w:val="-4"/>
        </w:rPr>
        <w:t>Group,</w:t>
      </w:r>
      <w:r>
        <w:rPr>
          <w:spacing w:val="-28"/>
        </w:rPr>
        <w:t> </w:t>
      </w:r>
      <w:r>
        <w:rPr>
          <w:spacing w:val="-2"/>
        </w:rPr>
        <w:t>chaired </w:t>
      </w:r>
      <w:r>
        <w:rPr>
          <w:spacing w:val="-3"/>
        </w:rPr>
        <w:t>by </w:t>
      </w:r>
      <w:r>
        <w:rPr>
          <w:spacing w:val="-2"/>
        </w:rPr>
        <w:t>the </w:t>
      </w:r>
      <w:r>
        <w:rPr>
          <w:spacing w:val="-3"/>
        </w:rPr>
        <w:t>Director </w:t>
      </w:r>
      <w:r>
        <w:rPr/>
        <w:t>General </w:t>
      </w:r>
      <w:r>
        <w:rPr>
          <w:spacing w:val="-3"/>
        </w:rPr>
        <w:t>of Finance, </w:t>
      </w:r>
      <w:r>
        <w:rPr/>
        <w:t>included </w:t>
      </w:r>
      <w:r>
        <w:rPr>
          <w:spacing w:val="-3"/>
        </w:rPr>
        <w:t>CEOs</w:t>
      </w:r>
      <w:r>
        <w:rPr>
          <w:spacing w:val="-31"/>
        </w:rPr>
        <w:t> </w:t>
      </w:r>
      <w:r>
        <w:rPr/>
        <w:t>from</w:t>
      </w:r>
      <w:r>
        <w:rPr>
          <w:spacing w:val="-30"/>
        </w:rPr>
        <w:t> </w:t>
      </w:r>
      <w:r>
        <w:rPr>
          <w:spacing w:val="-2"/>
        </w:rPr>
        <w:t>the</w:t>
      </w:r>
      <w:r>
        <w:rPr>
          <w:spacing w:val="-30"/>
        </w:rPr>
        <w:t> </w:t>
      </w:r>
      <w:r>
        <w:rPr/>
        <w:t>Departments</w:t>
      </w:r>
      <w:r>
        <w:rPr>
          <w:spacing w:val="-31"/>
        </w:rPr>
        <w:t> </w:t>
      </w:r>
      <w:r>
        <w:rPr>
          <w:spacing w:val="-3"/>
        </w:rPr>
        <w:t>of</w:t>
      </w:r>
      <w:r>
        <w:rPr>
          <w:spacing w:val="-30"/>
        </w:rPr>
        <w:t> </w:t>
      </w:r>
      <w:r>
        <w:rPr>
          <w:spacing w:val="-4"/>
        </w:rPr>
        <w:t>Transport;</w:t>
      </w:r>
      <w:r>
        <w:rPr>
          <w:spacing w:val="-30"/>
        </w:rPr>
        <w:t> </w:t>
      </w:r>
      <w:r>
        <w:rPr/>
        <w:t>Local </w:t>
      </w:r>
      <w:r>
        <w:rPr>
          <w:spacing w:val="-3"/>
        </w:rPr>
        <w:t>Government,</w:t>
      </w:r>
      <w:r>
        <w:rPr>
          <w:spacing w:val="-27"/>
        </w:rPr>
        <w:t> </w:t>
      </w:r>
      <w:r>
        <w:rPr/>
        <w:t>Sport</w:t>
      </w:r>
      <w:r>
        <w:rPr>
          <w:spacing w:val="-27"/>
        </w:rPr>
        <w:t> </w:t>
      </w:r>
      <w:r>
        <w:rPr/>
        <w:t>and</w:t>
      </w:r>
      <w:r>
        <w:rPr>
          <w:spacing w:val="-27"/>
        </w:rPr>
        <w:t> </w:t>
      </w:r>
      <w:r>
        <w:rPr>
          <w:spacing w:val="-3"/>
        </w:rPr>
        <w:t>Cultural</w:t>
      </w:r>
      <w:r>
        <w:rPr>
          <w:spacing w:val="-26"/>
        </w:rPr>
        <w:t> </w:t>
      </w:r>
      <w:r>
        <w:rPr>
          <w:spacing w:val="-3"/>
        </w:rPr>
        <w:t>Industries;</w:t>
      </w:r>
      <w:r>
        <w:rPr>
          <w:spacing w:val="-27"/>
        </w:rPr>
        <w:t> </w:t>
      </w:r>
      <w:r>
        <w:rPr/>
        <w:t>and </w:t>
      </w:r>
      <w:r>
        <w:rPr>
          <w:spacing w:val="-3"/>
        </w:rPr>
        <w:t>Planning, </w:t>
      </w:r>
      <w:r>
        <w:rPr/>
        <w:t>Lands and</w:t>
      </w:r>
      <w:r>
        <w:rPr>
          <w:spacing w:val="-22"/>
        </w:rPr>
        <w:t> </w:t>
      </w:r>
      <w:r>
        <w:rPr>
          <w:spacing w:val="-3"/>
        </w:rPr>
        <w:t>Heritage.</w:t>
      </w:r>
    </w:p>
    <w:p>
      <w:pPr>
        <w:pStyle w:val="BodyText"/>
        <w:spacing w:before="7"/>
        <w:rPr>
          <w:sz w:val="23"/>
        </w:rPr>
      </w:pPr>
    </w:p>
    <w:p>
      <w:pPr>
        <w:pStyle w:val="BodyText"/>
        <w:spacing w:line="249" w:lineRule="auto"/>
        <w:ind w:left="1074" w:right="275"/>
        <w:jc w:val="both"/>
      </w:pPr>
      <w:r>
        <w:rPr/>
        <w:t>The</w:t>
      </w:r>
      <w:r>
        <w:rPr>
          <w:spacing w:val="-30"/>
        </w:rPr>
        <w:t> </w:t>
      </w:r>
      <w:r>
        <w:rPr>
          <w:spacing w:val="-3"/>
        </w:rPr>
        <w:t>Working</w:t>
      </w:r>
      <w:r>
        <w:rPr>
          <w:spacing w:val="-30"/>
        </w:rPr>
        <w:t> </w:t>
      </w:r>
      <w:r>
        <w:rPr/>
        <w:t>Group</w:t>
      </w:r>
      <w:r>
        <w:rPr>
          <w:spacing w:val="-29"/>
        </w:rPr>
        <w:t> </w:t>
      </w:r>
      <w:r>
        <w:rPr>
          <w:spacing w:val="-3"/>
        </w:rPr>
        <w:t>was</w:t>
      </w:r>
      <w:r>
        <w:rPr>
          <w:spacing w:val="-30"/>
        </w:rPr>
        <w:t> </w:t>
      </w:r>
      <w:r>
        <w:rPr>
          <w:spacing w:val="-3"/>
        </w:rPr>
        <w:t>tasked</w:t>
      </w:r>
      <w:r>
        <w:rPr>
          <w:spacing w:val="-30"/>
        </w:rPr>
        <w:t> </w:t>
      </w:r>
      <w:r>
        <w:rPr/>
        <w:t>with</w:t>
      </w:r>
      <w:r>
        <w:rPr>
          <w:spacing w:val="-29"/>
        </w:rPr>
        <w:t> </w:t>
      </w:r>
      <w:r>
        <w:rPr/>
        <w:t>identifying opportunities</w:t>
      </w:r>
      <w:r>
        <w:rPr>
          <w:spacing w:val="-27"/>
        </w:rPr>
        <w:t> </w:t>
      </w:r>
      <w:r>
        <w:rPr>
          <w:spacing w:val="-4"/>
        </w:rPr>
        <w:t>to</w:t>
      </w:r>
      <w:r>
        <w:rPr>
          <w:spacing w:val="-26"/>
        </w:rPr>
        <w:t> </w:t>
      </w:r>
      <w:r>
        <w:rPr/>
        <w:t>reduce</w:t>
      </w:r>
      <w:r>
        <w:rPr>
          <w:spacing w:val="-26"/>
        </w:rPr>
        <w:t> </w:t>
      </w:r>
      <w:r>
        <w:rPr>
          <w:spacing w:val="-3"/>
        </w:rPr>
        <w:t>internal</w:t>
      </w:r>
      <w:r>
        <w:rPr>
          <w:spacing w:val="-27"/>
        </w:rPr>
        <w:t> </w:t>
      </w:r>
      <w:r>
        <w:rPr/>
        <w:t>red</w:t>
      </w:r>
      <w:r>
        <w:rPr>
          <w:spacing w:val="-26"/>
        </w:rPr>
        <w:t> </w:t>
      </w:r>
      <w:r>
        <w:rPr>
          <w:spacing w:val="-3"/>
        </w:rPr>
        <w:t>tape,</w:t>
      </w:r>
      <w:r>
        <w:rPr>
          <w:spacing w:val="-26"/>
        </w:rPr>
        <w:t> </w:t>
      </w:r>
      <w:r>
        <w:rPr>
          <w:spacing w:val="-4"/>
        </w:rPr>
        <w:t>waste </w:t>
      </w:r>
      <w:r>
        <w:rPr/>
        <w:t>and</w:t>
      </w:r>
      <w:r>
        <w:rPr>
          <w:spacing w:val="-16"/>
        </w:rPr>
        <w:t> </w:t>
      </w:r>
      <w:r>
        <w:rPr/>
        <w:t>inefficiencies</w:t>
      </w:r>
      <w:r>
        <w:rPr>
          <w:spacing w:val="-15"/>
        </w:rPr>
        <w:t> </w:t>
      </w:r>
      <w:r>
        <w:rPr>
          <w:spacing w:val="-3"/>
        </w:rPr>
        <w:t>across</w:t>
      </w:r>
      <w:r>
        <w:rPr>
          <w:spacing w:val="-16"/>
        </w:rPr>
        <w:t> </w:t>
      </w:r>
      <w:r>
        <w:rPr>
          <w:spacing w:val="-2"/>
        </w:rPr>
        <w:t>the</w:t>
      </w:r>
      <w:r>
        <w:rPr>
          <w:spacing w:val="-15"/>
        </w:rPr>
        <w:t> </w:t>
      </w:r>
      <w:r>
        <w:rPr/>
        <w:t>public</w:t>
      </w:r>
      <w:r>
        <w:rPr>
          <w:spacing w:val="-16"/>
        </w:rPr>
        <w:t> </w:t>
      </w:r>
      <w:r>
        <w:rPr>
          <w:spacing w:val="-6"/>
        </w:rPr>
        <w:t>sector.</w:t>
      </w:r>
    </w:p>
    <w:p>
      <w:pPr>
        <w:pStyle w:val="BodyText"/>
        <w:spacing w:before="2"/>
        <w:rPr>
          <w:sz w:val="23"/>
        </w:rPr>
      </w:pPr>
    </w:p>
    <w:p>
      <w:pPr>
        <w:spacing w:line="249" w:lineRule="auto" w:before="0"/>
        <w:ind w:left="1074" w:right="96" w:firstLine="0"/>
        <w:jc w:val="left"/>
        <w:rPr>
          <w:sz w:val="22"/>
        </w:rPr>
      </w:pPr>
      <w:r>
        <w:rPr>
          <w:sz w:val="22"/>
        </w:rPr>
        <w:t>The </w:t>
      </w:r>
      <w:r>
        <w:rPr>
          <w:spacing w:val="-3"/>
          <w:sz w:val="22"/>
        </w:rPr>
        <w:t>Department’s </w:t>
      </w:r>
      <w:r>
        <w:rPr>
          <w:b/>
          <w:sz w:val="22"/>
        </w:rPr>
        <w:t>Strategy and Coordination Unit </w:t>
      </w:r>
      <w:r>
        <w:rPr>
          <w:spacing w:val="-3"/>
          <w:sz w:val="22"/>
        </w:rPr>
        <w:t>provided secretariat </w:t>
      </w:r>
      <w:r>
        <w:rPr>
          <w:sz w:val="22"/>
        </w:rPr>
        <w:t>support </w:t>
      </w:r>
      <w:r>
        <w:rPr>
          <w:spacing w:val="-3"/>
          <w:sz w:val="22"/>
        </w:rPr>
        <w:t>for </w:t>
      </w:r>
      <w:r>
        <w:rPr>
          <w:spacing w:val="-2"/>
          <w:sz w:val="22"/>
        </w:rPr>
        <w:t>the </w:t>
      </w:r>
      <w:r>
        <w:rPr>
          <w:spacing w:val="-3"/>
          <w:sz w:val="22"/>
        </w:rPr>
        <w:t>Working </w:t>
      </w:r>
      <w:r>
        <w:rPr>
          <w:sz w:val="22"/>
        </w:rPr>
        <w:t>Group </w:t>
      </w:r>
      <w:r>
        <w:rPr>
          <w:spacing w:val="-3"/>
          <w:sz w:val="22"/>
        </w:rPr>
        <w:t>through </w:t>
      </w:r>
      <w:r>
        <w:rPr>
          <w:sz w:val="22"/>
        </w:rPr>
        <w:t>a </w:t>
      </w:r>
      <w:r>
        <w:rPr>
          <w:spacing w:val="-3"/>
          <w:sz w:val="22"/>
        </w:rPr>
        <w:t>project team that </w:t>
      </w:r>
      <w:r>
        <w:rPr>
          <w:sz w:val="22"/>
        </w:rPr>
        <w:t>also</w:t>
      </w:r>
    </w:p>
    <w:p>
      <w:pPr>
        <w:pStyle w:val="BodyText"/>
        <w:spacing w:line="249" w:lineRule="auto" w:before="3"/>
        <w:ind w:left="1074" w:right="-9"/>
      </w:pPr>
      <w:r>
        <w:rPr>
          <w:spacing w:val="-3"/>
        </w:rPr>
        <w:t>conducted</w:t>
      </w:r>
      <w:r>
        <w:rPr>
          <w:spacing w:val="-25"/>
        </w:rPr>
        <w:t> </w:t>
      </w:r>
      <w:r>
        <w:rPr>
          <w:spacing w:val="-3"/>
        </w:rPr>
        <w:t>research,</w:t>
      </w:r>
      <w:r>
        <w:rPr>
          <w:spacing w:val="-24"/>
        </w:rPr>
        <w:t> </w:t>
      </w:r>
      <w:r>
        <w:rPr>
          <w:spacing w:val="-3"/>
        </w:rPr>
        <w:t>collated</w:t>
      </w:r>
      <w:r>
        <w:rPr>
          <w:spacing w:val="-25"/>
        </w:rPr>
        <w:t> </w:t>
      </w:r>
      <w:r>
        <w:rPr/>
        <w:t>findings</w:t>
      </w:r>
      <w:r>
        <w:rPr>
          <w:spacing w:val="-24"/>
        </w:rPr>
        <w:t> </w:t>
      </w:r>
      <w:r>
        <w:rPr/>
        <w:t>and</w:t>
      </w:r>
      <w:r>
        <w:rPr>
          <w:spacing w:val="-25"/>
        </w:rPr>
        <w:t> </w:t>
      </w:r>
      <w:r>
        <w:rPr/>
        <w:t>drafted </w:t>
      </w:r>
      <w:r>
        <w:rPr>
          <w:spacing w:val="-2"/>
        </w:rPr>
        <w:t>the</w:t>
      </w:r>
      <w:r>
        <w:rPr>
          <w:spacing w:val="-27"/>
        </w:rPr>
        <w:t> </w:t>
      </w:r>
      <w:r>
        <w:rPr/>
        <w:t>final</w:t>
      </w:r>
      <w:r>
        <w:rPr>
          <w:spacing w:val="-27"/>
        </w:rPr>
        <w:t> </w:t>
      </w:r>
      <w:r>
        <w:rPr/>
        <w:t>report.</w:t>
      </w:r>
      <w:r>
        <w:rPr>
          <w:spacing w:val="-27"/>
        </w:rPr>
        <w:t> </w:t>
      </w:r>
      <w:r>
        <w:rPr/>
        <w:t>The</w:t>
      </w:r>
      <w:r>
        <w:rPr>
          <w:spacing w:val="-27"/>
        </w:rPr>
        <w:t> </w:t>
      </w:r>
      <w:r>
        <w:rPr/>
        <w:t>research</w:t>
      </w:r>
      <w:r>
        <w:rPr>
          <w:spacing w:val="-27"/>
        </w:rPr>
        <w:t> </w:t>
      </w:r>
      <w:r>
        <w:rPr/>
        <w:t>process</w:t>
      </w:r>
      <w:r>
        <w:rPr>
          <w:spacing w:val="-26"/>
        </w:rPr>
        <w:t> </w:t>
      </w:r>
      <w:r>
        <w:rPr>
          <w:spacing w:val="-3"/>
        </w:rPr>
        <w:t>was</w:t>
      </w:r>
      <w:r>
        <w:rPr>
          <w:spacing w:val="-27"/>
        </w:rPr>
        <w:t> </w:t>
      </w:r>
      <w:r>
        <w:rPr/>
        <w:t>highly </w:t>
      </w:r>
      <w:r>
        <w:rPr>
          <w:spacing w:val="-3"/>
        </w:rPr>
        <w:t>consultative</w:t>
      </w:r>
      <w:r>
        <w:rPr>
          <w:spacing w:val="-34"/>
        </w:rPr>
        <w:t> </w:t>
      </w:r>
      <w:r>
        <w:rPr/>
        <w:t>and</w:t>
      </w:r>
      <w:r>
        <w:rPr>
          <w:spacing w:val="-34"/>
        </w:rPr>
        <w:t> </w:t>
      </w:r>
      <w:r>
        <w:rPr>
          <w:spacing w:val="-3"/>
        </w:rPr>
        <w:t>provided</w:t>
      </w:r>
      <w:r>
        <w:rPr>
          <w:spacing w:val="-34"/>
        </w:rPr>
        <w:t> </w:t>
      </w:r>
      <w:r>
        <w:rPr>
          <w:spacing w:val="-3"/>
        </w:rPr>
        <w:t>numerous</w:t>
      </w:r>
      <w:r>
        <w:rPr>
          <w:spacing w:val="-34"/>
        </w:rPr>
        <w:t> </w:t>
      </w:r>
      <w:r>
        <w:rPr/>
        <w:t>opportunities </w:t>
      </w:r>
      <w:r>
        <w:rPr>
          <w:spacing w:val="-3"/>
        </w:rPr>
        <w:t>for </w:t>
      </w:r>
      <w:r>
        <w:rPr/>
        <w:t>individuals and agencies </w:t>
      </w:r>
      <w:r>
        <w:rPr>
          <w:spacing w:val="-4"/>
        </w:rPr>
        <w:t>to </w:t>
      </w:r>
      <w:r>
        <w:rPr>
          <w:spacing w:val="-3"/>
        </w:rPr>
        <w:t>provide their insights</w:t>
      </w:r>
      <w:r>
        <w:rPr>
          <w:spacing w:val="-31"/>
        </w:rPr>
        <w:t> </w:t>
      </w:r>
      <w:r>
        <w:rPr>
          <w:spacing w:val="-3"/>
        </w:rPr>
        <w:t>through</w:t>
      </w:r>
      <w:r>
        <w:rPr>
          <w:spacing w:val="-31"/>
        </w:rPr>
        <w:t> </w:t>
      </w:r>
      <w:r>
        <w:rPr>
          <w:spacing w:val="-3"/>
        </w:rPr>
        <w:t>workshops,</w:t>
      </w:r>
      <w:r>
        <w:rPr>
          <w:spacing w:val="-31"/>
        </w:rPr>
        <w:t> </w:t>
      </w:r>
      <w:r>
        <w:rPr/>
        <w:t>public</w:t>
      </w:r>
      <w:r>
        <w:rPr>
          <w:spacing w:val="-31"/>
        </w:rPr>
        <w:t> </w:t>
      </w:r>
      <w:r>
        <w:rPr/>
        <w:t>online</w:t>
      </w:r>
      <w:r>
        <w:rPr>
          <w:spacing w:val="-31"/>
        </w:rPr>
        <w:t> </w:t>
      </w:r>
      <w:r>
        <w:rPr>
          <w:spacing w:val="-3"/>
        </w:rPr>
        <w:t>surveys, </w:t>
      </w:r>
      <w:r>
        <w:rPr/>
        <w:t>a</w:t>
      </w:r>
      <w:r>
        <w:rPr>
          <w:spacing w:val="-11"/>
        </w:rPr>
        <w:t> </w:t>
      </w:r>
      <w:r>
        <w:rPr/>
        <w:t>forum</w:t>
      </w:r>
      <w:r>
        <w:rPr>
          <w:spacing w:val="-10"/>
        </w:rPr>
        <w:t> </w:t>
      </w:r>
      <w:r>
        <w:rPr>
          <w:spacing w:val="-3"/>
        </w:rPr>
        <w:t>for</w:t>
      </w:r>
      <w:r>
        <w:rPr>
          <w:spacing w:val="-11"/>
        </w:rPr>
        <w:t> </w:t>
      </w:r>
      <w:r>
        <w:rPr>
          <w:spacing w:val="-4"/>
        </w:rPr>
        <w:t>‘quick</w:t>
      </w:r>
      <w:r>
        <w:rPr>
          <w:spacing w:val="-10"/>
        </w:rPr>
        <w:t> </w:t>
      </w:r>
      <w:r>
        <w:rPr>
          <w:spacing w:val="-4"/>
        </w:rPr>
        <w:t>win’</w:t>
      </w:r>
      <w:r>
        <w:rPr>
          <w:spacing w:val="-10"/>
        </w:rPr>
        <w:t> </w:t>
      </w:r>
      <w:r>
        <w:rPr>
          <w:spacing w:val="-3"/>
        </w:rPr>
        <w:t>ideas,</w:t>
      </w:r>
      <w:r>
        <w:rPr>
          <w:spacing w:val="-11"/>
        </w:rPr>
        <w:t> </w:t>
      </w:r>
      <w:r>
        <w:rPr/>
        <w:t>and</w:t>
      </w:r>
      <w:r>
        <w:rPr>
          <w:spacing w:val="-10"/>
        </w:rPr>
        <w:t> </w:t>
      </w:r>
      <w:r>
        <w:rPr>
          <w:spacing w:val="-3"/>
        </w:rPr>
        <w:t>interviews.</w:t>
      </w:r>
    </w:p>
    <w:p>
      <w:pPr>
        <w:pStyle w:val="BodyText"/>
        <w:spacing w:before="5"/>
        <w:rPr>
          <w:sz w:val="23"/>
        </w:rPr>
      </w:pPr>
    </w:p>
    <w:p>
      <w:pPr>
        <w:pStyle w:val="BodyText"/>
        <w:spacing w:line="249" w:lineRule="auto"/>
        <w:ind w:left="1074" w:right="254"/>
      </w:pPr>
      <w:r>
        <w:rPr/>
        <w:t>The </w:t>
      </w:r>
      <w:r>
        <w:rPr>
          <w:spacing w:val="-3"/>
        </w:rPr>
        <w:t>Working </w:t>
      </w:r>
      <w:r>
        <w:rPr/>
        <w:t>Group </w:t>
      </w:r>
      <w:r>
        <w:rPr>
          <w:spacing w:val="-3"/>
        </w:rPr>
        <w:t>found that </w:t>
      </w:r>
      <w:r>
        <w:rPr/>
        <w:t>red tape </w:t>
      </w:r>
      <w:r>
        <w:rPr>
          <w:spacing w:val="-3"/>
        </w:rPr>
        <w:t>is </w:t>
      </w:r>
      <w:r>
        <w:rPr/>
        <w:t>widespread and </w:t>
      </w:r>
      <w:r>
        <w:rPr>
          <w:spacing w:val="-3"/>
        </w:rPr>
        <w:t>entrenched across </w:t>
      </w:r>
      <w:r>
        <w:rPr>
          <w:spacing w:val="-2"/>
        </w:rPr>
        <w:t>the </w:t>
      </w:r>
      <w:r>
        <w:rPr/>
        <w:t>public </w:t>
      </w:r>
      <w:r>
        <w:rPr>
          <w:spacing w:val="-3"/>
        </w:rPr>
        <w:t>sector </w:t>
      </w:r>
      <w:r>
        <w:rPr/>
        <w:t>in </w:t>
      </w:r>
      <w:r>
        <w:rPr>
          <w:spacing w:val="-3"/>
        </w:rPr>
        <w:t>Western Australia </w:t>
      </w:r>
      <w:r>
        <w:rPr/>
        <w:t>and </w:t>
      </w:r>
      <w:r>
        <w:rPr>
          <w:spacing w:val="-3"/>
        </w:rPr>
        <w:t>whilst this is not</w:t>
      </w:r>
      <w:r>
        <w:rPr>
          <w:spacing w:val="-17"/>
        </w:rPr>
        <w:t> </w:t>
      </w:r>
      <w:r>
        <w:rPr/>
        <w:t>a</w:t>
      </w:r>
      <w:r>
        <w:rPr>
          <w:spacing w:val="-16"/>
        </w:rPr>
        <w:t> </w:t>
      </w:r>
      <w:r>
        <w:rPr/>
        <w:t>unique</w:t>
      </w:r>
      <w:r>
        <w:rPr>
          <w:spacing w:val="-17"/>
        </w:rPr>
        <w:t> </w:t>
      </w:r>
      <w:r>
        <w:rPr>
          <w:spacing w:val="-3"/>
        </w:rPr>
        <w:t>problem,</w:t>
      </w:r>
      <w:r>
        <w:rPr>
          <w:spacing w:val="-16"/>
        </w:rPr>
        <w:t> </w:t>
      </w:r>
      <w:r>
        <w:rPr/>
        <w:t>it</w:t>
      </w:r>
      <w:r>
        <w:rPr>
          <w:spacing w:val="-16"/>
        </w:rPr>
        <w:t> </w:t>
      </w:r>
      <w:r>
        <w:rPr/>
        <w:t>is</w:t>
      </w:r>
      <w:r>
        <w:rPr>
          <w:spacing w:val="-17"/>
        </w:rPr>
        <w:t> </w:t>
      </w:r>
      <w:r>
        <w:rPr/>
        <w:t>a</w:t>
      </w:r>
      <w:r>
        <w:rPr>
          <w:spacing w:val="-16"/>
        </w:rPr>
        <w:t> </w:t>
      </w:r>
      <w:r>
        <w:rPr>
          <w:spacing w:val="-3"/>
        </w:rPr>
        <w:t>substantial</w:t>
      </w:r>
      <w:r>
        <w:rPr>
          <w:spacing w:val="-16"/>
        </w:rPr>
        <w:t> </w:t>
      </w:r>
      <w:r>
        <w:rPr>
          <w:spacing w:val="-3"/>
        </w:rPr>
        <w:t>one.</w:t>
      </w:r>
      <w:r>
        <w:rPr>
          <w:spacing w:val="-17"/>
        </w:rPr>
        <w:t> </w:t>
      </w:r>
      <w:r>
        <w:rPr/>
        <w:t>It </w:t>
      </w:r>
      <w:r>
        <w:rPr>
          <w:spacing w:val="-3"/>
        </w:rPr>
        <w:t>was</w:t>
      </w:r>
      <w:r>
        <w:rPr>
          <w:spacing w:val="-27"/>
        </w:rPr>
        <w:t> </w:t>
      </w:r>
      <w:r>
        <w:rPr/>
        <w:t>acknowledged</w:t>
      </w:r>
      <w:r>
        <w:rPr>
          <w:spacing w:val="-26"/>
        </w:rPr>
        <w:t> </w:t>
      </w:r>
      <w:r>
        <w:rPr>
          <w:spacing w:val="-3"/>
        </w:rPr>
        <w:t>that</w:t>
      </w:r>
      <w:r>
        <w:rPr>
          <w:spacing w:val="-26"/>
        </w:rPr>
        <w:t> </w:t>
      </w:r>
      <w:r>
        <w:rPr/>
        <w:t>rules</w:t>
      </w:r>
      <w:r>
        <w:rPr>
          <w:spacing w:val="-26"/>
        </w:rPr>
        <w:t> </w:t>
      </w:r>
      <w:r>
        <w:rPr/>
        <w:t>and</w:t>
      </w:r>
      <w:r>
        <w:rPr>
          <w:spacing w:val="-27"/>
        </w:rPr>
        <w:t> </w:t>
      </w:r>
      <w:r>
        <w:rPr/>
        <w:t>processes</w:t>
      </w:r>
      <w:r>
        <w:rPr>
          <w:spacing w:val="-26"/>
        </w:rPr>
        <w:t> </w:t>
      </w:r>
      <w:r>
        <w:rPr>
          <w:spacing w:val="-4"/>
        </w:rPr>
        <w:t>to </w:t>
      </w:r>
      <w:r>
        <w:rPr/>
        <w:t>support good </w:t>
      </w:r>
      <w:r>
        <w:rPr>
          <w:spacing w:val="-3"/>
        </w:rPr>
        <w:t>governance </w:t>
      </w:r>
      <w:r>
        <w:rPr/>
        <w:t>and probity </w:t>
      </w:r>
      <w:r>
        <w:rPr>
          <w:spacing w:val="-4"/>
        </w:rPr>
        <w:t>have </w:t>
      </w:r>
      <w:r>
        <w:rPr/>
        <w:t>a place</w:t>
      </w:r>
      <w:r>
        <w:rPr>
          <w:spacing w:val="-25"/>
        </w:rPr>
        <w:t> </w:t>
      </w:r>
      <w:r>
        <w:rPr/>
        <w:t>but</w:t>
      </w:r>
      <w:r>
        <w:rPr>
          <w:spacing w:val="-25"/>
        </w:rPr>
        <w:t> </w:t>
      </w:r>
      <w:r>
        <w:rPr>
          <w:spacing w:val="-3"/>
        </w:rPr>
        <w:t>excessive</w:t>
      </w:r>
      <w:r>
        <w:rPr>
          <w:spacing w:val="-25"/>
        </w:rPr>
        <w:t> </w:t>
      </w:r>
      <w:r>
        <w:rPr>
          <w:spacing w:val="-3"/>
        </w:rPr>
        <w:t>legislation</w:t>
      </w:r>
      <w:r>
        <w:rPr>
          <w:spacing w:val="-25"/>
        </w:rPr>
        <w:t> </w:t>
      </w:r>
      <w:r>
        <w:rPr/>
        <w:t>and</w:t>
      </w:r>
      <w:r>
        <w:rPr>
          <w:spacing w:val="-25"/>
        </w:rPr>
        <w:t> </w:t>
      </w:r>
      <w:r>
        <w:rPr>
          <w:spacing w:val="-3"/>
        </w:rPr>
        <w:t>regulation,</w:t>
      </w:r>
    </w:p>
    <w:p>
      <w:pPr>
        <w:pStyle w:val="BodyText"/>
        <w:spacing w:line="249" w:lineRule="auto" w:before="106"/>
        <w:ind w:left="287" w:right="259"/>
      </w:pPr>
      <w:r>
        <w:rPr/>
        <w:br w:type="column"/>
      </w:r>
      <w:r>
        <w:rPr/>
        <w:t>along with agency policies and </w:t>
      </w:r>
      <w:r>
        <w:rPr>
          <w:spacing w:val="-3"/>
        </w:rPr>
        <w:t>practices </w:t>
      </w:r>
      <w:r>
        <w:rPr/>
        <w:t>can impose </w:t>
      </w:r>
      <w:r>
        <w:rPr>
          <w:spacing w:val="-3"/>
        </w:rPr>
        <w:t>costs </w:t>
      </w:r>
      <w:r>
        <w:rPr/>
        <w:t>and limit </w:t>
      </w:r>
      <w:r>
        <w:rPr>
          <w:spacing w:val="-4"/>
        </w:rPr>
        <w:t>innovation. </w:t>
      </w:r>
      <w:r>
        <w:rPr>
          <w:spacing w:val="-3"/>
        </w:rPr>
        <w:t>Instead of </w:t>
      </w:r>
      <w:r>
        <w:rPr/>
        <w:t>taking a </w:t>
      </w:r>
      <w:r>
        <w:rPr>
          <w:spacing w:val="-4"/>
        </w:rPr>
        <w:t>risk-based </w:t>
      </w:r>
      <w:r>
        <w:rPr>
          <w:spacing w:val="-3"/>
        </w:rPr>
        <w:t>approach </w:t>
      </w:r>
      <w:r>
        <w:rPr>
          <w:spacing w:val="-4"/>
        </w:rPr>
        <w:t>to </w:t>
      </w:r>
      <w:r>
        <w:rPr>
          <w:spacing w:val="-3"/>
        </w:rPr>
        <w:t>governance, </w:t>
      </w:r>
      <w:r>
        <w:rPr/>
        <w:t>many</w:t>
      </w:r>
      <w:r>
        <w:rPr>
          <w:spacing w:val="-26"/>
        </w:rPr>
        <w:t> </w:t>
      </w:r>
      <w:r>
        <w:rPr/>
        <w:t>rules</w:t>
      </w:r>
      <w:r>
        <w:rPr>
          <w:spacing w:val="-26"/>
        </w:rPr>
        <w:t> </w:t>
      </w:r>
      <w:r>
        <w:rPr>
          <w:spacing w:val="-3"/>
        </w:rPr>
        <w:t>were</w:t>
      </w:r>
      <w:r>
        <w:rPr>
          <w:spacing w:val="-26"/>
        </w:rPr>
        <w:t> </w:t>
      </w:r>
      <w:r>
        <w:rPr>
          <w:spacing w:val="-3"/>
        </w:rPr>
        <w:t>found</w:t>
      </w:r>
      <w:r>
        <w:rPr>
          <w:spacing w:val="-26"/>
        </w:rPr>
        <w:t> </w:t>
      </w:r>
      <w:r>
        <w:rPr>
          <w:spacing w:val="-4"/>
        </w:rPr>
        <w:t>to</w:t>
      </w:r>
      <w:r>
        <w:rPr>
          <w:spacing w:val="-25"/>
        </w:rPr>
        <w:t> </w:t>
      </w:r>
      <w:r>
        <w:rPr/>
        <w:t>be</w:t>
      </w:r>
      <w:r>
        <w:rPr>
          <w:spacing w:val="-26"/>
        </w:rPr>
        <w:t> </w:t>
      </w:r>
      <w:r>
        <w:rPr>
          <w:spacing w:val="-4"/>
        </w:rPr>
        <w:t>overly-prescriptive </w:t>
      </w:r>
      <w:r>
        <w:rPr/>
        <w:t>with processes and </w:t>
      </w:r>
      <w:r>
        <w:rPr>
          <w:spacing w:val="-3"/>
        </w:rPr>
        <w:t>approvals</w:t>
      </w:r>
      <w:r>
        <w:rPr>
          <w:spacing w:val="-41"/>
        </w:rPr>
        <w:t> </w:t>
      </w:r>
      <w:r>
        <w:rPr/>
        <w:t>often</w:t>
      </w:r>
    </w:p>
    <w:p>
      <w:pPr>
        <w:pStyle w:val="BodyText"/>
        <w:spacing w:before="5"/>
        <w:ind w:left="287"/>
      </w:pPr>
      <w:r>
        <w:rPr/>
        <w:t>over-engineered and out-of-date.</w:t>
      </w:r>
    </w:p>
    <w:p>
      <w:pPr>
        <w:pStyle w:val="BodyText"/>
        <w:spacing w:before="10"/>
        <w:rPr>
          <w:sz w:val="23"/>
        </w:rPr>
      </w:pPr>
    </w:p>
    <w:p>
      <w:pPr>
        <w:pStyle w:val="BodyText"/>
        <w:spacing w:line="249" w:lineRule="auto"/>
        <w:ind w:left="287" w:right="71"/>
      </w:pPr>
      <w:r>
        <w:rPr/>
        <w:t>The </w:t>
      </w:r>
      <w:r>
        <w:rPr>
          <w:spacing w:val="-3"/>
        </w:rPr>
        <w:t>Working </w:t>
      </w:r>
      <w:r>
        <w:rPr/>
        <w:t>Group </w:t>
      </w:r>
      <w:r>
        <w:rPr>
          <w:spacing w:val="-3"/>
        </w:rPr>
        <w:t>suggested </w:t>
      </w:r>
      <w:r>
        <w:rPr>
          <w:spacing w:val="-2"/>
        </w:rPr>
        <w:t>the </w:t>
      </w:r>
      <w:r>
        <w:rPr/>
        <w:t>perennial problems</w:t>
      </w:r>
      <w:r>
        <w:rPr>
          <w:spacing w:val="-24"/>
        </w:rPr>
        <w:t> </w:t>
      </w:r>
      <w:r>
        <w:rPr/>
        <w:t>caused</w:t>
      </w:r>
      <w:r>
        <w:rPr>
          <w:spacing w:val="-23"/>
        </w:rPr>
        <w:t> </w:t>
      </w:r>
      <w:r>
        <w:rPr>
          <w:spacing w:val="-3"/>
        </w:rPr>
        <w:t>by</w:t>
      </w:r>
      <w:r>
        <w:rPr>
          <w:spacing w:val="-24"/>
        </w:rPr>
        <w:t> </w:t>
      </w:r>
      <w:r>
        <w:rPr/>
        <w:t>red</w:t>
      </w:r>
      <w:r>
        <w:rPr>
          <w:spacing w:val="-23"/>
        </w:rPr>
        <w:t> </w:t>
      </w:r>
      <w:r>
        <w:rPr/>
        <w:t>tape</w:t>
      </w:r>
      <w:r>
        <w:rPr>
          <w:spacing w:val="-23"/>
        </w:rPr>
        <w:t> </w:t>
      </w:r>
      <w:r>
        <w:rPr/>
        <w:t>are</w:t>
      </w:r>
      <w:r>
        <w:rPr>
          <w:spacing w:val="-24"/>
        </w:rPr>
        <w:t> </w:t>
      </w:r>
      <w:r>
        <w:rPr/>
        <w:t>best</w:t>
      </w:r>
      <w:r>
        <w:rPr>
          <w:spacing w:val="-23"/>
        </w:rPr>
        <w:t> </w:t>
      </w:r>
      <w:r>
        <w:rPr/>
        <w:t>tackled</w:t>
      </w:r>
      <w:r>
        <w:rPr>
          <w:spacing w:val="-24"/>
        </w:rPr>
        <w:t> </w:t>
      </w:r>
      <w:r>
        <w:rPr>
          <w:spacing w:val="-3"/>
        </w:rPr>
        <w:t>by adopting</w:t>
      </w:r>
      <w:r>
        <w:rPr>
          <w:spacing w:val="-26"/>
        </w:rPr>
        <w:t> </w:t>
      </w:r>
      <w:r>
        <w:rPr>
          <w:spacing w:val="-4"/>
        </w:rPr>
        <w:t>innovative</w:t>
      </w:r>
      <w:r>
        <w:rPr>
          <w:spacing w:val="-26"/>
        </w:rPr>
        <w:t> </w:t>
      </w:r>
      <w:r>
        <w:rPr/>
        <w:t>thinking</w:t>
      </w:r>
      <w:r>
        <w:rPr>
          <w:spacing w:val="-25"/>
        </w:rPr>
        <w:t> </w:t>
      </w:r>
      <w:r>
        <w:rPr/>
        <w:t>and</w:t>
      </w:r>
      <w:r>
        <w:rPr>
          <w:spacing w:val="-26"/>
        </w:rPr>
        <w:t> </w:t>
      </w:r>
      <w:r>
        <w:rPr>
          <w:spacing w:val="-4"/>
        </w:rPr>
        <w:t>key</w:t>
      </w:r>
      <w:r>
        <w:rPr>
          <w:spacing w:val="-26"/>
        </w:rPr>
        <w:t> </w:t>
      </w:r>
      <w:r>
        <w:rPr>
          <w:spacing w:val="-3"/>
        </w:rPr>
        <w:t>reforms</w:t>
      </w:r>
      <w:r>
        <w:rPr>
          <w:spacing w:val="-25"/>
        </w:rPr>
        <w:t> </w:t>
      </w:r>
      <w:r>
        <w:rPr>
          <w:spacing w:val="-3"/>
        </w:rPr>
        <w:t>that include:</w:t>
      </w:r>
    </w:p>
    <w:p>
      <w:pPr>
        <w:pStyle w:val="BodyText"/>
        <w:spacing w:before="3"/>
        <w:rPr>
          <w:sz w:val="23"/>
        </w:rPr>
      </w:pPr>
    </w:p>
    <w:p>
      <w:pPr>
        <w:pStyle w:val="BodyText"/>
        <w:spacing w:line="249" w:lineRule="auto"/>
        <w:ind w:left="578" w:right="649"/>
      </w:pPr>
      <w:r>
        <w:rPr>
          <w:spacing w:val="-3"/>
        </w:rPr>
        <w:t>one-sector </w:t>
      </w:r>
      <w:r>
        <w:rPr/>
        <w:t>thinking </w:t>
      </w:r>
      <w:r>
        <w:rPr>
          <w:spacing w:val="-3"/>
        </w:rPr>
        <w:t>including </w:t>
      </w:r>
      <w:r>
        <w:rPr/>
        <w:t>agency </w:t>
      </w:r>
      <w:r>
        <w:rPr>
          <w:spacing w:val="-3"/>
        </w:rPr>
        <w:t>collaboration,</w:t>
      </w:r>
      <w:r>
        <w:rPr>
          <w:spacing w:val="-25"/>
        </w:rPr>
        <w:t> </w:t>
      </w:r>
      <w:r>
        <w:rPr/>
        <w:t>and</w:t>
      </w:r>
      <w:r>
        <w:rPr>
          <w:spacing w:val="-25"/>
        </w:rPr>
        <w:t> </w:t>
      </w:r>
      <w:r>
        <w:rPr>
          <w:spacing w:val="-3"/>
        </w:rPr>
        <w:t>better</w:t>
      </w:r>
      <w:r>
        <w:rPr>
          <w:spacing w:val="-24"/>
        </w:rPr>
        <w:t> </w:t>
      </w:r>
      <w:r>
        <w:rPr/>
        <w:t>sharing</w:t>
      </w:r>
      <w:r>
        <w:rPr>
          <w:spacing w:val="-25"/>
        </w:rPr>
        <w:t> </w:t>
      </w:r>
      <w:r>
        <w:rPr>
          <w:spacing w:val="-3"/>
        </w:rPr>
        <w:t>of</w:t>
      </w:r>
      <w:r>
        <w:rPr>
          <w:spacing w:val="-24"/>
        </w:rPr>
        <w:t> </w:t>
      </w:r>
      <w:r>
        <w:rPr/>
        <w:t>best </w:t>
      </w:r>
      <w:r>
        <w:rPr>
          <w:spacing w:val="-3"/>
        </w:rPr>
        <w:t>practices </w:t>
      </w:r>
      <w:r>
        <w:rPr/>
        <w:t>and</w:t>
      </w:r>
      <w:r>
        <w:rPr>
          <w:spacing w:val="-9"/>
        </w:rPr>
        <w:t> </w:t>
      </w:r>
      <w:r>
        <w:rPr>
          <w:spacing w:val="-3"/>
        </w:rPr>
        <w:t>data;</w:t>
      </w:r>
    </w:p>
    <w:p>
      <w:pPr>
        <w:pStyle w:val="BodyText"/>
        <w:spacing w:line="249" w:lineRule="auto" w:before="3"/>
        <w:ind w:left="578" w:right="83"/>
      </w:pPr>
      <w:r>
        <w:rPr>
          <w:spacing w:val="-3"/>
        </w:rPr>
        <w:t>stronger</w:t>
      </w:r>
      <w:r>
        <w:rPr>
          <w:spacing w:val="-38"/>
        </w:rPr>
        <w:t> </w:t>
      </w:r>
      <w:r>
        <w:rPr/>
        <w:t>leadership</w:t>
      </w:r>
      <w:r>
        <w:rPr>
          <w:spacing w:val="-38"/>
        </w:rPr>
        <w:t> </w:t>
      </w:r>
      <w:r>
        <w:rPr/>
        <w:t>from</w:t>
      </w:r>
      <w:r>
        <w:rPr>
          <w:spacing w:val="-38"/>
        </w:rPr>
        <w:t> </w:t>
      </w:r>
      <w:r>
        <w:rPr>
          <w:spacing w:val="-3"/>
        </w:rPr>
        <w:t>central</w:t>
      </w:r>
      <w:r>
        <w:rPr>
          <w:spacing w:val="-38"/>
        </w:rPr>
        <w:t> </w:t>
      </w:r>
      <w:r>
        <w:rPr/>
        <w:t>agencies</w:t>
      </w:r>
      <w:r>
        <w:rPr>
          <w:spacing w:val="-37"/>
        </w:rPr>
        <w:t> </w:t>
      </w:r>
      <w:r>
        <w:rPr/>
        <w:t>and </w:t>
      </w:r>
      <w:r>
        <w:rPr>
          <w:spacing w:val="-3"/>
        </w:rPr>
        <w:t>centres of </w:t>
      </w:r>
      <w:r>
        <w:rPr/>
        <w:t>expertise </w:t>
      </w:r>
      <w:r>
        <w:rPr>
          <w:spacing w:val="-4"/>
        </w:rPr>
        <w:t>to </w:t>
      </w:r>
      <w:r>
        <w:rPr/>
        <w:t>support </w:t>
      </w:r>
      <w:r>
        <w:rPr>
          <w:spacing w:val="-5"/>
        </w:rPr>
        <w:t>sector-wide </w:t>
      </w:r>
      <w:r>
        <w:rPr/>
        <w:t>capability</w:t>
      </w:r>
      <w:r>
        <w:rPr>
          <w:spacing w:val="-7"/>
        </w:rPr>
        <w:t> </w:t>
      </w:r>
      <w:r>
        <w:rPr>
          <w:spacing w:val="-3"/>
        </w:rPr>
        <w:t>building;</w:t>
      </w:r>
    </w:p>
    <w:p>
      <w:pPr>
        <w:pStyle w:val="BodyText"/>
        <w:spacing w:line="249" w:lineRule="auto" w:before="3"/>
        <w:ind w:left="578" w:right="73"/>
      </w:pPr>
      <w:r>
        <w:rPr>
          <w:spacing w:val="-3"/>
        </w:rPr>
        <w:t>improved</w:t>
      </w:r>
      <w:r>
        <w:rPr>
          <w:spacing w:val="-37"/>
        </w:rPr>
        <w:t> </w:t>
      </w:r>
      <w:r>
        <w:rPr/>
        <w:t>rule-making</w:t>
      </w:r>
      <w:r>
        <w:rPr>
          <w:spacing w:val="-36"/>
        </w:rPr>
        <w:t> </w:t>
      </w:r>
      <w:r>
        <w:rPr/>
        <w:t>and</w:t>
      </w:r>
      <w:r>
        <w:rPr>
          <w:spacing w:val="-36"/>
        </w:rPr>
        <w:t> </w:t>
      </w:r>
      <w:r>
        <w:rPr>
          <w:spacing w:val="-3"/>
        </w:rPr>
        <w:t>reviewing</w:t>
      </w:r>
      <w:r>
        <w:rPr>
          <w:spacing w:val="-37"/>
        </w:rPr>
        <w:t> </w:t>
      </w:r>
      <w:r>
        <w:rPr>
          <w:spacing w:val="-3"/>
        </w:rPr>
        <w:t>practices </w:t>
      </w:r>
      <w:r>
        <w:rPr>
          <w:spacing w:val="-4"/>
        </w:rPr>
        <w:t>to </w:t>
      </w:r>
      <w:r>
        <w:rPr/>
        <w:t>help drive </w:t>
      </w:r>
      <w:r>
        <w:rPr>
          <w:spacing w:val="-4"/>
        </w:rPr>
        <w:t>innovation </w:t>
      </w:r>
      <w:r>
        <w:rPr/>
        <w:t>and </w:t>
      </w:r>
      <w:r>
        <w:rPr>
          <w:spacing w:val="-3"/>
        </w:rPr>
        <w:t>efficiency, </w:t>
      </w:r>
      <w:r>
        <w:rPr/>
        <w:t>and </w:t>
      </w:r>
      <w:r>
        <w:rPr>
          <w:spacing w:val="-3"/>
        </w:rPr>
        <w:t>rethinking </w:t>
      </w:r>
      <w:r>
        <w:rPr>
          <w:spacing w:val="-2"/>
        </w:rPr>
        <w:t>the </w:t>
      </w:r>
      <w:r>
        <w:rPr>
          <w:spacing w:val="-3"/>
        </w:rPr>
        <w:t>role of </w:t>
      </w:r>
      <w:r>
        <w:rPr/>
        <w:t>audit </w:t>
      </w:r>
      <w:r>
        <w:rPr>
          <w:spacing w:val="-4"/>
        </w:rPr>
        <w:t>to </w:t>
      </w:r>
      <w:r>
        <w:rPr/>
        <w:t>go </w:t>
      </w:r>
      <w:r>
        <w:rPr>
          <w:spacing w:val="-3"/>
        </w:rPr>
        <w:t>beyond </w:t>
      </w:r>
      <w:r>
        <w:rPr/>
        <w:t>compliance </w:t>
      </w:r>
      <w:r>
        <w:rPr>
          <w:spacing w:val="-4"/>
        </w:rPr>
        <w:t>to </w:t>
      </w:r>
      <w:r>
        <w:rPr/>
        <w:t>efficiency;</w:t>
      </w:r>
      <w:r>
        <w:rPr>
          <w:spacing w:val="-23"/>
        </w:rPr>
        <w:t> </w:t>
      </w:r>
      <w:r>
        <w:rPr/>
        <w:t>and</w:t>
      </w:r>
    </w:p>
    <w:p>
      <w:pPr>
        <w:pStyle w:val="BodyText"/>
        <w:spacing w:line="249" w:lineRule="auto" w:before="3"/>
        <w:ind w:left="578" w:right="-10"/>
      </w:pPr>
      <w:r>
        <w:rPr/>
        <w:t>embracing digital </w:t>
      </w:r>
      <w:r>
        <w:rPr>
          <w:spacing w:val="-3"/>
        </w:rPr>
        <w:t>solutions </w:t>
      </w:r>
      <w:r>
        <w:rPr>
          <w:spacing w:val="-4"/>
        </w:rPr>
        <w:t>to </w:t>
      </w:r>
      <w:r>
        <w:rPr/>
        <w:t>speed up </w:t>
      </w:r>
      <w:r>
        <w:rPr>
          <w:spacing w:val="-3"/>
        </w:rPr>
        <w:t>processes,</w:t>
      </w:r>
      <w:r>
        <w:rPr>
          <w:spacing w:val="-38"/>
        </w:rPr>
        <w:t> </w:t>
      </w:r>
      <w:r>
        <w:rPr>
          <w:spacing w:val="-4"/>
        </w:rPr>
        <w:t>improve</w:t>
      </w:r>
      <w:r>
        <w:rPr>
          <w:spacing w:val="-37"/>
        </w:rPr>
        <w:t> </w:t>
      </w:r>
      <w:r>
        <w:rPr/>
        <w:t>reliability</w:t>
      </w:r>
      <w:r>
        <w:rPr>
          <w:spacing w:val="-37"/>
        </w:rPr>
        <w:t> </w:t>
      </w:r>
      <w:r>
        <w:rPr/>
        <w:t>and</w:t>
      </w:r>
      <w:r>
        <w:rPr>
          <w:spacing w:val="-37"/>
        </w:rPr>
        <w:t> </w:t>
      </w:r>
      <w:r>
        <w:rPr/>
        <w:t>enable</w:t>
      </w:r>
      <w:r>
        <w:rPr>
          <w:spacing w:val="-38"/>
        </w:rPr>
        <w:t> </w:t>
      </w:r>
      <w:r>
        <w:rPr>
          <w:spacing w:val="-3"/>
        </w:rPr>
        <w:t>better </w:t>
      </w:r>
      <w:r>
        <w:rPr/>
        <w:t>performance</w:t>
      </w:r>
      <w:r>
        <w:rPr>
          <w:spacing w:val="-7"/>
        </w:rPr>
        <w:t> </w:t>
      </w:r>
      <w:r>
        <w:rPr>
          <w:spacing w:val="-3"/>
        </w:rPr>
        <w:t>data.</w:t>
      </w:r>
    </w:p>
    <w:p>
      <w:pPr>
        <w:pStyle w:val="BodyText"/>
        <w:spacing w:before="2"/>
        <w:rPr>
          <w:sz w:val="23"/>
        </w:rPr>
      </w:pPr>
    </w:p>
    <w:p>
      <w:pPr>
        <w:pStyle w:val="BodyText"/>
        <w:spacing w:line="249" w:lineRule="auto" w:before="1"/>
        <w:ind w:left="287" w:right="-8"/>
      </w:pPr>
      <w:r>
        <w:rPr/>
        <w:t>Along with these </w:t>
      </w:r>
      <w:r>
        <w:rPr>
          <w:spacing w:val="-4"/>
        </w:rPr>
        <w:t>key </w:t>
      </w:r>
      <w:r>
        <w:rPr>
          <w:spacing w:val="-3"/>
        </w:rPr>
        <w:t>reforms were </w:t>
      </w:r>
      <w:r>
        <w:rPr/>
        <w:t>30 </w:t>
      </w:r>
      <w:r>
        <w:rPr>
          <w:spacing w:val="-3"/>
        </w:rPr>
        <w:t>recommendations,</w:t>
      </w:r>
      <w:r>
        <w:rPr>
          <w:spacing w:val="-29"/>
        </w:rPr>
        <w:t> </w:t>
      </w:r>
      <w:r>
        <w:rPr>
          <w:spacing w:val="-3"/>
        </w:rPr>
        <w:t>mostly</w:t>
      </w:r>
      <w:r>
        <w:rPr>
          <w:spacing w:val="-28"/>
        </w:rPr>
        <w:t> </w:t>
      </w:r>
      <w:r>
        <w:rPr/>
        <w:t>in</w:t>
      </w:r>
      <w:r>
        <w:rPr>
          <w:spacing w:val="-29"/>
        </w:rPr>
        <w:t> </w:t>
      </w:r>
      <w:r>
        <w:rPr>
          <w:spacing w:val="-2"/>
        </w:rPr>
        <w:t>the</w:t>
      </w:r>
      <w:r>
        <w:rPr>
          <w:spacing w:val="-28"/>
        </w:rPr>
        <w:t> </w:t>
      </w:r>
      <w:r>
        <w:rPr>
          <w:spacing w:val="-3"/>
        </w:rPr>
        <w:t>four</w:t>
      </w:r>
      <w:r>
        <w:rPr>
          <w:spacing w:val="-29"/>
        </w:rPr>
        <w:t> </w:t>
      </w:r>
      <w:r>
        <w:rPr/>
        <w:t>priority</w:t>
      </w:r>
      <w:r>
        <w:rPr>
          <w:spacing w:val="-28"/>
        </w:rPr>
        <w:t> </w:t>
      </w:r>
      <w:r>
        <w:rPr/>
        <w:t>areas </w:t>
      </w:r>
      <w:r>
        <w:rPr>
          <w:spacing w:val="-3"/>
        </w:rPr>
        <w:t>of recruitment, procurement, </w:t>
      </w:r>
      <w:r>
        <w:rPr/>
        <w:t>financial reporting and </w:t>
      </w:r>
      <w:r>
        <w:rPr>
          <w:spacing w:val="-3"/>
        </w:rPr>
        <w:t>cumulative</w:t>
      </w:r>
      <w:r>
        <w:rPr>
          <w:spacing w:val="-13"/>
        </w:rPr>
        <w:t> </w:t>
      </w:r>
      <w:r>
        <w:rPr>
          <w:spacing w:val="-4"/>
        </w:rPr>
        <w:t>reform.</w:t>
      </w:r>
    </w:p>
    <w:p>
      <w:pPr>
        <w:pStyle w:val="BodyText"/>
        <w:spacing w:line="249" w:lineRule="auto" w:before="106"/>
        <w:ind w:left="299" w:right="1861"/>
      </w:pPr>
      <w:r>
        <w:rPr/>
        <w:br w:type="column"/>
      </w:r>
      <w:r>
        <w:rPr>
          <w:spacing w:val="-3"/>
        </w:rPr>
        <w:t>While </w:t>
      </w:r>
      <w:r>
        <w:rPr/>
        <w:t>the </w:t>
      </w:r>
      <w:r>
        <w:rPr>
          <w:spacing w:val="-3"/>
        </w:rPr>
        <w:t>implementation </w:t>
      </w:r>
      <w:r>
        <w:rPr/>
        <w:t>of </w:t>
      </w:r>
      <w:r>
        <w:rPr>
          <w:spacing w:val="-3"/>
        </w:rPr>
        <w:t>many </w:t>
      </w:r>
      <w:r>
        <w:rPr>
          <w:spacing w:val="-4"/>
        </w:rPr>
        <w:t>recommendations </w:t>
      </w:r>
      <w:r>
        <w:rPr/>
        <w:t>is </w:t>
      </w:r>
      <w:r>
        <w:rPr>
          <w:spacing w:val="-3"/>
        </w:rPr>
        <w:t>ongoing, </w:t>
      </w:r>
      <w:r>
        <w:rPr>
          <w:spacing w:val="-4"/>
        </w:rPr>
        <w:t>numerous </w:t>
      </w:r>
      <w:r>
        <w:rPr>
          <w:spacing w:val="-3"/>
        </w:rPr>
        <w:t>initiatives</w:t>
      </w:r>
      <w:r>
        <w:rPr>
          <w:spacing w:val="-36"/>
        </w:rPr>
        <w:t> </w:t>
      </w:r>
      <w:r>
        <w:rPr>
          <w:spacing w:val="-3"/>
        </w:rPr>
        <w:t>have</w:t>
      </w:r>
      <w:r>
        <w:rPr>
          <w:spacing w:val="-35"/>
        </w:rPr>
        <w:t> </w:t>
      </w:r>
      <w:r>
        <w:rPr>
          <w:spacing w:val="-3"/>
        </w:rPr>
        <w:t>been</w:t>
      </w:r>
      <w:r>
        <w:rPr>
          <w:spacing w:val="-36"/>
        </w:rPr>
        <w:t> </w:t>
      </w:r>
      <w:r>
        <w:rPr>
          <w:spacing w:val="-4"/>
        </w:rPr>
        <w:t>progressed,</w:t>
      </w:r>
      <w:r>
        <w:rPr>
          <w:spacing w:val="-35"/>
        </w:rPr>
        <w:t> </w:t>
      </w:r>
      <w:r>
        <w:rPr>
          <w:spacing w:val="-3"/>
        </w:rPr>
        <w:t>including:</w:t>
      </w:r>
    </w:p>
    <w:p>
      <w:pPr>
        <w:pStyle w:val="BodyText"/>
        <w:spacing w:before="2"/>
        <w:rPr>
          <w:sz w:val="23"/>
        </w:rPr>
      </w:pPr>
    </w:p>
    <w:p>
      <w:pPr>
        <w:spacing w:line="249" w:lineRule="auto" w:before="0"/>
        <w:ind w:left="590" w:right="1659" w:firstLine="0"/>
        <w:jc w:val="left"/>
        <w:rPr>
          <w:sz w:val="22"/>
        </w:rPr>
      </w:pPr>
      <w:r>
        <w:rPr>
          <w:spacing w:val="-2"/>
          <w:sz w:val="21"/>
        </w:rPr>
        <w:t>the </w:t>
      </w:r>
      <w:r>
        <w:rPr>
          <w:spacing w:val="-3"/>
          <w:sz w:val="21"/>
        </w:rPr>
        <w:t>updating of </w:t>
      </w:r>
      <w:r>
        <w:rPr>
          <w:spacing w:val="-5"/>
          <w:sz w:val="21"/>
        </w:rPr>
        <w:t>Treasurer’s </w:t>
      </w:r>
      <w:r>
        <w:rPr>
          <w:spacing w:val="-3"/>
          <w:sz w:val="21"/>
        </w:rPr>
        <w:t>Instructions</w:t>
      </w:r>
      <w:r>
        <w:rPr>
          <w:spacing w:val="-3"/>
          <w:sz w:val="22"/>
        </w:rPr>
        <w:t>; </w:t>
      </w:r>
      <w:r>
        <w:rPr>
          <w:sz w:val="22"/>
        </w:rPr>
        <w:t>the </w:t>
      </w:r>
      <w:r>
        <w:rPr>
          <w:spacing w:val="-3"/>
          <w:sz w:val="22"/>
        </w:rPr>
        <w:t>Department </w:t>
      </w:r>
      <w:r>
        <w:rPr>
          <w:sz w:val="22"/>
        </w:rPr>
        <w:t>of </w:t>
      </w:r>
      <w:r>
        <w:rPr>
          <w:spacing w:val="-3"/>
          <w:sz w:val="22"/>
        </w:rPr>
        <w:t>Finance </w:t>
      </w:r>
      <w:r>
        <w:rPr>
          <w:sz w:val="22"/>
        </w:rPr>
        <w:t>has </w:t>
      </w:r>
      <w:r>
        <w:rPr>
          <w:spacing w:val="-3"/>
          <w:sz w:val="22"/>
        </w:rPr>
        <w:t>begun to adopt whole-of-sector policies along with</w:t>
      </w:r>
    </w:p>
    <w:p>
      <w:pPr>
        <w:pStyle w:val="BodyText"/>
        <w:spacing w:line="249" w:lineRule="auto" w:before="3"/>
        <w:ind w:left="590" w:right="1597"/>
      </w:pPr>
      <w:r>
        <w:rPr>
          <w:w w:val="95"/>
        </w:rPr>
        <w:t>rationalising, consolidating and simplifying </w:t>
      </w:r>
      <w:r>
        <w:rPr/>
        <w:t>human resource policies;</w:t>
      </w:r>
    </w:p>
    <w:p>
      <w:pPr>
        <w:pStyle w:val="BodyText"/>
        <w:spacing w:line="249" w:lineRule="auto" w:before="2"/>
        <w:ind w:left="590" w:right="1597"/>
      </w:pPr>
      <w:r>
        <w:rPr>
          <w:spacing w:val="-4"/>
        </w:rPr>
        <w:t>recruitment</w:t>
      </w:r>
      <w:r>
        <w:rPr>
          <w:spacing w:val="-21"/>
        </w:rPr>
        <w:t> </w:t>
      </w:r>
      <w:r>
        <w:rPr>
          <w:spacing w:val="-3"/>
        </w:rPr>
        <w:t>policies</w:t>
      </w:r>
      <w:r>
        <w:rPr>
          <w:spacing w:val="-21"/>
        </w:rPr>
        <w:t> </w:t>
      </w:r>
      <w:r>
        <w:rPr/>
        <w:t>in</w:t>
      </w:r>
      <w:r>
        <w:rPr>
          <w:spacing w:val="-21"/>
        </w:rPr>
        <w:t> </w:t>
      </w:r>
      <w:r>
        <w:rPr/>
        <w:t>the</w:t>
      </w:r>
      <w:r>
        <w:rPr>
          <w:spacing w:val="-21"/>
        </w:rPr>
        <w:t> </w:t>
      </w:r>
      <w:r>
        <w:rPr>
          <w:spacing w:val="-3"/>
        </w:rPr>
        <w:t>Departments</w:t>
      </w:r>
      <w:r>
        <w:rPr>
          <w:spacing w:val="-21"/>
        </w:rPr>
        <w:t> </w:t>
      </w:r>
      <w:r>
        <w:rPr>
          <w:spacing w:val="-3"/>
        </w:rPr>
        <w:t>of Finance;</w:t>
      </w:r>
      <w:r>
        <w:rPr>
          <w:spacing w:val="-35"/>
        </w:rPr>
        <w:t> </w:t>
      </w:r>
      <w:r>
        <w:rPr>
          <w:spacing w:val="-3"/>
        </w:rPr>
        <w:t>Planning,</w:t>
      </w:r>
      <w:r>
        <w:rPr>
          <w:spacing w:val="-34"/>
        </w:rPr>
        <w:t> </w:t>
      </w:r>
      <w:r>
        <w:rPr>
          <w:spacing w:val="-3"/>
        </w:rPr>
        <w:t>Lands</w:t>
      </w:r>
      <w:r>
        <w:rPr>
          <w:spacing w:val="-35"/>
        </w:rPr>
        <w:t> </w:t>
      </w:r>
      <w:r>
        <w:rPr/>
        <w:t>and</w:t>
      </w:r>
      <w:r>
        <w:rPr>
          <w:spacing w:val="-34"/>
        </w:rPr>
        <w:t> </w:t>
      </w:r>
      <w:r>
        <w:rPr>
          <w:spacing w:val="-3"/>
        </w:rPr>
        <w:t>Heritage</w:t>
      </w:r>
      <w:r>
        <w:rPr>
          <w:spacing w:val="-35"/>
        </w:rPr>
        <w:t> </w:t>
      </w:r>
      <w:r>
        <w:rPr>
          <w:spacing w:val="-4"/>
        </w:rPr>
        <w:t>are </w:t>
      </w:r>
      <w:r>
        <w:rPr>
          <w:spacing w:val="-3"/>
        </w:rPr>
        <w:t>under</w:t>
      </w:r>
      <w:r>
        <w:rPr>
          <w:spacing w:val="-6"/>
        </w:rPr>
        <w:t> </w:t>
      </w:r>
      <w:r>
        <w:rPr>
          <w:spacing w:val="-4"/>
        </w:rPr>
        <w:t>review;</w:t>
      </w:r>
    </w:p>
    <w:p>
      <w:pPr>
        <w:pStyle w:val="BodyText"/>
        <w:spacing w:line="249" w:lineRule="auto" w:before="3"/>
        <w:ind w:left="590" w:right="1220"/>
      </w:pPr>
      <w:r>
        <w:rPr/>
        <w:t>the </w:t>
      </w:r>
      <w:r>
        <w:rPr>
          <w:spacing w:val="-3"/>
        </w:rPr>
        <w:t>Department </w:t>
      </w:r>
      <w:r>
        <w:rPr/>
        <w:t>of </w:t>
      </w:r>
      <w:r>
        <w:rPr>
          <w:spacing w:val="-6"/>
        </w:rPr>
        <w:t>Finance’s </w:t>
      </w:r>
      <w:r>
        <w:rPr>
          <w:spacing w:val="-3"/>
        </w:rPr>
        <w:t>Government </w:t>
      </w:r>
      <w:r>
        <w:rPr>
          <w:spacing w:val="-4"/>
        </w:rPr>
        <w:t>Procurement </w:t>
      </w:r>
      <w:r>
        <w:rPr/>
        <w:t>is </w:t>
      </w:r>
      <w:r>
        <w:rPr>
          <w:spacing w:val="-4"/>
        </w:rPr>
        <w:t>progressing </w:t>
      </w:r>
      <w:r>
        <w:rPr/>
        <w:t>a </w:t>
      </w:r>
      <w:r>
        <w:rPr>
          <w:spacing w:val="-3"/>
        </w:rPr>
        <w:t>strategic </w:t>
      </w:r>
      <w:r>
        <w:rPr>
          <w:spacing w:val="-4"/>
        </w:rPr>
        <w:t>reassessment</w:t>
      </w:r>
      <w:r>
        <w:rPr>
          <w:spacing w:val="-34"/>
        </w:rPr>
        <w:t> </w:t>
      </w:r>
      <w:r>
        <w:rPr/>
        <w:t>of</w:t>
      </w:r>
      <w:r>
        <w:rPr>
          <w:spacing w:val="-33"/>
        </w:rPr>
        <w:t> </w:t>
      </w:r>
      <w:r>
        <w:rPr>
          <w:spacing w:val="-3"/>
        </w:rPr>
        <w:t>Common</w:t>
      </w:r>
      <w:r>
        <w:rPr>
          <w:spacing w:val="-34"/>
        </w:rPr>
        <w:t> </w:t>
      </w:r>
      <w:r>
        <w:rPr/>
        <w:t>Use</w:t>
      </w:r>
      <w:r>
        <w:rPr>
          <w:spacing w:val="-33"/>
        </w:rPr>
        <w:t> </w:t>
      </w:r>
      <w:r>
        <w:rPr>
          <w:spacing w:val="-3"/>
        </w:rPr>
        <w:t>Arrangements; </w:t>
      </w:r>
      <w:r>
        <w:rPr/>
        <w:t>a</w:t>
      </w:r>
      <w:r>
        <w:rPr>
          <w:spacing w:val="-13"/>
        </w:rPr>
        <w:t> </w:t>
      </w:r>
      <w:r>
        <w:rPr>
          <w:spacing w:val="-3"/>
        </w:rPr>
        <w:t>‘myth-busting</w:t>
      </w:r>
      <w:r>
        <w:rPr>
          <w:spacing w:val="-12"/>
        </w:rPr>
        <w:t> </w:t>
      </w:r>
      <w:r>
        <w:rPr>
          <w:spacing w:val="-3"/>
        </w:rPr>
        <w:t>fact</w:t>
      </w:r>
      <w:r>
        <w:rPr>
          <w:spacing w:val="-12"/>
        </w:rPr>
        <w:t> </w:t>
      </w:r>
      <w:r>
        <w:rPr>
          <w:spacing w:val="-3"/>
        </w:rPr>
        <w:t>sheet’</w:t>
      </w:r>
      <w:r>
        <w:rPr>
          <w:spacing w:val="-12"/>
        </w:rPr>
        <w:t> </w:t>
      </w:r>
      <w:r>
        <w:rPr/>
        <w:t>is</w:t>
      </w:r>
      <w:r>
        <w:rPr>
          <w:spacing w:val="-12"/>
        </w:rPr>
        <w:t> </w:t>
      </w:r>
      <w:r>
        <w:rPr>
          <w:spacing w:val="-3"/>
        </w:rPr>
        <w:t>being</w:t>
      </w:r>
      <w:r>
        <w:rPr>
          <w:spacing w:val="-12"/>
        </w:rPr>
        <w:t> </w:t>
      </w:r>
      <w:r>
        <w:rPr>
          <w:spacing w:val="-4"/>
        </w:rPr>
        <w:t>created</w:t>
      </w:r>
      <w:r>
        <w:rPr>
          <w:spacing w:val="-13"/>
        </w:rPr>
        <w:t> </w:t>
      </w:r>
      <w:r>
        <w:rPr>
          <w:spacing w:val="-3"/>
        </w:rPr>
        <w:t>by </w:t>
      </w:r>
      <w:r>
        <w:rPr/>
        <w:t>the </w:t>
      </w:r>
      <w:r>
        <w:rPr>
          <w:spacing w:val="-3"/>
        </w:rPr>
        <w:t>State </w:t>
      </w:r>
      <w:r>
        <w:rPr>
          <w:spacing w:val="-4"/>
        </w:rPr>
        <w:t>Records Office </w:t>
      </w:r>
      <w:r>
        <w:rPr/>
        <w:t>to </w:t>
      </w:r>
      <w:r>
        <w:rPr>
          <w:spacing w:val="-4"/>
        </w:rPr>
        <w:t>improve record </w:t>
      </w:r>
      <w:r>
        <w:rPr>
          <w:spacing w:val="-3"/>
        </w:rPr>
        <w:t>keeping;</w:t>
      </w:r>
    </w:p>
    <w:p>
      <w:pPr>
        <w:pStyle w:val="BodyText"/>
        <w:spacing w:line="249" w:lineRule="auto" w:before="5"/>
        <w:ind w:left="590" w:right="1220"/>
      </w:pPr>
      <w:r>
        <w:rPr/>
        <w:t>the</w:t>
      </w:r>
      <w:r>
        <w:rPr>
          <w:spacing w:val="-31"/>
        </w:rPr>
        <w:t> </w:t>
      </w:r>
      <w:r>
        <w:rPr>
          <w:spacing w:val="-3"/>
        </w:rPr>
        <w:t>Department</w:t>
      </w:r>
      <w:r>
        <w:rPr>
          <w:spacing w:val="-31"/>
        </w:rPr>
        <w:t> </w:t>
      </w:r>
      <w:r>
        <w:rPr/>
        <w:t>of</w:t>
      </w:r>
      <w:r>
        <w:rPr>
          <w:spacing w:val="-30"/>
        </w:rPr>
        <w:t> </w:t>
      </w:r>
      <w:r>
        <w:rPr>
          <w:spacing w:val="-3"/>
        </w:rPr>
        <w:t>Mines,</w:t>
      </w:r>
      <w:r>
        <w:rPr>
          <w:spacing w:val="-31"/>
        </w:rPr>
        <w:t> </w:t>
      </w:r>
      <w:r>
        <w:rPr>
          <w:spacing w:val="-3"/>
        </w:rPr>
        <w:t>Industry</w:t>
      </w:r>
      <w:r>
        <w:rPr>
          <w:spacing w:val="-31"/>
        </w:rPr>
        <w:t> </w:t>
      </w:r>
      <w:r>
        <w:rPr>
          <w:spacing w:val="-3"/>
        </w:rPr>
        <w:t>Regulation </w:t>
      </w:r>
      <w:r>
        <w:rPr/>
        <w:t>and</w:t>
      </w:r>
      <w:r>
        <w:rPr>
          <w:spacing w:val="-18"/>
        </w:rPr>
        <w:t> </w:t>
      </w:r>
      <w:r>
        <w:rPr>
          <w:spacing w:val="-3"/>
        </w:rPr>
        <w:t>Safety</w:t>
      </w:r>
      <w:r>
        <w:rPr>
          <w:spacing w:val="-18"/>
        </w:rPr>
        <w:t> </w:t>
      </w:r>
      <w:r>
        <w:rPr/>
        <w:t>is</w:t>
      </w:r>
      <w:r>
        <w:rPr>
          <w:spacing w:val="-18"/>
        </w:rPr>
        <w:t> </w:t>
      </w:r>
      <w:r>
        <w:rPr>
          <w:spacing w:val="-4"/>
        </w:rPr>
        <w:t>progressing</w:t>
      </w:r>
      <w:r>
        <w:rPr>
          <w:spacing w:val="-18"/>
        </w:rPr>
        <w:t> </w:t>
      </w:r>
      <w:r>
        <w:rPr>
          <w:spacing w:val="-3"/>
        </w:rPr>
        <w:t>their</w:t>
      </w:r>
      <w:r>
        <w:rPr>
          <w:spacing w:val="-18"/>
        </w:rPr>
        <w:t> </w:t>
      </w:r>
      <w:r>
        <w:rPr/>
        <w:t>own</w:t>
      </w:r>
      <w:r>
        <w:rPr>
          <w:spacing w:val="-18"/>
        </w:rPr>
        <w:t> </w:t>
      </w:r>
      <w:r>
        <w:rPr>
          <w:spacing w:val="-4"/>
        </w:rPr>
        <w:t>red</w:t>
      </w:r>
      <w:r>
        <w:rPr>
          <w:spacing w:val="-18"/>
        </w:rPr>
        <w:t> </w:t>
      </w:r>
      <w:r>
        <w:rPr>
          <w:spacing w:val="-3"/>
        </w:rPr>
        <w:t>tape </w:t>
      </w:r>
      <w:r>
        <w:rPr>
          <w:spacing w:val="-4"/>
        </w:rPr>
        <w:t>reduction </w:t>
      </w:r>
      <w:r>
        <w:rPr>
          <w:spacing w:val="-3"/>
        </w:rPr>
        <w:t>initiatives;</w:t>
      </w:r>
      <w:r>
        <w:rPr>
          <w:spacing w:val="-10"/>
        </w:rPr>
        <w:t> </w:t>
      </w:r>
      <w:r>
        <w:rPr>
          <w:spacing w:val="-3"/>
        </w:rPr>
        <w:t>and</w:t>
      </w:r>
    </w:p>
    <w:p>
      <w:pPr>
        <w:pStyle w:val="BodyText"/>
        <w:spacing w:line="249" w:lineRule="auto" w:before="3"/>
        <w:ind w:left="590" w:right="1226"/>
      </w:pPr>
      <w:r>
        <w:rPr/>
        <w:t>the </w:t>
      </w:r>
      <w:r>
        <w:rPr>
          <w:spacing w:val="-3"/>
        </w:rPr>
        <w:t>Department </w:t>
      </w:r>
      <w:r>
        <w:rPr/>
        <w:t>of </w:t>
      </w:r>
      <w:r>
        <w:rPr>
          <w:spacing w:val="-6"/>
        </w:rPr>
        <w:t>Treasury </w:t>
      </w:r>
      <w:r>
        <w:rPr/>
        <w:t>is </w:t>
      </w:r>
      <w:r>
        <w:rPr>
          <w:spacing w:val="-3"/>
        </w:rPr>
        <w:t>undertaking </w:t>
      </w:r>
      <w:r>
        <w:rPr/>
        <w:t>a </w:t>
      </w:r>
      <w:r>
        <w:rPr>
          <w:spacing w:val="-4"/>
        </w:rPr>
        <w:t>review </w:t>
      </w:r>
      <w:r>
        <w:rPr/>
        <w:t>of the </w:t>
      </w:r>
      <w:r>
        <w:rPr>
          <w:spacing w:val="-3"/>
        </w:rPr>
        <w:t>Outcome Based Management framework </w:t>
      </w:r>
      <w:r>
        <w:rPr/>
        <w:t>and key </w:t>
      </w:r>
      <w:r>
        <w:rPr>
          <w:spacing w:val="-3"/>
        </w:rPr>
        <w:t>performance indicators, </w:t>
      </w:r>
      <w:r>
        <w:rPr/>
        <w:t>an </w:t>
      </w:r>
      <w:r>
        <w:rPr>
          <w:spacing w:val="-3"/>
        </w:rPr>
        <w:t>outcome which </w:t>
      </w:r>
      <w:r>
        <w:rPr/>
        <w:t>was </w:t>
      </w:r>
      <w:r>
        <w:rPr>
          <w:spacing w:val="-3"/>
        </w:rPr>
        <w:t>also </w:t>
      </w:r>
      <w:r>
        <w:rPr>
          <w:spacing w:val="-4"/>
        </w:rPr>
        <w:t>recommended </w:t>
      </w:r>
      <w:r>
        <w:rPr>
          <w:spacing w:val="-3"/>
        </w:rPr>
        <w:t>in </w:t>
      </w:r>
      <w:r>
        <w:rPr>
          <w:spacing w:val="-5"/>
        </w:rPr>
        <w:t>Government’s </w:t>
      </w:r>
      <w:r>
        <w:rPr>
          <w:spacing w:val="-3"/>
        </w:rPr>
        <w:t>Service Priority Review and </w:t>
      </w:r>
      <w:r>
        <w:rPr>
          <w:spacing w:val="-4"/>
        </w:rPr>
        <w:t>reflects </w:t>
      </w:r>
      <w:r>
        <w:rPr/>
        <w:t>the </w:t>
      </w:r>
      <w:r>
        <w:rPr>
          <w:spacing w:val="-3"/>
        </w:rPr>
        <w:t>collaborative </w:t>
      </w:r>
      <w:r>
        <w:rPr>
          <w:spacing w:val="-4"/>
        </w:rPr>
        <w:t>approach </w:t>
      </w:r>
      <w:r>
        <w:rPr>
          <w:spacing w:val="-3"/>
        </w:rPr>
        <w:t>to</w:t>
      </w:r>
    </w:p>
    <w:p>
      <w:pPr>
        <w:pStyle w:val="BodyText"/>
        <w:spacing w:before="5"/>
        <w:ind w:left="590"/>
      </w:pPr>
      <w:r>
        <w:rPr/>
        <w:t>cross-sector reform.</w:t>
      </w:r>
    </w:p>
    <w:p>
      <w:pPr>
        <w:spacing w:after="0"/>
        <w:sectPr>
          <w:type w:val="continuous"/>
          <w:pgSz w:w="16840" w:h="11910" w:orient="landscape"/>
          <w:pgMar w:top="1100" w:bottom="280" w:left="0" w:right="0"/>
          <w:cols w:num="3" w:equalWidth="0">
            <w:col w:w="5723" w:space="40"/>
            <w:col w:w="4923" w:space="39"/>
            <w:col w:w="6115"/>
          </w:cols>
        </w:sectPr>
      </w:pPr>
    </w:p>
    <w:p>
      <w:pPr>
        <w:tabs>
          <w:tab w:pos="4810" w:val="left" w:leader="none"/>
          <w:tab w:pos="9621" w:val="left" w:leader="none"/>
          <w:tab w:pos="14432" w:val="left" w:leader="none"/>
        </w:tabs>
        <w:spacing w:line="240" w:lineRule="auto"/>
        <w:ind w:left="0" w:right="-58" w:firstLine="0"/>
        <w:rPr>
          <w:sz w:val="20"/>
        </w:rPr>
      </w:pPr>
      <w:bookmarkStart w:name="_bookmark9" w:id="10"/>
      <w:bookmarkEnd w:id="10"/>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Heading1"/>
        <w:spacing w:before="254"/>
      </w:pPr>
      <w:r>
        <w:rPr/>
        <w:pict>
          <v:group style="position:absolute;margin-left:360.811798pt;margin-top:-55.274235pt;width:481.1pt;height:371.15pt;mso-position-horizontal-relative:page;mso-position-vertical-relative:paragraph;z-index:-707968" coordorigin="7216,-1105" coordsize="9622,7423">
            <v:shape style="position:absolute;left:8861;top:-1106;width:7977;height:7423" type="#_x0000_t75" stroked="false">
              <v:imagedata r:id="rId23" o:title=""/>
            </v:shape>
            <v:shape style="position:absolute;left:8500;top:53;width:319;height:319" type="#_x0000_t75" stroked="false">
              <v:imagedata r:id="rId62" o:title=""/>
            </v:shape>
            <v:shape style="position:absolute;left:8132;top:57;width:684;height:684" coordorigin="8132,57" coordsize="684,684" path="m8534,740l8133,340,8132,346,8527,741,8534,740m8607,720l8154,266,8152,271,8602,721,8607,720m8669,687l8187,204,8186,204,8184,209,8664,689,8669,687,8669,687m8721,644l8229,153,8229,153,8226,156,8717,647,8720,644,8721,644m8763,592l8281,110,8280,111,8277,113,8760,596,8763,593,8763,592m8796,530l8343,77,8339,78,8338,79,8794,536,8795,534,8796,530m8816,456l8417,57,8410,58,8816,463,8816,456e" filled="true" fillcolor="#bbbcbb" stroked="false">
              <v:path arrowok="t"/>
              <v:fill opacity="32768f" type="solid"/>
            </v:shape>
            <v:shape style="position:absolute;left:8130;top:431;width:312;height:312" type="#_x0000_t75" stroked="false">
              <v:imagedata r:id="rId63" o:title=""/>
            </v:shape>
            <v:shape style="position:absolute;left:9744;top:-1018;width:136;height:136" type="#_x0000_t75" stroked="false">
              <v:imagedata r:id="rId64" o:title=""/>
            </v:shape>
            <v:shape style="position:absolute;left:8582;top:-1106;width:1446;height:1385" coordorigin="8583,-1105" coordsize="1446,1385" path="m8998,212l8650,-136,8656,-123,8984,205,8998,212m9142,262l8600,-281,8602,-271,9133,259,9142,262m9253,278l8584,-392,8584,-384,9246,278,9253,278m9348,278l8583,-487,8583,-480,9341,279,9348,278m9433,269l8593,-571,8592,-565,9426,270,9433,269m9509,251l8611,-648,8609,-642,9504,252,9509,251m9579,226l8635,-718,8633,-713,9574,228,9579,226m9643,196l8665,-782,8663,-777,9639,199,9643,196m9703,161l8700,-841,8698,-837,9698,164,9703,161m9757,121l8740,-896,8737,-892,9753,124,9757,121m9807,77l8785,-946,8781,-942,9804,80,9807,77m9853,28l8833,-992,8829,-988,9850,32,9853,28m9895,-25l8886,-1033,8882,-1030,9892,-21,9895,-25m9931,-82l8944,-1070,8939,-1067,9929,-78,9931,-82m9964,-144l9006,-1102,9001,-1100,9961,-140,9964,-144m9989,-679l9985,-690,9569,-1105,9562,-1105,9989,-679m9990,-212l9097,-1105,9090,-1105,9988,-207,9990,-212m10011,-286l9191,-1105,9184,-1105,10010,-280,10011,-286m10019,-554l10018,-562,9475,-1105,9467,-1105,10019,-554m10025,-367l9286,-1105,9279,-1105,10024,-361,10025,-367m10028,-450l10028,-458,9380,-1105,9373,-1105,10028,-450e" filled="true" fillcolor="#819c5f" stroked="false">
              <v:path arrowok="t"/>
              <v:fill opacity="32768f" type="solid"/>
            </v:shape>
            <v:rect style="position:absolute;left:7216;top:-1106;width:2406;height:851" filled="true" fillcolor="#d4c4d4" stroked="false">
              <v:fill type="solid"/>
            </v:rect>
            <v:rect style="position:absolute;left:9621;top:-1106;width:2406;height:851" filled="true" fillcolor="#cbb8cc" stroked="false">
              <v:fill type="solid"/>
            </v:rect>
            <w10:wrap type="none"/>
          </v:group>
        </w:pict>
      </w:r>
      <w:r>
        <w:rPr/>
        <w:pict>
          <v:shape style="position:absolute;margin-left:601.348999pt;margin-top:-55.274212pt;width:120.3pt;height:42.55pt;mso-position-horizontal-relative:page;mso-position-vertical-relative:paragraph;z-index:460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4624"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5.274212pt;width:120.3pt;height:42.55pt;mso-position-horizontal-relative:page;mso-position-vertical-relative:paragraph;z-index:464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Quality Services</w:t>
      </w:r>
    </w:p>
    <w:p>
      <w:pPr>
        <w:pStyle w:val="Heading4"/>
        <w:spacing w:line="249" w:lineRule="auto" w:before="271"/>
        <w:ind w:right="995"/>
      </w:pPr>
      <w:r>
        <w:rPr>
          <w:color w:val="6F2770"/>
        </w:rPr>
        <w:t>The</w:t>
      </w:r>
      <w:r>
        <w:rPr>
          <w:color w:val="6F2770"/>
          <w:spacing w:val="-34"/>
        </w:rPr>
        <w:t> </w:t>
      </w:r>
      <w:r>
        <w:rPr>
          <w:color w:val="6F2770"/>
        </w:rPr>
        <w:t>Department</w:t>
      </w:r>
      <w:r>
        <w:rPr>
          <w:color w:val="6F2770"/>
          <w:spacing w:val="-33"/>
        </w:rPr>
        <w:t> </w:t>
      </w:r>
      <w:r>
        <w:rPr>
          <w:color w:val="6F2770"/>
        </w:rPr>
        <w:t>of</w:t>
      </w:r>
      <w:r>
        <w:rPr>
          <w:color w:val="6F2770"/>
          <w:spacing w:val="-33"/>
        </w:rPr>
        <w:t> </w:t>
      </w:r>
      <w:r>
        <w:rPr>
          <w:color w:val="6F2770"/>
        </w:rPr>
        <w:t>Finance</w:t>
      </w:r>
      <w:r>
        <w:rPr>
          <w:color w:val="6F2770"/>
          <w:spacing w:val="-33"/>
        </w:rPr>
        <w:t> </w:t>
      </w:r>
      <w:r>
        <w:rPr>
          <w:color w:val="6F2770"/>
        </w:rPr>
        <w:t>is</w:t>
      </w:r>
      <w:r>
        <w:rPr>
          <w:color w:val="6F2770"/>
          <w:spacing w:val="-33"/>
        </w:rPr>
        <w:t> </w:t>
      </w:r>
      <w:r>
        <w:rPr>
          <w:color w:val="6F2770"/>
        </w:rPr>
        <w:t>committed</w:t>
      </w:r>
      <w:r>
        <w:rPr>
          <w:color w:val="6F2770"/>
          <w:spacing w:val="-33"/>
        </w:rPr>
        <w:t> </w:t>
      </w:r>
      <w:r>
        <w:rPr>
          <w:color w:val="6F2770"/>
        </w:rPr>
        <w:t>to</w:t>
      </w:r>
      <w:r>
        <w:rPr>
          <w:color w:val="6F2770"/>
          <w:spacing w:val="-33"/>
        </w:rPr>
        <w:t> </w:t>
      </w:r>
      <w:r>
        <w:rPr>
          <w:color w:val="6F2770"/>
        </w:rPr>
        <w:t>providing</w:t>
      </w:r>
      <w:r>
        <w:rPr>
          <w:color w:val="6F2770"/>
          <w:spacing w:val="-33"/>
        </w:rPr>
        <w:t> </w:t>
      </w:r>
      <w:r>
        <w:rPr>
          <w:color w:val="6F2770"/>
        </w:rPr>
        <w:t>exceptional</w:t>
      </w:r>
      <w:r>
        <w:rPr>
          <w:color w:val="6F2770"/>
          <w:spacing w:val="-33"/>
        </w:rPr>
        <w:t> </w:t>
      </w:r>
      <w:r>
        <w:rPr>
          <w:color w:val="6F2770"/>
        </w:rPr>
        <w:t>services</w:t>
      </w:r>
      <w:r>
        <w:rPr>
          <w:color w:val="6F2770"/>
          <w:spacing w:val="-33"/>
        </w:rPr>
        <w:t> </w:t>
      </w:r>
      <w:r>
        <w:rPr>
          <w:color w:val="6F2770"/>
        </w:rPr>
        <w:t>and</w:t>
      </w:r>
      <w:r>
        <w:rPr>
          <w:color w:val="6F2770"/>
          <w:spacing w:val="-33"/>
        </w:rPr>
        <w:t> </w:t>
      </w:r>
      <w:r>
        <w:rPr>
          <w:color w:val="6F2770"/>
        </w:rPr>
        <w:t>strategic</w:t>
      </w:r>
      <w:r>
        <w:rPr>
          <w:color w:val="6F2770"/>
          <w:spacing w:val="-33"/>
        </w:rPr>
        <w:t> </w:t>
      </w:r>
      <w:r>
        <w:rPr>
          <w:color w:val="6F2770"/>
        </w:rPr>
        <w:t>advice</w:t>
      </w:r>
      <w:r>
        <w:rPr>
          <w:color w:val="6F2770"/>
          <w:spacing w:val="-33"/>
        </w:rPr>
        <w:t> </w:t>
      </w:r>
      <w:r>
        <w:rPr>
          <w:color w:val="6F2770"/>
          <w:spacing w:val="-9"/>
        </w:rPr>
        <w:t>to </w:t>
      </w:r>
      <w:r>
        <w:rPr>
          <w:color w:val="6F2770"/>
        </w:rPr>
        <w:t>deliver enhanced stakeholder</w:t>
      </w:r>
      <w:r>
        <w:rPr>
          <w:color w:val="6F2770"/>
          <w:spacing w:val="-8"/>
        </w:rPr>
        <w:t> </w:t>
      </w:r>
      <w:r>
        <w:rPr>
          <w:color w:val="6F2770"/>
        </w:rPr>
        <w:t>value.</w:t>
      </w:r>
    </w:p>
    <w:p>
      <w:pPr>
        <w:pStyle w:val="BodyText"/>
        <w:rPr>
          <w:sz w:val="20"/>
        </w:rPr>
      </w:pPr>
    </w:p>
    <w:p>
      <w:pPr>
        <w:spacing w:after="0"/>
        <w:rPr>
          <w:sz w:val="20"/>
        </w:rPr>
        <w:sectPr>
          <w:footerReference w:type="default" r:id="rId61"/>
          <w:pgSz w:w="16840" w:h="11910" w:orient="landscape"/>
          <w:pgMar w:footer="0" w:header="0" w:top="0" w:bottom="0" w:left="0" w:right="0"/>
        </w:sectPr>
      </w:pPr>
    </w:p>
    <w:p>
      <w:pPr>
        <w:pStyle w:val="BodyText"/>
        <w:spacing w:line="249" w:lineRule="auto" w:before="231"/>
        <w:ind w:left="765" w:right="69"/>
      </w:pPr>
      <w:r>
        <w:rPr>
          <w:b/>
        </w:rPr>
        <w:t>Government</w:t>
      </w:r>
      <w:r>
        <w:rPr>
          <w:b/>
          <w:spacing w:val="-14"/>
        </w:rPr>
        <w:t> </w:t>
      </w:r>
      <w:r>
        <w:rPr>
          <w:b/>
        </w:rPr>
        <w:t>Procurement</w:t>
      </w:r>
      <w:r>
        <w:rPr>
          <w:b/>
          <w:spacing w:val="-14"/>
        </w:rPr>
        <w:t> </w:t>
      </w:r>
      <w:r>
        <w:rPr/>
        <w:t>provides</w:t>
      </w:r>
      <w:r>
        <w:rPr>
          <w:spacing w:val="-14"/>
        </w:rPr>
        <w:t> </w:t>
      </w:r>
      <w:r>
        <w:rPr/>
        <w:t>advice</w:t>
      </w:r>
      <w:r>
        <w:rPr>
          <w:spacing w:val="-14"/>
        </w:rPr>
        <w:t> </w:t>
      </w:r>
      <w:r>
        <w:rPr/>
        <w:t>and expertise across government to achieve service delivery through the procurement of goods and services. The following insights showcase the length</w:t>
      </w:r>
      <w:r>
        <w:rPr>
          <w:spacing w:val="-19"/>
        </w:rPr>
        <w:t> </w:t>
      </w:r>
      <w:r>
        <w:rPr/>
        <w:t>and</w:t>
      </w:r>
      <w:r>
        <w:rPr>
          <w:spacing w:val="-18"/>
        </w:rPr>
        <w:t> </w:t>
      </w:r>
      <w:r>
        <w:rPr/>
        <w:t>breadth</w:t>
      </w:r>
      <w:r>
        <w:rPr>
          <w:spacing w:val="-18"/>
        </w:rPr>
        <w:t> </w:t>
      </w:r>
      <w:r>
        <w:rPr/>
        <w:t>of</w:t>
      </w:r>
      <w:r>
        <w:rPr>
          <w:spacing w:val="-18"/>
        </w:rPr>
        <w:t> </w:t>
      </w:r>
      <w:r>
        <w:rPr/>
        <w:t>Government</w:t>
      </w:r>
      <w:r>
        <w:rPr>
          <w:spacing w:val="-18"/>
        </w:rPr>
        <w:t> </w:t>
      </w:r>
      <w:r>
        <w:rPr>
          <w:spacing w:val="-5"/>
        </w:rPr>
        <w:t>Procurement’s </w:t>
      </w:r>
      <w:r>
        <w:rPr/>
        <w:t>activities this</w:t>
      </w:r>
      <w:r>
        <w:rPr>
          <w:spacing w:val="-4"/>
        </w:rPr>
        <w:t> </w:t>
      </w:r>
      <w:r>
        <w:rPr>
          <w:spacing w:val="-5"/>
        </w:rPr>
        <w:t>year.</w:t>
      </w:r>
    </w:p>
    <w:p>
      <w:pPr>
        <w:pStyle w:val="BodyText"/>
        <w:spacing w:before="5"/>
        <w:rPr>
          <w:sz w:val="23"/>
        </w:rPr>
      </w:pPr>
    </w:p>
    <w:p>
      <w:pPr>
        <w:pStyle w:val="BodyText"/>
        <w:spacing w:line="249" w:lineRule="auto"/>
        <w:ind w:left="765" w:right="205"/>
      </w:pPr>
      <w:r>
        <w:rPr/>
        <w:t>The State Government tasked the Department of</w:t>
      </w:r>
      <w:r>
        <w:rPr>
          <w:spacing w:val="-39"/>
        </w:rPr>
        <w:t> </w:t>
      </w:r>
      <w:r>
        <w:rPr/>
        <w:t>Primary</w:t>
      </w:r>
      <w:r>
        <w:rPr>
          <w:spacing w:val="-39"/>
        </w:rPr>
        <w:t> </w:t>
      </w:r>
      <w:r>
        <w:rPr/>
        <w:t>Industries</w:t>
      </w:r>
      <w:r>
        <w:rPr>
          <w:spacing w:val="-38"/>
        </w:rPr>
        <w:t> </w:t>
      </w:r>
      <w:r>
        <w:rPr/>
        <w:t>and</w:t>
      </w:r>
      <w:r>
        <w:rPr>
          <w:spacing w:val="-39"/>
        </w:rPr>
        <w:t> </w:t>
      </w:r>
      <w:r>
        <w:rPr/>
        <w:t>Regional</w:t>
      </w:r>
      <w:r>
        <w:rPr>
          <w:spacing w:val="-38"/>
        </w:rPr>
        <w:t> </w:t>
      </w:r>
      <w:r>
        <w:rPr/>
        <w:t>Development</w:t>
      </w:r>
    </w:p>
    <w:p>
      <w:pPr>
        <w:pStyle w:val="BodyText"/>
        <w:spacing w:line="249" w:lineRule="auto" w:before="2"/>
        <w:ind w:left="765" w:right="124"/>
        <w:jc w:val="both"/>
      </w:pPr>
      <w:r>
        <w:rPr/>
        <w:t>with</w:t>
      </w:r>
      <w:r>
        <w:rPr>
          <w:spacing w:val="-20"/>
        </w:rPr>
        <w:t> </w:t>
      </w:r>
      <w:r>
        <w:rPr/>
        <w:t>securing</w:t>
      </w:r>
      <w:r>
        <w:rPr>
          <w:spacing w:val="-19"/>
        </w:rPr>
        <w:t> </w:t>
      </w:r>
      <w:r>
        <w:rPr/>
        <w:t>the</w:t>
      </w:r>
      <w:r>
        <w:rPr>
          <w:spacing w:val="-19"/>
        </w:rPr>
        <w:t> </w:t>
      </w:r>
      <w:r>
        <w:rPr/>
        <w:t>future</w:t>
      </w:r>
      <w:r>
        <w:rPr>
          <w:spacing w:val="-19"/>
        </w:rPr>
        <w:t> </w:t>
      </w:r>
      <w:r>
        <w:rPr/>
        <w:t>of</w:t>
      </w:r>
      <w:r>
        <w:rPr>
          <w:spacing w:val="-19"/>
        </w:rPr>
        <w:t> </w:t>
      </w:r>
      <w:r>
        <w:rPr/>
        <w:t>Albany</w:t>
      </w:r>
      <w:r>
        <w:rPr>
          <w:spacing w:val="-19"/>
        </w:rPr>
        <w:t> </w:t>
      </w:r>
      <w:r>
        <w:rPr/>
        <w:t>as</w:t>
      </w:r>
      <w:r>
        <w:rPr>
          <w:spacing w:val="-19"/>
        </w:rPr>
        <w:t> </w:t>
      </w:r>
      <w:r>
        <w:rPr/>
        <w:t>a</w:t>
      </w:r>
      <w:r>
        <w:rPr>
          <w:spacing w:val="-19"/>
        </w:rPr>
        <w:t> </w:t>
      </w:r>
      <w:r>
        <w:rPr>
          <w:spacing w:val="-3"/>
        </w:rPr>
        <w:t>renewable </w:t>
      </w:r>
      <w:r>
        <w:rPr/>
        <w:t>energy</w:t>
      </w:r>
      <w:r>
        <w:rPr>
          <w:spacing w:val="-21"/>
        </w:rPr>
        <w:t> </w:t>
      </w:r>
      <w:r>
        <w:rPr>
          <w:spacing w:val="-5"/>
        </w:rPr>
        <w:t>city,</w:t>
      </w:r>
      <w:r>
        <w:rPr>
          <w:spacing w:val="-20"/>
        </w:rPr>
        <w:t> </w:t>
      </w:r>
      <w:r>
        <w:rPr/>
        <w:t>which</w:t>
      </w:r>
      <w:r>
        <w:rPr>
          <w:spacing w:val="-20"/>
        </w:rPr>
        <w:t> </w:t>
      </w:r>
      <w:r>
        <w:rPr/>
        <w:t>led</w:t>
      </w:r>
      <w:r>
        <w:rPr>
          <w:spacing w:val="-20"/>
        </w:rPr>
        <w:t> </w:t>
      </w:r>
      <w:r>
        <w:rPr/>
        <w:t>to</w:t>
      </w:r>
      <w:r>
        <w:rPr>
          <w:spacing w:val="-20"/>
        </w:rPr>
        <w:t> </w:t>
      </w:r>
      <w:r>
        <w:rPr/>
        <w:t>the</w:t>
      </w:r>
      <w:r>
        <w:rPr>
          <w:spacing w:val="-20"/>
        </w:rPr>
        <w:t> </w:t>
      </w:r>
      <w:r>
        <w:rPr/>
        <w:t>Albany</w:t>
      </w:r>
      <w:r>
        <w:rPr>
          <w:spacing w:val="-20"/>
        </w:rPr>
        <w:t> </w:t>
      </w:r>
      <w:r>
        <w:rPr>
          <w:spacing w:val="-3"/>
        </w:rPr>
        <w:t>Wave</w:t>
      </w:r>
      <w:r>
        <w:rPr>
          <w:spacing w:val="-20"/>
        </w:rPr>
        <w:t> </w:t>
      </w:r>
      <w:r>
        <w:rPr/>
        <w:t>Energy </w:t>
      </w:r>
      <w:r>
        <w:rPr>
          <w:spacing w:val="-3"/>
        </w:rPr>
        <w:t>Technology </w:t>
      </w:r>
      <w:r>
        <w:rPr/>
        <w:t>Development</w:t>
      </w:r>
      <w:r>
        <w:rPr>
          <w:spacing w:val="-5"/>
        </w:rPr>
        <w:t> </w:t>
      </w:r>
      <w:r>
        <w:rPr/>
        <w:t>project.</w:t>
      </w:r>
    </w:p>
    <w:p>
      <w:pPr>
        <w:pStyle w:val="BodyText"/>
        <w:spacing w:before="2"/>
        <w:rPr>
          <w:sz w:val="23"/>
        </w:rPr>
      </w:pPr>
    </w:p>
    <w:p>
      <w:pPr>
        <w:pStyle w:val="BodyText"/>
        <w:spacing w:line="249" w:lineRule="auto"/>
        <w:ind w:left="765" w:right="-7"/>
      </w:pPr>
      <w:r>
        <w:rPr/>
        <w:t>The </w:t>
      </w:r>
      <w:r>
        <w:rPr>
          <w:spacing w:val="-4"/>
        </w:rPr>
        <w:t>Project’s </w:t>
      </w:r>
      <w:r>
        <w:rPr/>
        <w:t>primary objective was to advance the development of wave energy technology through</w:t>
      </w:r>
      <w:r>
        <w:rPr>
          <w:spacing w:val="-22"/>
        </w:rPr>
        <w:t> </w:t>
      </w:r>
      <w:r>
        <w:rPr/>
        <w:t>the</w:t>
      </w:r>
      <w:r>
        <w:rPr>
          <w:spacing w:val="-21"/>
        </w:rPr>
        <w:t> </w:t>
      </w:r>
      <w:r>
        <w:rPr/>
        <w:t>installation</w:t>
      </w:r>
      <w:r>
        <w:rPr>
          <w:spacing w:val="-22"/>
        </w:rPr>
        <w:t> </w:t>
      </w:r>
      <w:r>
        <w:rPr/>
        <w:t>of</w:t>
      </w:r>
      <w:r>
        <w:rPr>
          <w:spacing w:val="-21"/>
        </w:rPr>
        <w:t> </w:t>
      </w:r>
      <w:r>
        <w:rPr/>
        <w:t>a</w:t>
      </w:r>
      <w:r>
        <w:rPr>
          <w:spacing w:val="-21"/>
        </w:rPr>
        <w:t> </w:t>
      </w:r>
      <w:r>
        <w:rPr/>
        <w:t>wave</w:t>
      </w:r>
      <w:r>
        <w:rPr>
          <w:spacing w:val="-22"/>
        </w:rPr>
        <w:t> </w:t>
      </w:r>
      <w:r>
        <w:rPr/>
        <w:t>energy</w:t>
      </w:r>
      <w:r>
        <w:rPr>
          <w:spacing w:val="-21"/>
        </w:rPr>
        <w:t> </w:t>
      </w:r>
      <w:r>
        <w:rPr>
          <w:spacing w:val="-3"/>
        </w:rPr>
        <w:t>convertor </w:t>
      </w:r>
      <w:r>
        <w:rPr/>
        <w:t>off the coast of Albany to produce energy for the South West Integrated System</w:t>
      </w:r>
      <w:r>
        <w:rPr>
          <w:spacing w:val="-15"/>
        </w:rPr>
        <w:t> </w:t>
      </w:r>
      <w:r>
        <w:rPr/>
        <w:t>grid.</w:t>
      </w:r>
    </w:p>
    <w:p>
      <w:pPr>
        <w:pStyle w:val="BodyText"/>
        <w:spacing w:before="4"/>
        <w:rPr>
          <w:sz w:val="23"/>
        </w:rPr>
      </w:pPr>
    </w:p>
    <w:p>
      <w:pPr>
        <w:pStyle w:val="BodyText"/>
        <w:spacing w:line="249" w:lineRule="auto"/>
        <w:ind w:left="765" w:right="530"/>
      </w:pPr>
      <w:r>
        <w:rPr/>
        <w:t>Government</w:t>
      </w:r>
      <w:r>
        <w:rPr>
          <w:spacing w:val="-28"/>
        </w:rPr>
        <w:t> </w:t>
      </w:r>
      <w:r>
        <w:rPr>
          <w:spacing w:val="-3"/>
        </w:rPr>
        <w:t>Procurement’s</w:t>
      </w:r>
      <w:r>
        <w:rPr>
          <w:spacing w:val="-28"/>
        </w:rPr>
        <w:t> </w:t>
      </w:r>
      <w:r>
        <w:rPr/>
        <w:t>Strategic</w:t>
      </w:r>
      <w:r>
        <w:rPr>
          <w:spacing w:val="-28"/>
        </w:rPr>
        <w:t> </w:t>
      </w:r>
      <w:r>
        <w:rPr>
          <w:spacing w:val="-4"/>
        </w:rPr>
        <w:t>Project </w:t>
      </w:r>
      <w:r>
        <w:rPr/>
        <w:t>Support Services shaped the </w:t>
      </w:r>
      <w:r>
        <w:rPr>
          <w:spacing w:val="-4"/>
        </w:rPr>
        <w:t>project’s </w:t>
      </w:r>
      <w:r>
        <w:rPr/>
        <w:t>procurement</w:t>
      </w:r>
      <w:r>
        <w:rPr>
          <w:spacing w:val="-22"/>
        </w:rPr>
        <w:t> </w:t>
      </w:r>
      <w:r>
        <w:rPr/>
        <w:t>strategy</w:t>
      </w:r>
      <w:r>
        <w:rPr>
          <w:spacing w:val="-21"/>
        </w:rPr>
        <w:t> </w:t>
      </w:r>
      <w:r>
        <w:rPr/>
        <w:t>to</w:t>
      </w:r>
      <w:r>
        <w:rPr>
          <w:spacing w:val="-22"/>
        </w:rPr>
        <w:t> </w:t>
      </w:r>
      <w:r>
        <w:rPr/>
        <w:t>ensure</w:t>
      </w:r>
      <w:r>
        <w:rPr>
          <w:spacing w:val="-21"/>
        </w:rPr>
        <w:t> </w:t>
      </w:r>
      <w:r>
        <w:rPr/>
        <w:t>that</w:t>
      </w:r>
      <w:r>
        <w:rPr>
          <w:spacing w:val="-21"/>
        </w:rPr>
        <w:t> </w:t>
      </w:r>
      <w:r>
        <w:rPr/>
        <w:t>industry proposals</w:t>
      </w:r>
      <w:r>
        <w:rPr>
          <w:spacing w:val="-34"/>
        </w:rPr>
        <w:t> </w:t>
      </w:r>
      <w:r>
        <w:rPr/>
        <w:t>would</w:t>
      </w:r>
      <w:r>
        <w:rPr>
          <w:spacing w:val="-33"/>
        </w:rPr>
        <w:t> </w:t>
      </w:r>
      <w:r>
        <w:rPr/>
        <w:t>deliver</w:t>
      </w:r>
      <w:r>
        <w:rPr>
          <w:spacing w:val="-33"/>
        </w:rPr>
        <w:t> </w:t>
      </w:r>
      <w:r>
        <w:rPr/>
        <w:t>innovative</w:t>
      </w:r>
      <w:r>
        <w:rPr>
          <w:spacing w:val="-33"/>
        </w:rPr>
        <w:t> </w:t>
      </w:r>
      <w:r>
        <w:rPr/>
        <w:t>solutions, and</w:t>
      </w:r>
      <w:r>
        <w:rPr>
          <w:spacing w:val="-19"/>
        </w:rPr>
        <w:t> </w:t>
      </w:r>
      <w:r>
        <w:rPr/>
        <w:t>strong</w:t>
      </w:r>
      <w:r>
        <w:rPr>
          <w:spacing w:val="-19"/>
        </w:rPr>
        <w:t> </w:t>
      </w:r>
      <w:r>
        <w:rPr/>
        <w:t>capital</w:t>
      </w:r>
      <w:r>
        <w:rPr>
          <w:spacing w:val="-18"/>
        </w:rPr>
        <w:t> </w:t>
      </w:r>
      <w:r>
        <w:rPr/>
        <w:t>and</w:t>
      </w:r>
      <w:r>
        <w:rPr>
          <w:spacing w:val="-19"/>
        </w:rPr>
        <w:t> </w:t>
      </w:r>
      <w:r>
        <w:rPr/>
        <w:t>financial</w:t>
      </w:r>
      <w:r>
        <w:rPr>
          <w:spacing w:val="-18"/>
        </w:rPr>
        <w:t> </w:t>
      </w:r>
      <w:r>
        <w:rPr/>
        <w:t>investment.</w:t>
      </w:r>
    </w:p>
    <w:p>
      <w:pPr>
        <w:pStyle w:val="BodyText"/>
        <w:spacing w:line="249" w:lineRule="auto" w:before="231"/>
        <w:ind w:left="439" w:right="360"/>
      </w:pPr>
      <w:r>
        <w:rPr/>
        <w:br w:type="column"/>
      </w:r>
      <w:r>
        <w:rPr/>
        <w:t>The approach to market was based on a public-private-partnership</w:t>
      </w:r>
      <w:r>
        <w:rPr>
          <w:spacing w:val="-22"/>
        </w:rPr>
        <w:t> </w:t>
      </w:r>
      <w:r>
        <w:rPr/>
        <w:t>model</w:t>
      </w:r>
      <w:r>
        <w:rPr>
          <w:spacing w:val="-21"/>
        </w:rPr>
        <w:t> </w:t>
      </w:r>
      <w:r>
        <w:rPr/>
        <w:t>with</w:t>
      </w:r>
      <w:r>
        <w:rPr>
          <w:spacing w:val="-22"/>
        </w:rPr>
        <w:t> </w:t>
      </w:r>
      <w:r>
        <w:rPr/>
        <w:t>the</w:t>
      </w:r>
      <w:r>
        <w:rPr>
          <w:spacing w:val="-21"/>
        </w:rPr>
        <w:t> </w:t>
      </w:r>
      <w:r>
        <w:rPr>
          <w:spacing w:val="-3"/>
        </w:rPr>
        <w:t>State </w:t>
      </w:r>
      <w:r>
        <w:rPr/>
        <w:t>Government</w:t>
      </w:r>
      <w:r>
        <w:rPr>
          <w:spacing w:val="-24"/>
        </w:rPr>
        <w:t> </w:t>
      </w:r>
      <w:r>
        <w:rPr/>
        <w:t>contributing</w:t>
      </w:r>
      <w:r>
        <w:rPr>
          <w:spacing w:val="-24"/>
        </w:rPr>
        <w:t> </w:t>
      </w:r>
      <w:r>
        <w:rPr/>
        <w:t>$19.5</w:t>
      </w:r>
      <w:r>
        <w:rPr>
          <w:spacing w:val="-24"/>
        </w:rPr>
        <w:t> </w:t>
      </w:r>
      <w:r>
        <w:rPr/>
        <w:t>million</w:t>
      </w:r>
      <w:r>
        <w:rPr>
          <w:spacing w:val="-24"/>
        </w:rPr>
        <w:t> </w:t>
      </w:r>
      <w:r>
        <w:rPr/>
        <w:t>towards the</w:t>
      </w:r>
      <w:r>
        <w:rPr>
          <w:spacing w:val="-21"/>
        </w:rPr>
        <w:t> </w:t>
      </w:r>
      <w:r>
        <w:rPr/>
        <w:t>project.</w:t>
      </w:r>
      <w:r>
        <w:rPr>
          <w:spacing w:val="-21"/>
        </w:rPr>
        <w:t> </w:t>
      </w:r>
      <w:r>
        <w:rPr/>
        <w:t>Given</w:t>
      </w:r>
      <w:r>
        <w:rPr>
          <w:spacing w:val="-20"/>
        </w:rPr>
        <w:t> </w:t>
      </w:r>
      <w:r>
        <w:rPr/>
        <w:t>the</w:t>
      </w:r>
      <w:r>
        <w:rPr>
          <w:spacing w:val="-21"/>
        </w:rPr>
        <w:t> </w:t>
      </w:r>
      <w:r>
        <w:rPr/>
        <w:t>requirements</w:t>
      </w:r>
      <w:r>
        <w:rPr>
          <w:spacing w:val="-20"/>
        </w:rPr>
        <w:t> </w:t>
      </w:r>
      <w:r>
        <w:rPr/>
        <w:t>for</w:t>
      </w:r>
      <w:r>
        <w:rPr>
          <w:spacing w:val="-21"/>
        </w:rPr>
        <w:t> </w:t>
      </w:r>
      <w:r>
        <w:rPr/>
        <w:t>a</w:t>
      </w:r>
      <w:r>
        <w:rPr>
          <w:spacing w:val="-20"/>
        </w:rPr>
        <w:t> </w:t>
      </w:r>
      <w:r>
        <w:rPr>
          <w:spacing w:val="-3"/>
        </w:rPr>
        <w:t>hybrid</w:t>
      </w:r>
    </w:p>
    <w:p>
      <w:pPr>
        <w:pStyle w:val="BodyText"/>
        <w:spacing w:line="249" w:lineRule="auto" w:before="4"/>
        <w:ind w:left="439" w:right="28"/>
      </w:pPr>
      <w:r>
        <w:rPr/>
        <w:t>procurement process covering public works and goods and services, the structure and content of contract</w:t>
      </w:r>
      <w:r>
        <w:rPr>
          <w:spacing w:val="-19"/>
        </w:rPr>
        <w:t> </w:t>
      </w:r>
      <w:r>
        <w:rPr/>
        <w:t>documents</w:t>
      </w:r>
      <w:r>
        <w:rPr>
          <w:spacing w:val="-18"/>
        </w:rPr>
        <w:t> </w:t>
      </w:r>
      <w:r>
        <w:rPr/>
        <w:t>had</w:t>
      </w:r>
      <w:r>
        <w:rPr>
          <w:spacing w:val="-18"/>
        </w:rPr>
        <w:t> </w:t>
      </w:r>
      <w:r>
        <w:rPr/>
        <w:t>to</w:t>
      </w:r>
      <w:r>
        <w:rPr>
          <w:spacing w:val="-19"/>
        </w:rPr>
        <w:t> </w:t>
      </w:r>
      <w:r>
        <w:rPr/>
        <w:t>effectively</w:t>
      </w:r>
      <w:r>
        <w:rPr>
          <w:spacing w:val="-18"/>
        </w:rPr>
        <w:t> </w:t>
      </w:r>
      <w:r>
        <w:rPr/>
        <w:t>manage</w:t>
      </w:r>
      <w:r>
        <w:rPr>
          <w:spacing w:val="-18"/>
        </w:rPr>
        <w:t> </w:t>
      </w:r>
      <w:r>
        <w:rPr>
          <w:spacing w:val="-5"/>
        </w:rPr>
        <w:t>risk </w:t>
      </w:r>
      <w:r>
        <w:rPr/>
        <w:t>to the</w:t>
      </w:r>
      <w:r>
        <w:rPr>
          <w:spacing w:val="-1"/>
        </w:rPr>
        <w:t> </w:t>
      </w:r>
      <w:r>
        <w:rPr/>
        <w:t>State.</w:t>
      </w:r>
    </w:p>
    <w:p>
      <w:pPr>
        <w:pStyle w:val="BodyText"/>
        <w:spacing w:before="3"/>
        <w:rPr>
          <w:sz w:val="23"/>
        </w:rPr>
      </w:pPr>
    </w:p>
    <w:p>
      <w:pPr>
        <w:pStyle w:val="BodyText"/>
        <w:spacing w:line="249" w:lineRule="auto"/>
        <w:ind w:left="439" w:right="-6"/>
      </w:pPr>
      <w:r>
        <w:rPr/>
        <w:t>The procurement outcome ensures significant contribution from the successful proponent to support local jobs and development in the South West.</w:t>
      </w:r>
      <w:r>
        <w:rPr>
          <w:spacing w:val="-19"/>
        </w:rPr>
        <w:t> </w:t>
      </w:r>
      <w:r>
        <w:rPr/>
        <w:t>The</w:t>
      </w:r>
      <w:r>
        <w:rPr>
          <w:spacing w:val="-18"/>
        </w:rPr>
        <w:t> </w:t>
      </w:r>
      <w:r>
        <w:rPr/>
        <w:t>project</w:t>
      </w:r>
      <w:r>
        <w:rPr>
          <w:spacing w:val="-19"/>
        </w:rPr>
        <w:t> </w:t>
      </w:r>
      <w:r>
        <w:rPr/>
        <w:t>is</w:t>
      </w:r>
      <w:r>
        <w:rPr>
          <w:spacing w:val="-18"/>
        </w:rPr>
        <w:t> </w:t>
      </w:r>
      <w:r>
        <w:rPr/>
        <w:t>also</w:t>
      </w:r>
      <w:r>
        <w:rPr>
          <w:spacing w:val="-19"/>
        </w:rPr>
        <w:t> </w:t>
      </w:r>
      <w:r>
        <w:rPr/>
        <w:t>expected</w:t>
      </w:r>
      <w:r>
        <w:rPr>
          <w:spacing w:val="-18"/>
        </w:rPr>
        <w:t> </w:t>
      </w:r>
      <w:r>
        <w:rPr/>
        <w:t>to</w:t>
      </w:r>
      <w:r>
        <w:rPr>
          <w:spacing w:val="-19"/>
        </w:rPr>
        <w:t> </w:t>
      </w:r>
      <w:r>
        <w:rPr/>
        <w:t>deliver</w:t>
      </w:r>
      <w:r>
        <w:rPr>
          <w:spacing w:val="-18"/>
        </w:rPr>
        <w:t> </w:t>
      </w:r>
      <w:r>
        <w:rPr>
          <w:spacing w:val="-3"/>
        </w:rPr>
        <w:t>in-situ </w:t>
      </w:r>
      <w:r>
        <w:rPr/>
        <w:t>infrastructure for other domestic and international companies to progress wave energy technology development, which has the potential to create jobs and economic benefits in the</w:t>
      </w:r>
      <w:r>
        <w:rPr>
          <w:spacing w:val="-31"/>
        </w:rPr>
        <w:t> </w:t>
      </w:r>
      <w:r>
        <w:rPr/>
        <w:t>region.</w:t>
      </w:r>
    </w:p>
    <w:p>
      <w:pPr>
        <w:pStyle w:val="BodyText"/>
        <w:spacing w:before="6"/>
        <w:rPr>
          <w:sz w:val="23"/>
        </w:rPr>
      </w:pPr>
    </w:p>
    <w:p>
      <w:pPr>
        <w:pStyle w:val="BodyText"/>
        <w:spacing w:line="249" w:lineRule="auto" w:before="1"/>
        <w:ind w:left="439" w:right="28"/>
      </w:pPr>
      <w:r>
        <w:rPr>
          <w:b/>
        </w:rPr>
        <w:t>Government Procurement </w:t>
      </w:r>
      <w:r>
        <w:rPr/>
        <w:t>also assisted the </w:t>
      </w:r>
      <w:r>
        <w:rPr>
          <w:w w:val="95"/>
        </w:rPr>
        <w:t>Small Business Development Corporation (SBDC) </w:t>
      </w:r>
      <w:r>
        <w:rPr/>
        <w:t>to award an Advisory Services Contract for its flagship program, the Business Local Service.</w:t>
      </w:r>
    </w:p>
    <w:p>
      <w:pPr>
        <w:pStyle w:val="BodyText"/>
        <w:spacing w:line="249" w:lineRule="auto" w:before="3"/>
        <w:ind w:left="439" w:right="265"/>
      </w:pPr>
      <w:r>
        <w:rPr/>
        <w:t>The contract provides an outreach service that gives free advice and guidance to current and aspiring small-business owners in Western Australia.</w:t>
      </w:r>
      <w:r>
        <w:rPr>
          <w:spacing w:val="-40"/>
        </w:rPr>
        <w:t> </w:t>
      </w:r>
      <w:r>
        <w:rPr/>
        <w:t>Incorporating</w:t>
      </w:r>
      <w:r>
        <w:rPr>
          <w:spacing w:val="-40"/>
        </w:rPr>
        <w:t> </w:t>
      </w:r>
      <w:r>
        <w:rPr/>
        <w:t>nine</w:t>
      </w:r>
      <w:r>
        <w:rPr>
          <w:spacing w:val="-40"/>
        </w:rPr>
        <w:t> </w:t>
      </w:r>
      <w:r>
        <w:rPr/>
        <w:t>regions</w:t>
      </w:r>
      <w:r>
        <w:rPr>
          <w:spacing w:val="-39"/>
        </w:rPr>
        <w:t> </w:t>
      </w:r>
      <w:r>
        <w:rPr/>
        <w:t>State-wide, the contract is valued at $15.6</w:t>
      </w:r>
      <w:r>
        <w:rPr>
          <w:spacing w:val="-27"/>
        </w:rPr>
        <w:t> </w:t>
      </w:r>
      <w:r>
        <w:rPr/>
        <w:t>million.</w:t>
      </w:r>
    </w:p>
    <w:p>
      <w:pPr>
        <w:pStyle w:val="BodyText"/>
        <w:spacing w:line="249" w:lineRule="auto" w:before="231"/>
        <w:ind w:left="395" w:right="1186"/>
      </w:pPr>
      <w:r>
        <w:rPr/>
        <w:br w:type="column"/>
      </w:r>
      <w:r>
        <w:rPr/>
        <w:t>Recognising the contract would be awarded in early 2018-19, staff from the Department notified</w:t>
      </w:r>
      <w:r>
        <w:rPr>
          <w:spacing w:val="-20"/>
        </w:rPr>
        <w:t> </w:t>
      </w:r>
      <w:r>
        <w:rPr/>
        <w:t>the</w:t>
      </w:r>
      <w:r>
        <w:rPr>
          <w:spacing w:val="-20"/>
        </w:rPr>
        <w:t> </w:t>
      </w:r>
      <w:r>
        <w:rPr/>
        <w:t>SBDC</w:t>
      </w:r>
      <w:r>
        <w:rPr>
          <w:spacing w:val="-20"/>
        </w:rPr>
        <w:t> </w:t>
      </w:r>
      <w:r>
        <w:rPr/>
        <w:t>of</w:t>
      </w:r>
      <w:r>
        <w:rPr>
          <w:spacing w:val="-20"/>
        </w:rPr>
        <w:t> </w:t>
      </w:r>
      <w:r>
        <w:rPr/>
        <w:t>the</w:t>
      </w:r>
      <w:r>
        <w:rPr>
          <w:spacing w:val="-19"/>
        </w:rPr>
        <w:t> </w:t>
      </w:r>
      <w:r>
        <w:rPr/>
        <w:t>impending</w:t>
      </w:r>
      <w:r>
        <w:rPr>
          <w:spacing w:val="-20"/>
        </w:rPr>
        <w:t> </w:t>
      </w:r>
      <w:r>
        <w:rPr/>
        <w:t>Aboriginal Procurement</w:t>
      </w:r>
      <w:r>
        <w:rPr>
          <w:spacing w:val="-23"/>
        </w:rPr>
        <w:t> </w:t>
      </w:r>
      <w:r>
        <w:rPr/>
        <w:t>Policy</w:t>
      </w:r>
      <w:r>
        <w:rPr>
          <w:spacing w:val="-23"/>
        </w:rPr>
        <w:t> </w:t>
      </w:r>
      <w:r>
        <w:rPr/>
        <w:t>effective</w:t>
      </w:r>
      <w:r>
        <w:rPr>
          <w:spacing w:val="-22"/>
        </w:rPr>
        <w:t> </w:t>
      </w:r>
      <w:r>
        <w:rPr/>
        <w:t>from</w:t>
      </w:r>
      <w:r>
        <w:rPr>
          <w:spacing w:val="-23"/>
        </w:rPr>
        <w:t> </w:t>
      </w:r>
      <w:r>
        <w:rPr/>
        <w:t>1</w:t>
      </w:r>
      <w:r>
        <w:rPr>
          <w:spacing w:val="-22"/>
        </w:rPr>
        <w:t> </w:t>
      </w:r>
      <w:r>
        <w:rPr/>
        <w:t>July</w:t>
      </w:r>
      <w:r>
        <w:rPr>
          <w:spacing w:val="-23"/>
        </w:rPr>
        <w:t> </w:t>
      </w:r>
      <w:r>
        <w:rPr>
          <w:spacing w:val="-4"/>
        </w:rPr>
        <w:t>2018. </w:t>
      </w:r>
      <w:r>
        <w:rPr/>
        <w:t>A registered Aboriginal business, Indigenous Professional Services, was</w:t>
      </w:r>
      <w:r>
        <w:rPr>
          <w:spacing w:val="-40"/>
        </w:rPr>
        <w:t> </w:t>
      </w:r>
      <w:r>
        <w:rPr/>
        <w:t>subsequently</w:t>
      </w:r>
    </w:p>
    <w:p>
      <w:pPr>
        <w:pStyle w:val="BodyText"/>
        <w:spacing w:line="249" w:lineRule="auto" w:before="6"/>
        <w:ind w:left="395" w:right="849"/>
      </w:pPr>
      <w:r>
        <w:rPr/>
        <w:t>successful in its bid for the Peel and South West regions,</w:t>
      </w:r>
      <w:r>
        <w:rPr>
          <w:spacing w:val="-19"/>
        </w:rPr>
        <w:t> </w:t>
      </w:r>
      <w:r>
        <w:rPr/>
        <w:t>winning</w:t>
      </w:r>
      <w:r>
        <w:rPr>
          <w:spacing w:val="-18"/>
        </w:rPr>
        <w:t> </w:t>
      </w:r>
      <w:r>
        <w:rPr/>
        <w:t>a</w:t>
      </w:r>
      <w:r>
        <w:rPr>
          <w:spacing w:val="-19"/>
        </w:rPr>
        <w:t> </w:t>
      </w:r>
      <w:r>
        <w:rPr/>
        <w:t>contract</w:t>
      </w:r>
      <w:r>
        <w:rPr>
          <w:spacing w:val="-18"/>
        </w:rPr>
        <w:t> </w:t>
      </w:r>
      <w:r>
        <w:rPr/>
        <w:t>valued</w:t>
      </w:r>
      <w:r>
        <w:rPr>
          <w:spacing w:val="-18"/>
        </w:rPr>
        <w:t> </w:t>
      </w:r>
      <w:r>
        <w:rPr/>
        <w:t>at</w:t>
      </w:r>
      <w:r>
        <w:rPr>
          <w:spacing w:val="-19"/>
        </w:rPr>
        <w:t> </w:t>
      </w:r>
      <w:r>
        <w:rPr/>
        <w:t>$4.25</w:t>
      </w:r>
      <w:r>
        <w:rPr>
          <w:spacing w:val="-18"/>
        </w:rPr>
        <w:t> </w:t>
      </w:r>
      <w:r>
        <w:rPr>
          <w:spacing w:val="-3"/>
        </w:rPr>
        <w:t>million </w:t>
      </w:r>
      <w:r>
        <w:rPr/>
        <w:t>for delivering business advice to</w:t>
      </w:r>
      <w:r>
        <w:rPr>
          <w:spacing w:val="-23"/>
        </w:rPr>
        <w:t> </w:t>
      </w:r>
      <w:r>
        <w:rPr/>
        <w:t>both</w:t>
      </w:r>
    </w:p>
    <w:p>
      <w:pPr>
        <w:pStyle w:val="BodyText"/>
        <w:spacing w:before="2"/>
        <w:ind w:left="395"/>
      </w:pPr>
      <w:r>
        <w:rPr/>
        <w:t>non-indigenous and indigenous organisations.</w:t>
      </w:r>
    </w:p>
    <w:p>
      <w:pPr>
        <w:pStyle w:val="BodyText"/>
        <w:spacing w:before="11"/>
        <w:rPr>
          <w:sz w:val="23"/>
        </w:rPr>
      </w:pPr>
    </w:p>
    <w:p>
      <w:pPr>
        <w:pStyle w:val="BodyText"/>
        <w:spacing w:line="249" w:lineRule="auto"/>
        <w:ind w:left="395" w:right="1005"/>
      </w:pPr>
      <w:r>
        <w:rPr/>
        <w:t>The State’s health services sector continued to seek advice and support from </w:t>
      </w:r>
      <w:r>
        <w:rPr>
          <w:b/>
        </w:rPr>
        <w:t>Government Procurement </w:t>
      </w:r>
      <w:r>
        <w:rPr/>
        <w:t>this year to help it implement </w:t>
      </w:r>
      <w:r>
        <w:rPr>
          <w:w w:val="95"/>
        </w:rPr>
        <w:t>significant technological improvements including </w:t>
      </w:r>
      <w:r>
        <w:rPr/>
        <w:t>a medical imaging replacement program and a robotic surgery system.</w:t>
      </w:r>
    </w:p>
    <w:p>
      <w:pPr>
        <w:pStyle w:val="BodyText"/>
        <w:spacing w:before="5"/>
        <w:rPr>
          <w:sz w:val="23"/>
        </w:rPr>
      </w:pPr>
    </w:p>
    <w:p>
      <w:pPr>
        <w:pStyle w:val="BodyText"/>
        <w:spacing w:line="249" w:lineRule="auto"/>
        <w:ind w:left="395" w:right="1124"/>
      </w:pPr>
      <w:r>
        <w:rPr/>
        <w:t>Health</w:t>
      </w:r>
      <w:r>
        <w:rPr>
          <w:spacing w:val="-31"/>
        </w:rPr>
        <w:t> </w:t>
      </w:r>
      <w:r>
        <w:rPr/>
        <w:t>Support</w:t>
      </w:r>
      <w:r>
        <w:rPr>
          <w:spacing w:val="-30"/>
        </w:rPr>
        <w:t> </w:t>
      </w:r>
      <w:r>
        <w:rPr/>
        <w:t>Services</w:t>
      </w:r>
      <w:r>
        <w:rPr>
          <w:spacing w:val="-31"/>
        </w:rPr>
        <w:t> </w:t>
      </w:r>
      <w:r>
        <w:rPr/>
        <w:t>engaged</w:t>
      </w:r>
      <w:r>
        <w:rPr>
          <w:spacing w:val="-30"/>
        </w:rPr>
        <w:t> </w:t>
      </w:r>
      <w:r>
        <w:rPr/>
        <w:t>Government Procurement</w:t>
      </w:r>
      <w:r>
        <w:rPr>
          <w:spacing w:val="-16"/>
        </w:rPr>
        <w:t> </w:t>
      </w:r>
      <w:r>
        <w:rPr/>
        <w:t>to</w:t>
      </w:r>
      <w:r>
        <w:rPr>
          <w:spacing w:val="-16"/>
        </w:rPr>
        <w:t> </w:t>
      </w:r>
      <w:r>
        <w:rPr/>
        <w:t>assist</w:t>
      </w:r>
      <w:r>
        <w:rPr>
          <w:spacing w:val="-15"/>
        </w:rPr>
        <w:t> </w:t>
      </w:r>
      <w:r>
        <w:rPr/>
        <w:t>in</w:t>
      </w:r>
      <w:r>
        <w:rPr>
          <w:spacing w:val="-16"/>
        </w:rPr>
        <w:t> </w:t>
      </w:r>
      <w:r>
        <w:rPr/>
        <w:t>the</w:t>
      </w:r>
      <w:r>
        <w:rPr>
          <w:spacing w:val="-15"/>
        </w:rPr>
        <w:t> </w:t>
      </w:r>
      <w:r>
        <w:rPr/>
        <w:t>purchase</w:t>
      </w:r>
      <w:r>
        <w:rPr>
          <w:spacing w:val="-16"/>
        </w:rPr>
        <w:t> </w:t>
      </w:r>
      <w:r>
        <w:rPr/>
        <w:t>of</w:t>
      </w:r>
      <w:r>
        <w:rPr>
          <w:spacing w:val="-15"/>
        </w:rPr>
        <w:t> </w:t>
      </w:r>
      <w:r>
        <w:rPr/>
        <w:t>a</w:t>
      </w:r>
      <w:r>
        <w:rPr>
          <w:spacing w:val="-16"/>
        </w:rPr>
        <w:t> </w:t>
      </w:r>
      <w:r>
        <w:rPr>
          <w:spacing w:val="-6"/>
        </w:rPr>
        <w:t>new </w:t>
      </w:r>
      <w:r>
        <w:rPr/>
        <w:t>medical imaging system for WA Health. The new</w:t>
      </w:r>
      <w:r>
        <w:rPr>
          <w:spacing w:val="-12"/>
        </w:rPr>
        <w:t> </w:t>
      </w:r>
      <w:r>
        <w:rPr/>
        <w:t>system</w:t>
      </w:r>
      <w:r>
        <w:rPr>
          <w:spacing w:val="-11"/>
        </w:rPr>
        <w:t> </w:t>
      </w:r>
      <w:r>
        <w:rPr/>
        <w:t>replaces</w:t>
      </w:r>
      <w:r>
        <w:rPr>
          <w:spacing w:val="-12"/>
        </w:rPr>
        <w:t> </w:t>
      </w:r>
      <w:r>
        <w:rPr/>
        <w:t>a</w:t>
      </w:r>
      <w:r>
        <w:rPr>
          <w:spacing w:val="-11"/>
        </w:rPr>
        <w:t> </w:t>
      </w:r>
      <w:r>
        <w:rPr/>
        <w:t>core</w:t>
      </w:r>
      <w:r>
        <w:rPr>
          <w:spacing w:val="-12"/>
        </w:rPr>
        <w:t> </w:t>
      </w:r>
      <w:r>
        <w:rPr/>
        <w:t>clinical</w:t>
      </w:r>
      <w:r>
        <w:rPr>
          <w:spacing w:val="-11"/>
        </w:rPr>
        <w:t> </w:t>
      </w:r>
      <w:r>
        <w:rPr/>
        <w:t>system</w:t>
      </w:r>
    </w:p>
    <w:p>
      <w:pPr>
        <w:pStyle w:val="BodyText"/>
        <w:spacing w:line="249" w:lineRule="auto" w:before="3"/>
        <w:ind w:left="395" w:right="812"/>
      </w:pPr>
      <w:r>
        <w:rPr/>
        <w:t>for electronic management, and access to diagnostic</w:t>
      </w:r>
      <w:r>
        <w:rPr>
          <w:spacing w:val="-22"/>
        </w:rPr>
        <w:t> </w:t>
      </w:r>
      <w:r>
        <w:rPr/>
        <w:t>reports</w:t>
      </w:r>
      <w:r>
        <w:rPr>
          <w:spacing w:val="-22"/>
        </w:rPr>
        <w:t> </w:t>
      </w:r>
      <w:r>
        <w:rPr/>
        <w:t>and</w:t>
      </w:r>
      <w:r>
        <w:rPr>
          <w:spacing w:val="-22"/>
        </w:rPr>
        <w:t> </w:t>
      </w:r>
      <w:r>
        <w:rPr/>
        <w:t>images.</w:t>
      </w:r>
      <w:r>
        <w:rPr>
          <w:spacing w:val="-21"/>
        </w:rPr>
        <w:t> </w:t>
      </w:r>
      <w:r>
        <w:rPr/>
        <w:t>The</w:t>
      </w:r>
      <w:r>
        <w:rPr>
          <w:spacing w:val="-22"/>
        </w:rPr>
        <w:t> </w:t>
      </w:r>
      <w:r>
        <w:rPr/>
        <w:t>system</w:t>
      </w:r>
      <w:r>
        <w:rPr>
          <w:spacing w:val="-22"/>
        </w:rPr>
        <w:t> </w:t>
      </w:r>
      <w:r>
        <w:rPr>
          <w:spacing w:val="-3"/>
        </w:rPr>
        <w:t>covers </w:t>
      </w:r>
      <w:r>
        <w:rPr/>
        <w:t>scheduling, billing, and storage of images for procedures</w:t>
      </w:r>
      <w:r>
        <w:rPr>
          <w:spacing w:val="-16"/>
        </w:rPr>
        <w:t> </w:t>
      </w:r>
      <w:r>
        <w:rPr/>
        <w:t>such</w:t>
      </w:r>
      <w:r>
        <w:rPr>
          <w:spacing w:val="-15"/>
        </w:rPr>
        <w:t> </w:t>
      </w:r>
      <w:r>
        <w:rPr/>
        <w:t>as</w:t>
      </w:r>
      <w:r>
        <w:rPr>
          <w:spacing w:val="-16"/>
        </w:rPr>
        <w:t> </w:t>
      </w:r>
      <w:r>
        <w:rPr/>
        <w:t>X-rays,</w:t>
      </w:r>
      <w:r>
        <w:rPr>
          <w:spacing w:val="-15"/>
        </w:rPr>
        <w:t> </w:t>
      </w:r>
      <w:r>
        <w:rPr/>
        <w:t>MRIs</w:t>
      </w:r>
      <w:r>
        <w:rPr>
          <w:spacing w:val="-15"/>
        </w:rPr>
        <w:t> </w:t>
      </w:r>
      <w:r>
        <w:rPr/>
        <w:t>and</w:t>
      </w:r>
      <w:r>
        <w:rPr>
          <w:spacing w:val="-16"/>
        </w:rPr>
        <w:t> </w:t>
      </w:r>
      <w:r>
        <w:rPr/>
        <w:t>CT</w:t>
      </w:r>
      <w:r>
        <w:rPr>
          <w:spacing w:val="-15"/>
        </w:rPr>
        <w:t> </w:t>
      </w:r>
      <w:r>
        <w:rPr/>
        <w:t>scans.</w:t>
      </w:r>
    </w:p>
    <w:p>
      <w:pPr>
        <w:spacing w:after="0" w:line="249" w:lineRule="auto"/>
        <w:sectPr>
          <w:type w:val="continuous"/>
          <w:pgSz w:w="16840" w:h="11910" w:orient="landscape"/>
          <w:pgMar w:top="1100" w:bottom="280" w:left="0" w:right="0"/>
          <w:cols w:num="3" w:equalWidth="0">
            <w:col w:w="5530" w:space="40"/>
            <w:col w:w="5249" w:space="39"/>
            <w:col w:w="5982"/>
          </w:cols>
        </w:sectPr>
      </w:pPr>
    </w:p>
    <w:p>
      <w:pPr>
        <w:pStyle w:val="BodyText"/>
        <w:spacing w:before="10"/>
        <w:rPr>
          <w:sz w:val="18"/>
        </w:rPr>
      </w:pPr>
    </w:p>
    <w:p>
      <w:pPr>
        <w:tabs>
          <w:tab w:pos="10886" w:val="left" w:leader="none"/>
          <w:tab w:pos="11199" w:val="left" w:leader="none"/>
          <w:tab w:pos="15849"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4552"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ffffff" stroked="false">
              <v:path arrowok="t"/>
              <v:fill typ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457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15</w:t>
      </w:r>
    </w:p>
    <w:p>
      <w:pPr>
        <w:spacing w:after="0"/>
        <w:jc w:val="left"/>
        <w:rPr>
          <w:sz w:val="20"/>
        </w:rPr>
        <w:sectPr>
          <w:type w:val="continuous"/>
          <w:pgSz w:w="16840" w:h="11910" w:orient="landscape"/>
          <w:pgMar w:top="1100" w:bottom="280" w:left="0" w:right="0"/>
        </w:sectPr>
      </w:pPr>
    </w:p>
    <w:p>
      <w:pPr>
        <w:tabs>
          <w:tab w:pos="9621" w:val="left" w:leader="none"/>
          <w:tab w:pos="14432" w:val="left" w:leader="none"/>
        </w:tabs>
        <w:spacing w:line="240" w:lineRule="auto"/>
        <w:ind w:left="0" w:right="-58" w:firstLine="0"/>
        <w:rPr>
          <w:sz w:val="20"/>
        </w:rPr>
      </w:pPr>
      <w:r>
        <w:rPr>
          <w:sz w:val="20"/>
        </w:rPr>
        <w:pict>
          <v:group style="width:360.85pt;height:87.45pt;mso-position-horizontal-relative:char;mso-position-vertical-relative:line" coordorigin="0,0" coordsize="7217,1749">
            <v:line style="position:absolute" from="4465,307" to="4653,495" stroked="true" strokeweight=".25pt" strokecolor="#bbbcbb">
              <v:stroke dashstyle="solid"/>
            </v:line>
            <v:line style="position:absolute" from="4245,197" to="4763,715" stroked="true" strokeweight=".25pt" strokecolor="#bbbcbb">
              <v:stroke dashstyle="solid"/>
            </v:line>
            <v:line style="position:absolute" from="4104,167" to="4793,856" stroked="true" strokeweight=".25pt" strokecolor="#bbbcbb">
              <v:stroke dashstyle="solid"/>
            </v:line>
            <v:line style="position:absolute" from="3988,161" to="4799,972" stroked="true" strokeweight=".25pt" strokecolor="#bbbcbb">
              <v:stroke dashstyle="solid"/>
            </v:line>
            <v:line style="position:absolute" from="3887,170" to="4790,1073" stroked="true" strokeweight=".25pt" strokecolor="#bbbcbb">
              <v:stroke dashstyle="solid"/>
            </v:line>
            <v:line style="position:absolute" from="3795,189" to="4771,1165" stroked="true" strokeweight=".25pt" strokecolor="#bbbcbb">
              <v:stroke dashstyle="solid"/>
            </v:line>
            <v:line style="position:absolute" from="3712,216" to="4744,1248" stroked="true" strokeweight=".25pt" strokecolor="#bbbcbb">
              <v:stroke dashstyle="solid"/>
            </v:line>
            <v:line style="position:absolute" from="3637,251" to="4709,1323" stroked="true" strokeweight=".25pt" strokecolor="#bbbcbb">
              <v:stroke dashstyle="solid"/>
            </v:line>
            <v:line style="position:absolute" from="3568,293" to="4667,1392" stroked="true" strokeweight=".25pt" strokecolor="#bbbcbb">
              <v:stroke dashstyle="solid"/>
            </v:line>
            <v:line style="position:absolute" from="3505,340" to="4620,1455" stroked="true" strokeweight=".25pt" strokecolor="#bbbcbb">
              <v:stroke dashstyle="solid"/>
            </v:line>
            <v:line style="position:absolute" from="3447,392" to="4568,1513" stroked="true" strokeweight=".25pt" strokecolor="#bbbcbb">
              <v:stroke dashstyle="solid"/>
            </v:line>
            <v:line style="position:absolute" from="3394,450" to="4510,1566" stroked="true" strokeweight=".25pt" strokecolor="#bbbcbb">
              <v:stroke dashstyle="solid"/>
            </v:line>
            <v:line style="position:absolute" from="3347,513" to="4447,1613" stroked="true" strokeweight=".25pt" strokecolor="#bbbcbb">
              <v:stroke dashstyle="solid"/>
            </v:line>
            <v:line style="position:absolute" from="3306,582" to="4378,1654" stroked="true" strokeweight=".25pt" strokecolor="#bbbcbb">
              <v:stroke dashstyle="solid"/>
            </v:line>
            <v:line style="position:absolute" from="3270,657" to="4303,1690" stroked="true" strokeweight=".25pt" strokecolor="#bbbcbb">
              <v:stroke dashstyle="solid"/>
            </v:line>
            <v:line style="position:absolute" from="3242,739" to="4221,1718" stroked="true" strokeweight=".25pt" strokecolor="#bbbcbb">
              <v:stroke dashstyle="solid"/>
            </v:line>
            <v:line style="position:absolute" from="3223,830" to="4130,1737" stroked="true" strokeweight=".25pt" strokecolor="#bbbcbb">
              <v:stroke dashstyle="solid"/>
            </v:line>
            <v:line style="position:absolute" from="3214,931" to="4029,1746" stroked="true" strokeweight=".25pt" strokecolor="#bbbcbb">
              <v:stroke dashstyle="solid"/>
            </v:line>
            <v:line style="position:absolute" from="3219,1047" to="3913,1741" stroked="true" strokeweight=".25pt" strokecolor="#bbbcbb">
              <v:stroke dashstyle="solid"/>
            </v:line>
            <v:line style="position:absolute" from="3248,1186" to="3774,1712" stroked="true" strokeweight=".25pt" strokecolor="#bbbcbb">
              <v:stroke dashstyle="solid"/>
            </v:line>
            <v:line style="position:absolute" from="3350,1399" to="3561,1610" stroked="true" strokeweight=".25pt" strokecolor="#bbbcbb">
              <v:stroke dashstyle="solid"/>
            </v:line>
            <v:rect style="position:absolute;left:2405;top:0;width:2406;height:851" filled="true" fillcolor="#c3acc4" stroked="false">
              <v:fill type="solid"/>
            </v:rect>
            <v:shape style="position:absolute;left:4810;top:0;width:2406;height:851" type="#_x0000_t202" filled="true" fillcolor="#d4d896"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0;width:2406;height:851" type="#_x0000_t202" filled="false"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w10:wrap type="none"/>
            </v:shape>
            <v:shape style="position:absolute;left:0;top:0;width:2406;height:851" type="#_x0000_t202" filled="true" fillcolor="#bba1bc"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v:fill type="solid"/>
              <w10:wrap type="none"/>
            </v:shape>
          </v:group>
        </w:pict>
      </w:r>
      <w:r>
        <w:rPr>
          <w:sz w:val="20"/>
        </w:rPr>
      </w:r>
      <w:r>
        <w:rPr>
          <w:sz w:val="20"/>
        </w:rPr>
        <w:tab/>
      </w:r>
      <w:r>
        <w:rPr>
          <w:position w:val="90"/>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position w:val="90"/>
          <w:sz w:val="20"/>
        </w:rPr>
      </w:r>
      <w:r>
        <w:rPr>
          <w:position w:val="90"/>
          <w:sz w:val="20"/>
        </w:rPr>
        <w:tab/>
      </w:r>
      <w:r>
        <w:rPr>
          <w:position w:val="90"/>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position w:val="90"/>
          <w:sz w:val="20"/>
        </w:rPr>
      </w:r>
    </w:p>
    <w:p>
      <w:pPr>
        <w:pStyle w:val="BodyText"/>
        <w:spacing w:before="6"/>
        <w:rPr>
          <w:b/>
          <w:sz w:val="20"/>
        </w:rPr>
      </w:pPr>
    </w:p>
    <w:p>
      <w:pPr>
        <w:spacing w:after="0"/>
        <w:rPr>
          <w:sz w:val="20"/>
        </w:rPr>
        <w:sectPr>
          <w:footerReference w:type="default" r:id="rId65"/>
          <w:pgSz w:w="16840" w:h="11910" w:orient="landscape"/>
          <w:pgMar w:footer="0" w:header="0" w:top="0" w:bottom="0" w:left="0" w:right="0"/>
        </w:sectPr>
      </w:pPr>
    </w:p>
    <w:p>
      <w:pPr>
        <w:pStyle w:val="BodyText"/>
        <w:spacing w:line="249" w:lineRule="auto" w:before="107"/>
        <w:ind w:left="765" w:right="419"/>
      </w:pPr>
      <w:r>
        <w:rPr/>
        <w:pict>
          <v:shape style="position:absolute;margin-left:601.348999pt;margin-top:-101.320229pt;width:120.3pt;height:42.55pt;mso-position-horizontal-relative:page;mso-position-vertical-relative:paragraph;z-index:4888"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101.320229pt;width:120.3pt;height:42.55pt;mso-position-horizontal-relative:page;mso-position-vertical-relative:paragraph;z-index:491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t>Initially planned for metropolitan hospitals, with subsequent roll out to country hospitals and</w:t>
      </w:r>
      <w:r>
        <w:rPr>
          <w:spacing w:val="-23"/>
        </w:rPr>
        <w:t> </w:t>
      </w:r>
      <w:r>
        <w:rPr/>
        <w:t>private</w:t>
      </w:r>
      <w:r>
        <w:rPr>
          <w:spacing w:val="-24"/>
        </w:rPr>
        <w:t> </w:t>
      </w:r>
      <w:r>
        <w:rPr/>
        <w:t>facilities,</w:t>
      </w:r>
      <w:r>
        <w:rPr>
          <w:spacing w:val="-23"/>
        </w:rPr>
        <w:t> </w:t>
      </w:r>
      <w:r>
        <w:rPr/>
        <w:t>the</w:t>
      </w:r>
      <w:r>
        <w:rPr>
          <w:spacing w:val="-23"/>
        </w:rPr>
        <w:t> </w:t>
      </w:r>
      <w:r>
        <w:rPr/>
        <w:t>new</w:t>
      </w:r>
      <w:r>
        <w:rPr>
          <w:spacing w:val="-23"/>
        </w:rPr>
        <w:t> </w:t>
      </w:r>
      <w:r>
        <w:rPr/>
        <w:t>system</w:t>
      </w:r>
      <w:r>
        <w:rPr>
          <w:spacing w:val="-23"/>
        </w:rPr>
        <w:t> </w:t>
      </w:r>
      <w:r>
        <w:rPr/>
        <w:t>will</w:t>
      </w:r>
      <w:r>
        <w:rPr>
          <w:spacing w:val="-23"/>
        </w:rPr>
        <w:t> </w:t>
      </w:r>
      <w:r>
        <w:rPr>
          <w:spacing w:val="-4"/>
        </w:rPr>
        <w:t>allow</w:t>
      </w:r>
    </w:p>
    <w:p>
      <w:pPr>
        <w:pStyle w:val="BodyText"/>
        <w:spacing w:line="249" w:lineRule="auto" w:before="2"/>
        <w:ind w:left="765" w:right="205"/>
      </w:pPr>
      <w:r>
        <w:rPr/>
        <w:t>clinicians</w:t>
      </w:r>
      <w:r>
        <w:rPr>
          <w:spacing w:val="-21"/>
        </w:rPr>
        <w:t> </w:t>
      </w:r>
      <w:r>
        <w:rPr/>
        <w:t>to</w:t>
      </w:r>
      <w:r>
        <w:rPr>
          <w:spacing w:val="-20"/>
        </w:rPr>
        <w:t> </w:t>
      </w:r>
      <w:r>
        <w:rPr/>
        <w:t>access</w:t>
      </w:r>
      <w:r>
        <w:rPr>
          <w:spacing w:val="-21"/>
        </w:rPr>
        <w:t> </w:t>
      </w:r>
      <w:r>
        <w:rPr/>
        <w:t>multiple</w:t>
      </w:r>
      <w:r>
        <w:rPr>
          <w:spacing w:val="-20"/>
        </w:rPr>
        <w:t> </w:t>
      </w:r>
      <w:r>
        <w:rPr/>
        <w:t>image</w:t>
      </w:r>
      <w:r>
        <w:rPr>
          <w:spacing w:val="-21"/>
        </w:rPr>
        <w:t> </w:t>
      </w:r>
      <w:r>
        <w:rPr/>
        <w:t>types</w:t>
      </w:r>
      <w:r>
        <w:rPr>
          <w:spacing w:val="-20"/>
        </w:rPr>
        <w:t> </w:t>
      </w:r>
      <w:r>
        <w:rPr/>
        <w:t>for</w:t>
      </w:r>
      <w:r>
        <w:rPr>
          <w:spacing w:val="-20"/>
        </w:rPr>
        <w:t> </w:t>
      </w:r>
      <w:r>
        <w:rPr>
          <w:spacing w:val="-4"/>
        </w:rPr>
        <w:t>their </w:t>
      </w:r>
      <w:r>
        <w:rPr/>
        <w:t>patients through one system, conduct analysis using</w:t>
      </w:r>
      <w:r>
        <w:rPr>
          <w:spacing w:val="-11"/>
        </w:rPr>
        <w:t> </w:t>
      </w:r>
      <w:r>
        <w:rPr/>
        <w:t>various</w:t>
      </w:r>
      <w:r>
        <w:rPr>
          <w:spacing w:val="-10"/>
        </w:rPr>
        <w:t> </w:t>
      </w:r>
      <w:r>
        <w:rPr/>
        <w:t>tools,</w:t>
      </w:r>
      <w:r>
        <w:rPr>
          <w:spacing w:val="-10"/>
        </w:rPr>
        <w:t> </w:t>
      </w:r>
      <w:r>
        <w:rPr/>
        <w:t>and</w:t>
      </w:r>
      <w:r>
        <w:rPr>
          <w:spacing w:val="-10"/>
        </w:rPr>
        <w:t> </w:t>
      </w:r>
      <w:r>
        <w:rPr/>
        <w:t>make</w:t>
      </w:r>
      <w:r>
        <w:rPr>
          <w:spacing w:val="-11"/>
        </w:rPr>
        <w:t> </w:t>
      </w:r>
      <w:r>
        <w:rPr/>
        <w:t>appointments.</w:t>
      </w:r>
    </w:p>
    <w:p>
      <w:pPr>
        <w:pStyle w:val="BodyText"/>
        <w:spacing w:before="2"/>
        <w:rPr>
          <w:sz w:val="23"/>
        </w:rPr>
      </w:pPr>
    </w:p>
    <w:p>
      <w:pPr>
        <w:pStyle w:val="BodyText"/>
        <w:spacing w:line="249" w:lineRule="auto" w:before="1"/>
        <w:ind w:left="765" w:right="149"/>
      </w:pPr>
      <w:r>
        <w:rPr/>
        <w:t>With an estimated value of $83 million, the purchase of this new system is critical to the delivery</w:t>
      </w:r>
      <w:r>
        <w:rPr>
          <w:spacing w:val="-33"/>
        </w:rPr>
        <w:t> </w:t>
      </w:r>
      <w:r>
        <w:rPr/>
        <w:t>of</w:t>
      </w:r>
      <w:r>
        <w:rPr>
          <w:spacing w:val="-32"/>
        </w:rPr>
        <w:t> </w:t>
      </w:r>
      <w:r>
        <w:rPr/>
        <w:t>health</w:t>
      </w:r>
      <w:r>
        <w:rPr>
          <w:spacing w:val="-32"/>
        </w:rPr>
        <w:t> </w:t>
      </w:r>
      <w:r>
        <w:rPr/>
        <w:t>services</w:t>
      </w:r>
      <w:r>
        <w:rPr>
          <w:spacing w:val="-32"/>
        </w:rPr>
        <w:t> </w:t>
      </w:r>
      <w:r>
        <w:rPr/>
        <w:t>to</w:t>
      </w:r>
      <w:r>
        <w:rPr>
          <w:spacing w:val="-32"/>
        </w:rPr>
        <w:t> </w:t>
      </w:r>
      <w:r>
        <w:rPr/>
        <w:t>Western</w:t>
      </w:r>
      <w:r>
        <w:rPr>
          <w:spacing w:val="-32"/>
        </w:rPr>
        <w:t> </w:t>
      </w:r>
      <w:r>
        <w:rPr>
          <w:spacing w:val="-2"/>
        </w:rPr>
        <w:t>Australians. </w:t>
      </w:r>
      <w:r>
        <w:rPr/>
        <w:t>Staff from the Department are facilitating and assisting</w:t>
      </w:r>
      <w:r>
        <w:rPr>
          <w:spacing w:val="-11"/>
        </w:rPr>
        <w:t> </w:t>
      </w:r>
      <w:r>
        <w:rPr/>
        <w:t>with</w:t>
      </w:r>
      <w:r>
        <w:rPr>
          <w:spacing w:val="-11"/>
        </w:rPr>
        <w:t> </w:t>
      </w:r>
      <w:r>
        <w:rPr/>
        <w:t>the</w:t>
      </w:r>
      <w:r>
        <w:rPr>
          <w:spacing w:val="-11"/>
        </w:rPr>
        <w:t> </w:t>
      </w:r>
      <w:r>
        <w:rPr/>
        <w:t>procurement</w:t>
      </w:r>
      <w:r>
        <w:rPr>
          <w:spacing w:val="-11"/>
        </w:rPr>
        <w:t> </w:t>
      </w:r>
      <w:r>
        <w:rPr/>
        <w:t>process,</w:t>
      </w:r>
      <w:r>
        <w:rPr>
          <w:spacing w:val="-11"/>
        </w:rPr>
        <w:t> </w:t>
      </w:r>
      <w:r>
        <w:rPr/>
        <w:t>which</w:t>
      </w:r>
    </w:p>
    <w:p>
      <w:pPr>
        <w:pStyle w:val="BodyText"/>
        <w:spacing w:line="249" w:lineRule="auto" w:before="4"/>
        <w:ind w:left="765" w:right="266"/>
      </w:pPr>
      <w:r>
        <w:rPr/>
        <w:t>is</w:t>
      </w:r>
      <w:r>
        <w:rPr>
          <w:spacing w:val="-19"/>
        </w:rPr>
        <w:t> </w:t>
      </w:r>
      <w:r>
        <w:rPr/>
        <w:t>currently</w:t>
      </w:r>
      <w:r>
        <w:rPr>
          <w:spacing w:val="-20"/>
        </w:rPr>
        <w:t> </w:t>
      </w:r>
      <w:r>
        <w:rPr/>
        <w:t>under</w:t>
      </w:r>
      <w:r>
        <w:rPr>
          <w:spacing w:val="-19"/>
        </w:rPr>
        <w:t> </w:t>
      </w:r>
      <w:r>
        <w:rPr/>
        <w:t>evaluation</w:t>
      </w:r>
      <w:r>
        <w:rPr>
          <w:spacing w:val="-19"/>
        </w:rPr>
        <w:t> </w:t>
      </w:r>
      <w:r>
        <w:rPr/>
        <w:t>and</w:t>
      </w:r>
      <w:r>
        <w:rPr>
          <w:spacing w:val="-19"/>
        </w:rPr>
        <w:t> </w:t>
      </w:r>
      <w:r>
        <w:rPr/>
        <w:t>expected</w:t>
      </w:r>
      <w:r>
        <w:rPr>
          <w:spacing w:val="-19"/>
        </w:rPr>
        <w:t> </w:t>
      </w:r>
      <w:r>
        <w:rPr/>
        <w:t>to</w:t>
      </w:r>
      <w:r>
        <w:rPr>
          <w:spacing w:val="-19"/>
        </w:rPr>
        <w:t> </w:t>
      </w:r>
      <w:r>
        <w:rPr>
          <w:spacing w:val="-9"/>
        </w:rPr>
        <w:t>be </w:t>
      </w:r>
      <w:r>
        <w:rPr/>
        <w:t>implemented by October</w:t>
      </w:r>
      <w:r>
        <w:rPr>
          <w:spacing w:val="-5"/>
        </w:rPr>
        <w:t> </w:t>
      </w:r>
      <w:r>
        <w:rPr/>
        <w:t>2019.</w:t>
      </w:r>
    </w:p>
    <w:p>
      <w:pPr>
        <w:pStyle w:val="BodyText"/>
        <w:spacing w:before="1"/>
        <w:rPr>
          <w:sz w:val="23"/>
        </w:rPr>
      </w:pPr>
    </w:p>
    <w:p>
      <w:pPr>
        <w:pStyle w:val="BodyText"/>
        <w:spacing w:line="249" w:lineRule="auto"/>
        <w:ind w:left="765" w:right="-8"/>
      </w:pPr>
      <w:r>
        <w:rPr/>
        <w:t>The</w:t>
      </w:r>
      <w:r>
        <w:rPr>
          <w:spacing w:val="-27"/>
        </w:rPr>
        <w:t> </w:t>
      </w:r>
      <w:r>
        <w:rPr/>
        <w:t>Department</w:t>
      </w:r>
      <w:r>
        <w:rPr>
          <w:spacing w:val="-26"/>
        </w:rPr>
        <w:t> </w:t>
      </w:r>
      <w:r>
        <w:rPr/>
        <w:t>of</w:t>
      </w:r>
      <w:r>
        <w:rPr>
          <w:spacing w:val="-26"/>
        </w:rPr>
        <w:t> </w:t>
      </w:r>
      <w:r>
        <w:rPr/>
        <w:t>Health</w:t>
      </w:r>
      <w:r>
        <w:rPr>
          <w:spacing w:val="-26"/>
        </w:rPr>
        <w:t> </w:t>
      </w:r>
      <w:r>
        <w:rPr/>
        <w:t>has</w:t>
      </w:r>
      <w:r>
        <w:rPr>
          <w:spacing w:val="-26"/>
        </w:rPr>
        <w:t> </w:t>
      </w:r>
      <w:r>
        <w:rPr/>
        <w:t>been</w:t>
      </w:r>
      <w:r>
        <w:rPr>
          <w:spacing w:val="-26"/>
        </w:rPr>
        <w:t> </w:t>
      </w:r>
      <w:r>
        <w:rPr>
          <w:spacing w:val="-2"/>
        </w:rPr>
        <w:t>complimentary </w:t>
      </w:r>
      <w:r>
        <w:rPr/>
        <w:t>of</w:t>
      </w:r>
      <w:r>
        <w:rPr>
          <w:spacing w:val="-18"/>
        </w:rPr>
        <w:t> </w:t>
      </w:r>
      <w:r>
        <w:rPr/>
        <w:t>the</w:t>
      </w:r>
      <w:r>
        <w:rPr>
          <w:spacing w:val="-18"/>
        </w:rPr>
        <w:t> </w:t>
      </w:r>
      <w:r>
        <w:rPr/>
        <w:t>valuable</w:t>
      </w:r>
      <w:r>
        <w:rPr>
          <w:spacing w:val="-18"/>
        </w:rPr>
        <w:t> </w:t>
      </w:r>
      <w:r>
        <w:rPr/>
        <w:t>advice</w:t>
      </w:r>
      <w:r>
        <w:rPr>
          <w:spacing w:val="-18"/>
        </w:rPr>
        <w:t> </w:t>
      </w:r>
      <w:r>
        <w:rPr/>
        <w:t>and</w:t>
      </w:r>
      <w:r>
        <w:rPr>
          <w:spacing w:val="-18"/>
        </w:rPr>
        <w:t> </w:t>
      </w:r>
      <w:r>
        <w:rPr/>
        <w:t>assistance</w:t>
      </w:r>
      <w:r>
        <w:rPr>
          <w:spacing w:val="-17"/>
        </w:rPr>
        <w:t> </w:t>
      </w:r>
      <w:r>
        <w:rPr/>
        <w:t>provided</w:t>
      </w:r>
      <w:r>
        <w:rPr>
          <w:spacing w:val="-18"/>
        </w:rPr>
        <w:t> </w:t>
      </w:r>
      <w:r>
        <w:rPr/>
        <w:t>by Government</w:t>
      </w:r>
      <w:r>
        <w:rPr>
          <w:spacing w:val="-26"/>
        </w:rPr>
        <w:t> </w:t>
      </w:r>
      <w:r>
        <w:rPr/>
        <w:t>Procurement</w:t>
      </w:r>
      <w:r>
        <w:rPr>
          <w:spacing w:val="-25"/>
        </w:rPr>
        <w:t> </w:t>
      </w:r>
      <w:r>
        <w:rPr/>
        <w:t>throughout</w:t>
      </w:r>
      <w:r>
        <w:rPr>
          <w:spacing w:val="-25"/>
        </w:rPr>
        <w:t> </w:t>
      </w:r>
      <w:r>
        <w:rPr/>
        <w:t>this</w:t>
      </w:r>
      <w:r>
        <w:rPr>
          <w:spacing w:val="-26"/>
        </w:rPr>
        <w:t> </w:t>
      </w:r>
      <w:r>
        <w:rPr>
          <w:spacing w:val="-4"/>
        </w:rPr>
        <w:t>process.</w:t>
      </w:r>
    </w:p>
    <w:p>
      <w:pPr>
        <w:pStyle w:val="BodyText"/>
        <w:spacing w:before="2"/>
        <w:rPr>
          <w:sz w:val="23"/>
        </w:rPr>
      </w:pPr>
    </w:p>
    <w:p>
      <w:pPr>
        <w:pStyle w:val="BodyText"/>
        <w:spacing w:line="249" w:lineRule="auto" w:before="1"/>
        <w:ind w:left="765" w:right="-1"/>
      </w:pPr>
      <w:r>
        <w:rPr>
          <w:b/>
        </w:rPr>
        <w:t>Government</w:t>
      </w:r>
      <w:r>
        <w:rPr>
          <w:b/>
          <w:spacing w:val="-11"/>
        </w:rPr>
        <w:t> </w:t>
      </w:r>
      <w:r>
        <w:rPr>
          <w:b/>
        </w:rPr>
        <w:t>Procurement</w:t>
      </w:r>
      <w:r>
        <w:rPr>
          <w:b/>
          <w:spacing w:val="-11"/>
        </w:rPr>
        <w:t> </w:t>
      </w:r>
      <w:r>
        <w:rPr/>
        <w:t>is</w:t>
      </w:r>
      <w:r>
        <w:rPr>
          <w:spacing w:val="-10"/>
        </w:rPr>
        <w:t> </w:t>
      </w:r>
      <w:r>
        <w:rPr/>
        <w:t>working</w:t>
      </w:r>
      <w:r>
        <w:rPr>
          <w:spacing w:val="-11"/>
        </w:rPr>
        <w:t> </w:t>
      </w:r>
      <w:r>
        <w:rPr/>
        <w:t>with</w:t>
      </w:r>
      <w:r>
        <w:rPr>
          <w:spacing w:val="-11"/>
        </w:rPr>
        <w:t> </w:t>
      </w:r>
      <w:r>
        <w:rPr/>
        <w:t>Fiona Stanley Hospital to procure the da Vinci Robotic Surgery</w:t>
      </w:r>
      <w:r>
        <w:rPr>
          <w:spacing w:val="-23"/>
        </w:rPr>
        <w:t> </w:t>
      </w:r>
      <w:r>
        <w:rPr/>
        <w:t>System.</w:t>
      </w:r>
      <w:r>
        <w:rPr>
          <w:spacing w:val="-23"/>
        </w:rPr>
        <w:t> </w:t>
      </w:r>
      <w:r>
        <w:rPr/>
        <w:t>This</w:t>
      </w:r>
      <w:r>
        <w:rPr>
          <w:spacing w:val="-23"/>
        </w:rPr>
        <w:t> </w:t>
      </w:r>
      <w:r>
        <w:rPr/>
        <w:t>procurement</w:t>
      </w:r>
      <w:r>
        <w:rPr>
          <w:spacing w:val="-23"/>
        </w:rPr>
        <w:t> </w:t>
      </w:r>
      <w:r>
        <w:rPr/>
        <w:t>aligns</w:t>
      </w:r>
      <w:r>
        <w:rPr>
          <w:spacing w:val="-23"/>
        </w:rPr>
        <w:t> </w:t>
      </w:r>
      <w:r>
        <w:rPr/>
        <w:t>with</w:t>
      </w:r>
      <w:r>
        <w:rPr>
          <w:spacing w:val="-23"/>
        </w:rPr>
        <w:t> </w:t>
      </w:r>
      <w:r>
        <w:rPr/>
        <w:t>key priorities</w:t>
      </w:r>
      <w:r>
        <w:rPr>
          <w:spacing w:val="-27"/>
        </w:rPr>
        <w:t> </w:t>
      </w:r>
      <w:r>
        <w:rPr/>
        <w:t>identified</w:t>
      </w:r>
      <w:r>
        <w:rPr>
          <w:spacing w:val="-27"/>
        </w:rPr>
        <w:t> </w:t>
      </w:r>
      <w:r>
        <w:rPr/>
        <w:t>in</w:t>
      </w:r>
      <w:r>
        <w:rPr>
          <w:spacing w:val="-26"/>
        </w:rPr>
        <w:t> </w:t>
      </w:r>
      <w:r>
        <w:rPr/>
        <w:t>the</w:t>
      </w:r>
      <w:r>
        <w:rPr>
          <w:spacing w:val="-27"/>
        </w:rPr>
        <w:t> </w:t>
      </w:r>
      <w:r>
        <w:rPr/>
        <w:t>South</w:t>
      </w:r>
      <w:r>
        <w:rPr>
          <w:spacing w:val="-27"/>
        </w:rPr>
        <w:t> </w:t>
      </w:r>
      <w:r>
        <w:rPr/>
        <w:t>Metropolitan</w:t>
      </w:r>
      <w:r>
        <w:rPr>
          <w:spacing w:val="-26"/>
        </w:rPr>
        <w:t> </w:t>
      </w:r>
      <w:r>
        <w:rPr>
          <w:spacing w:val="-3"/>
        </w:rPr>
        <w:t>Health </w:t>
      </w:r>
      <w:r>
        <w:rPr/>
        <w:t>Service</w:t>
      </w:r>
      <w:r>
        <w:rPr>
          <w:spacing w:val="-17"/>
        </w:rPr>
        <w:t> </w:t>
      </w:r>
      <w:r>
        <w:rPr/>
        <w:t>Strategic</w:t>
      </w:r>
      <w:r>
        <w:rPr>
          <w:spacing w:val="-17"/>
        </w:rPr>
        <w:t> </w:t>
      </w:r>
      <w:r>
        <w:rPr/>
        <w:t>Plan</w:t>
      </w:r>
      <w:r>
        <w:rPr>
          <w:spacing w:val="-16"/>
        </w:rPr>
        <w:t> </w:t>
      </w:r>
      <w:r>
        <w:rPr/>
        <w:t>2017-2020</w:t>
      </w:r>
      <w:r>
        <w:rPr>
          <w:spacing w:val="-17"/>
        </w:rPr>
        <w:t> </w:t>
      </w:r>
      <w:r>
        <w:rPr/>
        <w:t>and</w:t>
      </w:r>
      <w:r>
        <w:rPr>
          <w:spacing w:val="-17"/>
        </w:rPr>
        <w:t> </w:t>
      </w:r>
      <w:r>
        <w:rPr/>
        <w:t>will</w:t>
      </w:r>
      <w:r>
        <w:rPr>
          <w:spacing w:val="-16"/>
        </w:rPr>
        <w:t> </w:t>
      </w:r>
      <w:r>
        <w:rPr/>
        <w:t>see</w:t>
      </w:r>
      <w:r>
        <w:rPr>
          <w:spacing w:val="-17"/>
        </w:rPr>
        <w:t> </w:t>
      </w:r>
      <w:r>
        <w:rPr/>
        <w:t>the first surgical robot in a Western Australian public hospital.</w:t>
      </w:r>
    </w:p>
    <w:p>
      <w:pPr>
        <w:pStyle w:val="BodyText"/>
        <w:spacing w:before="5"/>
        <w:rPr>
          <w:sz w:val="23"/>
        </w:rPr>
      </w:pPr>
    </w:p>
    <w:p>
      <w:pPr>
        <w:pStyle w:val="BodyText"/>
        <w:spacing w:line="249" w:lineRule="auto"/>
        <w:ind w:left="765" w:right="568"/>
      </w:pPr>
      <w:r>
        <w:rPr/>
        <w:t>The Robotic System uses small incisions to insert</w:t>
      </w:r>
      <w:r>
        <w:rPr>
          <w:spacing w:val="-30"/>
        </w:rPr>
        <w:t> </w:t>
      </w:r>
      <w:r>
        <w:rPr/>
        <w:t>miniaturised</w:t>
      </w:r>
      <w:r>
        <w:rPr>
          <w:spacing w:val="-30"/>
        </w:rPr>
        <w:t> </w:t>
      </w:r>
      <w:r>
        <w:rPr/>
        <w:t>wristed-instruments</w:t>
      </w:r>
      <w:r>
        <w:rPr>
          <w:spacing w:val="-29"/>
        </w:rPr>
        <w:t> </w:t>
      </w:r>
      <w:r>
        <w:rPr/>
        <w:t>and</w:t>
      </w:r>
      <w:r>
        <w:rPr>
          <w:spacing w:val="-30"/>
        </w:rPr>
        <w:t> </w:t>
      </w:r>
      <w:r>
        <w:rPr>
          <w:spacing w:val="-17"/>
        </w:rPr>
        <w:t>a</w:t>
      </w:r>
    </w:p>
    <w:p>
      <w:pPr>
        <w:pStyle w:val="BodyText"/>
        <w:spacing w:line="249" w:lineRule="auto" w:before="2"/>
        <w:ind w:left="765" w:right="60"/>
      </w:pPr>
      <w:r>
        <w:rPr/>
        <w:t>high-definition</w:t>
      </w:r>
      <w:r>
        <w:rPr>
          <w:spacing w:val="-29"/>
        </w:rPr>
        <w:t> </w:t>
      </w:r>
      <w:r>
        <w:rPr/>
        <w:t>camera,</w:t>
      </w:r>
      <w:r>
        <w:rPr>
          <w:spacing w:val="-28"/>
        </w:rPr>
        <w:t> </w:t>
      </w:r>
      <w:r>
        <w:rPr/>
        <w:t>with</w:t>
      </w:r>
      <w:r>
        <w:rPr>
          <w:spacing w:val="-28"/>
        </w:rPr>
        <w:t> </w:t>
      </w:r>
      <w:r>
        <w:rPr/>
        <w:t>the</w:t>
      </w:r>
      <w:r>
        <w:rPr>
          <w:spacing w:val="-28"/>
        </w:rPr>
        <w:t> </w:t>
      </w:r>
      <w:r>
        <w:rPr/>
        <w:t>surgeon</w:t>
      </w:r>
      <w:r>
        <w:rPr>
          <w:spacing w:val="-28"/>
        </w:rPr>
        <w:t> </w:t>
      </w:r>
      <w:r>
        <w:rPr/>
        <w:t>operating from a seated</w:t>
      </w:r>
      <w:r>
        <w:rPr>
          <w:spacing w:val="-5"/>
        </w:rPr>
        <w:t> </w:t>
      </w:r>
      <w:r>
        <w:rPr/>
        <w:t>console.</w:t>
      </w:r>
    </w:p>
    <w:p>
      <w:pPr>
        <w:pStyle w:val="BodyText"/>
        <w:spacing w:line="249" w:lineRule="auto" w:before="107"/>
        <w:ind w:left="385" w:right="130"/>
      </w:pPr>
      <w:r>
        <w:rPr/>
        <w:br w:type="column"/>
      </w:r>
      <w:r>
        <w:rPr/>
        <w:t>Staff</w:t>
      </w:r>
      <w:r>
        <w:rPr>
          <w:spacing w:val="-22"/>
        </w:rPr>
        <w:t> </w:t>
      </w:r>
      <w:r>
        <w:rPr/>
        <w:t>from</w:t>
      </w:r>
      <w:r>
        <w:rPr>
          <w:spacing w:val="-21"/>
        </w:rPr>
        <w:t> </w:t>
      </w:r>
      <w:r>
        <w:rPr/>
        <w:t>the</w:t>
      </w:r>
      <w:r>
        <w:rPr>
          <w:spacing w:val="-21"/>
        </w:rPr>
        <w:t> </w:t>
      </w:r>
      <w:r>
        <w:rPr/>
        <w:t>Department</w:t>
      </w:r>
      <w:r>
        <w:rPr>
          <w:spacing w:val="-21"/>
        </w:rPr>
        <w:t> </w:t>
      </w:r>
      <w:r>
        <w:rPr/>
        <w:t>provided</w:t>
      </w:r>
      <w:r>
        <w:rPr>
          <w:spacing w:val="-22"/>
        </w:rPr>
        <w:t> </w:t>
      </w:r>
      <w:r>
        <w:rPr/>
        <w:t>expert</w:t>
      </w:r>
      <w:r>
        <w:rPr>
          <w:spacing w:val="-21"/>
        </w:rPr>
        <w:t> </w:t>
      </w:r>
      <w:r>
        <w:rPr>
          <w:spacing w:val="-3"/>
        </w:rPr>
        <w:t>advice </w:t>
      </w:r>
      <w:r>
        <w:rPr/>
        <w:t>and facilitated an innovative approach to the procurement</w:t>
      </w:r>
      <w:r>
        <w:rPr>
          <w:spacing w:val="-20"/>
        </w:rPr>
        <w:t> </w:t>
      </w:r>
      <w:r>
        <w:rPr/>
        <w:t>process</w:t>
      </w:r>
      <w:r>
        <w:rPr>
          <w:spacing w:val="-20"/>
        </w:rPr>
        <w:t> </w:t>
      </w:r>
      <w:r>
        <w:rPr/>
        <w:t>that</w:t>
      </w:r>
      <w:r>
        <w:rPr>
          <w:spacing w:val="-20"/>
        </w:rPr>
        <w:t> </w:t>
      </w:r>
      <w:r>
        <w:rPr/>
        <w:t>will</w:t>
      </w:r>
      <w:r>
        <w:rPr>
          <w:spacing w:val="-20"/>
        </w:rPr>
        <w:t> </w:t>
      </w:r>
      <w:r>
        <w:rPr/>
        <w:t>deliver</w:t>
      </w:r>
      <w:r>
        <w:rPr>
          <w:spacing w:val="-19"/>
        </w:rPr>
        <w:t> </w:t>
      </w:r>
      <w:r>
        <w:rPr/>
        <w:t>anticipated savings of half a million</w:t>
      </w:r>
      <w:r>
        <w:rPr>
          <w:spacing w:val="-21"/>
        </w:rPr>
        <w:t> </w:t>
      </w:r>
      <w:r>
        <w:rPr/>
        <w:t>dollars.</w:t>
      </w:r>
    </w:p>
    <w:p>
      <w:pPr>
        <w:pStyle w:val="BodyText"/>
        <w:spacing w:before="3"/>
        <w:rPr>
          <w:sz w:val="23"/>
        </w:rPr>
      </w:pPr>
    </w:p>
    <w:p>
      <w:pPr>
        <w:pStyle w:val="BodyText"/>
        <w:spacing w:line="249" w:lineRule="auto"/>
        <w:ind w:left="385" w:right="123"/>
      </w:pPr>
      <w:r>
        <w:rPr/>
        <w:t>The</w:t>
      </w:r>
      <w:r>
        <w:rPr>
          <w:spacing w:val="-24"/>
        </w:rPr>
        <w:t> </w:t>
      </w:r>
      <w:r>
        <w:rPr/>
        <w:t>da</w:t>
      </w:r>
      <w:r>
        <w:rPr>
          <w:spacing w:val="-23"/>
        </w:rPr>
        <w:t> </w:t>
      </w:r>
      <w:r>
        <w:rPr/>
        <w:t>Vinci</w:t>
      </w:r>
      <w:r>
        <w:rPr>
          <w:spacing w:val="-23"/>
        </w:rPr>
        <w:t> </w:t>
      </w:r>
      <w:r>
        <w:rPr/>
        <w:t>Robotic</w:t>
      </w:r>
      <w:r>
        <w:rPr>
          <w:spacing w:val="-24"/>
        </w:rPr>
        <w:t> </w:t>
      </w:r>
      <w:r>
        <w:rPr/>
        <w:t>Surgery</w:t>
      </w:r>
      <w:r>
        <w:rPr>
          <w:spacing w:val="-23"/>
        </w:rPr>
        <w:t> </w:t>
      </w:r>
      <w:r>
        <w:rPr/>
        <w:t>System</w:t>
      </w:r>
      <w:r>
        <w:rPr>
          <w:spacing w:val="-23"/>
        </w:rPr>
        <w:t> </w:t>
      </w:r>
      <w:r>
        <w:rPr/>
        <w:t>is</w:t>
      </w:r>
      <w:r>
        <w:rPr>
          <w:spacing w:val="-23"/>
        </w:rPr>
        <w:t> </w:t>
      </w:r>
      <w:r>
        <w:rPr/>
        <w:t>expected to</w:t>
      </w:r>
      <w:r>
        <w:rPr>
          <w:spacing w:val="-11"/>
        </w:rPr>
        <w:t> </w:t>
      </w:r>
      <w:r>
        <w:rPr/>
        <w:t>arrive</w:t>
      </w:r>
      <w:r>
        <w:rPr>
          <w:spacing w:val="-11"/>
        </w:rPr>
        <w:t> </w:t>
      </w:r>
      <w:r>
        <w:rPr/>
        <w:t>in</w:t>
      </w:r>
      <w:r>
        <w:rPr>
          <w:spacing w:val="-11"/>
        </w:rPr>
        <w:t> </w:t>
      </w:r>
      <w:r>
        <w:rPr/>
        <w:t>July</w:t>
      </w:r>
      <w:r>
        <w:rPr>
          <w:spacing w:val="-11"/>
        </w:rPr>
        <w:t> </w:t>
      </w:r>
      <w:r>
        <w:rPr/>
        <w:t>2018</w:t>
      </w:r>
      <w:r>
        <w:rPr>
          <w:spacing w:val="-11"/>
        </w:rPr>
        <w:t> </w:t>
      </w:r>
      <w:r>
        <w:rPr/>
        <w:t>and</w:t>
      </w:r>
      <w:r>
        <w:rPr>
          <w:spacing w:val="-11"/>
        </w:rPr>
        <w:t> </w:t>
      </w:r>
      <w:r>
        <w:rPr/>
        <w:t>is</w:t>
      </w:r>
      <w:r>
        <w:rPr>
          <w:spacing w:val="-11"/>
        </w:rPr>
        <w:t> </w:t>
      </w:r>
      <w:r>
        <w:rPr/>
        <w:t>expected</w:t>
      </w:r>
      <w:r>
        <w:rPr>
          <w:spacing w:val="-10"/>
        </w:rPr>
        <w:t> </w:t>
      </w:r>
      <w:r>
        <w:rPr/>
        <w:t>to</w:t>
      </w:r>
      <w:r>
        <w:rPr>
          <w:spacing w:val="-11"/>
        </w:rPr>
        <w:t> </w:t>
      </w:r>
      <w:r>
        <w:rPr/>
        <w:t>perform the first robotic surgery in October</w:t>
      </w:r>
      <w:r>
        <w:rPr>
          <w:spacing w:val="-26"/>
        </w:rPr>
        <w:t> </w:t>
      </w:r>
      <w:r>
        <w:rPr/>
        <w:t>2018.</w:t>
      </w:r>
    </w:p>
    <w:p>
      <w:pPr>
        <w:pStyle w:val="BodyText"/>
        <w:spacing w:before="2"/>
        <w:rPr>
          <w:sz w:val="23"/>
        </w:rPr>
      </w:pPr>
    </w:p>
    <w:p>
      <w:pPr>
        <w:pStyle w:val="BodyText"/>
        <w:spacing w:line="249" w:lineRule="auto"/>
        <w:ind w:left="385" w:right="-7"/>
      </w:pPr>
      <w:r>
        <w:rPr/>
        <w:t>With competency and capability critical to an effective public </w:t>
      </w:r>
      <w:r>
        <w:rPr>
          <w:spacing w:val="-3"/>
        </w:rPr>
        <w:t>sector, </w:t>
      </w:r>
      <w:r>
        <w:rPr/>
        <w:t>Finance collaborated with the</w:t>
      </w:r>
      <w:r>
        <w:rPr>
          <w:spacing w:val="-22"/>
        </w:rPr>
        <w:t> </w:t>
      </w:r>
      <w:r>
        <w:rPr/>
        <w:t>Public</w:t>
      </w:r>
      <w:r>
        <w:rPr>
          <w:spacing w:val="-22"/>
        </w:rPr>
        <w:t> </w:t>
      </w:r>
      <w:r>
        <w:rPr/>
        <w:t>Sector</w:t>
      </w:r>
      <w:r>
        <w:rPr>
          <w:spacing w:val="-22"/>
        </w:rPr>
        <w:t> </w:t>
      </w:r>
      <w:r>
        <w:rPr/>
        <w:t>Commission</w:t>
      </w:r>
      <w:r>
        <w:rPr>
          <w:spacing w:val="-22"/>
        </w:rPr>
        <w:t> </w:t>
      </w:r>
      <w:r>
        <w:rPr/>
        <w:t>on</w:t>
      </w:r>
      <w:r>
        <w:rPr>
          <w:spacing w:val="-22"/>
        </w:rPr>
        <w:t> </w:t>
      </w:r>
      <w:r>
        <w:rPr/>
        <w:t>the</w:t>
      </w:r>
      <w:r>
        <w:rPr>
          <w:spacing w:val="-22"/>
        </w:rPr>
        <w:t> </w:t>
      </w:r>
      <w:r>
        <w:rPr/>
        <w:t>development of a Procurement Competency Matrix and</w:t>
      </w:r>
      <w:r>
        <w:rPr>
          <w:spacing w:val="-40"/>
        </w:rPr>
        <w:t> </w:t>
      </w:r>
      <w:r>
        <w:rPr/>
        <w:t>a</w:t>
      </w:r>
    </w:p>
    <w:p>
      <w:pPr>
        <w:pStyle w:val="BodyText"/>
        <w:spacing w:line="249" w:lineRule="auto" w:before="4"/>
        <w:ind w:left="385" w:right="285"/>
      </w:pPr>
      <w:r>
        <w:rPr/>
        <w:t>Chief</w:t>
      </w:r>
      <w:r>
        <w:rPr>
          <w:spacing w:val="-30"/>
        </w:rPr>
        <w:t> </w:t>
      </w:r>
      <w:r>
        <w:rPr/>
        <w:t>Procurement</w:t>
      </w:r>
      <w:r>
        <w:rPr>
          <w:spacing w:val="-30"/>
        </w:rPr>
        <w:t> </w:t>
      </w:r>
      <w:r>
        <w:rPr>
          <w:spacing w:val="-4"/>
        </w:rPr>
        <w:t>Officer’s</w:t>
      </w:r>
      <w:r>
        <w:rPr>
          <w:spacing w:val="-29"/>
        </w:rPr>
        <w:t> </w:t>
      </w:r>
      <w:r>
        <w:rPr/>
        <w:t>Success</w:t>
      </w:r>
      <w:r>
        <w:rPr>
          <w:spacing w:val="-30"/>
        </w:rPr>
        <w:t> </w:t>
      </w:r>
      <w:r>
        <w:rPr/>
        <w:t>Profile</w:t>
      </w:r>
      <w:r>
        <w:rPr>
          <w:spacing w:val="-30"/>
        </w:rPr>
        <w:t> </w:t>
      </w:r>
      <w:r>
        <w:rPr>
          <w:spacing w:val="-6"/>
        </w:rPr>
        <w:t>and </w:t>
      </w:r>
      <w:r>
        <w:rPr/>
        <w:t>associated measurement</w:t>
      </w:r>
      <w:r>
        <w:rPr>
          <w:spacing w:val="-14"/>
        </w:rPr>
        <w:t> </w:t>
      </w:r>
      <w:r>
        <w:rPr/>
        <w:t>guidelines.</w:t>
      </w:r>
    </w:p>
    <w:p>
      <w:pPr>
        <w:pStyle w:val="BodyText"/>
        <w:spacing w:before="1"/>
        <w:rPr>
          <w:sz w:val="23"/>
        </w:rPr>
      </w:pPr>
    </w:p>
    <w:p>
      <w:pPr>
        <w:pStyle w:val="BodyText"/>
        <w:spacing w:line="249" w:lineRule="auto"/>
        <w:ind w:left="385" w:right="244"/>
      </w:pPr>
      <w:r>
        <w:rPr/>
        <w:t>The Procurement Competency Matrix defines the competencies required by procurement professionals in the Western Australian public </w:t>
      </w:r>
      <w:r>
        <w:rPr>
          <w:spacing w:val="-3"/>
        </w:rPr>
        <w:t>sector. </w:t>
      </w:r>
      <w:r>
        <w:rPr/>
        <w:t>It supports sector-wide strategies for building</w:t>
      </w:r>
      <w:r>
        <w:rPr>
          <w:spacing w:val="-21"/>
        </w:rPr>
        <w:t> </w:t>
      </w:r>
      <w:r>
        <w:rPr/>
        <w:t>consistent</w:t>
      </w:r>
      <w:r>
        <w:rPr>
          <w:spacing w:val="-21"/>
        </w:rPr>
        <w:t> </w:t>
      </w:r>
      <w:r>
        <w:rPr/>
        <w:t>capability</w:t>
      </w:r>
      <w:r>
        <w:rPr>
          <w:spacing w:val="-21"/>
        </w:rPr>
        <w:t> </w:t>
      </w:r>
      <w:r>
        <w:rPr/>
        <w:t>in</w:t>
      </w:r>
      <w:r>
        <w:rPr>
          <w:spacing w:val="-21"/>
        </w:rPr>
        <w:t> </w:t>
      </w:r>
      <w:r>
        <w:rPr/>
        <w:t>the</w:t>
      </w:r>
      <w:r>
        <w:rPr>
          <w:spacing w:val="-21"/>
        </w:rPr>
        <w:t> </w:t>
      </w:r>
      <w:r>
        <w:rPr>
          <w:spacing w:val="-3"/>
        </w:rPr>
        <w:t>procurement</w:t>
      </w:r>
    </w:p>
    <w:p>
      <w:pPr>
        <w:pStyle w:val="BodyText"/>
        <w:spacing w:line="249" w:lineRule="auto" w:before="4"/>
        <w:ind w:left="385" w:right="48"/>
      </w:pPr>
      <w:r>
        <w:rPr/>
        <w:t>workforce</w:t>
      </w:r>
      <w:r>
        <w:rPr>
          <w:spacing w:val="-23"/>
        </w:rPr>
        <w:t> </w:t>
      </w:r>
      <w:r>
        <w:rPr/>
        <w:t>through</w:t>
      </w:r>
      <w:r>
        <w:rPr>
          <w:spacing w:val="-22"/>
        </w:rPr>
        <w:t> </w:t>
      </w:r>
      <w:r>
        <w:rPr/>
        <w:t>common</w:t>
      </w:r>
      <w:r>
        <w:rPr>
          <w:spacing w:val="-23"/>
        </w:rPr>
        <w:t> </w:t>
      </w:r>
      <w:r>
        <w:rPr/>
        <w:t>language</w:t>
      </w:r>
      <w:r>
        <w:rPr>
          <w:spacing w:val="-22"/>
        </w:rPr>
        <w:t> </w:t>
      </w:r>
      <w:r>
        <w:rPr/>
        <w:t>and</w:t>
      </w:r>
      <w:r>
        <w:rPr>
          <w:spacing w:val="-23"/>
        </w:rPr>
        <w:t> </w:t>
      </w:r>
      <w:r>
        <w:rPr/>
        <w:t>uniform expectations.</w:t>
      </w:r>
      <w:r>
        <w:rPr>
          <w:spacing w:val="-19"/>
        </w:rPr>
        <w:t> </w:t>
      </w:r>
      <w:r>
        <w:rPr/>
        <w:t>Agencies</w:t>
      </w:r>
      <w:r>
        <w:rPr>
          <w:spacing w:val="-18"/>
        </w:rPr>
        <w:t> </w:t>
      </w:r>
      <w:r>
        <w:rPr/>
        <w:t>will</w:t>
      </w:r>
      <w:r>
        <w:rPr>
          <w:spacing w:val="-18"/>
        </w:rPr>
        <w:t> </w:t>
      </w:r>
      <w:r>
        <w:rPr/>
        <w:t>also</w:t>
      </w:r>
      <w:r>
        <w:rPr>
          <w:spacing w:val="-18"/>
        </w:rPr>
        <w:t> </w:t>
      </w:r>
      <w:r>
        <w:rPr/>
        <w:t>be</w:t>
      </w:r>
      <w:r>
        <w:rPr>
          <w:spacing w:val="-18"/>
        </w:rPr>
        <w:t> </w:t>
      </w:r>
      <w:r>
        <w:rPr/>
        <w:t>able</w:t>
      </w:r>
      <w:r>
        <w:rPr>
          <w:spacing w:val="-18"/>
        </w:rPr>
        <w:t> </w:t>
      </w:r>
      <w:r>
        <w:rPr/>
        <w:t>to</w:t>
      </w:r>
      <w:r>
        <w:rPr>
          <w:spacing w:val="-18"/>
        </w:rPr>
        <w:t> </w:t>
      </w:r>
      <w:r>
        <w:rPr/>
        <w:t>use</w:t>
      </w:r>
      <w:r>
        <w:rPr>
          <w:spacing w:val="-18"/>
        </w:rPr>
        <w:t> </w:t>
      </w:r>
      <w:r>
        <w:rPr>
          <w:spacing w:val="-6"/>
        </w:rPr>
        <w:t>the </w:t>
      </w:r>
      <w:r>
        <w:rPr/>
        <w:t>matrix to support recruitment and performance management.</w:t>
      </w:r>
    </w:p>
    <w:p>
      <w:pPr>
        <w:pStyle w:val="BodyText"/>
        <w:spacing w:before="3"/>
        <w:rPr>
          <w:sz w:val="23"/>
        </w:rPr>
      </w:pPr>
    </w:p>
    <w:p>
      <w:pPr>
        <w:pStyle w:val="BodyText"/>
        <w:spacing w:line="249" w:lineRule="auto" w:before="1"/>
        <w:ind w:left="385" w:right="277"/>
      </w:pPr>
      <w:r>
        <w:rPr/>
        <w:t>The</w:t>
      </w:r>
      <w:r>
        <w:rPr>
          <w:spacing w:val="-17"/>
        </w:rPr>
        <w:t> </w:t>
      </w:r>
      <w:r>
        <w:rPr/>
        <w:t>Success</w:t>
      </w:r>
      <w:r>
        <w:rPr>
          <w:spacing w:val="-16"/>
        </w:rPr>
        <w:t> </w:t>
      </w:r>
      <w:r>
        <w:rPr/>
        <w:t>Profile</w:t>
      </w:r>
      <w:r>
        <w:rPr>
          <w:spacing w:val="-16"/>
        </w:rPr>
        <w:t> </w:t>
      </w:r>
      <w:r>
        <w:rPr/>
        <w:t>is</w:t>
      </w:r>
      <w:r>
        <w:rPr>
          <w:spacing w:val="-16"/>
        </w:rPr>
        <w:t> </w:t>
      </w:r>
      <w:r>
        <w:rPr/>
        <w:t>a</w:t>
      </w:r>
      <w:r>
        <w:rPr>
          <w:spacing w:val="-16"/>
        </w:rPr>
        <w:t> </w:t>
      </w:r>
      <w:r>
        <w:rPr/>
        <w:t>guide</w:t>
      </w:r>
      <w:r>
        <w:rPr>
          <w:spacing w:val="-16"/>
        </w:rPr>
        <w:t> </w:t>
      </w:r>
      <w:r>
        <w:rPr/>
        <w:t>that</w:t>
      </w:r>
      <w:r>
        <w:rPr>
          <w:spacing w:val="-16"/>
        </w:rPr>
        <w:t> </w:t>
      </w:r>
      <w:r>
        <w:rPr/>
        <w:t>defines</w:t>
      </w:r>
      <w:r>
        <w:rPr>
          <w:spacing w:val="-16"/>
        </w:rPr>
        <w:t> </w:t>
      </w:r>
      <w:r>
        <w:rPr/>
        <w:t>the expectations and accountabilities of a Chief Procurement Officer and provides consistent standards</w:t>
      </w:r>
      <w:r>
        <w:rPr>
          <w:spacing w:val="-34"/>
        </w:rPr>
        <w:t> </w:t>
      </w:r>
      <w:r>
        <w:rPr/>
        <w:t>for</w:t>
      </w:r>
      <w:r>
        <w:rPr>
          <w:spacing w:val="-33"/>
        </w:rPr>
        <w:t> </w:t>
      </w:r>
      <w:r>
        <w:rPr/>
        <w:t>procurement</w:t>
      </w:r>
      <w:r>
        <w:rPr>
          <w:spacing w:val="-34"/>
        </w:rPr>
        <w:t> </w:t>
      </w:r>
      <w:r>
        <w:rPr/>
        <w:t>leadership</w:t>
      </w:r>
      <w:r>
        <w:rPr>
          <w:spacing w:val="-33"/>
        </w:rPr>
        <w:t> </w:t>
      </w:r>
      <w:r>
        <w:rPr/>
        <w:t>positions.</w:t>
      </w:r>
    </w:p>
    <w:p>
      <w:pPr>
        <w:pStyle w:val="BodyText"/>
        <w:spacing w:line="249" w:lineRule="auto" w:before="3"/>
        <w:ind w:left="385" w:right="21"/>
      </w:pPr>
      <w:r>
        <w:rPr/>
        <w:t>It</w:t>
      </w:r>
      <w:r>
        <w:rPr>
          <w:spacing w:val="-15"/>
        </w:rPr>
        <w:t> </w:t>
      </w:r>
      <w:r>
        <w:rPr/>
        <w:t>was</w:t>
      </w:r>
      <w:r>
        <w:rPr>
          <w:spacing w:val="-15"/>
        </w:rPr>
        <w:t> </w:t>
      </w:r>
      <w:r>
        <w:rPr/>
        <w:t>developed</w:t>
      </w:r>
      <w:r>
        <w:rPr>
          <w:spacing w:val="-15"/>
        </w:rPr>
        <w:t> </w:t>
      </w:r>
      <w:r>
        <w:rPr/>
        <w:t>to</w:t>
      </w:r>
      <w:r>
        <w:rPr>
          <w:spacing w:val="-14"/>
        </w:rPr>
        <w:t> </w:t>
      </w:r>
      <w:r>
        <w:rPr/>
        <w:t>address</w:t>
      </w:r>
      <w:r>
        <w:rPr>
          <w:spacing w:val="-15"/>
        </w:rPr>
        <w:t> </w:t>
      </w:r>
      <w:r>
        <w:rPr/>
        <w:t>agency</w:t>
      </w:r>
      <w:r>
        <w:rPr>
          <w:spacing w:val="-15"/>
        </w:rPr>
        <w:t> </w:t>
      </w:r>
      <w:r>
        <w:rPr/>
        <w:t>feedback</w:t>
      </w:r>
      <w:r>
        <w:rPr>
          <w:spacing w:val="-15"/>
        </w:rPr>
        <w:t> </w:t>
      </w:r>
      <w:r>
        <w:rPr>
          <w:spacing w:val="-5"/>
        </w:rPr>
        <w:t>that </w:t>
      </w:r>
      <w:r>
        <w:rPr/>
        <w:t>Chief</w:t>
      </w:r>
      <w:r>
        <w:rPr>
          <w:spacing w:val="-15"/>
        </w:rPr>
        <w:t> </w:t>
      </w:r>
      <w:r>
        <w:rPr/>
        <w:t>Procurement</w:t>
      </w:r>
      <w:r>
        <w:rPr>
          <w:spacing w:val="-15"/>
        </w:rPr>
        <w:t> </w:t>
      </w:r>
      <w:r>
        <w:rPr/>
        <w:t>Officer</w:t>
      </w:r>
      <w:r>
        <w:rPr>
          <w:spacing w:val="-15"/>
        </w:rPr>
        <w:t> </w:t>
      </w:r>
      <w:r>
        <w:rPr/>
        <w:t>roles</w:t>
      </w:r>
      <w:r>
        <w:rPr>
          <w:spacing w:val="-15"/>
        </w:rPr>
        <w:t> </w:t>
      </w:r>
      <w:r>
        <w:rPr/>
        <w:t>in</w:t>
      </w:r>
      <w:r>
        <w:rPr>
          <w:spacing w:val="-15"/>
        </w:rPr>
        <w:t> </w:t>
      </w:r>
      <w:r>
        <w:rPr/>
        <w:t>the</w:t>
      </w:r>
      <w:r>
        <w:rPr>
          <w:spacing w:val="-14"/>
        </w:rPr>
        <w:t> </w:t>
      </w:r>
      <w:r>
        <w:rPr/>
        <w:t>Western</w:t>
      </w:r>
    </w:p>
    <w:p>
      <w:pPr>
        <w:pStyle w:val="BodyText"/>
        <w:spacing w:line="249" w:lineRule="auto" w:before="107"/>
        <w:ind w:left="395" w:right="944"/>
      </w:pPr>
      <w:r>
        <w:rPr/>
        <w:br w:type="column"/>
      </w:r>
      <w:r>
        <w:rPr/>
        <w:t>Australian public sector are ambiguous. The Profile</w:t>
      </w:r>
      <w:r>
        <w:rPr>
          <w:spacing w:val="-18"/>
        </w:rPr>
        <w:t> </w:t>
      </w:r>
      <w:r>
        <w:rPr/>
        <w:t>is</w:t>
      </w:r>
      <w:r>
        <w:rPr>
          <w:spacing w:val="-18"/>
        </w:rPr>
        <w:t> </w:t>
      </w:r>
      <w:r>
        <w:rPr/>
        <w:t>one</w:t>
      </w:r>
      <w:r>
        <w:rPr>
          <w:spacing w:val="-17"/>
        </w:rPr>
        <w:t> </w:t>
      </w:r>
      <w:r>
        <w:rPr/>
        <w:t>of</w:t>
      </w:r>
      <w:r>
        <w:rPr>
          <w:spacing w:val="-18"/>
        </w:rPr>
        <w:t> </w:t>
      </w:r>
      <w:r>
        <w:rPr/>
        <w:t>a</w:t>
      </w:r>
      <w:r>
        <w:rPr>
          <w:spacing w:val="-18"/>
        </w:rPr>
        <w:t> </w:t>
      </w:r>
      <w:r>
        <w:rPr/>
        <w:t>suite</w:t>
      </w:r>
      <w:r>
        <w:rPr>
          <w:spacing w:val="-17"/>
        </w:rPr>
        <w:t> </w:t>
      </w:r>
      <w:r>
        <w:rPr/>
        <w:t>of</w:t>
      </w:r>
      <w:r>
        <w:rPr>
          <w:spacing w:val="-18"/>
        </w:rPr>
        <w:t> </w:t>
      </w:r>
      <w:r>
        <w:rPr/>
        <w:t>success</w:t>
      </w:r>
      <w:r>
        <w:rPr>
          <w:spacing w:val="-18"/>
        </w:rPr>
        <w:t> </w:t>
      </w:r>
      <w:r>
        <w:rPr/>
        <w:t>profiles</w:t>
      </w:r>
      <w:r>
        <w:rPr>
          <w:spacing w:val="-17"/>
        </w:rPr>
        <w:t> </w:t>
      </w:r>
      <w:r>
        <w:rPr/>
        <w:t>for</w:t>
      </w:r>
      <w:r>
        <w:rPr>
          <w:spacing w:val="-18"/>
        </w:rPr>
        <w:t> </w:t>
      </w:r>
      <w:r>
        <w:rPr>
          <w:spacing w:val="-6"/>
        </w:rPr>
        <w:t>key </w:t>
      </w:r>
      <w:r>
        <w:rPr/>
        <w:t>agency</w:t>
      </w:r>
      <w:r>
        <w:rPr>
          <w:spacing w:val="-18"/>
        </w:rPr>
        <w:t> </w:t>
      </w:r>
      <w:r>
        <w:rPr/>
        <w:t>roles</w:t>
      </w:r>
      <w:r>
        <w:rPr>
          <w:spacing w:val="-18"/>
        </w:rPr>
        <w:t> </w:t>
      </w:r>
      <w:r>
        <w:rPr/>
        <w:t>such</w:t>
      </w:r>
      <w:r>
        <w:rPr>
          <w:spacing w:val="-18"/>
        </w:rPr>
        <w:t> </w:t>
      </w:r>
      <w:r>
        <w:rPr/>
        <w:t>as</w:t>
      </w:r>
      <w:r>
        <w:rPr>
          <w:spacing w:val="-18"/>
        </w:rPr>
        <w:t> </w:t>
      </w:r>
      <w:r>
        <w:rPr/>
        <w:t>Chief</w:t>
      </w:r>
      <w:r>
        <w:rPr>
          <w:spacing w:val="-17"/>
        </w:rPr>
        <w:t> </w:t>
      </w:r>
      <w:r>
        <w:rPr/>
        <w:t>Executive</w:t>
      </w:r>
      <w:r>
        <w:rPr>
          <w:spacing w:val="-18"/>
        </w:rPr>
        <w:t> </w:t>
      </w:r>
      <w:r>
        <w:rPr/>
        <w:t>Officers,</w:t>
      </w:r>
    </w:p>
    <w:p>
      <w:pPr>
        <w:pStyle w:val="BodyText"/>
        <w:spacing w:line="249" w:lineRule="auto" w:before="2"/>
        <w:ind w:left="395" w:right="752"/>
      </w:pPr>
      <w:r>
        <w:rPr/>
        <w:t>Chief</w:t>
      </w:r>
      <w:r>
        <w:rPr>
          <w:spacing w:val="-40"/>
        </w:rPr>
        <w:t> </w:t>
      </w:r>
      <w:r>
        <w:rPr/>
        <w:t>Human</w:t>
      </w:r>
      <w:r>
        <w:rPr>
          <w:spacing w:val="-39"/>
        </w:rPr>
        <w:t> </w:t>
      </w:r>
      <w:r>
        <w:rPr/>
        <w:t>Resource</w:t>
      </w:r>
      <w:r>
        <w:rPr>
          <w:spacing w:val="-39"/>
        </w:rPr>
        <w:t> </w:t>
      </w:r>
      <w:r>
        <w:rPr/>
        <w:t>Officers</w:t>
      </w:r>
      <w:r>
        <w:rPr>
          <w:spacing w:val="-39"/>
        </w:rPr>
        <w:t> </w:t>
      </w:r>
      <w:r>
        <w:rPr/>
        <w:t>and</w:t>
      </w:r>
      <w:r>
        <w:rPr>
          <w:spacing w:val="-39"/>
        </w:rPr>
        <w:t> </w:t>
      </w:r>
      <w:r>
        <w:rPr/>
        <w:t>Chief</w:t>
      </w:r>
      <w:r>
        <w:rPr>
          <w:spacing w:val="-39"/>
        </w:rPr>
        <w:t> </w:t>
      </w:r>
      <w:r>
        <w:rPr/>
        <w:t>Financial Officers.</w:t>
      </w:r>
    </w:p>
    <w:p>
      <w:pPr>
        <w:pStyle w:val="BodyText"/>
        <w:spacing w:before="1"/>
        <w:rPr>
          <w:sz w:val="23"/>
        </w:rPr>
      </w:pPr>
    </w:p>
    <w:p>
      <w:pPr>
        <w:pStyle w:val="BodyText"/>
        <w:spacing w:line="249" w:lineRule="auto" w:before="1"/>
        <w:ind w:left="395" w:right="1314"/>
      </w:pPr>
      <w:r>
        <w:rPr/>
        <w:t>Through</w:t>
      </w:r>
      <w:r>
        <w:rPr>
          <w:spacing w:val="-30"/>
        </w:rPr>
        <w:t> </w:t>
      </w:r>
      <w:r>
        <w:rPr/>
        <w:t>the</w:t>
      </w:r>
      <w:r>
        <w:rPr>
          <w:spacing w:val="-30"/>
        </w:rPr>
        <w:t> </w:t>
      </w:r>
      <w:r>
        <w:rPr/>
        <w:t>Success</w:t>
      </w:r>
      <w:r>
        <w:rPr>
          <w:spacing w:val="-30"/>
        </w:rPr>
        <w:t> </w:t>
      </w:r>
      <w:r>
        <w:rPr/>
        <w:t>Profile,</w:t>
      </w:r>
      <w:r>
        <w:rPr>
          <w:spacing w:val="-30"/>
        </w:rPr>
        <w:t> </w:t>
      </w:r>
      <w:r>
        <w:rPr/>
        <w:t>the</w:t>
      </w:r>
      <w:r>
        <w:rPr>
          <w:spacing w:val="-30"/>
        </w:rPr>
        <w:t> </w:t>
      </w:r>
      <w:r>
        <w:rPr/>
        <w:t>Department seeks to elevate the important role Chief Procurement Officers play in</w:t>
      </w:r>
      <w:r>
        <w:rPr>
          <w:spacing w:val="-44"/>
        </w:rPr>
        <w:t> </w:t>
      </w:r>
      <w:r>
        <w:rPr/>
        <w:t>achieving</w:t>
      </w:r>
    </w:p>
    <w:p>
      <w:pPr>
        <w:pStyle w:val="BodyText"/>
        <w:spacing w:before="2"/>
        <w:ind w:left="395"/>
      </w:pPr>
      <w:r>
        <w:rPr/>
        <w:t>value-for-money outcomes for government.</w:t>
      </w:r>
    </w:p>
    <w:p>
      <w:pPr>
        <w:pStyle w:val="BodyText"/>
        <w:spacing w:before="11"/>
        <w:rPr>
          <w:sz w:val="23"/>
        </w:rPr>
      </w:pPr>
    </w:p>
    <w:p>
      <w:pPr>
        <w:pStyle w:val="BodyText"/>
        <w:spacing w:line="249" w:lineRule="auto"/>
        <w:ind w:left="395" w:right="848"/>
      </w:pPr>
      <w:r>
        <w:rPr>
          <w:b/>
        </w:rPr>
        <w:t>Building Management and Works </w:t>
      </w:r>
      <w:r>
        <w:rPr/>
        <w:t>continues to strive</w:t>
      </w:r>
      <w:r>
        <w:rPr>
          <w:spacing w:val="-22"/>
        </w:rPr>
        <w:t> </w:t>
      </w:r>
      <w:r>
        <w:rPr/>
        <w:t>to</w:t>
      </w:r>
      <w:r>
        <w:rPr>
          <w:spacing w:val="-21"/>
        </w:rPr>
        <w:t> </w:t>
      </w:r>
      <w:r>
        <w:rPr/>
        <w:t>achieve</w:t>
      </w:r>
      <w:r>
        <w:rPr>
          <w:spacing w:val="-21"/>
        </w:rPr>
        <w:t> </w:t>
      </w:r>
      <w:r>
        <w:rPr/>
        <w:t>the</w:t>
      </w:r>
      <w:r>
        <w:rPr>
          <w:spacing w:val="-22"/>
        </w:rPr>
        <w:t> </w:t>
      </w:r>
      <w:r>
        <w:rPr/>
        <w:t>highest</w:t>
      </w:r>
      <w:r>
        <w:rPr>
          <w:spacing w:val="-21"/>
        </w:rPr>
        <w:t> </w:t>
      </w:r>
      <w:r>
        <w:rPr/>
        <w:t>standards</w:t>
      </w:r>
      <w:r>
        <w:rPr>
          <w:spacing w:val="-21"/>
        </w:rPr>
        <w:t> </w:t>
      </w:r>
      <w:r>
        <w:rPr/>
        <w:t>and</w:t>
      </w:r>
      <w:r>
        <w:rPr>
          <w:spacing w:val="-21"/>
        </w:rPr>
        <w:t> </w:t>
      </w:r>
      <w:r>
        <w:rPr>
          <w:spacing w:val="-3"/>
        </w:rPr>
        <w:t>quality </w:t>
      </w:r>
      <w:r>
        <w:rPr/>
        <w:t>of</w:t>
      </w:r>
      <w:r>
        <w:rPr>
          <w:spacing w:val="-26"/>
        </w:rPr>
        <w:t> </w:t>
      </w:r>
      <w:r>
        <w:rPr/>
        <w:t>work</w:t>
      </w:r>
      <w:r>
        <w:rPr>
          <w:spacing w:val="-25"/>
        </w:rPr>
        <w:t> </w:t>
      </w:r>
      <w:r>
        <w:rPr/>
        <w:t>on</w:t>
      </w:r>
      <w:r>
        <w:rPr>
          <w:spacing w:val="-26"/>
        </w:rPr>
        <w:t> </w:t>
      </w:r>
      <w:r>
        <w:rPr/>
        <w:t>government’s</w:t>
      </w:r>
      <w:r>
        <w:rPr>
          <w:spacing w:val="-25"/>
        </w:rPr>
        <w:t> </w:t>
      </w:r>
      <w:r>
        <w:rPr/>
        <w:t>non-residential</w:t>
      </w:r>
      <w:r>
        <w:rPr>
          <w:spacing w:val="-26"/>
        </w:rPr>
        <w:t> </w:t>
      </w:r>
      <w:r>
        <w:rPr/>
        <w:t>buildings and ensure compliance with government policy objectives. </w:t>
      </w:r>
      <w:r>
        <w:rPr>
          <w:spacing w:val="-13"/>
        </w:rPr>
        <w:t>To </w:t>
      </w:r>
      <w:r>
        <w:rPr/>
        <w:t>achieve this and better manage supplier performance, Building</w:t>
      </w:r>
      <w:r>
        <w:rPr>
          <w:spacing w:val="-33"/>
        </w:rPr>
        <w:t> </w:t>
      </w:r>
      <w:r>
        <w:rPr/>
        <w:t>Management</w:t>
      </w:r>
    </w:p>
    <w:p>
      <w:pPr>
        <w:pStyle w:val="BodyText"/>
        <w:spacing w:line="249" w:lineRule="auto" w:before="5"/>
        <w:ind w:left="395" w:right="785"/>
      </w:pPr>
      <w:r>
        <w:rPr/>
        <w:t>and Works recently upgraded and expanded the Contractor</w:t>
      </w:r>
      <w:r>
        <w:rPr>
          <w:spacing w:val="-30"/>
        </w:rPr>
        <w:t> </w:t>
      </w:r>
      <w:r>
        <w:rPr/>
        <w:t>Sanctions</w:t>
      </w:r>
      <w:r>
        <w:rPr>
          <w:spacing w:val="-29"/>
        </w:rPr>
        <w:t> </w:t>
      </w:r>
      <w:r>
        <w:rPr/>
        <w:t>Scheme</w:t>
      </w:r>
      <w:r>
        <w:rPr>
          <w:spacing w:val="-29"/>
        </w:rPr>
        <w:t> </w:t>
      </w:r>
      <w:r>
        <w:rPr/>
        <w:t>which</w:t>
      </w:r>
      <w:r>
        <w:rPr>
          <w:spacing w:val="-29"/>
        </w:rPr>
        <w:t> </w:t>
      </w:r>
      <w:r>
        <w:rPr/>
        <w:t>was</w:t>
      </w:r>
      <w:r>
        <w:rPr>
          <w:spacing w:val="-29"/>
        </w:rPr>
        <w:t> </w:t>
      </w:r>
      <w:r>
        <w:rPr/>
        <w:t>originally introduced in October 2015 and rebadged as the Supplier Demerit</w:t>
      </w:r>
      <w:r>
        <w:rPr>
          <w:spacing w:val="-5"/>
        </w:rPr>
        <w:t> </w:t>
      </w:r>
      <w:r>
        <w:rPr/>
        <w:t>Scheme.</w:t>
      </w:r>
    </w:p>
    <w:p>
      <w:pPr>
        <w:pStyle w:val="BodyText"/>
        <w:spacing w:before="3"/>
        <w:rPr>
          <w:sz w:val="23"/>
        </w:rPr>
      </w:pPr>
    </w:p>
    <w:p>
      <w:pPr>
        <w:pStyle w:val="BodyText"/>
        <w:spacing w:line="249" w:lineRule="auto"/>
        <w:ind w:left="395" w:right="946"/>
      </w:pPr>
      <w:r>
        <w:rPr/>
        <w:t>The</w:t>
      </w:r>
      <w:r>
        <w:rPr>
          <w:spacing w:val="-25"/>
        </w:rPr>
        <w:t> </w:t>
      </w:r>
      <w:r>
        <w:rPr/>
        <w:t>Scheme</w:t>
      </w:r>
      <w:r>
        <w:rPr>
          <w:spacing w:val="-25"/>
        </w:rPr>
        <w:t> </w:t>
      </w:r>
      <w:r>
        <w:rPr/>
        <w:t>gives</w:t>
      </w:r>
      <w:r>
        <w:rPr>
          <w:spacing w:val="-24"/>
        </w:rPr>
        <w:t> </w:t>
      </w:r>
      <w:r>
        <w:rPr/>
        <w:t>the</w:t>
      </w:r>
      <w:r>
        <w:rPr>
          <w:spacing w:val="-25"/>
        </w:rPr>
        <w:t> </w:t>
      </w:r>
      <w:r>
        <w:rPr/>
        <w:t>Department</w:t>
      </w:r>
      <w:r>
        <w:rPr>
          <w:spacing w:val="-24"/>
        </w:rPr>
        <w:t> </w:t>
      </w:r>
      <w:r>
        <w:rPr/>
        <w:t>a</w:t>
      </w:r>
      <w:r>
        <w:rPr>
          <w:spacing w:val="-25"/>
        </w:rPr>
        <w:t> </w:t>
      </w:r>
      <w:r>
        <w:rPr/>
        <w:t>mechanism to</w:t>
      </w:r>
      <w:r>
        <w:rPr>
          <w:spacing w:val="-17"/>
        </w:rPr>
        <w:t> </w:t>
      </w:r>
      <w:r>
        <w:rPr/>
        <w:t>deal</w:t>
      </w:r>
      <w:r>
        <w:rPr>
          <w:spacing w:val="-17"/>
        </w:rPr>
        <w:t> </w:t>
      </w:r>
      <w:r>
        <w:rPr/>
        <w:t>with</w:t>
      </w:r>
      <w:r>
        <w:rPr>
          <w:spacing w:val="-17"/>
        </w:rPr>
        <w:t> </w:t>
      </w:r>
      <w:r>
        <w:rPr/>
        <w:t>reported</w:t>
      </w:r>
      <w:r>
        <w:rPr>
          <w:spacing w:val="-17"/>
        </w:rPr>
        <w:t> </w:t>
      </w:r>
      <w:r>
        <w:rPr/>
        <w:t>instances</w:t>
      </w:r>
      <w:r>
        <w:rPr>
          <w:spacing w:val="-17"/>
        </w:rPr>
        <w:t> </w:t>
      </w:r>
      <w:r>
        <w:rPr/>
        <w:t>of</w:t>
      </w:r>
      <w:r>
        <w:rPr>
          <w:spacing w:val="-17"/>
        </w:rPr>
        <w:t> </w:t>
      </w:r>
      <w:r>
        <w:rPr/>
        <w:t>especially</w:t>
      </w:r>
      <w:r>
        <w:rPr>
          <w:spacing w:val="-17"/>
        </w:rPr>
        <w:t> </w:t>
      </w:r>
      <w:r>
        <w:rPr>
          <w:spacing w:val="-5"/>
        </w:rPr>
        <w:t>poor </w:t>
      </w:r>
      <w:r>
        <w:rPr/>
        <w:t>performance by suppliers including contractors and consultants. It provides for</w:t>
      </w:r>
      <w:r>
        <w:rPr>
          <w:spacing w:val="-36"/>
        </w:rPr>
        <w:t> </w:t>
      </w:r>
      <w:r>
        <w:rPr/>
        <w:t>infractions</w:t>
      </w:r>
    </w:p>
    <w:p>
      <w:pPr>
        <w:pStyle w:val="BodyText"/>
        <w:spacing w:line="249" w:lineRule="auto" w:before="4"/>
        <w:ind w:left="395" w:right="922"/>
      </w:pPr>
      <w:r>
        <w:rPr/>
        <w:t>where suppliers fail to meet important contract requirements,</w:t>
      </w:r>
      <w:r>
        <w:rPr>
          <w:spacing w:val="-23"/>
        </w:rPr>
        <w:t> </w:t>
      </w:r>
      <w:r>
        <w:rPr/>
        <w:t>demerit</w:t>
      </w:r>
      <w:r>
        <w:rPr>
          <w:spacing w:val="-22"/>
        </w:rPr>
        <w:t> </w:t>
      </w:r>
      <w:r>
        <w:rPr/>
        <w:t>points</w:t>
      </w:r>
      <w:r>
        <w:rPr>
          <w:spacing w:val="-23"/>
        </w:rPr>
        <w:t> </w:t>
      </w:r>
      <w:r>
        <w:rPr/>
        <w:t>that</w:t>
      </w:r>
      <w:r>
        <w:rPr>
          <w:spacing w:val="-22"/>
        </w:rPr>
        <w:t> </w:t>
      </w:r>
      <w:r>
        <w:rPr/>
        <w:t>are</w:t>
      </w:r>
      <w:r>
        <w:rPr>
          <w:spacing w:val="-22"/>
        </w:rPr>
        <w:t> </w:t>
      </w:r>
      <w:r>
        <w:rPr/>
        <w:t>incurred</w:t>
      </w:r>
      <w:r>
        <w:rPr>
          <w:spacing w:val="-23"/>
        </w:rPr>
        <w:t> </w:t>
      </w:r>
      <w:r>
        <w:rPr/>
        <w:t>for infractions,</w:t>
      </w:r>
      <w:r>
        <w:rPr>
          <w:spacing w:val="-24"/>
        </w:rPr>
        <w:t> </w:t>
      </w:r>
      <w:r>
        <w:rPr/>
        <w:t>and</w:t>
      </w:r>
      <w:r>
        <w:rPr>
          <w:spacing w:val="-24"/>
        </w:rPr>
        <w:t> </w:t>
      </w:r>
      <w:r>
        <w:rPr/>
        <w:t>sanctions</w:t>
      </w:r>
      <w:r>
        <w:rPr>
          <w:spacing w:val="-24"/>
        </w:rPr>
        <w:t> </w:t>
      </w:r>
      <w:r>
        <w:rPr/>
        <w:t>where</w:t>
      </w:r>
      <w:r>
        <w:rPr>
          <w:spacing w:val="-23"/>
        </w:rPr>
        <w:t> </w:t>
      </w:r>
      <w:r>
        <w:rPr/>
        <w:t>a</w:t>
      </w:r>
      <w:r>
        <w:rPr>
          <w:spacing w:val="-24"/>
        </w:rPr>
        <w:t> </w:t>
      </w:r>
      <w:r>
        <w:rPr/>
        <w:t>supplier</w:t>
      </w:r>
      <w:r>
        <w:rPr>
          <w:spacing w:val="-24"/>
        </w:rPr>
        <w:t> </w:t>
      </w:r>
      <w:r>
        <w:rPr>
          <w:spacing w:val="-3"/>
        </w:rPr>
        <w:t>incurs </w:t>
      </w:r>
      <w:r>
        <w:rPr/>
        <w:t>three demerit</w:t>
      </w:r>
      <w:r>
        <w:rPr>
          <w:spacing w:val="-3"/>
        </w:rPr>
        <w:t> </w:t>
      </w:r>
      <w:r>
        <w:rPr/>
        <w:t>points.</w:t>
      </w:r>
    </w:p>
    <w:p>
      <w:pPr>
        <w:spacing w:after="0" w:line="249" w:lineRule="auto"/>
        <w:sectPr>
          <w:type w:val="continuous"/>
          <w:pgSz w:w="16840" w:h="11910" w:orient="landscape"/>
          <w:pgMar w:top="1100" w:bottom="280" w:left="0" w:right="0"/>
          <w:cols w:num="3" w:equalWidth="0">
            <w:col w:w="5584" w:space="40"/>
            <w:col w:w="5195" w:space="39"/>
            <w:col w:w="5982"/>
          </w:cols>
        </w:sectPr>
      </w:pPr>
    </w:p>
    <w:p>
      <w:pPr>
        <w:pStyle w:val="BodyText"/>
        <w:rPr>
          <w:sz w:val="20"/>
        </w:rPr>
      </w:pPr>
    </w:p>
    <w:p>
      <w:pPr>
        <w:pStyle w:val="BodyText"/>
        <w:spacing w:before="1"/>
        <w:rPr>
          <w:sz w:val="27"/>
        </w:rPr>
      </w:pPr>
    </w:p>
    <w:p>
      <w:pPr>
        <w:tabs>
          <w:tab w:pos="1227" w:val="left" w:leader="none"/>
          <w:tab w:pos="5951" w:val="left" w:leader="none"/>
          <w:tab w:pos="16072" w:val="left" w:leader="none"/>
        </w:tabs>
        <w:spacing w:before="108"/>
        <w:ind w:left="765" w:right="0" w:firstLine="0"/>
        <w:jc w:val="left"/>
        <w:rPr>
          <w:b/>
          <w:sz w:val="20"/>
        </w:rPr>
      </w:pPr>
      <w:r>
        <w:rPr/>
        <w:pict>
          <v:group style="position:absolute;margin-left:563.511108pt;margin-top:-38.418922pt;width:226.7pt;height:77.8pt;mso-position-horizontal-relative:page;mso-position-vertical-relative:paragraph;z-index:-707680" coordorigin="11270,-768" coordsize="4534,1556">
            <v:shape style="position:absolute;left:2987;top:10108;width:3423;height:1551" coordorigin="2988,10108" coordsize="3423,1551" path="m15003,-505l15555,47m14772,-626l15676,278m14597,-690l15740,453m14448,-728l15778,601m14315,-751l15801,735m14194,-763l15741,785m14080,-766l15631,785m13974,-762l15520,785m13873,-752l15410,785m13777,-738l15300,785m13686,-718l15189,785m13599,-695l15079,785m13516,-668l14969,785m13436,-638l14858,785m13359,-604l14748,785m13285,-567l14638,785m13215,-528l14527,785m13147,-485l14417,785m13081,-441l14307,785m13018,-393l14196,785m12958,-343l14086,785m12900,-291l13975,785m12845,-236l13865,785m12792,-178l13755,785m12742,-118l13644,785m12694,-55l13534,785m12649,10l13424,785m12606,78l13313,785m12566,148l13203,785m12529,222l13093,785m12495,298l12982,785m12465,377l12872,785m12437,460l12762,785m12414,547l12651,785m12394,638l12541,785m12378,733l12431,785e" filled="false" stroked="true" strokeweight=".25pt" strokecolor="#aebd37">
              <v:path arrowok="t"/>
              <v:stroke dashstyle="solid"/>
            </v:shape>
            <v:shape style="position:absolute;left:44;top:-8447;width:1723;height:726" coordorigin="44,-8446" coordsize="1723,726" path="m11330,785l11273,727m11441,785l11297,641m11551,785l11328,562m11661,785l11366,489m11772,785l11408,422m11882,785l11456,359m11992,785l11509,302m12103,785l11567,249m12213,785l11629,201m12323,785l11697,158m12434,785l11770,121m12544,785l11848,89m12654,785l11934,64m12765,785l12039,59m12875,785l12149,59m12985,785l12260,59m12995,684l12386,75m12915,494l12576,155e" filled="false" stroked="true" strokeweight=".25pt" strokecolor="#6f2770">
              <v:path arrowok="t"/>
              <v:stroke dashstyle="solid"/>
            </v:shape>
            <w10:wrap type="none"/>
          </v:group>
        </w:pict>
      </w:r>
      <w:r>
        <w:rPr/>
        <w:pict>
          <v:group style="position:absolute;margin-left:817.839111pt;margin-top:-9.455017pt;width:24.1pt;height:41.55pt;mso-position-horizontal-relative:page;mso-position-vertical-relative:paragraph;z-index:4840"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4864"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16</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after="0"/>
        <w:rPr>
          <w:sz w:val="20"/>
        </w:rPr>
        <w:sectPr>
          <w:footerReference w:type="default" r:id="rId66"/>
          <w:pgSz w:w="16840" w:h="11910" w:orient="landscape"/>
          <w:pgMar w:footer="0" w:header="0" w:top="0" w:bottom="0" w:left="0" w:right="0"/>
        </w:sectPr>
      </w:pPr>
    </w:p>
    <w:p>
      <w:pPr>
        <w:pStyle w:val="BodyText"/>
        <w:spacing w:line="249" w:lineRule="auto" w:before="107"/>
        <w:ind w:left="765" w:right="46"/>
      </w:pPr>
      <w:r>
        <w:rPr/>
        <w:pict>
          <v:shape style="position:absolute;margin-left:601.348999pt;margin-top:-101.32032pt;width:120.3pt;height:42.55pt;mso-position-horizontal-relative:page;mso-position-vertical-relative:paragraph;z-index:508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101.32032pt;width:120.3pt;height:42.55pt;mso-position-horizontal-relative:page;mso-position-vertical-relative:paragraph;z-index:5104"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101.32032pt;width:120.3pt;height:42.55pt;mso-position-horizontal-relative:page;mso-position-vertical-relative:paragraph;z-index:512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t>When issued, sanctions can include downgrade or suspension of a </w:t>
      </w:r>
      <w:r>
        <w:rPr>
          <w:spacing w:val="-3"/>
        </w:rPr>
        <w:t>contractor’s </w:t>
      </w:r>
      <w:r>
        <w:rPr/>
        <w:t>prequalification status or contracting framework membership, downgrade or suspension of a </w:t>
      </w:r>
      <w:r>
        <w:rPr>
          <w:spacing w:val="-3"/>
        </w:rPr>
        <w:t>consultant’s </w:t>
      </w:r>
      <w:r>
        <w:rPr>
          <w:spacing w:val="-4"/>
        </w:rPr>
        <w:t>panel </w:t>
      </w:r>
      <w:r>
        <w:rPr/>
        <w:t>membership or revocation of eligibility for the awarding of contracts.</w:t>
      </w:r>
    </w:p>
    <w:p>
      <w:pPr>
        <w:pStyle w:val="BodyText"/>
        <w:spacing w:before="4"/>
        <w:rPr>
          <w:sz w:val="23"/>
        </w:rPr>
      </w:pPr>
    </w:p>
    <w:p>
      <w:pPr>
        <w:pStyle w:val="BodyText"/>
        <w:spacing w:line="249" w:lineRule="auto" w:before="1"/>
        <w:ind w:left="765" w:right="-4"/>
      </w:pPr>
      <w:r>
        <w:rPr/>
        <w:t>Suppliers are afforded the opportunity to outline mitigating</w:t>
      </w:r>
      <w:r>
        <w:rPr>
          <w:spacing w:val="-25"/>
        </w:rPr>
        <w:t> </w:t>
      </w:r>
      <w:r>
        <w:rPr/>
        <w:t>circumstances</w:t>
      </w:r>
      <w:r>
        <w:rPr>
          <w:spacing w:val="-24"/>
        </w:rPr>
        <w:t> </w:t>
      </w:r>
      <w:r>
        <w:rPr/>
        <w:t>before</w:t>
      </w:r>
      <w:r>
        <w:rPr>
          <w:spacing w:val="-25"/>
        </w:rPr>
        <w:t> </w:t>
      </w:r>
      <w:r>
        <w:rPr/>
        <w:t>demerit</w:t>
      </w:r>
      <w:r>
        <w:rPr>
          <w:spacing w:val="-24"/>
        </w:rPr>
        <w:t> </w:t>
      </w:r>
      <w:r>
        <w:rPr/>
        <w:t>points</w:t>
      </w:r>
      <w:r>
        <w:rPr>
          <w:spacing w:val="-24"/>
        </w:rPr>
        <w:t> </w:t>
      </w:r>
      <w:r>
        <w:rPr>
          <w:spacing w:val="-11"/>
        </w:rPr>
        <w:t>are </w:t>
      </w:r>
      <w:r>
        <w:rPr/>
        <w:t>issued and also have the right of appeal where a demerit point or sanction is</w:t>
      </w:r>
      <w:r>
        <w:rPr>
          <w:spacing w:val="-15"/>
        </w:rPr>
        <w:t> </w:t>
      </w:r>
      <w:r>
        <w:rPr/>
        <w:t>applied.</w:t>
      </w:r>
    </w:p>
    <w:p>
      <w:pPr>
        <w:pStyle w:val="BodyText"/>
        <w:spacing w:before="3"/>
        <w:rPr>
          <w:sz w:val="23"/>
        </w:rPr>
      </w:pPr>
    </w:p>
    <w:p>
      <w:pPr>
        <w:spacing w:line="249" w:lineRule="auto" w:before="0"/>
        <w:ind w:left="765" w:right="803" w:firstLine="0"/>
        <w:jc w:val="left"/>
        <w:rPr>
          <w:sz w:val="22"/>
        </w:rPr>
      </w:pPr>
      <w:r>
        <w:rPr>
          <w:b/>
          <w:sz w:val="22"/>
        </w:rPr>
        <w:t>State Revenue’s </w:t>
      </w:r>
      <w:r>
        <w:rPr>
          <w:spacing w:val="-6"/>
          <w:sz w:val="22"/>
        </w:rPr>
        <w:t>PAYMEX </w:t>
      </w:r>
      <w:r>
        <w:rPr>
          <w:sz w:val="22"/>
        </w:rPr>
        <w:t>system aims to improve the administration of </w:t>
      </w:r>
      <w:r>
        <w:rPr>
          <w:spacing w:val="-3"/>
          <w:sz w:val="22"/>
        </w:rPr>
        <w:t>payment</w:t>
      </w:r>
    </w:p>
    <w:p>
      <w:pPr>
        <w:pStyle w:val="BodyText"/>
        <w:spacing w:line="249" w:lineRule="auto" w:before="2"/>
        <w:ind w:left="765" w:right="523"/>
        <w:jc w:val="both"/>
      </w:pPr>
      <w:r>
        <w:rPr/>
        <w:t>arrangements</w:t>
      </w:r>
      <w:r>
        <w:rPr>
          <w:spacing w:val="-26"/>
        </w:rPr>
        <w:t> </w:t>
      </w:r>
      <w:r>
        <w:rPr/>
        <w:t>by</w:t>
      </w:r>
      <w:r>
        <w:rPr>
          <w:spacing w:val="-26"/>
        </w:rPr>
        <w:t> </w:t>
      </w:r>
      <w:r>
        <w:rPr/>
        <w:t>enabling</w:t>
      </w:r>
      <w:r>
        <w:rPr>
          <w:spacing w:val="-26"/>
        </w:rPr>
        <w:t> </w:t>
      </w:r>
      <w:r>
        <w:rPr/>
        <w:t>taxpayers</w:t>
      </w:r>
      <w:r>
        <w:rPr>
          <w:spacing w:val="-25"/>
        </w:rPr>
        <w:t> </w:t>
      </w:r>
      <w:r>
        <w:rPr/>
        <w:t>to</w:t>
      </w:r>
      <w:r>
        <w:rPr>
          <w:spacing w:val="-26"/>
        </w:rPr>
        <w:t> </w:t>
      </w:r>
      <w:r>
        <w:rPr>
          <w:spacing w:val="-4"/>
        </w:rPr>
        <w:t>apply </w:t>
      </w:r>
      <w:r>
        <w:rPr/>
        <w:t>for</w:t>
      </w:r>
      <w:r>
        <w:rPr>
          <w:spacing w:val="-17"/>
        </w:rPr>
        <w:t> </w:t>
      </w:r>
      <w:r>
        <w:rPr/>
        <w:t>an</w:t>
      </w:r>
      <w:r>
        <w:rPr>
          <w:spacing w:val="-17"/>
        </w:rPr>
        <w:t> </w:t>
      </w:r>
      <w:r>
        <w:rPr/>
        <w:t>extension</w:t>
      </w:r>
      <w:r>
        <w:rPr>
          <w:spacing w:val="-16"/>
        </w:rPr>
        <w:t> </w:t>
      </w:r>
      <w:r>
        <w:rPr/>
        <w:t>of</w:t>
      </w:r>
      <w:r>
        <w:rPr>
          <w:spacing w:val="-17"/>
        </w:rPr>
        <w:t> </w:t>
      </w:r>
      <w:r>
        <w:rPr/>
        <w:t>time</w:t>
      </w:r>
      <w:r>
        <w:rPr>
          <w:spacing w:val="-17"/>
        </w:rPr>
        <w:t> </w:t>
      </w:r>
      <w:r>
        <w:rPr/>
        <w:t>or</w:t>
      </w:r>
      <w:r>
        <w:rPr>
          <w:spacing w:val="-16"/>
        </w:rPr>
        <w:t> </w:t>
      </w:r>
      <w:r>
        <w:rPr/>
        <w:t>instalment</w:t>
      </w:r>
      <w:r>
        <w:rPr>
          <w:spacing w:val="-17"/>
        </w:rPr>
        <w:t> </w:t>
      </w:r>
      <w:r>
        <w:rPr/>
        <w:t>plan</w:t>
      </w:r>
      <w:r>
        <w:rPr>
          <w:spacing w:val="-17"/>
        </w:rPr>
        <w:t> </w:t>
      </w:r>
      <w:r>
        <w:rPr/>
        <w:t>by completing an online application</w:t>
      </w:r>
      <w:r>
        <w:rPr>
          <w:spacing w:val="-27"/>
        </w:rPr>
        <w:t> </w:t>
      </w:r>
      <w:r>
        <w:rPr/>
        <w:t>form.</w:t>
      </w:r>
    </w:p>
    <w:p>
      <w:pPr>
        <w:pStyle w:val="BodyText"/>
        <w:spacing w:before="2"/>
        <w:rPr>
          <w:sz w:val="23"/>
        </w:rPr>
      </w:pPr>
    </w:p>
    <w:p>
      <w:pPr>
        <w:pStyle w:val="BodyText"/>
        <w:spacing w:line="249" w:lineRule="auto"/>
        <w:ind w:left="765" w:right="138"/>
      </w:pPr>
      <w:r>
        <w:rPr/>
        <w:t>The</w:t>
      </w:r>
      <w:r>
        <w:rPr>
          <w:spacing w:val="-21"/>
        </w:rPr>
        <w:t> </w:t>
      </w:r>
      <w:r>
        <w:rPr/>
        <w:t>accessibility</w:t>
      </w:r>
      <w:r>
        <w:rPr>
          <w:spacing w:val="-20"/>
        </w:rPr>
        <w:t> </w:t>
      </w:r>
      <w:r>
        <w:rPr/>
        <w:t>and</w:t>
      </w:r>
      <w:r>
        <w:rPr>
          <w:spacing w:val="-21"/>
        </w:rPr>
        <w:t> </w:t>
      </w:r>
      <w:r>
        <w:rPr/>
        <w:t>efficiencies</w:t>
      </w:r>
      <w:r>
        <w:rPr>
          <w:spacing w:val="-20"/>
        </w:rPr>
        <w:t> </w:t>
      </w:r>
      <w:r>
        <w:rPr/>
        <w:t>created</w:t>
      </w:r>
      <w:r>
        <w:rPr>
          <w:spacing w:val="-20"/>
        </w:rPr>
        <w:t> </w:t>
      </w:r>
      <w:r>
        <w:rPr/>
        <w:t>by</w:t>
      </w:r>
      <w:r>
        <w:rPr>
          <w:spacing w:val="-21"/>
        </w:rPr>
        <w:t> </w:t>
      </w:r>
      <w:r>
        <w:rPr/>
        <w:t>the introduction of </w:t>
      </w:r>
      <w:r>
        <w:rPr>
          <w:spacing w:val="-6"/>
        </w:rPr>
        <w:t>PAYMEX </w:t>
      </w:r>
      <w:r>
        <w:rPr/>
        <w:t>has allowed taxpayers the</w:t>
      </w:r>
      <w:r>
        <w:rPr>
          <w:spacing w:val="-19"/>
        </w:rPr>
        <w:t> </w:t>
      </w:r>
      <w:r>
        <w:rPr/>
        <w:t>ability</w:t>
      </w:r>
      <w:r>
        <w:rPr>
          <w:spacing w:val="-19"/>
        </w:rPr>
        <w:t> </w:t>
      </w:r>
      <w:r>
        <w:rPr/>
        <w:t>to</w:t>
      </w:r>
      <w:r>
        <w:rPr>
          <w:spacing w:val="-19"/>
        </w:rPr>
        <w:t> </w:t>
      </w:r>
      <w:r>
        <w:rPr/>
        <w:t>conveniently</w:t>
      </w:r>
      <w:r>
        <w:rPr>
          <w:spacing w:val="-19"/>
        </w:rPr>
        <w:t> </w:t>
      </w:r>
      <w:r>
        <w:rPr/>
        <w:t>meet</w:t>
      </w:r>
      <w:r>
        <w:rPr>
          <w:spacing w:val="-19"/>
        </w:rPr>
        <w:t> </w:t>
      </w:r>
      <w:r>
        <w:rPr/>
        <w:t>their</w:t>
      </w:r>
      <w:r>
        <w:rPr>
          <w:spacing w:val="-19"/>
        </w:rPr>
        <w:t> </w:t>
      </w:r>
      <w:r>
        <w:rPr/>
        <w:t>on-going</w:t>
      </w:r>
      <w:r>
        <w:rPr>
          <w:spacing w:val="-19"/>
        </w:rPr>
        <w:t> </w:t>
      </w:r>
      <w:r>
        <w:rPr>
          <w:spacing w:val="-6"/>
        </w:rPr>
        <w:t>tax </w:t>
      </w:r>
      <w:r>
        <w:rPr/>
        <w:t>obligations.</w:t>
      </w:r>
    </w:p>
    <w:p>
      <w:pPr>
        <w:pStyle w:val="BodyText"/>
        <w:spacing w:before="3"/>
        <w:rPr>
          <w:sz w:val="23"/>
        </w:rPr>
      </w:pPr>
    </w:p>
    <w:p>
      <w:pPr>
        <w:pStyle w:val="BodyText"/>
        <w:spacing w:line="249" w:lineRule="auto"/>
        <w:ind w:left="765" w:right="20"/>
      </w:pPr>
      <w:r>
        <w:rPr/>
        <w:t>From</w:t>
      </w:r>
      <w:r>
        <w:rPr>
          <w:spacing w:val="-18"/>
        </w:rPr>
        <w:t> </w:t>
      </w:r>
      <w:r>
        <w:rPr/>
        <w:t>its</w:t>
      </w:r>
      <w:r>
        <w:rPr>
          <w:spacing w:val="-18"/>
        </w:rPr>
        <w:t> </w:t>
      </w:r>
      <w:r>
        <w:rPr/>
        <w:t>release</w:t>
      </w:r>
      <w:r>
        <w:rPr>
          <w:spacing w:val="-17"/>
        </w:rPr>
        <w:t> </w:t>
      </w:r>
      <w:r>
        <w:rPr/>
        <w:t>in</w:t>
      </w:r>
      <w:r>
        <w:rPr>
          <w:spacing w:val="-18"/>
        </w:rPr>
        <w:t> </w:t>
      </w:r>
      <w:r>
        <w:rPr/>
        <w:t>January</w:t>
      </w:r>
      <w:r>
        <w:rPr>
          <w:spacing w:val="-18"/>
        </w:rPr>
        <w:t> </w:t>
      </w:r>
      <w:r>
        <w:rPr/>
        <w:t>2018,</w:t>
      </w:r>
      <w:r>
        <w:rPr>
          <w:spacing w:val="-17"/>
        </w:rPr>
        <w:t> </w:t>
      </w:r>
      <w:r>
        <w:rPr/>
        <w:t>over</w:t>
      </w:r>
      <w:r>
        <w:rPr>
          <w:spacing w:val="-18"/>
        </w:rPr>
        <w:t> </w:t>
      </w:r>
      <w:r>
        <w:rPr/>
        <w:t>80</w:t>
      </w:r>
      <w:r>
        <w:rPr>
          <w:spacing w:val="-17"/>
        </w:rPr>
        <w:t> </w:t>
      </w:r>
      <w:r>
        <w:rPr/>
        <w:t>per</w:t>
      </w:r>
      <w:r>
        <w:rPr>
          <w:spacing w:val="-18"/>
        </w:rPr>
        <w:t> </w:t>
      </w:r>
      <w:r>
        <w:rPr>
          <w:spacing w:val="-5"/>
        </w:rPr>
        <w:t>cent </w:t>
      </w:r>
      <w:r>
        <w:rPr/>
        <w:t>of applications for extensions and instalments, equating</w:t>
      </w:r>
      <w:r>
        <w:rPr>
          <w:spacing w:val="-16"/>
        </w:rPr>
        <w:t> </w:t>
      </w:r>
      <w:r>
        <w:rPr/>
        <w:t>to</w:t>
      </w:r>
      <w:r>
        <w:rPr>
          <w:spacing w:val="-16"/>
        </w:rPr>
        <w:t> </w:t>
      </w:r>
      <w:r>
        <w:rPr/>
        <w:t>almost</w:t>
      </w:r>
      <w:r>
        <w:rPr>
          <w:spacing w:val="-16"/>
        </w:rPr>
        <w:t> </w:t>
      </w:r>
      <w:r>
        <w:rPr/>
        <w:t>1,100</w:t>
      </w:r>
      <w:r>
        <w:rPr>
          <w:spacing w:val="-15"/>
        </w:rPr>
        <w:t> </w:t>
      </w:r>
      <w:r>
        <w:rPr/>
        <w:t>applications,</w:t>
      </w:r>
      <w:r>
        <w:rPr>
          <w:spacing w:val="-16"/>
        </w:rPr>
        <w:t> </w:t>
      </w:r>
      <w:r>
        <w:rPr/>
        <w:t>have</w:t>
      </w:r>
      <w:r>
        <w:rPr>
          <w:spacing w:val="-16"/>
        </w:rPr>
        <w:t> </w:t>
      </w:r>
      <w:r>
        <w:rPr/>
        <w:t>been lodged through</w:t>
      </w:r>
      <w:r>
        <w:rPr>
          <w:spacing w:val="-5"/>
        </w:rPr>
        <w:t> PAYMEX.</w:t>
      </w:r>
    </w:p>
    <w:p>
      <w:pPr>
        <w:pStyle w:val="BodyText"/>
        <w:spacing w:before="3"/>
        <w:rPr>
          <w:sz w:val="23"/>
        </w:rPr>
      </w:pPr>
    </w:p>
    <w:p>
      <w:pPr>
        <w:pStyle w:val="BodyText"/>
        <w:spacing w:line="249" w:lineRule="auto"/>
        <w:ind w:left="765" w:right="401"/>
        <w:jc w:val="both"/>
      </w:pPr>
      <w:r>
        <w:rPr/>
        <w:t>The</w:t>
      </w:r>
      <w:r>
        <w:rPr>
          <w:spacing w:val="-31"/>
        </w:rPr>
        <w:t> </w:t>
      </w:r>
      <w:r>
        <w:rPr/>
        <w:t>system</w:t>
      </w:r>
      <w:r>
        <w:rPr>
          <w:spacing w:val="-30"/>
        </w:rPr>
        <w:t> </w:t>
      </w:r>
      <w:r>
        <w:rPr/>
        <w:t>assesses</w:t>
      </w:r>
      <w:r>
        <w:rPr>
          <w:spacing w:val="-30"/>
        </w:rPr>
        <w:t> </w:t>
      </w:r>
      <w:r>
        <w:rPr/>
        <w:t>each</w:t>
      </w:r>
      <w:r>
        <w:rPr>
          <w:spacing w:val="-30"/>
        </w:rPr>
        <w:t> </w:t>
      </w:r>
      <w:r>
        <w:rPr/>
        <w:t>application</w:t>
      </w:r>
      <w:r>
        <w:rPr>
          <w:spacing w:val="-30"/>
        </w:rPr>
        <w:t> </w:t>
      </w:r>
      <w:r>
        <w:rPr>
          <w:spacing w:val="-3"/>
        </w:rPr>
        <w:t>against </w:t>
      </w:r>
      <w:r>
        <w:rPr/>
        <w:t>a</w:t>
      </w:r>
      <w:r>
        <w:rPr>
          <w:spacing w:val="-32"/>
        </w:rPr>
        <w:t> </w:t>
      </w:r>
      <w:r>
        <w:rPr/>
        <w:t>set</w:t>
      </w:r>
      <w:r>
        <w:rPr>
          <w:spacing w:val="-32"/>
        </w:rPr>
        <w:t> </w:t>
      </w:r>
      <w:r>
        <w:rPr/>
        <w:t>of</w:t>
      </w:r>
      <w:r>
        <w:rPr>
          <w:spacing w:val="-32"/>
        </w:rPr>
        <w:t> </w:t>
      </w:r>
      <w:r>
        <w:rPr/>
        <w:t>qualification</w:t>
      </w:r>
      <w:r>
        <w:rPr>
          <w:spacing w:val="-31"/>
        </w:rPr>
        <w:t> </w:t>
      </w:r>
      <w:r>
        <w:rPr/>
        <w:t>parameters,</w:t>
      </w:r>
      <w:r>
        <w:rPr>
          <w:spacing w:val="-32"/>
        </w:rPr>
        <w:t> </w:t>
      </w:r>
      <w:r>
        <w:rPr/>
        <w:t>automatically approving</w:t>
      </w:r>
      <w:r>
        <w:rPr>
          <w:spacing w:val="-24"/>
        </w:rPr>
        <w:t> </w:t>
      </w:r>
      <w:r>
        <w:rPr/>
        <w:t>the</w:t>
      </w:r>
      <w:r>
        <w:rPr>
          <w:spacing w:val="-24"/>
        </w:rPr>
        <w:t> </w:t>
      </w:r>
      <w:r>
        <w:rPr/>
        <w:t>requested</w:t>
      </w:r>
      <w:r>
        <w:rPr>
          <w:spacing w:val="-24"/>
        </w:rPr>
        <w:t> </w:t>
      </w:r>
      <w:r>
        <w:rPr/>
        <w:t>arrangement</w:t>
      </w:r>
      <w:r>
        <w:rPr>
          <w:spacing w:val="-24"/>
        </w:rPr>
        <w:t> </w:t>
      </w:r>
      <w:r>
        <w:rPr/>
        <w:t>without</w:t>
      </w:r>
    </w:p>
    <w:p>
      <w:pPr>
        <w:pStyle w:val="BodyText"/>
        <w:spacing w:line="249" w:lineRule="auto" w:before="3"/>
        <w:ind w:left="765" w:right="189"/>
      </w:pPr>
      <w:r>
        <w:rPr/>
        <w:t>manual</w:t>
      </w:r>
      <w:r>
        <w:rPr>
          <w:spacing w:val="-35"/>
        </w:rPr>
        <w:t> </w:t>
      </w:r>
      <w:r>
        <w:rPr/>
        <w:t>intervention</w:t>
      </w:r>
      <w:r>
        <w:rPr>
          <w:spacing w:val="-35"/>
        </w:rPr>
        <w:t> </w:t>
      </w:r>
      <w:r>
        <w:rPr/>
        <w:t>from</w:t>
      </w:r>
      <w:r>
        <w:rPr>
          <w:spacing w:val="-35"/>
        </w:rPr>
        <w:t> </w:t>
      </w:r>
      <w:r>
        <w:rPr/>
        <w:t>State</w:t>
      </w:r>
      <w:r>
        <w:rPr>
          <w:spacing w:val="-35"/>
        </w:rPr>
        <w:t> </w:t>
      </w:r>
      <w:r>
        <w:rPr/>
        <w:t>Revenue</w:t>
      </w:r>
      <w:r>
        <w:rPr>
          <w:spacing w:val="-35"/>
        </w:rPr>
        <w:t> </w:t>
      </w:r>
      <w:r>
        <w:rPr>
          <w:spacing w:val="-3"/>
        </w:rPr>
        <w:t>officers, </w:t>
      </w:r>
      <w:r>
        <w:rPr/>
        <w:t>for almost 50 per cent of</w:t>
      </w:r>
      <w:r>
        <w:rPr>
          <w:spacing w:val="-21"/>
        </w:rPr>
        <w:t> </w:t>
      </w:r>
      <w:r>
        <w:rPr/>
        <w:t>applications.</w:t>
      </w:r>
    </w:p>
    <w:p>
      <w:pPr>
        <w:pStyle w:val="BodyText"/>
        <w:spacing w:line="249" w:lineRule="auto" w:before="107"/>
        <w:ind w:left="428" w:right="6345"/>
      </w:pPr>
      <w:r>
        <w:rPr/>
        <w:br w:type="column"/>
      </w:r>
      <w:r>
        <w:rPr/>
        <w:t>It also allows the monitoring of all payment arrangements, automatically corresponding with</w:t>
      </w:r>
      <w:r>
        <w:rPr>
          <w:spacing w:val="-12"/>
        </w:rPr>
        <w:t> </w:t>
      </w:r>
      <w:r>
        <w:rPr/>
        <w:t>clients</w:t>
      </w:r>
      <w:r>
        <w:rPr>
          <w:spacing w:val="-11"/>
        </w:rPr>
        <w:t> </w:t>
      </w:r>
      <w:r>
        <w:rPr/>
        <w:t>who</w:t>
      </w:r>
      <w:r>
        <w:rPr>
          <w:spacing w:val="-11"/>
        </w:rPr>
        <w:t> </w:t>
      </w:r>
      <w:r>
        <w:rPr/>
        <w:t>have</w:t>
      </w:r>
      <w:r>
        <w:rPr>
          <w:spacing w:val="-11"/>
        </w:rPr>
        <w:t> </w:t>
      </w:r>
      <w:r>
        <w:rPr/>
        <w:t>not</w:t>
      </w:r>
      <w:r>
        <w:rPr>
          <w:spacing w:val="-12"/>
        </w:rPr>
        <w:t> </w:t>
      </w:r>
      <w:r>
        <w:rPr/>
        <w:t>met</w:t>
      </w:r>
      <w:r>
        <w:rPr>
          <w:spacing w:val="-11"/>
        </w:rPr>
        <w:t> </w:t>
      </w:r>
      <w:r>
        <w:rPr/>
        <w:t>the</w:t>
      </w:r>
      <w:r>
        <w:rPr>
          <w:spacing w:val="-11"/>
        </w:rPr>
        <w:t> </w:t>
      </w:r>
      <w:r>
        <w:rPr/>
        <w:t>terms</w:t>
      </w:r>
      <w:r>
        <w:rPr>
          <w:spacing w:val="-11"/>
        </w:rPr>
        <w:t> </w:t>
      </w:r>
      <w:r>
        <w:rPr/>
        <w:t>of</w:t>
      </w:r>
      <w:r>
        <w:rPr>
          <w:spacing w:val="-11"/>
        </w:rPr>
        <w:t> </w:t>
      </w:r>
      <w:r>
        <w:rPr>
          <w:spacing w:val="-4"/>
        </w:rPr>
        <w:t>their </w:t>
      </w:r>
      <w:r>
        <w:rPr/>
        <w:t>agreement</w:t>
      </w:r>
      <w:r>
        <w:rPr>
          <w:spacing w:val="-22"/>
        </w:rPr>
        <w:t> </w:t>
      </w:r>
      <w:r>
        <w:rPr/>
        <w:t>and</w:t>
      </w:r>
      <w:r>
        <w:rPr>
          <w:spacing w:val="-21"/>
        </w:rPr>
        <w:t> </w:t>
      </w:r>
      <w:r>
        <w:rPr/>
        <w:t>providing</w:t>
      </w:r>
      <w:r>
        <w:rPr>
          <w:spacing w:val="-21"/>
        </w:rPr>
        <w:t> </w:t>
      </w:r>
      <w:r>
        <w:rPr/>
        <w:t>remediation</w:t>
      </w:r>
      <w:r>
        <w:rPr>
          <w:spacing w:val="-21"/>
        </w:rPr>
        <w:t> </w:t>
      </w:r>
      <w:r>
        <w:rPr/>
        <w:t>options.</w:t>
      </w:r>
    </w:p>
    <w:p>
      <w:pPr>
        <w:pStyle w:val="BodyText"/>
        <w:spacing w:before="3"/>
        <w:rPr>
          <w:sz w:val="23"/>
        </w:rPr>
      </w:pPr>
    </w:p>
    <w:p>
      <w:pPr>
        <w:pStyle w:val="BodyText"/>
        <w:spacing w:line="249" w:lineRule="auto"/>
        <w:ind w:left="428" w:right="6212"/>
      </w:pPr>
      <w:r>
        <w:rPr/>
        <w:t>Continuing</w:t>
      </w:r>
      <w:r>
        <w:rPr>
          <w:spacing w:val="-18"/>
        </w:rPr>
        <w:t> </w:t>
      </w:r>
      <w:r>
        <w:rPr/>
        <w:t>the</w:t>
      </w:r>
      <w:r>
        <w:rPr>
          <w:spacing w:val="-17"/>
        </w:rPr>
        <w:t> </w:t>
      </w:r>
      <w:r>
        <w:rPr/>
        <w:t>focus</w:t>
      </w:r>
      <w:r>
        <w:rPr>
          <w:spacing w:val="-18"/>
        </w:rPr>
        <w:t> </w:t>
      </w:r>
      <w:r>
        <w:rPr/>
        <w:t>on</w:t>
      </w:r>
      <w:r>
        <w:rPr>
          <w:spacing w:val="-17"/>
        </w:rPr>
        <w:t> </w:t>
      </w:r>
      <w:r>
        <w:rPr/>
        <w:t>customer</w:t>
      </w:r>
      <w:r>
        <w:rPr>
          <w:spacing w:val="-18"/>
        </w:rPr>
        <w:t> </w:t>
      </w:r>
      <w:r>
        <w:rPr/>
        <w:t>convenience, State</w:t>
      </w:r>
      <w:r>
        <w:rPr>
          <w:spacing w:val="-32"/>
        </w:rPr>
        <w:t> </w:t>
      </w:r>
      <w:r>
        <w:rPr/>
        <w:t>Revenue</w:t>
      </w:r>
      <w:r>
        <w:rPr>
          <w:spacing w:val="-31"/>
        </w:rPr>
        <w:t> </w:t>
      </w:r>
      <w:r>
        <w:rPr/>
        <w:t>expanded</w:t>
      </w:r>
      <w:r>
        <w:rPr>
          <w:spacing w:val="-31"/>
        </w:rPr>
        <w:t> </w:t>
      </w:r>
      <w:r>
        <w:rPr/>
        <w:t>the</w:t>
      </w:r>
      <w:r>
        <w:rPr>
          <w:spacing w:val="-31"/>
        </w:rPr>
        <w:t> </w:t>
      </w:r>
      <w:r>
        <w:rPr/>
        <w:t>availability</w:t>
      </w:r>
      <w:r>
        <w:rPr>
          <w:spacing w:val="-31"/>
        </w:rPr>
        <w:t> </w:t>
      </w:r>
      <w:r>
        <w:rPr/>
        <w:t>of</w:t>
      </w:r>
      <w:r>
        <w:rPr>
          <w:spacing w:val="-32"/>
        </w:rPr>
        <w:t> </w:t>
      </w:r>
      <w:r>
        <w:rPr>
          <w:spacing w:val="-3"/>
        </w:rPr>
        <w:t>digital </w:t>
      </w:r>
      <w:r>
        <w:rPr/>
        <w:t>services</w:t>
      </w:r>
      <w:r>
        <w:rPr>
          <w:spacing w:val="-22"/>
        </w:rPr>
        <w:t> </w:t>
      </w:r>
      <w:r>
        <w:rPr/>
        <w:t>to</w:t>
      </w:r>
      <w:r>
        <w:rPr>
          <w:spacing w:val="-21"/>
        </w:rPr>
        <w:t> </w:t>
      </w:r>
      <w:r>
        <w:rPr/>
        <w:t>clients</w:t>
      </w:r>
      <w:r>
        <w:rPr>
          <w:spacing w:val="-21"/>
        </w:rPr>
        <w:t> </w:t>
      </w:r>
      <w:r>
        <w:rPr/>
        <w:t>by</w:t>
      </w:r>
      <w:r>
        <w:rPr>
          <w:spacing w:val="-21"/>
        </w:rPr>
        <w:t> </w:t>
      </w:r>
      <w:r>
        <w:rPr/>
        <w:t>releasing</w:t>
      </w:r>
      <w:r>
        <w:rPr>
          <w:spacing w:val="-21"/>
        </w:rPr>
        <w:t> </w:t>
      </w:r>
      <w:r>
        <w:rPr/>
        <w:t>the</w:t>
      </w:r>
      <w:r>
        <w:rPr>
          <w:spacing w:val="-22"/>
        </w:rPr>
        <w:t> </w:t>
      </w:r>
      <w:r>
        <w:rPr/>
        <w:t>Duties</w:t>
      </w:r>
      <w:r>
        <w:rPr>
          <w:spacing w:val="-21"/>
        </w:rPr>
        <w:t> </w:t>
      </w:r>
      <w:r>
        <w:rPr/>
        <w:t>Public Lodgment Portal in August</w:t>
      </w:r>
      <w:r>
        <w:rPr>
          <w:spacing w:val="-9"/>
        </w:rPr>
        <w:t> </w:t>
      </w:r>
      <w:r>
        <w:rPr/>
        <w:t>2017.</w:t>
      </w:r>
    </w:p>
    <w:p>
      <w:pPr>
        <w:pStyle w:val="BodyText"/>
        <w:spacing w:before="3"/>
        <w:rPr>
          <w:sz w:val="23"/>
        </w:rPr>
      </w:pPr>
    </w:p>
    <w:p>
      <w:pPr>
        <w:pStyle w:val="BodyText"/>
        <w:spacing w:line="249" w:lineRule="auto"/>
        <w:ind w:left="428" w:right="5713"/>
      </w:pPr>
      <w:r>
        <w:rPr/>
        <w:t>The portal enables clients who deal with the business</w:t>
      </w:r>
      <w:r>
        <w:rPr>
          <w:spacing w:val="-23"/>
        </w:rPr>
        <w:t> </w:t>
      </w:r>
      <w:r>
        <w:rPr/>
        <w:t>on</w:t>
      </w:r>
      <w:r>
        <w:rPr>
          <w:spacing w:val="-23"/>
        </w:rPr>
        <w:t> </w:t>
      </w:r>
      <w:r>
        <w:rPr/>
        <w:t>an</w:t>
      </w:r>
      <w:r>
        <w:rPr>
          <w:spacing w:val="-23"/>
        </w:rPr>
        <w:t> </w:t>
      </w:r>
      <w:r>
        <w:rPr/>
        <w:t>ad-hoc</w:t>
      </w:r>
      <w:r>
        <w:rPr>
          <w:spacing w:val="-23"/>
        </w:rPr>
        <w:t> </w:t>
      </w:r>
      <w:r>
        <w:rPr/>
        <w:t>basis</w:t>
      </w:r>
      <w:r>
        <w:rPr>
          <w:spacing w:val="-23"/>
        </w:rPr>
        <w:t> </w:t>
      </w:r>
      <w:r>
        <w:rPr/>
        <w:t>to</w:t>
      </w:r>
      <w:r>
        <w:rPr>
          <w:spacing w:val="-22"/>
        </w:rPr>
        <w:t> </w:t>
      </w:r>
      <w:r>
        <w:rPr/>
        <w:t>upload</w:t>
      </w:r>
      <w:r>
        <w:rPr>
          <w:spacing w:val="-23"/>
        </w:rPr>
        <w:t> </w:t>
      </w:r>
      <w:r>
        <w:rPr/>
        <w:t>documents, receive and respond to correspondence, pay liabilities and print duty endorsements from the convenience</w:t>
      </w:r>
      <w:r>
        <w:rPr>
          <w:spacing w:val="-8"/>
        </w:rPr>
        <w:t> </w:t>
      </w:r>
      <w:r>
        <w:rPr/>
        <w:t>of</w:t>
      </w:r>
      <w:r>
        <w:rPr>
          <w:spacing w:val="-8"/>
        </w:rPr>
        <w:t> </w:t>
      </w:r>
      <w:r>
        <w:rPr/>
        <w:t>their</w:t>
      </w:r>
      <w:r>
        <w:rPr>
          <w:spacing w:val="-8"/>
        </w:rPr>
        <w:t> </w:t>
      </w:r>
      <w:r>
        <w:rPr/>
        <w:t>home</w:t>
      </w:r>
      <w:r>
        <w:rPr>
          <w:spacing w:val="-8"/>
        </w:rPr>
        <w:t> </w:t>
      </w:r>
      <w:r>
        <w:rPr/>
        <w:t>or</w:t>
      </w:r>
      <w:r>
        <w:rPr>
          <w:spacing w:val="-8"/>
        </w:rPr>
        <w:t> </w:t>
      </w:r>
      <w:r>
        <w:rPr/>
        <w:t>office,</w:t>
      </w:r>
      <w:r>
        <w:rPr>
          <w:spacing w:val="-8"/>
        </w:rPr>
        <w:t> </w:t>
      </w:r>
      <w:r>
        <w:rPr/>
        <w:t>at</w:t>
      </w:r>
      <w:r>
        <w:rPr>
          <w:spacing w:val="-7"/>
        </w:rPr>
        <w:t> </w:t>
      </w:r>
      <w:r>
        <w:rPr/>
        <w:t>a</w:t>
      </w:r>
      <w:r>
        <w:rPr>
          <w:spacing w:val="-8"/>
        </w:rPr>
        <w:t> </w:t>
      </w:r>
      <w:r>
        <w:rPr/>
        <w:t>time</w:t>
      </w:r>
    </w:p>
    <w:p>
      <w:pPr>
        <w:pStyle w:val="BodyText"/>
        <w:spacing w:before="4"/>
        <w:ind w:left="428"/>
      </w:pPr>
      <w:r>
        <w:rPr/>
        <w:t>that suits them.</w:t>
      </w:r>
    </w:p>
    <w:p>
      <w:pPr>
        <w:pStyle w:val="BodyText"/>
        <w:spacing w:before="11"/>
        <w:rPr>
          <w:sz w:val="23"/>
        </w:rPr>
      </w:pPr>
    </w:p>
    <w:p>
      <w:pPr>
        <w:pStyle w:val="BodyText"/>
        <w:spacing w:line="249" w:lineRule="auto"/>
        <w:ind w:left="428" w:right="6248"/>
      </w:pPr>
      <w:r>
        <w:rPr/>
        <w:t>A</w:t>
      </w:r>
      <w:r>
        <w:rPr>
          <w:spacing w:val="-13"/>
        </w:rPr>
        <w:t> </w:t>
      </w:r>
      <w:r>
        <w:rPr/>
        <w:t>total</w:t>
      </w:r>
      <w:r>
        <w:rPr>
          <w:spacing w:val="-13"/>
        </w:rPr>
        <w:t> </w:t>
      </w:r>
      <w:r>
        <w:rPr/>
        <w:t>of</w:t>
      </w:r>
      <w:r>
        <w:rPr>
          <w:spacing w:val="-12"/>
        </w:rPr>
        <w:t> </w:t>
      </w:r>
      <w:r>
        <w:rPr/>
        <w:t>506</w:t>
      </w:r>
      <w:r>
        <w:rPr>
          <w:spacing w:val="-13"/>
        </w:rPr>
        <w:t> </w:t>
      </w:r>
      <w:r>
        <w:rPr/>
        <w:t>transactions</w:t>
      </w:r>
      <w:r>
        <w:rPr>
          <w:spacing w:val="-13"/>
        </w:rPr>
        <w:t> </w:t>
      </w:r>
      <w:r>
        <w:rPr/>
        <w:t>were</w:t>
      </w:r>
      <w:r>
        <w:rPr>
          <w:spacing w:val="-12"/>
        </w:rPr>
        <w:t> </w:t>
      </w:r>
      <w:r>
        <w:rPr/>
        <w:t>lodged</w:t>
      </w:r>
      <w:r>
        <w:rPr>
          <w:spacing w:val="-13"/>
        </w:rPr>
        <w:t> </w:t>
      </w:r>
      <w:r>
        <w:rPr/>
        <w:t>through the portal in 2017-18 which, when added to transactions</w:t>
      </w:r>
      <w:r>
        <w:rPr>
          <w:spacing w:val="-30"/>
        </w:rPr>
        <w:t> </w:t>
      </w:r>
      <w:r>
        <w:rPr/>
        <w:t>lodged</w:t>
      </w:r>
      <w:r>
        <w:rPr>
          <w:spacing w:val="-30"/>
        </w:rPr>
        <w:t> </w:t>
      </w:r>
      <w:r>
        <w:rPr/>
        <w:t>through</w:t>
      </w:r>
      <w:r>
        <w:rPr>
          <w:spacing w:val="-30"/>
        </w:rPr>
        <w:t> </w:t>
      </w:r>
      <w:r>
        <w:rPr/>
        <w:t>the</w:t>
      </w:r>
      <w:r>
        <w:rPr>
          <w:spacing w:val="-30"/>
        </w:rPr>
        <w:t> </w:t>
      </w:r>
      <w:r>
        <w:rPr/>
        <w:t>Revenue</w:t>
      </w:r>
      <w:r>
        <w:rPr>
          <w:spacing w:val="-30"/>
        </w:rPr>
        <w:t> </w:t>
      </w:r>
      <w:r>
        <w:rPr>
          <w:spacing w:val="-3"/>
        </w:rPr>
        <w:t>Online </w:t>
      </w:r>
      <w:r>
        <w:rPr/>
        <w:t>system, increases the proportion of documents lodged electronically for assessment to almost 50 per</w:t>
      </w:r>
      <w:r>
        <w:rPr>
          <w:spacing w:val="-1"/>
        </w:rPr>
        <w:t> </w:t>
      </w:r>
      <w:r>
        <w:rPr/>
        <w:t>cent.</w:t>
      </w:r>
    </w:p>
    <w:p>
      <w:pPr>
        <w:pStyle w:val="BodyText"/>
        <w:spacing w:before="5"/>
        <w:rPr>
          <w:sz w:val="23"/>
        </w:rPr>
      </w:pPr>
    </w:p>
    <w:p>
      <w:pPr>
        <w:pStyle w:val="BodyText"/>
        <w:spacing w:line="249" w:lineRule="auto"/>
        <w:ind w:left="428" w:right="6652"/>
      </w:pPr>
      <w:r>
        <w:rPr/>
        <w:t>The</w:t>
      </w:r>
      <w:r>
        <w:rPr>
          <w:spacing w:val="-27"/>
        </w:rPr>
        <w:t> </w:t>
      </w:r>
      <w:r>
        <w:rPr/>
        <w:t>popularity</w:t>
      </w:r>
      <w:r>
        <w:rPr>
          <w:spacing w:val="-26"/>
        </w:rPr>
        <w:t> </w:t>
      </w:r>
      <w:r>
        <w:rPr/>
        <w:t>of</w:t>
      </w:r>
      <w:r>
        <w:rPr>
          <w:spacing w:val="-26"/>
        </w:rPr>
        <w:t> </w:t>
      </w:r>
      <w:r>
        <w:rPr/>
        <w:t>digital</w:t>
      </w:r>
      <w:r>
        <w:rPr>
          <w:spacing w:val="-26"/>
        </w:rPr>
        <w:t> </w:t>
      </w:r>
      <w:r>
        <w:rPr/>
        <w:t>services</w:t>
      </w:r>
      <w:r>
        <w:rPr>
          <w:spacing w:val="-26"/>
        </w:rPr>
        <w:t> </w:t>
      </w:r>
      <w:r>
        <w:rPr/>
        <w:t>continues to </w:t>
      </w:r>
      <w:r>
        <w:rPr>
          <w:spacing w:val="-4"/>
        </w:rPr>
        <w:t>grow, </w:t>
      </w:r>
      <w:r>
        <w:rPr/>
        <w:t>with over 95 per cent of</w:t>
      </w:r>
      <w:r>
        <w:rPr>
          <w:spacing w:val="-41"/>
        </w:rPr>
        <w:t> </w:t>
      </w:r>
      <w:r>
        <w:rPr>
          <w:spacing w:val="-3"/>
        </w:rPr>
        <w:t>approved</w:t>
      </w:r>
    </w:p>
    <w:p>
      <w:pPr>
        <w:pStyle w:val="BodyText"/>
        <w:spacing w:line="249" w:lineRule="auto" w:before="2"/>
        <w:ind w:left="428" w:right="6345"/>
      </w:pPr>
      <w:r>
        <w:rPr>
          <w:w w:val="95"/>
        </w:rPr>
        <w:t>transactions self-assessed by Revenue Online </w:t>
      </w:r>
      <w:r>
        <w:rPr/>
        <w:t>clients.</w:t>
      </w:r>
    </w:p>
    <w:p>
      <w:pPr>
        <w:spacing w:after="0" w:line="249" w:lineRule="auto"/>
        <w:sectPr>
          <w:type w:val="continuous"/>
          <w:pgSz w:w="16840" w:h="11910" w:orient="landscape"/>
          <w:pgMar w:top="1100" w:bottom="280" w:left="0" w:right="0"/>
          <w:cols w:num="2" w:equalWidth="0">
            <w:col w:w="5542" w:space="40"/>
            <w:col w:w="11258"/>
          </w:cols>
        </w:sectPr>
      </w:pPr>
    </w:p>
    <w:p>
      <w:pPr>
        <w:pStyle w:val="BodyText"/>
        <w:spacing w:before="1"/>
        <w:rPr>
          <w:sz w:val="24"/>
        </w:rPr>
      </w:pPr>
      <w:r>
        <w:rPr/>
        <w:pict>
          <v:group style="position:absolute;margin-left:240.539398pt;margin-top:.000001pt;width:601.4pt;height:595.3pt;mso-position-horizontal-relative:page;mso-position-vertical-relative:page;z-index:-707464" coordorigin="4811,0" coordsize="12028,11906">
            <v:shape style="position:absolute;left:6462;top:149;width:10376;height:11756" type="#_x0000_t75" stroked="false">
              <v:imagedata r:id="rId67" o:title=""/>
            </v:shape>
            <v:shape style="position:absolute;left:11271;top:2182;width:4621;height:4621" type="#_x0000_t75" stroked="false">
              <v:imagedata r:id="rId68" o:title=""/>
            </v:shape>
            <v:shape style="position:absolute;left:11557;top:2467;width:4051;height:4051" type="#_x0000_t75" stroked="false">
              <v:imagedata r:id="rId69" o:title=""/>
            </v:shape>
            <v:rect style="position:absolute;left:4810;top:0;width:2406;height:851" filled="true" fillcolor="#d4d896"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c3acc4" stroked="false">
              <v:fill type="solid"/>
            </v:rect>
            <v:rect style="position:absolute;left:14432;top:0;width:2406;height:851" filled="true" fillcolor="#bba1bc" stroked="false">
              <v:fill type="solid"/>
            </v:rect>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p>
    <w:p>
      <w:pPr>
        <w:tabs>
          <w:tab w:pos="10886" w:val="left" w:leader="none"/>
          <w:tab w:pos="11199" w:val="left" w:leader="none"/>
          <w:tab w:pos="15849" w:val="left" w:leader="none"/>
        </w:tabs>
        <w:spacing w:before="108"/>
        <w:ind w:left="765" w:right="0" w:firstLine="0"/>
        <w:jc w:val="left"/>
        <w:rPr>
          <w:b/>
          <w:sz w:val="20"/>
        </w:rPr>
      </w:pPr>
      <w:r>
        <w:rPr/>
        <w:pict>
          <v:group style="position:absolute;margin-left:0pt;margin-top:-9.455017pt;width:24.1pt;height:41.55pt;mso-position-horizontal-relative:page;mso-position-vertical-relative:paragraph;z-index:505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FFFFFF"/>
          <w:w w:val="100"/>
          <w:sz w:val="20"/>
          <w:u w:val="single" w:color="939598"/>
        </w:rPr>
        <w:t> </w:t>
      </w:r>
      <w:r>
        <w:rPr>
          <w:b/>
          <w:color w:val="FFFFFF"/>
          <w:sz w:val="20"/>
          <w:u w:val="single" w:color="939598"/>
        </w:rPr>
        <w:tab/>
      </w:r>
      <w:r>
        <w:rPr>
          <w:b/>
          <w:color w:val="FFFFFF"/>
          <w:sz w:val="20"/>
        </w:rPr>
        <w:tab/>
        <w:t>Department of Finance Annual</w:t>
      </w:r>
      <w:r>
        <w:rPr>
          <w:b/>
          <w:color w:val="FFFFFF"/>
          <w:spacing w:val="12"/>
          <w:sz w:val="20"/>
        </w:rPr>
        <w:t> </w:t>
      </w:r>
      <w:r>
        <w:rPr>
          <w:b/>
          <w:color w:val="FFFFFF"/>
          <w:sz w:val="20"/>
        </w:rPr>
        <w:t>Report</w:t>
      </w:r>
      <w:r>
        <w:rPr>
          <w:b/>
          <w:color w:val="FFFFFF"/>
          <w:spacing w:val="3"/>
          <w:sz w:val="20"/>
        </w:rPr>
        <w:t> </w:t>
      </w:r>
      <w:r>
        <w:rPr>
          <w:b/>
          <w:color w:val="FFFFFF"/>
          <w:sz w:val="20"/>
        </w:rPr>
        <w:t>2017-18</w:t>
        <w:tab/>
        <w:t>17</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10" w:id="11"/>
      <w:bookmarkEnd w:id="11"/>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7"/>
        <w:rPr>
          <w:b/>
          <w:sz w:val="24"/>
        </w:rPr>
      </w:pPr>
    </w:p>
    <w:p>
      <w:pPr>
        <w:spacing w:before="116"/>
        <w:ind w:left="1074" w:right="0" w:firstLine="0"/>
        <w:jc w:val="left"/>
        <w:rPr>
          <w:b/>
          <w:sz w:val="43"/>
        </w:rPr>
      </w:pPr>
      <w:r>
        <w:rPr/>
        <w:pict>
          <v:group style="position:absolute;margin-left:38.268002pt;margin-top:-7.314259pt;width:765.4pt;height:481.9pt;mso-position-horizontal-relative:page;mso-position-vertical-relative:paragraph;z-index:-707248" coordorigin="765,-146" coordsize="15308,9638">
            <v:rect style="position:absolute;left:765;top:-147;width:15308;height:9638" filled="true" fillcolor="#f0eee8" stroked="false">
              <v:fill type="solid"/>
            </v:rect>
            <v:shape style="position:absolute;left:6498;top:4909;width:3472;height:3472" type="#_x0000_t75" stroked="false">
              <v:imagedata r:id="rId71" o:title=""/>
            </v:shape>
            <v:shape style="position:absolute;left:11024;top:3804;width:199;height:199" type="#_x0000_t75" stroked="false">
              <v:imagedata r:id="rId53" o:title=""/>
            </v:shape>
            <v:shape style="position:absolute;left:11024;top:4337;width:199;height:199" type="#_x0000_t75" stroked="false">
              <v:imagedata r:id="rId56" o:title=""/>
            </v:shape>
            <v:shape style="position:absolute;left:11024;top:4859;width:199;height:199" type="#_x0000_t75" stroked="false">
              <v:imagedata r:id="rId72" o:title=""/>
            </v:shape>
            <v:shape style="position:absolute;left:11024;top:5675;width:199;height:199" type="#_x0000_t75" stroked="false">
              <v:imagedata r:id="rId73" o:title=""/>
            </v:shape>
            <v:shape style="position:absolute;left:11024;top:6446;width:199;height:199" type="#_x0000_t75" stroked="false">
              <v:imagedata r:id="rId60" o:title=""/>
            </v:shape>
            <w10:wrap type="none"/>
          </v:group>
        </w:pict>
      </w:r>
      <w:r>
        <w:rPr/>
        <w:pict>
          <v:shape style="position:absolute;margin-left:601.348999pt;margin-top:-69.422256pt;width:120.3pt;height:42.55pt;mso-position-horizontal-relative:page;mso-position-vertical-relative:paragraph;z-index:532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9.422256pt;width:120.3pt;height:42.55pt;mso-position-horizontal-relative:page;mso-position-vertical-relative:paragraph;z-index:534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9.422256pt;width:120.3pt;height:42.55pt;mso-position-horizontal-relative:page;mso-position-vertical-relative:paragraph;z-index:536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43"/>
        </w:rPr>
        <w:t>Finance Takes the Lead in Transitioning to Digital WA</w:t>
      </w:r>
    </w:p>
    <w:p>
      <w:pPr>
        <w:pStyle w:val="BodyText"/>
        <w:rPr>
          <w:b/>
          <w:sz w:val="14"/>
        </w:rPr>
      </w:pPr>
    </w:p>
    <w:p>
      <w:pPr>
        <w:spacing w:after="0"/>
        <w:rPr>
          <w:sz w:val="14"/>
        </w:rPr>
        <w:sectPr>
          <w:footerReference w:type="default" r:id="rId70"/>
          <w:pgSz w:w="16840" w:h="11910" w:orient="landscape"/>
          <w:pgMar w:footer="0" w:header="0" w:top="0" w:bottom="0" w:left="0" w:right="0"/>
        </w:sectPr>
      </w:pPr>
    </w:p>
    <w:p>
      <w:pPr>
        <w:pStyle w:val="BodyText"/>
        <w:spacing w:line="249" w:lineRule="auto" w:before="106"/>
        <w:ind w:left="1108" w:right="-10"/>
      </w:pPr>
      <w:r>
        <w:rPr/>
        <w:t>Following the launch of the State Information and</w:t>
      </w:r>
      <w:r>
        <w:rPr>
          <w:spacing w:val="-40"/>
        </w:rPr>
        <w:t> </w:t>
      </w:r>
      <w:r>
        <w:rPr/>
        <w:t>Communications</w:t>
      </w:r>
      <w:r>
        <w:rPr>
          <w:spacing w:val="-40"/>
        </w:rPr>
        <w:t> </w:t>
      </w:r>
      <w:r>
        <w:rPr/>
        <w:t>Technology</w:t>
      </w:r>
      <w:r>
        <w:rPr>
          <w:spacing w:val="-40"/>
        </w:rPr>
        <w:t> </w:t>
      </w:r>
      <w:r>
        <w:rPr/>
        <w:t>(ICT)</w:t>
      </w:r>
      <w:r>
        <w:rPr>
          <w:spacing w:val="-40"/>
        </w:rPr>
        <w:t> </w:t>
      </w:r>
      <w:r>
        <w:rPr/>
        <w:t>Strategy </w:t>
      </w:r>
      <w:hyperlink r:id="rId74">
        <w:r>
          <w:rPr>
            <w:color w:val="6F2770"/>
            <w:u w:val="single" w:color="6F2770"/>
          </w:rPr>
          <w:t>Digital</w:t>
        </w:r>
        <w:r>
          <w:rPr>
            <w:color w:val="6F2770"/>
            <w:spacing w:val="-23"/>
            <w:u w:val="single" w:color="6F2770"/>
          </w:rPr>
          <w:t> </w:t>
        </w:r>
        <w:r>
          <w:rPr>
            <w:color w:val="6F2770"/>
            <w:spacing w:val="-3"/>
            <w:u w:val="single" w:color="6F2770"/>
          </w:rPr>
          <w:t>WA</w:t>
        </w:r>
      </w:hyperlink>
      <w:r>
        <w:rPr>
          <w:spacing w:val="-3"/>
        </w:rPr>
        <w:t>,</w:t>
      </w:r>
      <w:r>
        <w:rPr>
          <w:spacing w:val="-22"/>
        </w:rPr>
        <w:t> </w:t>
      </w:r>
      <w:r>
        <w:rPr/>
        <w:t>the</w:t>
      </w:r>
      <w:r>
        <w:rPr>
          <w:spacing w:val="-22"/>
        </w:rPr>
        <w:t> </w:t>
      </w:r>
      <w:r>
        <w:rPr/>
        <w:t>Department</w:t>
      </w:r>
      <w:r>
        <w:rPr>
          <w:spacing w:val="-22"/>
        </w:rPr>
        <w:t> </w:t>
      </w:r>
      <w:r>
        <w:rPr/>
        <w:t>of</w:t>
      </w:r>
      <w:r>
        <w:rPr>
          <w:spacing w:val="-22"/>
        </w:rPr>
        <w:t> </w:t>
      </w:r>
      <w:r>
        <w:rPr/>
        <w:t>Finance</w:t>
      </w:r>
      <w:r>
        <w:rPr>
          <w:spacing w:val="-22"/>
        </w:rPr>
        <w:t> </w:t>
      </w:r>
      <w:r>
        <w:rPr/>
        <w:t>has</w:t>
      </w:r>
      <w:r>
        <w:rPr>
          <w:spacing w:val="-22"/>
        </w:rPr>
        <w:t> </w:t>
      </w:r>
      <w:r>
        <w:rPr/>
        <w:t>been an</w:t>
      </w:r>
      <w:r>
        <w:rPr>
          <w:spacing w:val="-26"/>
        </w:rPr>
        <w:t> </w:t>
      </w:r>
      <w:r>
        <w:rPr/>
        <w:t>early</w:t>
      </w:r>
      <w:r>
        <w:rPr>
          <w:spacing w:val="-26"/>
        </w:rPr>
        <w:t> </w:t>
      </w:r>
      <w:r>
        <w:rPr/>
        <w:t>mover</w:t>
      </w:r>
      <w:r>
        <w:rPr>
          <w:spacing w:val="-26"/>
        </w:rPr>
        <w:t> </w:t>
      </w:r>
      <w:r>
        <w:rPr/>
        <w:t>among</w:t>
      </w:r>
      <w:r>
        <w:rPr>
          <w:spacing w:val="-26"/>
        </w:rPr>
        <w:t> </w:t>
      </w:r>
      <w:r>
        <w:rPr/>
        <w:t>government</w:t>
      </w:r>
      <w:r>
        <w:rPr>
          <w:spacing w:val="-26"/>
        </w:rPr>
        <w:t> </w:t>
      </w:r>
      <w:r>
        <w:rPr/>
        <w:t>departments in</w:t>
      </w:r>
      <w:r>
        <w:rPr>
          <w:spacing w:val="-13"/>
        </w:rPr>
        <w:t> </w:t>
      </w:r>
      <w:r>
        <w:rPr/>
        <w:t>aligning</w:t>
      </w:r>
      <w:r>
        <w:rPr>
          <w:spacing w:val="-13"/>
        </w:rPr>
        <w:t> </w:t>
      </w:r>
      <w:r>
        <w:rPr/>
        <w:t>its</w:t>
      </w:r>
      <w:r>
        <w:rPr>
          <w:spacing w:val="-12"/>
        </w:rPr>
        <w:t> </w:t>
      </w:r>
      <w:r>
        <w:rPr/>
        <w:t>ICT</w:t>
      </w:r>
      <w:r>
        <w:rPr>
          <w:spacing w:val="-13"/>
        </w:rPr>
        <w:t> </w:t>
      </w:r>
      <w:r>
        <w:rPr/>
        <w:t>services</w:t>
      </w:r>
      <w:r>
        <w:rPr>
          <w:spacing w:val="-12"/>
        </w:rPr>
        <w:t> </w:t>
      </w:r>
      <w:r>
        <w:rPr>
          <w:spacing w:val="-3"/>
        </w:rPr>
        <w:t>to</w:t>
      </w:r>
      <w:r>
        <w:rPr>
          <w:spacing w:val="-13"/>
        </w:rPr>
        <w:t> </w:t>
      </w:r>
      <w:r>
        <w:rPr/>
        <w:t>this</w:t>
      </w:r>
      <w:r>
        <w:rPr>
          <w:spacing w:val="-12"/>
        </w:rPr>
        <w:t> </w:t>
      </w:r>
      <w:r>
        <w:rPr/>
        <w:t>new</w:t>
      </w:r>
      <w:r>
        <w:rPr>
          <w:spacing w:val="-13"/>
        </w:rPr>
        <w:t> </w:t>
      </w:r>
      <w:r>
        <w:rPr/>
        <w:t>vision.</w:t>
      </w:r>
    </w:p>
    <w:p>
      <w:pPr>
        <w:pStyle w:val="BodyText"/>
        <w:spacing w:before="4"/>
        <w:rPr>
          <w:sz w:val="23"/>
        </w:rPr>
      </w:pPr>
    </w:p>
    <w:p>
      <w:pPr>
        <w:pStyle w:val="BodyText"/>
        <w:spacing w:line="249" w:lineRule="auto"/>
        <w:ind w:left="1108" w:right="74"/>
      </w:pPr>
      <w:r>
        <w:rPr/>
        <w:t>With the Department’s Corporate Executive identifying the transition </w:t>
      </w:r>
      <w:r>
        <w:rPr>
          <w:spacing w:val="-3"/>
        </w:rPr>
        <w:t>to </w:t>
      </w:r>
      <w:r>
        <w:rPr/>
        <w:t>the Digital </w:t>
      </w:r>
      <w:r>
        <w:rPr>
          <w:spacing w:val="-5"/>
        </w:rPr>
        <w:t>WA </w:t>
      </w:r>
      <w:r>
        <w:rPr/>
        <w:t>strategy</w:t>
      </w:r>
      <w:r>
        <w:rPr>
          <w:spacing w:val="-38"/>
        </w:rPr>
        <w:t> </w:t>
      </w:r>
      <w:r>
        <w:rPr/>
        <w:t>as</w:t>
      </w:r>
      <w:r>
        <w:rPr>
          <w:spacing w:val="-38"/>
        </w:rPr>
        <w:t> </w:t>
      </w:r>
      <w:r>
        <w:rPr/>
        <w:t>a</w:t>
      </w:r>
      <w:r>
        <w:rPr>
          <w:spacing w:val="-37"/>
        </w:rPr>
        <w:t> </w:t>
      </w:r>
      <w:r>
        <w:rPr/>
        <w:t>business</w:t>
      </w:r>
      <w:r>
        <w:rPr>
          <w:spacing w:val="-38"/>
        </w:rPr>
        <w:t> </w:t>
      </w:r>
      <w:r>
        <w:rPr/>
        <w:t>priority,</w:t>
      </w:r>
      <w:r>
        <w:rPr>
          <w:spacing w:val="-37"/>
        </w:rPr>
        <w:t> </w:t>
      </w:r>
      <w:r>
        <w:rPr/>
        <w:t>several</w:t>
      </w:r>
      <w:r>
        <w:rPr>
          <w:spacing w:val="-38"/>
        </w:rPr>
        <w:t> </w:t>
      </w:r>
      <w:r>
        <w:rPr/>
        <w:t>initiatives commenced </w:t>
      </w:r>
      <w:r>
        <w:rPr>
          <w:spacing w:val="-3"/>
        </w:rPr>
        <w:t>to </w:t>
      </w:r>
      <w:r>
        <w:rPr/>
        <w:t>ensure Finance is ready</w:t>
      </w:r>
      <w:r>
        <w:rPr>
          <w:spacing w:val="-44"/>
        </w:rPr>
        <w:t> </w:t>
      </w:r>
      <w:r>
        <w:rPr>
          <w:spacing w:val="-3"/>
        </w:rPr>
        <w:t>to</w:t>
      </w:r>
    </w:p>
    <w:p>
      <w:pPr>
        <w:pStyle w:val="BodyText"/>
        <w:spacing w:line="249" w:lineRule="auto" w:before="4"/>
        <w:ind w:left="1108" w:right="355"/>
      </w:pPr>
      <w:r>
        <w:rPr/>
        <w:t>take</w:t>
      </w:r>
      <w:r>
        <w:rPr>
          <w:spacing w:val="-31"/>
        </w:rPr>
        <w:t> </w:t>
      </w:r>
      <w:r>
        <w:rPr/>
        <w:t>advantage</w:t>
      </w:r>
      <w:r>
        <w:rPr>
          <w:spacing w:val="-30"/>
        </w:rPr>
        <w:t> </w:t>
      </w:r>
      <w:r>
        <w:rPr/>
        <w:t>of</w:t>
      </w:r>
      <w:r>
        <w:rPr>
          <w:spacing w:val="-31"/>
        </w:rPr>
        <w:t> </w:t>
      </w:r>
      <w:r>
        <w:rPr/>
        <w:t>enhanced</w:t>
      </w:r>
      <w:r>
        <w:rPr>
          <w:spacing w:val="-30"/>
        </w:rPr>
        <w:t> </w:t>
      </w:r>
      <w:r>
        <w:rPr/>
        <w:t>service</w:t>
      </w:r>
      <w:r>
        <w:rPr>
          <w:spacing w:val="-31"/>
        </w:rPr>
        <w:t> </w:t>
      </w:r>
      <w:r>
        <w:rPr/>
        <w:t>delivery outcomes and cost</w:t>
      </w:r>
      <w:r>
        <w:rPr>
          <w:spacing w:val="-6"/>
        </w:rPr>
        <w:t> </w:t>
      </w:r>
      <w:r>
        <w:rPr/>
        <w:t>benefits.</w:t>
      </w:r>
    </w:p>
    <w:p>
      <w:pPr>
        <w:pStyle w:val="BodyText"/>
        <w:spacing w:before="1"/>
        <w:rPr>
          <w:sz w:val="23"/>
        </w:rPr>
      </w:pPr>
    </w:p>
    <w:p>
      <w:pPr>
        <w:pStyle w:val="BodyText"/>
        <w:spacing w:line="249" w:lineRule="auto"/>
        <w:ind w:left="1108" w:right="74"/>
      </w:pPr>
      <w:r>
        <w:rPr/>
        <w:t>Engagement with the previous Office of the </w:t>
      </w:r>
      <w:r>
        <w:rPr>
          <w:w w:val="95"/>
        </w:rPr>
        <w:t>Government Chief Information Officer (OGCIO) </w:t>
      </w:r>
      <w:r>
        <w:rPr/>
        <w:t>on this initiative includes participation, as one of nine lead agencies, on the GovNext-ICT Program Board, and representation on the Digital WA Board and the Directors General ICT Council. In addition, the Department has migrated a significant portion of all office software to Microsoft Office 365 and initiated the Digital Finance Transition Program to migrate applications and infrastructure</w:t>
      </w:r>
    </w:p>
    <w:p>
      <w:pPr>
        <w:pStyle w:val="BodyText"/>
        <w:spacing w:before="10"/>
        <w:ind w:left="1108"/>
      </w:pPr>
      <w:r>
        <w:rPr/>
        <w:t>to the public cloud.</w:t>
      </w:r>
    </w:p>
    <w:p>
      <w:pPr>
        <w:pStyle w:val="BodyText"/>
        <w:spacing w:line="249" w:lineRule="auto" w:before="106"/>
        <w:ind w:left="326" w:right="587"/>
      </w:pPr>
      <w:r>
        <w:rPr/>
        <w:br w:type="column"/>
      </w:r>
      <w:r>
        <w:rPr/>
        <w:t>The</w:t>
      </w:r>
      <w:r>
        <w:rPr>
          <w:spacing w:val="-37"/>
        </w:rPr>
        <w:t> </w:t>
      </w:r>
      <w:r>
        <w:rPr/>
        <w:t>Digital</w:t>
      </w:r>
      <w:r>
        <w:rPr>
          <w:spacing w:val="-37"/>
        </w:rPr>
        <w:t> </w:t>
      </w:r>
      <w:r>
        <w:rPr/>
        <w:t>Finance</w:t>
      </w:r>
      <w:r>
        <w:rPr>
          <w:spacing w:val="-36"/>
        </w:rPr>
        <w:t> </w:t>
      </w:r>
      <w:r>
        <w:rPr>
          <w:spacing w:val="-3"/>
        </w:rPr>
        <w:t>Transition</w:t>
      </w:r>
      <w:r>
        <w:rPr>
          <w:spacing w:val="-37"/>
        </w:rPr>
        <w:t> </w:t>
      </w:r>
      <w:r>
        <w:rPr/>
        <w:t>Program</w:t>
      </w:r>
      <w:r>
        <w:rPr>
          <w:spacing w:val="-36"/>
        </w:rPr>
        <w:t> </w:t>
      </w:r>
      <w:r>
        <w:rPr/>
        <w:t>will empower the business through a secure, reliable and scalable</w:t>
      </w:r>
      <w:r>
        <w:rPr>
          <w:spacing w:val="-17"/>
        </w:rPr>
        <w:t> </w:t>
      </w:r>
      <w:r>
        <w:rPr/>
        <w:t>on-demand</w:t>
      </w:r>
    </w:p>
    <w:p>
      <w:pPr>
        <w:pStyle w:val="BodyText"/>
        <w:spacing w:line="249" w:lineRule="auto" w:before="3"/>
        <w:ind w:left="326" w:right="-11"/>
      </w:pPr>
      <w:r>
        <w:rPr/>
        <w:t>consumption-based</w:t>
      </w:r>
      <w:r>
        <w:rPr>
          <w:spacing w:val="-33"/>
        </w:rPr>
        <w:t> </w:t>
      </w:r>
      <w:r>
        <w:rPr/>
        <w:t>ICT</w:t>
      </w:r>
      <w:r>
        <w:rPr>
          <w:spacing w:val="-32"/>
        </w:rPr>
        <w:t> </w:t>
      </w:r>
      <w:r>
        <w:rPr/>
        <w:t>service</w:t>
      </w:r>
      <w:r>
        <w:rPr>
          <w:spacing w:val="-32"/>
        </w:rPr>
        <w:t> </w:t>
      </w:r>
      <w:r>
        <w:rPr/>
        <w:t>model,</w:t>
      </w:r>
      <w:r>
        <w:rPr>
          <w:spacing w:val="-32"/>
        </w:rPr>
        <w:t> </w:t>
      </w:r>
      <w:r>
        <w:rPr/>
        <w:t>enabling Finance</w:t>
      </w:r>
      <w:r>
        <w:rPr>
          <w:spacing w:val="-22"/>
        </w:rPr>
        <w:t> </w:t>
      </w:r>
      <w:r>
        <w:rPr>
          <w:spacing w:val="-3"/>
        </w:rPr>
        <w:t>to</w:t>
      </w:r>
      <w:r>
        <w:rPr>
          <w:spacing w:val="-22"/>
        </w:rPr>
        <w:t> </w:t>
      </w:r>
      <w:r>
        <w:rPr/>
        <w:t>achieve</w:t>
      </w:r>
      <w:r>
        <w:rPr>
          <w:spacing w:val="-22"/>
        </w:rPr>
        <w:t> </w:t>
      </w:r>
      <w:r>
        <w:rPr/>
        <w:t>its</w:t>
      </w:r>
      <w:r>
        <w:rPr>
          <w:spacing w:val="-22"/>
        </w:rPr>
        <w:t> </w:t>
      </w:r>
      <w:r>
        <w:rPr/>
        <w:t>strategic</w:t>
      </w:r>
      <w:r>
        <w:rPr>
          <w:spacing w:val="-21"/>
        </w:rPr>
        <w:t> </w:t>
      </w:r>
      <w:r>
        <w:rPr/>
        <w:t>objectives</w:t>
      </w:r>
      <w:r>
        <w:rPr>
          <w:spacing w:val="-22"/>
        </w:rPr>
        <w:t> </w:t>
      </w:r>
      <w:r>
        <w:rPr/>
        <w:t>while delivering</w:t>
      </w:r>
      <w:r>
        <w:rPr>
          <w:spacing w:val="-14"/>
        </w:rPr>
        <w:t> </w:t>
      </w:r>
      <w:r>
        <w:rPr/>
        <w:t>ongoing</w:t>
      </w:r>
      <w:r>
        <w:rPr>
          <w:spacing w:val="-13"/>
        </w:rPr>
        <w:t> </w:t>
      </w:r>
      <w:r>
        <w:rPr/>
        <w:t>efficiencies</w:t>
      </w:r>
      <w:r>
        <w:rPr>
          <w:spacing w:val="-14"/>
        </w:rPr>
        <w:t> </w:t>
      </w:r>
      <w:r>
        <w:rPr/>
        <w:t>and</w:t>
      </w:r>
      <w:r>
        <w:rPr>
          <w:spacing w:val="-13"/>
        </w:rPr>
        <w:t> </w:t>
      </w:r>
      <w:r>
        <w:rPr/>
        <w:t>savings.</w:t>
      </w:r>
    </w:p>
    <w:p>
      <w:pPr>
        <w:pStyle w:val="BodyText"/>
        <w:spacing w:before="2"/>
        <w:rPr>
          <w:sz w:val="23"/>
        </w:rPr>
      </w:pPr>
    </w:p>
    <w:p>
      <w:pPr>
        <w:pStyle w:val="BodyText"/>
        <w:spacing w:line="249" w:lineRule="auto"/>
        <w:ind w:left="326" w:right="287"/>
      </w:pPr>
      <w:r>
        <w:rPr/>
        <w:t>The Digital Finance </w:t>
      </w:r>
      <w:r>
        <w:rPr>
          <w:spacing w:val="-3"/>
        </w:rPr>
        <w:t>Transition </w:t>
      </w:r>
      <w:r>
        <w:rPr/>
        <w:t>Program has undertaken independent assurance through the</w:t>
      </w:r>
      <w:r>
        <w:rPr>
          <w:spacing w:val="-27"/>
        </w:rPr>
        <w:t> </w:t>
      </w:r>
      <w:r>
        <w:rPr/>
        <w:t>Gateway</w:t>
      </w:r>
      <w:r>
        <w:rPr>
          <w:spacing w:val="-26"/>
        </w:rPr>
        <w:t> </w:t>
      </w:r>
      <w:r>
        <w:rPr/>
        <w:t>Review</w:t>
      </w:r>
      <w:r>
        <w:rPr>
          <w:spacing w:val="-26"/>
        </w:rPr>
        <w:t> </w:t>
      </w:r>
      <w:r>
        <w:rPr/>
        <w:t>process,</w:t>
      </w:r>
      <w:r>
        <w:rPr>
          <w:spacing w:val="-26"/>
        </w:rPr>
        <w:t> </w:t>
      </w:r>
      <w:r>
        <w:rPr/>
        <w:t>which</w:t>
      </w:r>
      <w:r>
        <w:rPr>
          <w:spacing w:val="-27"/>
        </w:rPr>
        <w:t> </w:t>
      </w:r>
      <w:r>
        <w:rPr/>
        <w:t>gave</w:t>
      </w:r>
      <w:r>
        <w:rPr>
          <w:spacing w:val="-26"/>
        </w:rPr>
        <w:t> </w:t>
      </w:r>
      <w:r>
        <w:rPr/>
        <w:t>the Program</w:t>
      </w:r>
      <w:r>
        <w:rPr>
          <w:spacing w:val="-16"/>
        </w:rPr>
        <w:t> </w:t>
      </w:r>
      <w:r>
        <w:rPr/>
        <w:t>a</w:t>
      </w:r>
      <w:r>
        <w:rPr>
          <w:spacing w:val="-16"/>
        </w:rPr>
        <w:t> </w:t>
      </w:r>
      <w:r>
        <w:rPr/>
        <w:t>Green</w:t>
      </w:r>
      <w:r>
        <w:rPr>
          <w:spacing w:val="-16"/>
        </w:rPr>
        <w:t> </w:t>
      </w:r>
      <w:r>
        <w:rPr/>
        <w:t>rating.</w:t>
      </w:r>
      <w:r>
        <w:rPr>
          <w:spacing w:val="-16"/>
        </w:rPr>
        <w:t> </w:t>
      </w:r>
      <w:r>
        <w:rPr/>
        <w:t>The</w:t>
      </w:r>
      <w:r>
        <w:rPr>
          <w:spacing w:val="-16"/>
        </w:rPr>
        <w:t> </w:t>
      </w:r>
      <w:r>
        <w:rPr/>
        <w:t>Review</w:t>
      </w:r>
      <w:r>
        <w:rPr>
          <w:spacing w:val="-16"/>
        </w:rPr>
        <w:t> </w:t>
      </w:r>
      <w:r>
        <w:rPr/>
        <w:t>team</w:t>
      </w:r>
    </w:p>
    <w:p>
      <w:pPr>
        <w:pStyle w:val="BodyText"/>
        <w:spacing w:line="249" w:lineRule="auto" w:before="4"/>
        <w:ind w:left="326" w:right="54"/>
      </w:pPr>
      <w:r>
        <w:rPr/>
        <w:t>determined</w:t>
      </w:r>
      <w:r>
        <w:rPr>
          <w:spacing w:val="-23"/>
        </w:rPr>
        <w:t> </w:t>
      </w:r>
      <w:r>
        <w:rPr/>
        <w:t>there</w:t>
      </w:r>
      <w:r>
        <w:rPr>
          <w:spacing w:val="-22"/>
        </w:rPr>
        <w:t> </w:t>
      </w:r>
      <w:r>
        <w:rPr/>
        <w:t>is</w:t>
      </w:r>
      <w:r>
        <w:rPr>
          <w:spacing w:val="-22"/>
        </w:rPr>
        <w:t> </w:t>
      </w:r>
      <w:r>
        <w:rPr/>
        <w:t>good</w:t>
      </w:r>
      <w:r>
        <w:rPr>
          <w:spacing w:val="-23"/>
        </w:rPr>
        <w:t> </w:t>
      </w:r>
      <w:r>
        <w:rPr/>
        <w:t>evidence</w:t>
      </w:r>
      <w:r>
        <w:rPr>
          <w:spacing w:val="-22"/>
        </w:rPr>
        <w:t> </w:t>
      </w:r>
      <w:r>
        <w:rPr/>
        <w:t>the</w:t>
      </w:r>
      <w:r>
        <w:rPr>
          <w:spacing w:val="-22"/>
        </w:rPr>
        <w:t> </w:t>
      </w:r>
      <w:r>
        <w:rPr/>
        <w:t>Program is well-placed </w:t>
      </w:r>
      <w:r>
        <w:rPr>
          <w:spacing w:val="-3"/>
        </w:rPr>
        <w:t>to </w:t>
      </w:r>
      <w:r>
        <w:rPr/>
        <w:t>deliver on all of the original investment</w:t>
      </w:r>
      <w:r>
        <w:rPr>
          <w:spacing w:val="-2"/>
        </w:rPr>
        <w:t> </w:t>
      </w:r>
      <w:r>
        <w:rPr/>
        <w:t>outcomes.</w:t>
      </w:r>
    </w:p>
    <w:p>
      <w:pPr>
        <w:pStyle w:val="BodyText"/>
        <w:spacing w:line="249" w:lineRule="auto" w:before="106"/>
        <w:ind w:left="347" w:right="1455"/>
      </w:pPr>
      <w:r>
        <w:rPr/>
        <w:br w:type="column"/>
      </w:r>
      <w:r>
        <w:rPr/>
        <w:t>As</w:t>
      </w:r>
      <w:r>
        <w:rPr>
          <w:spacing w:val="-22"/>
        </w:rPr>
        <w:t> </w:t>
      </w:r>
      <w:r>
        <w:rPr/>
        <w:t>a</w:t>
      </w:r>
      <w:r>
        <w:rPr>
          <w:spacing w:val="-22"/>
        </w:rPr>
        <w:t> </w:t>
      </w:r>
      <w:r>
        <w:rPr/>
        <w:t>central</w:t>
      </w:r>
      <w:r>
        <w:rPr>
          <w:spacing w:val="-22"/>
        </w:rPr>
        <w:t> </w:t>
      </w:r>
      <w:r>
        <w:rPr/>
        <w:t>agency</w:t>
      </w:r>
      <w:r>
        <w:rPr>
          <w:spacing w:val="-22"/>
        </w:rPr>
        <w:t> </w:t>
      </w:r>
      <w:r>
        <w:rPr/>
        <w:t>servicing</w:t>
      </w:r>
      <w:r>
        <w:rPr>
          <w:spacing w:val="-21"/>
        </w:rPr>
        <w:t> </w:t>
      </w:r>
      <w:r>
        <w:rPr/>
        <w:t>other</w:t>
      </w:r>
      <w:r>
        <w:rPr>
          <w:spacing w:val="-22"/>
        </w:rPr>
        <w:t> </w:t>
      </w:r>
      <w:r>
        <w:rPr/>
        <w:t>agencies, the Department of Finance is well placed </w:t>
      </w:r>
      <w:r>
        <w:rPr>
          <w:spacing w:val="-3"/>
        </w:rPr>
        <w:t>to </w:t>
      </w:r>
      <w:r>
        <w:rPr/>
        <w:t>demonstrate</w:t>
      </w:r>
      <w:r>
        <w:rPr>
          <w:spacing w:val="-19"/>
        </w:rPr>
        <w:t> </w:t>
      </w:r>
      <w:r>
        <w:rPr/>
        <w:t>the</w:t>
      </w:r>
      <w:r>
        <w:rPr>
          <w:spacing w:val="-19"/>
        </w:rPr>
        <w:t> </w:t>
      </w:r>
      <w:r>
        <w:rPr/>
        <w:t>savings</w:t>
      </w:r>
      <w:r>
        <w:rPr>
          <w:spacing w:val="-19"/>
        </w:rPr>
        <w:t> </w:t>
      </w:r>
      <w:r>
        <w:rPr/>
        <w:t>that</w:t>
      </w:r>
      <w:r>
        <w:rPr>
          <w:spacing w:val="-18"/>
        </w:rPr>
        <w:t> </w:t>
      </w:r>
      <w:r>
        <w:rPr/>
        <w:t>can</w:t>
      </w:r>
      <w:r>
        <w:rPr>
          <w:spacing w:val="-19"/>
        </w:rPr>
        <w:t> </w:t>
      </w:r>
      <w:r>
        <w:rPr/>
        <w:t>be</w:t>
      </w:r>
      <w:r>
        <w:rPr>
          <w:spacing w:val="-19"/>
        </w:rPr>
        <w:t> </w:t>
      </w:r>
      <w:r>
        <w:rPr/>
        <w:t>realised by</w:t>
      </w:r>
      <w:r>
        <w:rPr>
          <w:spacing w:val="-19"/>
        </w:rPr>
        <w:t> </w:t>
      </w:r>
      <w:r>
        <w:rPr/>
        <w:t>adopting</w:t>
      </w:r>
      <w:r>
        <w:rPr>
          <w:spacing w:val="-19"/>
        </w:rPr>
        <w:t> </w:t>
      </w:r>
      <w:r>
        <w:rPr/>
        <w:t>the</w:t>
      </w:r>
      <w:r>
        <w:rPr>
          <w:spacing w:val="-19"/>
        </w:rPr>
        <w:t> </w:t>
      </w:r>
      <w:r>
        <w:rPr/>
        <w:t>Digital</w:t>
      </w:r>
      <w:r>
        <w:rPr>
          <w:spacing w:val="-19"/>
        </w:rPr>
        <w:t> </w:t>
      </w:r>
      <w:r>
        <w:rPr>
          <w:spacing w:val="-5"/>
        </w:rPr>
        <w:t>WA</w:t>
      </w:r>
      <w:r>
        <w:rPr>
          <w:spacing w:val="-19"/>
        </w:rPr>
        <w:t> </w:t>
      </w:r>
      <w:r>
        <w:rPr>
          <w:spacing w:val="-3"/>
        </w:rPr>
        <w:t>strategy,</w:t>
      </w:r>
      <w:r>
        <w:rPr>
          <w:spacing w:val="-19"/>
        </w:rPr>
        <w:t> </w:t>
      </w:r>
      <w:r>
        <w:rPr/>
        <w:t>as</w:t>
      </w:r>
      <w:r>
        <w:rPr>
          <w:spacing w:val="-18"/>
        </w:rPr>
        <w:t> </w:t>
      </w:r>
      <w:r>
        <w:rPr/>
        <w:t>well</w:t>
      </w:r>
      <w:r>
        <w:rPr>
          <w:spacing w:val="-19"/>
        </w:rPr>
        <w:t> </w:t>
      </w:r>
      <w:r>
        <w:rPr/>
        <w:t>as showcasing what is possible by transforming the way public services are designed, supported</w:t>
      </w:r>
      <w:r>
        <w:rPr>
          <w:spacing w:val="-13"/>
        </w:rPr>
        <w:t> </w:t>
      </w:r>
      <w:r>
        <w:rPr/>
        <w:t>and</w:t>
      </w:r>
      <w:r>
        <w:rPr>
          <w:spacing w:val="-12"/>
        </w:rPr>
        <w:t> </w:t>
      </w:r>
      <w:r>
        <w:rPr/>
        <w:t>delivered</w:t>
      </w:r>
      <w:r>
        <w:rPr>
          <w:spacing w:val="-12"/>
        </w:rPr>
        <w:t> </w:t>
      </w:r>
      <w:r>
        <w:rPr/>
        <w:t>for</w:t>
      </w:r>
      <w:r>
        <w:rPr>
          <w:spacing w:val="-12"/>
        </w:rPr>
        <w:t> </w:t>
      </w:r>
      <w:r>
        <w:rPr/>
        <w:t>the</w:t>
      </w:r>
      <w:r>
        <w:rPr>
          <w:spacing w:val="-12"/>
        </w:rPr>
        <w:t> </w:t>
      </w:r>
      <w:r>
        <w:rPr/>
        <w:t>community.</w:t>
      </w:r>
    </w:p>
    <w:p>
      <w:pPr>
        <w:pStyle w:val="BodyText"/>
        <w:spacing w:before="6"/>
        <w:rPr>
          <w:sz w:val="23"/>
        </w:rPr>
      </w:pPr>
    </w:p>
    <w:p>
      <w:pPr>
        <w:pStyle w:val="BodyText"/>
        <w:spacing w:line="249" w:lineRule="auto"/>
        <w:ind w:left="347" w:right="1619"/>
      </w:pPr>
      <w:r>
        <w:rPr>
          <w:spacing w:val="-3"/>
        </w:rPr>
        <w:t>Transition</w:t>
      </w:r>
      <w:r>
        <w:rPr>
          <w:spacing w:val="-37"/>
        </w:rPr>
        <w:t> </w:t>
      </w:r>
      <w:r>
        <w:rPr/>
        <w:t>benefits</w:t>
      </w:r>
      <w:r>
        <w:rPr>
          <w:spacing w:val="-37"/>
        </w:rPr>
        <w:t> </w:t>
      </w:r>
      <w:r>
        <w:rPr/>
        <w:t>are</w:t>
      </w:r>
      <w:r>
        <w:rPr>
          <w:spacing w:val="-37"/>
        </w:rPr>
        <w:t> </w:t>
      </w:r>
      <w:r>
        <w:rPr/>
        <w:t>already</w:t>
      </w:r>
      <w:r>
        <w:rPr>
          <w:spacing w:val="-36"/>
        </w:rPr>
        <w:t> </w:t>
      </w:r>
      <w:r>
        <w:rPr/>
        <w:t>being</w:t>
      </w:r>
      <w:r>
        <w:rPr>
          <w:spacing w:val="-37"/>
        </w:rPr>
        <w:t> </w:t>
      </w:r>
      <w:r>
        <w:rPr/>
        <w:t>realised and</w:t>
      </w:r>
      <w:r>
        <w:rPr>
          <w:spacing w:val="-1"/>
        </w:rPr>
        <w:t> </w:t>
      </w:r>
      <w:r>
        <w:rPr/>
        <w:t>include:</w:t>
      </w:r>
    </w:p>
    <w:p>
      <w:pPr>
        <w:pStyle w:val="BodyText"/>
        <w:spacing w:before="1"/>
        <w:rPr>
          <w:sz w:val="23"/>
        </w:rPr>
      </w:pPr>
    </w:p>
    <w:p>
      <w:pPr>
        <w:pStyle w:val="BodyText"/>
        <w:spacing w:line="501" w:lineRule="auto"/>
        <w:ind w:left="653" w:right="1712"/>
      </w:pPr>
      <w:r>
        <w:rPr/>
        <w:t>ICT</w:t>
      </w:r>
      <w:r>
        <w:rPr>
          <w:spacing w:val="-23"/>
        </w:rPr>
        <w:t> </w:t>
      </w:r>
      <w:r>
        <w:rPr/>
        <w:t>capital</w:t>
      </w:r>
      <w:r>
        <w:rPr>
          <w:spacing w:val="-23"/>
        </w:rPr>
        <w:t> </w:t>
      </w:r>
      <w:r>
        <w:rPr/>
        <w:t>expenditure</w:t>
      </w:r>
      <w:r>
        <w:rPr>
          <w:spacing w:val="-23"/>
        </w:rPr>
        <w:t> </w:t>
      </w:r>
      <w:r>
        <w:rPr/>
        <w:t>reduced</w:t>
      </w:r>
      <w:r>
        <w:rPr>
          <w:spacing w:val="-23"/>
        </w:rPr>
        <w:t> </w:t>
      </w:r>
      <w:r>
        <w:rPr>
          <w:spacing w:val="-3"/>
        </w:rPr>
        <w:t>to</w:t>
      </w:r>
      <w:r>
        <w:rPr>
          <w:spacing w:val="-23"/>
        </w:rPr>
        <w:t> </w:t>
      </w:r>
      <w:r>
        <w:rPr>
          <w:spacing w:val="-3"/>
        </w:rPr>
        <w:t>zero; </w:t>
      </w:r>
      <w:r>
        <w:rPr/>
        <w:t>decommissioning</w:t>
      </w:r>
      <w:r>
        <w:rPr>
          <w:spacing w:val="-23"/>
        </w:rPr>
        <w:t> </w:t>
      </w:r>
      <w:r>
        <w:rPr/>
        <w:t>of</w:t>
      </w:r>
      <w:r>
        <w:rPr>
          <w:spacing w:val="-22"/>
        </w:rPr>
        <w:t> </w:t>
      </w:r>
      <w:r>
        <w:rPr/>
        <w:t>three</w:t>
      </w:r>
      <w:r>
        <w:rPr>
          <w:spacing w:val="-22"/>
        </w:rPr>
        <w:t> </w:t>
      </w:r>
      <w:r>
        <w:rPr/>
        <w:t>data</w:t>
      </w:r>
      <w:r>
        <w:rPr>
          <w:spacing w:val="-22"/>
        </w:rPr>
        <w:t> </w:t>
      </w:r>
      <w:r>
        <w:rPr/>
        <w:t>centres;</w:t>
      </w:r>
    </w:p>
    <w:p>
      <w:pPr>
        <w:pStyle w:val="BodyText"/>
        <w:spacing w:line="249" w:lineRule="auto"/>
        <w:ind w:left="653" w:right="2009"/>
      </w:pPr>
      <w:r>
        <w:rPr/>
        <w:t>a</w:t>
      </w:r>
      <w:r>
        <w:rPr>
          <w:spacing w:val="-15"/>
        </w:rPr>
        <w:t> </w:t>
      </w:r>
      <w:r>
        <w:rPr/>
        <w:t>50</w:t>
      </w:r>
      <w:r>
        <w:rPr>
          <w:spacing w:val="-15"/>
        </w:rPr>
        <w:t> </w:t>
      </w:r>
      <w:r>
        <w:rPr/>
        <w:t>per</w:t>
      </w:r>
      <w:r>
        <w:rPr>
          <w:spacing w:val="-14"/>
        </w:rPr>
        <w:t> </w:t>
      </w:r>
      <w:r>
        <w:rPr/>
        <w:t>cent</w:t>
      </w:r>
      <w:r>
        <w:rPr>
          <w:spacing w:val="-15"/>
        </w:rPr>
        <w:t> </w:t>
      </w:r>
      <w:r>
        <w:rPr/>
        <w:t>reduction</w:t>
      </w:r>
      <w:r>
        <w:rPr>
          <w:spacing w:val="-14"/>
        </w:rPr>
        <w:t> </w:t>
      </w:r>
      <w:r>
        <w:rPr/>
        <w:t>in</w:t>
      </w:r>
      <w:r>
        <w:rPr>
          <w:spacing w:val="-15"/>
        </w:rPr>
        <w:t> </w:t>
      </w:r>
      <w:r>
        <w:rPr>
          <w:spacing w:val="-3"/>
        </w:rPr>
        <w:t>like-for-like </w:t>
      </w:r>
      <w:r>
        <w:rPr/>
        <w:t>infrastructure</w:t>
      </w:r>
      <w:r>
        <w:rPr>
          <w:spacing w:val="-3"/>
        </w:rPr>
        <w:t> </w:t>
      </w:r>
      <w:r>
        <w:rPr/>
        <w:t>costs;</w:t>
      </w:r>
    </w:p>
    <w:p>
      <w:pPr>
        <w:pStyle w:val="BodyText"/>
        <w:rPr>
          <w:sz w:val="23"/>
        </w:rPr>
      </w:pPr>
    </w:p>
    <w:p>
      <w:pPr>
        <w:pStyle w:val="BodyText"/>
        <w:spacing w:line="249" w:lineRule="auto"/>
        <w:ind w:left="653" w:right="1686"/>
      </w:pPr>
      <w:r>
        <w:rPr/>
        <w:t>projected</w:t>
      </w:r>
      <w:r>
        <w:rPr>
          <w:spacing w:val="-27"/>
        </w:rPr>
        <w:t> </w:t>
      </w:r>
      <w:r>
        <w:rPr/>
        <w:t>financial</w:t>
      </w:r>
      <w:r>
        <w:rPr>
          <w:spacing w:val="-27"/>
        </w:rPr>
        <w:t> </w:t>
      </w:r>
      <w:r>
        <w:rPr/>
        <w:t>benefits</w:t>
      </w:r>
      <w:r>
        <w:rPr>
          <w:spacing w:val="-27"/>
        </w:rPr>
        <w:t> </w:t>
      </w:r>
      <w:r>
        <w:rPr/>
        <w:t>of</w:t>
      </w:r>
      <w:r>
        <w:rPr>
          <w:spacing w:val="-27"/>
        </w:rPr>
        <w:t> </w:t>
      </w:r>
      <w:r>
        <w:rPr>
          <w:spacing w:val="-8"/>
        </w:rPr>
        <w:t>$16</w:t>
      </w:r>
      <w:r>
        <w:rPr>
          <w:spacing w:val="-27"/>
        </w:rPr>
        <w:t> </w:t>
      </w:r>
      <w:r>
        <w:rPr/>
        <w:t>million over five years;</w:t>
      </w:r>
      <w:r>
        <w:rPr>
          <w:spacing w:val="-9"/>
        </w:rPr>
        <w:t> </w:t>
      </w:r>
      <w:r>
        <w:rPr/>
        <w:t>and</w:t>
      </w:r>
    </w:p>
    <w:p>
      <w:pPr>
        <w:pStyle w:val="BodyText"/>
        <w:spacing w:before="1"/>
        <w:rPr>
          <w:sz w:val="23"/>
        </w:rPr>
      </w:pPr>
    </w:p>
    <w:p>
      <w:pPr>
        <w:pStyle w:val="BodyText"/>
        <w:spacing w:line="249" w:lineRule="auto" w:before="1"/>
        <w:ind w:left="653" w:right="2044"/>
        <w:jc w:val="both"/>
      </w:pPr>
      <w:r>
        <w:rPr/>
        <w:t>Finance</w:t>
      </w:r>
      <w:r>
        <w:rPr>
          <w:spacing w:val="-23"/>
        </w:rPr>
        <w:t> </w:t>
      </w:r>
      <w:r>
        <w:rPr/>
        <w:t>being</w:t>
      </w:r>
      <w:r>
        <w:rPr>
          <w:spacing w:val="-23"/>
        </w:rPr>
        <w:t> </w:t>
      </w:r>
      <w:r>
        <w:rPr/>
        <w:t>the</w:t>
      </w:r>
      <w:r>
        <w:rPr>
          <w:spacing w:val="-23"/>
        </w:rPr>
        <w:t> </w:t>
      </w:r>
      <w:r>
        <w:rPr/>
        <w:t>first</w:t>
      </w:r>
      <w:r>
        <w:rPr>
          <w:spacing w:val="-23"/>
        </w:rPr>
        <w:t> </w:t>
      </w:r>
      <w:r>
        <w:rPr/>
        <w:t>public</w:t>
      </w:r>
      <w:r>
        <w:rPr>
          <w:spacing w:val="-23"/>
        </w:rPr>
        <w:t> </w:t>
      </w:r>
      <w:r>
        <w:rPr/>
        <w:t>agency </w:t>
      </w:r>
      <w:r>
        <w:rPr>
          <w:spacing w:val="-3"/>
        </w:rPr>
        <w:t>to</w:t>
      </w:r>
      <w:r>
        <w:rPr>
          <w:spacing w:val="-12"/>
        </w:rPr>
        <w:t> </w:t>
      </w:r>
      <w:r>
        <w:rPr/>
        <w:t>adopt</w:t>
      </w:r>
      <w:r>
        <w:rPr>
          <w:spacing w:val="-11"/>
        </w:rPr>
        <w:t> </w:t>
      </w:r>
      <w:r>
        <w:rPr>
          <w:spacing w:val="-4"/>
        </w:rPr>
        <w:t>100</w:t>
      </w:r>
      <w:r>
        <w:rPr>
          <w:spacing w:val="-11"/>
        </w:rPr>
        <w:t> </w:t>
      </w:r>
      <w:r>
        <w:rPr/>
        <w:t>per</w:t>
      </w:r>
      <w:r>
        <w:rPr>
          <w:spacing w:val="-12"/>
        </w:rPr>
        <w:t> </w:t>
      </w:r>
      <w:r>
        <w:rPr/>
        <w:t>cent</w:t>
      </w:r>
      <w:r>
        <w:rPr>
          <w:spacing w:val="-11"/>
        </w:rPr>
        <w:t> </w:t>
      </w:r>
      <w:r>
        <w:rPr/>
        <w:t>IRAP</w:t>
      </w:r>
      <w:r>
        <w:rPr>
          <w:spacing w:val="-11"/>
        </w:rPr>
        <w:t> </w:t>
      </w:r>
      <w:r>
        <w:rPr/>
        <w:t>Certified Public</w:t>
      </w:r>
      <w:r>
        <w:rPr>
          <w:spacing w:val="-2"/>
        </w:rPr>
        <w:t> </w:t>
      </w:r>
      <w:r>
        <w:rPr/>
        <w:t>Cloud.</w:t>
      </w:r>
    </w:p>
    <w:p>
      <w:pPr>
        <w:spacing w:after="0" w:line="249" w:lineRule="auto"/>
        <w:jc w:val="both"/>
        <w:sectPr>
          <w:type w:val="continuous"/>
          <w:pgSz w:w="16840" w:h="11910" w:orient="landscape"/>
          <w:pgMar w:top="1100" w:bottom="280" w:left="0" w:right="0"/>
          <w:cols w:num="3" w:equalWidth="0">
            <w:col w:w="5684" w:space="40"/>
            <w:col w:w="4914" w:space="39"/>
            <w:col w:w="616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tabs>
          <w:tab w:pos="1227" w:val="left" w:leader="none"/>
          <w:tab w:pos="5951" w:val="left" w:leader="none"/>
          <w:tab w:pos="16072"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5272"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5296"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F2770"/>
          <w:sz w:val="20"/>
        </w:rPr>
        <w:t>18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11" w:id="12"/>
      <w:bookmarkEnd w:id="12"/>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Heading1"/>
        <w:spacing w:before="254"/>
      </w:pPr>
      <w:r>
        <w:rPr/>
        <w:pict>
          <v:shape style="position:absolute;margin-left:601.348999pt;margin-top:-55.274212pt;width:120.3pt;height:42.55pt;mso-position-horizontal-relative:page;mso-position-vertical-relative:paragraph;z-index:556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558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5.274212pt;width:120.3pt;height:42.55pt;mso-position-horizontal-relative:page;mso-position-vertical-relative:paragraph;z-index:560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Building for the Community</w:t>
      </w:r>
    </w:p>
    <w:p>
      <w:pPr>
        <w:pStyle w:val="Heading4"/>
        <w:spacing w:line="249" w:lineRule="auto" w:before="271"/>
        <w:ind w:right="3554"/>
      </w:pPr>
      <w:r>
        <w:rPr>
          <w:color w:val="6F2770"/>
        </w:rPr>
        <w:t>Providing</w:t>
      </w:r>
      <w:r>
        <w:rPr>
          <w:color w:val="6F2770"/>
          <w:spacing w:val="-45"/>
        </w:rPr>
        <w:t> </w:t>
      </w:r>
      <w:r>
        <w:rPr>
          <w:color w:val="6F2770"/>
        </w:rPr>
        <w:t>physical,</w:t>
      </w:r>
      <w:r>
        <w:rPr>
          <w:color w:val="6F2770"/>
          <w:spacing w:val="-44"/>
        </w:rPr>
        <w:t> </w:t>
      </w:r>
      <w:r>
        <w:rPr>
          <w:color w:val="6F2770"/>
        </w:rPr>
        <w:t>social</w:t>
      </w:r>
      <w:r>
        <w:rPr>
          <w:color w:val="6F2770"/>
          <w:spacing w:val="-44"/>
        </w:rPr>
        <w:t> </w:t>
      </w:r>
      <w:r>
        <w:rPr>
          <w:color w:val="6F2770"/>
        </w:rPr>
        <w:t>and</w:t>
      </w:r>
      <w:r>
        <w:rPr>
          <w:color w:val="6F2770"/>
          <w:spacing w:val="-44"/>
        </w:rPr>
        <w:t> </w:t>
      </w:r>
      <w:r>
        <w:rPr>
          <w:color w:val="6F2770"/>
        </w:rPr>
        <w:t>economic</w:t>
      </w:r>
      <w:r>
        <w:rPr>
          <w:color w:val="6F2770"/>
          <w:spacing w:val="-45"/>
        </w:rPr>
        <w:t> </w:t>
      </w:r>
      <w:r>
        <w:rPr>
          <w:color w:val="6F2770"/>
        </w:rPr>
        <w:t>infrastructure</w:t>
      </w:r>
      <w:r>
        <w:rPr>
          <w:color w:val="6F2770"/>
          <w:spacing w:val="-44"/>
        </w:rPr>
        <w:t> </w:t>
      </w:r>
      <w:r>
        <w:rPr>
          <w:color w:val="6F2770"/>
        </w:rPr>
        <w:t>to</w:t>
      </w:r>
      <w:r>
        <w:rPr>
          <w:color w:val="6F2770"/>
          <w:spacing w:val="-44"/>
        </w:rPr>
        <w:t> </w:t>
      </w:r>
      <w:r>
        <w:rPr>
          <w:color w:val="6F2770"/>
        </w:rPr>
        <w:t>Western</w:t>
      </w:r>
      <w:r>
        <w:rPr>
          <w:color w:val="6F2770"/>
          <w:spacing w:val="-44"/>
        </w:rPr>
        <w:t> </w:t>
      </w:r>
      <w:r>
        <w:rPr>
          <w:color w:val="6F2770"/>
        </w:rPr>
        <w:t>Australians</w:t>
      </w:r>
      <w:r>
        <w:rPr>
          <w:color w:val="6F2770"/>
          <w:spacing w:val="-45"/>
        </w:rPr>
        <w:t> </w:t>
      </w:r>
      <w:r>
        <w:rPr>
          <w:color w:val="6F2770"/>
        </w:rPr>
        <w:t>in</w:t>
      </w:r>
      <w:r>
        <w:rPr>
          <w:color w:val="6F2770"/>
          <w:spacing w:val="-44"/>
        </w:rPr>
        <w:t> </w:t>
      </w:r>
      <w:r>
        <w:rPr>
          <w:color w:val="6F2770"/>
          <w:spacing w:val="-15"/>
        </w:rPr>
        <w:t>a </w:t>
      </w:r>
      <w:r>
        <w:rPr>
          <w:color w:val="6F2770"/>
        </w:rPr>
        <w:t>cost-effective</w:t>
      </w:r>
      <w:r>
        <w:rPr>
          <w:color w:val="6F2770"/>
          <w:spacing w:val="-18"/>
        </w:rPr>
        <w:t> </w:t>
      </w:r>
      <w:r>
        <w:rPr>
          <w:color w:val="6F2770"/>
        </w:rPr>
        <w:t>manner</w:t>
      </w:r>
      <w:r>
        <w:rPr>
          <w:color w:val="6F2770"/>
          <w:spacing w:val="-17"/>
        </w:rPr>
        <w:t> </w:t>
      </w:r>
      <w:r>
        <w:rPr>
          <w:color w:val="6F2770"/>
        </w:rPr>
        <w:t>remains</w:t>
      </w:r>
      <w:r>
        <w:rPr>
          <w:color w:val="6F2770"/>
          <w:spacing w:val="-18"/>
        </w:rPr>
        <w:t> </w:t>
      </w:r>
      <w:r>
        <w:rPr>
          <w:color w:val="6F2770"/>
        </w:rPr>
        <w:t>a</w:t>
      </w:r>
      <w:r>
        <w:rPr>
          <w:color w:val="6F2770"/>
          <w:spacing w:val="-17"/>
        </w:rPr>
        <w:t> </w:t>
      </w:r>
      <w:r>
        <w:rPr>
          <w:color w:val="6F2770"/>
        </w:rPr>
        <w:t>key</w:t>
      </w:r>
      <w:r>
        <w:rPr>
          <w:color w:val="6F2770"/>
          <w:spacing w:val="-17"/>
        </w:rPr>
        <w:t> </w:t>
      </w:r>
      <w:r>
        <w:rPr>
          <w:color w:val="6F2770"/>
        </w:rPr>
        <w:t>focus</w:t>
      </w:r>
      <w:r>
        <w:rPr>
          <w:color w:val="6F2770"/>
          <w:spacing w:val="-18"/>
        </w:rPr>
        <w:t> </w:t>
      </w:r>
      <w:r>
        <w:rPr>
          <w:color w:val="6F2770"/>
        </w:rPr>
        <w:t>for</w:t>
      </w:r>
      <w:r>
        <w:rPr>
          <w:color w:val="6F2770"/>
          <w:spacing w:val="-17"/>
        </w:rPr>
        <w:t> </w:t>
      </w:r>
      <w:r>
        <w:rPr>
          <w:color w:val="6F2770"/>
        </w:rPr>
        <w:t>the</w:t>
      </w:r>
      <w:r>
        <w:rPr>
          <w:color w:val="6F2770"/>
          <w:spacing w:val="-17"/>
        </w:rPr>
        <w:t> </w:t>
      </w:r>
      <w:r>
        <w:rPr>
          <w:color w:val="6F2770"/>
        </w:rPr>
        <w:t>Department</w:t>
      </w:r>
      <w:r>
        <w:rPr>
          <w:color w:val="6F2770"/>
          <w:spacing w:val="-18"/>
        </w:rPr>
        <w:t> </w:t>
      </w:r>
      <w:r>
        <w:rPr>
          <w:color w:val="6F2770"/>
        </w:rPr>
        <w:t>of</w:t>
      </w:r>
      <w:r>
        <w:rPr>
          <w:color w:val="6F2770"/>
          <w:spacing w:val="-17"/>
        </w:rPr>
        <w:t> </w:t>
      </w:r>
      <w:r>
        <w:rPr>
          <w:color w:val="6F2770"/>
        </w:rPr>
        <w:t>Finance.</w:t>
      </w:r>
    </w:p>
    <w:p>
      <w:pPr>
        <w:pStyle w:val="BodyText"/>
        <w:rPr>
          <w:sz w:val="20"/>
        </w:rPr>
      </w:pPr>
    </w:p>
    <w:p>
      <w:pPr>
        <w:spacing w:after="0"/>
        <w:rPr>
          <w:sz w:val="20"/>
        </w:rPr>
        <w:sectPr>
          <w:footerReference w:type="default" r:id="rId75"/>
          <w:pgSz w:w="16840" w:h="11910" w:orient="landscape"/>
          <w:pgMar w:footer="0" w:header="0" w:top="0" w:bottom="0" w:left="0" w:right="0"/>
        </w:sectPr>
      </w:pPr>
    </w:p>
    <w:p>
      <w:pPr>
        <w:pStyle w:val="BodyText"/>
        <w:spacing w:line="249" w:lineRule="auto" w:before="231"/>
        <w:ind w:left="765" w:right="-3"/>
      </w:pPr>
      <w:r>
        <w:rPr/>
        <w:t>This</w:t>
      </w:r>
      <w:r>
        <w:rPr>
          <w:spacing w:val="-11"/>
        </w:rPr>
        <w:t> </w:t>
      </w:r>
      <w:r>
        <w:rPr/>
        <w:t>year</w:t>
      </w:r>
      <w:r>
        <w:rPr>
          <w:spacing w:val="-11"/>
        </w:rPr>
        <w:t> </w:t>
      </w:r>
      <w:r>
        <w:rPr/>
        <w:t>saw</w:t>
      </w:r>
      <w:r>
        <w:rPr>
          <w:spacing w:val="-10"/>
        </w:rPr>
        <w:t> </w:t>
      </w:r>
      <w:r>
        <w:rPr/>
        <w:t>the</w:t>
      </w:r>
      <w:r>
        <w:rPr>
          <w:spacing w:val="-11"/>
        </w:rPr>
        <w:t> </w:t>
      </w:r>
      <w:r>
        <w:rPr/>
        <w:t>transition</w:t>
      </w:r>
      <w:r>
        <w:rPr>
          <w:spacing w:val="-10"/>
        </w:rPr>
        <w:t> </w:t>
      </w:r>
      <w:r>
        <w:rPr/>
        <w:t>of</w:t>
      </w:r>
      <w:r>
        <w:rPr>
          <w:spacing w:val="-11"/>
        </w:rPr>
        <w:t> </w:t>
      </w:r>
      <w:r>
        <w:rPr>
          <w:b/>
        </w:rPr>
        <w:t>Strategic</w:t>
      </w:r>
      <w:r>
        <w:rPr>
          <w:b/>
          <w:spacing w:val="-11"/>
        </w:rPr>
        <w:t> </w:t>
      </w:r>
      <w:r>
        <w:rPr>
          <w:b/>
        </w:rPr>
        <w:t>Projects </w:t>
      </w:r>
      <w:r>
        <w:rPr/>
        <w:t>from the Department of Treasury </w:t>
      </w:r>
      <w:r>
        <w:rPr>
          <w:spacing w:val="-3"/>
        </w:rPr>
        <w:t>to </w:t>
      </w:r>
      <w:r>
        <w:rPr/>
        <w:t>Finance, consolidating the Department’s project and contract management expertise and</w:t>
      </w:r>
      <w:r>
        <w:rPr>
          <w:spacing w:val="-33"/>
        </w:rPr>
        <w:t> </w:t>
      </w:r>
      <w:r>
        <w:rPr/>
        <w:t>offering</w:t>
      </w:r>
    </w:p>
    <w:p>
      <w:pPr>
        <w:pStyle w:val="BodyText"/>
        <w:spacing w:line="249" w:lineRule="auto" w:before="4"/>
        <w:ind w:left="765" w:right="62"/>
      </w:pPr>
      <w:r>
        <w:rPr/>
        <w:t>more</w:t>
      </w:r>
      <w:r>
        <w:rPr>
          <w:spacing w:val="-33"/>
        </w:rPr>
        <w:t> </w:t>
      </w:r>
      <w:r>
        <w:rPr/>
        <w:t>efficient</w:t>
      </w:r>
      <w:r>
        <w:rPr>
          <w:spacing w:val="-33"/>
        </w:rPr>
        <w:t> </w:t>
      </w:r>
      <w:r>
        <w:rPr/>
        <w:t>and</w:t>
      </w:r>
      <w:r>
        <w:rPr>
          <w:spacing w:val="-33"/>
        </w:rPr>
        <w:t> </w:t>
      </w:r>
      <w:r>
        <w:rPr/>
        <w:t>comprehensive</w:t>
      </w:r>
      <w:r>
        <w:rPr>
          <w:spacing w:val="-32"/>
        </w:rPr>
        <w:t> </w:t>
      </w:r>
      <w:r>
        <w:rPr/>
        <w:t>service</w:t>
      </w:r>
      <w:r>
        <w:rPr>
          <w:spacing w:val="-33"/>
        </w:rPr>
        <w:t> </w:t>
      </w:r>
      <w:r>
        <w:rPr/>
        <w:t>delivery across</w:t>
      </w:r>
      <w:r>
        <w:rPr>
          <w:spacing w:val="-2"/>
        </w:rPr>
        <w:t> </w:t>
      </w:r>
      <w:r>
        <w:rPr/>
        <w:t>government.</w:t>
      </w:r>
    </w:p>
    <w:p>
      <w:pPr>
        <w:pStyle w:val="BodyText"/>
        <w:spacing w:before="1"/>
        <w:rPr>
          <w:sz w:val="23"/>
        </w:rPr>
      </w:pPr>
    </w:p>
    <w:p>
      <w:pPr>
        <w:pStyle w:val="BodyText"/>
        <w:spacing w:line="249" w:lineRule="auto"/>
        <w:ind w:left="765" w:right="-10"/>
      </w:pPr>
      <w:r>
        <w:rPr/>
        <w:t>Strategic</w:t>
      </w:r>
      <w:r>
        <w:rPr>
          <w:spacing w:val="-23"/>
        </w:rPr>
        <w:t> </w:t>
      </w:r>
      <w:r>
        <w:rPr/>
        <w:t>Projects</w:t>
      </w:r>
      <w:r>
        <w:rPr>
          <w:spacing w:val="-23"/>
        </w:rPr>
        <w:t> </w:t>
      </w:r>
      <w:r>
        <w:rPr/>
        <w:t>oversaw</w:t>
      </w:r>
      <w:r>
        <w:rPr>
          <w:spacing w:val="-23"/>
        </w:rPr>
        <w:t> </w:t>
      </w:r>
      <w:r>
        <w:rPr/>
        <w:t>the</w:t>
      </w:r>
      <w:r>
        <w:rPr>
          <w:spacing w:val="-23"/>
        </w:rPr>
        <w:t> </w:t>
      </w:r>
      <w:r>
        <w:rPr/>
        <w:t>delivery</w:t>
      </w:r>
      <w:r>
        <w:rPr>
          <w:spacing w:val="-22"/>
        </w:rPr>
        <w:t> </w:t>
      </w:r>
      <w:r>
        <w:rPr/>
        <w:t>of</w:t>
      </w:r>
      <w:r>
        <w:rPr>
          <w:spacing w:val="-23"/>
        </w:rPr>
        <w:t> </w:t>
      </w:r>
      <w:r>
        <w:rPr/>
        <w:t>several major infrastructure projects this </w:t>
      </w:r>
      <w:r>
        <w:rPr>
          <w:spacing w:val="-4"/>
        </w:rPr>
        <w:t>year, </w:t>
      </w:r>
      <w:r>
        <w:rPr/>
        <w:t>notably Optus</w:t>
      </w:r>
      <w:r>
        <w:rPr>
          <w:spacing w:val="-22"/>
        </w:rPr>
        <w:t> </w:t>
      </w:r>
      <w:r>
        <w:rPr/>
        <w:t>Stadium</w:t>
      </w:r>
      <w:r>
        <w:rPr>
          <w:spacing w:val="-22"/>
        </w:rPr>
        <w:t> </w:t>
      </w:r>
      <w:r>
        <w:rPr/>
        <w:t>and</w:t>
      </w:r>
      <w:r>
        <w:rPr>
          <w:spacing w:val="-21"/>
        </w:rPr>
        <w:t> </w:t>
      </w:r>
      <w:r>
        <w:rPr/>
        <w:t>the</w:t>
      </w:r>
      <w:r>
        <w:rPr>
          <w:spacing w:val="-22"/>
        </w:rPr>
        <w:t> </w:t>
      </w:r>
      <w:r>
        <w:rPr/>
        <w:t>surrounding</w:t>
      </w:r>
      <w:r>
        <w:rPr>
          <w:spacing w:val="-22"/>
        </w:rPr>
        <w:t> </w:t>
      </w:r>
      <w:r>
        <w:rPr/>
        <w:t>Stadium</w:t>
      </w:r>
      <w:r>
        <w:rPr>
          <w:spacing w:val="-21"/>
        </w:rPr>
        <w:t> </w:t>
      </w:r>
      <w:r>
        <w:rPr/>
        <w:t>Park, and the Perth </w:t>
      </w:r>
      <w:r>
        <w:rPr>
          <w:spacing w:val="-3"/>
        </w:rPr>
        <w:t>Children’s</w:t>
      </w:r>
      <w:r>
        <w:rPr>
          <w:spacing w:val="-12"/>
        </w:rPr>
        <w:t> </w:t>
      </w:r>
      <w:r>
        <w:rPr/>
        <w:t>Hospital.</w:t>
      </w:r>
    </w:p>
    <w:p>
      <w:pPr>
        <w:pStyle w:val="BodyText"/>
        <w:spacing w:before="3"/>
        <w:rPr>
          <w:sz w:val="23"/>
        </w:rPr>
      </w:pPr>
    </w:p>
    <w:p>
      <w:pPr>
        <w:pStyle w:val="BodyText"/>
        <w:spacing w:line="249" w:lineRule="auto"/>
        <w:ind w:left="765" w:right="253"/>
      </w:pPr>
      <w:r>
        <w:rPr>
          <w:b/>
        </w:rPr>
        <w:t>Building Management and Works </w:t>
      </w:r>
      <w:r>
        <w:rPr/>
        <w:t>managed the</w:t>
      </w:r>
      <w:r>
        <w:rPr>
          <w:spacing w:val="-23"/>
        </w:rPr>
        <w:t> </w:t>
      </w:r>
      <w:r>
        <w:rPr/>
        <w:t>delivery</w:t>
      </w:r>
      <w:r>
        <w:rPr>
          <w:spacing w:val="-22"/>
        </w:rPr>
        <w:t> </w:t>
      </w:r>
      <w:r>
        <w:rPr/>
        <w:t>of</w:t>
      </w:r>
      <w:r>
        <w:rPr>
          <w:spacing w:val="-23"/>
        </w:rPr>
        <w:t> </w:t>
      </w:r>
      <w:r>
        <w:rPr/>
        <w:t>a</w:t>
      </w:r>
      <w:r>
        <w:rPr>
          <w:spacing w:val="-22"/>
        </w:rPr>
        <w:t> </w:t>
      </w:r>
      <w:r>
        <w:rPr/>
        <w:t>community</w:t>
      </w:r>
      <w:r>
        <w:rPr>
          <w:spacing w:val="-23"/>
        </w:rPr>
        <w:t> </w:t>
      </w:r>
      <w:r>
        <w:rPr/>
        <w:t>infrastructure</w:t>
      </w:r>
      <w:r>
        <w:rPr>
          <w:spacing w:val="-22"/>
        </w:rPr>
        <w:t> </w:t>
      </w:r>
      <w:r>
        <w:rPr/>
        <w:t>works program valued at almost half a billion dollars and</w:t>
      </w:r>
      <w:r>
        <w:rPr>
          <w:spacing w:val="-23"/>
        </w:rPr>
        <w:t> </w:t>
      </w:r>
      <w:r>
        <w:rPr/>
        <w:t>collaborated</w:t>
      </w:r>
      <w:r>
        <w:rPr>
          <w:spacing w:val="-23"/>
        </w:rPr>
        <w:t> </w:t>
      </w:r>
      <w:r>
        <w:rPr/>
        <w:t>closely</w:t>
      </w:r>
      <w:r>
        <w:rPr>
          <w:spacing w:val="-23"/>
        </w:rPr>
        <w:t> </w:t>
      </w:r>
      <w:r>
        <w:rPr/>
        <w:t>with</w:t>
      </w:r>
      <w:r>
        <w:rPr>
          <w:spacing w:val="-22"/>
        </w:rPr>
        <w:t> </w:t>
      </w:r>
      <w:r>
        <w:rPr/>
        <w:t>Strategic</w:t>
      </w:r>
      <w:r>
        <w:rPr>
          <w:spacing w:val="-23"/>
        </w:rPr>
        <w:t> </w:t>
      </w:r>
      <w:r>
        <w:rPr/>
        <w:t>Projects and</w:t>
      </w:r>
      <w:r>
        <w:rPr>
          <w:spacing w:val="-23"/>
        </w:rPr>
        <w:t> </w:t>
      </w:r>
      <w:r>
        <w:rPr/>
        <w:t>agencies</w:t>
      </w:r>
      <w:r>
        <w:rPr>
          <w:spacing w:val="-23"/>
        </w:rPr>
        <w:t> </w:t>
      </w:r>
      <w:r>
        <w:rPr/>
        <w:t>across</w:t>
      </w:r>
      <w:r>
        <w:rPr>
          <w:spacing w:val="-23"/>
        </w:rPr>
        <w:t> </w:t>
      </w:r>
      <w:r>
        <w:rPr/>
        <w:t>government,</w:t>
      </w:r>
      <w:r>
        <w:rPr>
          <w:spacing w:val="-23"/>
        </w:rPr>
        <w:t> </w:t>
      </w:r>
      <w:r>
        <w:rPr/>
        <w:t>including</w:t>
      </w:r>
      <w:r>
        <w:rPr>
          <w:spacing w:val="-23"/>
        </w:rPr>
        <w:t> </w:t>
      </w:r>
      <w:r>
        <w:rPr/>
        <w:t>the Departments of Health and</w:t>
      </w:r>
      <w:r>
        <w:rPr>
          <w:spacing w:val="-24"/>
        </w:rPr>
        <w:t> </w:t>
      </w:r>
      <w:r>
        <w:rPr/>
        <w:t>Education.</w:t>
      </w:r>
    </w:p>
    <w:p>
      <w:pPr>
        <w:pStyle w:val="BodyText"/>
        <w:spacing w:before="7"/>
        <w:rPr>
          <w:sz w:val="26"/>
        </w:rPr>
      </w:pPr>
    </w:p>
    <w:p>
      <w:pPr>
        <w:pStyle w:val="Heading4"/>
        <w:spacing w:before="0"/>
      </w:pPr>
      <w:r>
        <w:rPr>
          <w:color w:val="6F2770"/>
        </w:rPr>
        <w:t>Perth Children’s Hospital</w:t>
      </w:r>
    </w:p>
    <w:p>
      <w:pPr>
        <w:pStyle w:val="BodyText"/>
        <w:spacing w:line="249" w:lineRule="auto" w:before="246"/>
        <w:ind w:left="765" w:right="310"/>
      </w:pPr>
      <w:r>
        <w:rPr/>
        <w:t>The formal opening ceremony for the Perth </w:t>
      </w:r>
      <w:r>
        <w:rPr>
          <w:spacing w:val="-3"/>
        </w:rPr>
        <w:t>Children’s</w:t>
      </w:r>
      <w:r>
        <w:rPr>
          <w:spacing w:val="-11"/>
        </w:rPr>
        <w:t> </w:t>
      </w:r>
      <w:r>
        <w:rPr/>
        <w:t>Hospital</w:t>
      </w:r>
      <w:r>
        <w:rPr>
          <w:spacing w:val="-11"/>
        </w:rPr>
        <w:t> </w:t>
      </w:r>
      <w:r>
        <w:rPr/>
        <w:t>took</w:t>
      </w:r>
      <w:r>
        <w:rPr>
          <w:spacing w:val="-11"/>
        </w:rPr>
        <w:t> </w:t>
      </w:r>
      <w:r>
        <w:rPr/>
        <w:t>place</w:t>
      </w:r>
      <w:r>
        <w:rPr>
          <w:spacing w:val="-11"/>
        </w:rPr>
        <w:t> </w:t>
      </w:r>
      <w:r>
        <w:rPr/>
        <w:t>on</w:t>
      </w:r>
      <w:r>
        <w:rPr>
          <w:spacing w:val="-10"/>
        </w:rPr>
        <w:t> </w:t>
      </w:r>
      <w:r>
        <w:rPr>
          <w:spacing w:val="-9"/>
        </w:rPr>
        <w:t>12</w:t>
      </w:r>
      <w:r>
        <w:rPr>
          <w:spacing w:val="-11"/>
        </w:rPr>
        <w:t> </w:t>
      </w:r>
      <w:r>
        <w:rPr/>
        <w:t>May</w:t>
      </w:r>
      <w:r>
        <w:rPr>
          <w:spacing w:val="-11"/>
        </w:rPr>
        <w:t> </w:t>
      </w:r>
      <w:r>
        <w:rPr>
          <w:spacing w:val="-7"/>
        </w:rPr>
        <w:t>2018, </w:t>
      </w:r>
      <w:r>
        <w:rPr/>
        <w:t>with</w:t>
      </w:r>
      <w:r>
        <w:rPr>
          <w:spacing w:val="-22"/>
        </w:rPr>
        <w:t> </w:t>
      </w:r>
      <w:r>
        <w:rPr/>
        <w:t>staged</w:t>
      </w:r>
      <w:r>
        <w:rPr>
          <w:spacing w:val="-21"/>
        </w:rPr>
        <w:t> </w:t>
      </w:r>
      <w:r>
        <w:rPr/>
        <w:t>commencement</w:t>
      </w:r>
      <w:r>
        <w:rPr>
          <w:spacing w:val="-21"/>
        </w:rPr>
        <w:t> </w:t>
      </w:r>
      <w:r>
        <w:rPr/>
        <w:t>of</w:t>
      </w:r>
      <w:r>
        <w:rPr>
          <w:spacing w:val="-21"/>
        </w:rPr>
        <w:t> </w:t>
      </w:r>
      <w:r>
        <w:rPr/>
        <w:t>clinical</w:t>
      </w:r>
      <w:r>
        <w:rPr>
          <w:spacing w:val="-21"/>
        </w:rPr>
        <w:t> </w:t>
      </w:r>
      <w:r>
        <w:rPr/>
        <w:t>services from </w:t>
      </w:r>
      <w:r>
        <w:rPr>
          <w:spacing w:val="-10"/>
        </w:rPr>
        <w:t>14 </w:t>
      </w:r>
      <w:r>
        <w:rPr/>
        <w:t>May</w:t>
      </w:r>
      <w:r>
        <w:rPr>
          <w:spacing w:val="8"/>
        </w:rPr>
        <w:t> </w:t>
      </w:r>
      <w:r>
        <w:rPr>
          <w:spacing w:val="-6"/>
        </w:rPr>
        <w:t>2018.</w:t>
      </w:r>
    </w:p>
    <w:p>
      <w:pPr>
        <w:pStyle w:val="BodyText"/>
        <w:spacing w:line="249" w:lineRule="auto" w:before="231"/>
        <w:ind w:left="408" w:right="620"/>
      </w:pPr>
      <w:r>
        <w:rPr/>
        <w:br w:type="column"/>
      </w:r>
      <w:r>
        <w:rPr/>
        <w:t>The 298-bed hospital is world-class with </w:t>
      </w:r>
      <w:r>
        <w:rPr>
          <w:spacing w:val="-9"/>
        </w:rPr>
        <w:t>12 </w:t>
      </w:r>
      <w:r>
        <w:rPr/>
        <w:t>multi-use theatres, parent beds in each standard</w:t>
      </w:r>
      <w:r>
        <w:rPr>
          <w:spacing w:val="-22"/>
        </w:rPr>
        <w:t> </w:t>
      </w:r>
      <w:r>
        <w:rPr/>
        <w:t>inpatient</w:t>
      </w:r>
      <w:r>
        <w:rPr>
          <w:spacing w:val="-22"/>
        </w:rPr>
        <w:t> </w:t>
      </w:r>
      <w:r>
        <w:rPr/>
        <w:t>room,</w:t>
      </w:r>
      <w:r>
        <w:rPr>
          <w:spacing w:val="-22"/>
        </w:rPr>
        <w:t> </w:t>
      </w:r>
      <w:r>
        <w:rPr/>
        <w:t>parent</w:t>
      </w:r>
      <w:r>
        <w:rPr>
          <w:spacing w:val="-22"/>
        </w:rPr>
        <w:t> </w:t>
      </w:r>
      <w:r>
        <w:rPr/>
        <w:t>lounges</w:t>
      </w:r>
      <w:r>
        <w:rPr>
          <w:spacing w:val="-22"/>
        </w:rPr>
        <w:t> </w:t>
      </w:r>
      <w:r>
        <w:rPr/>
        <w:t>on</w:t>
      </w:r>
    </w:p>
    <w:p>
      <w:pPr>
        <w:pStyle w:val="BodyText"/>
        <w:spacing w:line="249" w:lineRule="auto" w:before="3"/>
        <w:ind w:left="408" w:right="555"/>
      </w:pPr>
      <w:r>
        <w:rPr/>
        <w:t>every</w:t>
      </w:r>
      <w:r>
        <w:rPr>
          <w:spacing w:val="-26"/>
        </w:rPr>
        <w:t> </w:t>
      </w:r>
      <w:r>
        <w:rPr>
          <w:spacing w:val="-4"/>
        </w:rPr>
        <w:t>floor,</w:t>
      </w:r>
      <w:r>
        <w:rPr>
          <w:spacing w:val="-26"/>
        </w:rPr>
        <w:t> </w:t>
      </w:r>
      <w:r>
        <w:rPr/>
        <w:t>green</w:t>
      </w:r>
      <w:r>
        <w:rPr>
          <w:spacing w:val="-26"/>
        </w:rPr>
        <w:t> </w:t>
      </w:r>
      <w:r>
        <w:rPr/>
        <w:t>spaces</w:t>
      </w:r>
      <w:r>
        <w:rPr>
          <w:spacing w:val="-26"/>
        </w:rPr>
        <w:t> </w:t>
      </w:r>
      <w:r>
        <w:rPr/>
        <w:t>and</w:t>
      </w:r>
      <w:r>
        <w:rPr>
          <w:spacing w:val="-26"/>
        </w:rPr>
        <w:t> </w:t>
      </w:r>
      <w:r>
        <w:rPr/>
        <w:t>entertainment facilities.</w:t>
      </w:r>
    </w:p>
    <w:p>
      <w:pPr>
        <w:pStyle w:val="BodyText"/>
        <w:spacing w:before="1"/>
        <w:rPr>
          <w:sz w:val="23"/>
        </w:rPr>
      </w:pPr>
    </w:p>
    <w:p>
      <w:pPr>
        <w:pStyle w:val="BodyText"/>
        <w:spacing w:line="249" w:lineRule="auto"/>
        <w:ind w:left="408" w:right="465"/>
      </w:pPr>
      <w:r>
        <w:rPr/>
        <w:t>On</w:t>
      </w:r>
      <w:r>
        <w:rPr>
          <w:spacing w:val="-21"/>
        </w:rPr>
        <w:t> </w:t>
      </w:r>
      <w:r>
        <w:rPr>
          <w:spacing w:val="-7"/>
        </w:rPr>
        <w:t>10</w:t>
      </w:r>
      <w:r>
        <w:rPr>
          <w:spacing w:val="-21"/>
        </w:rPr>
        <w:t> </w:t>
      </w:r>
      <w:r>
        <w:rPr/>
        <w:t>June</w:t>
      </w:r>
      <w:r>
        <w:rPr>
          <w:spacing w:val="-21"/>
        </w:rPr>
        <w:t> </w:t>
      </w:r>
      <w:r>
        <w:rPr>
          <w:spacing w:val="-7"/>
        </w:rPr>
        <w:t>2018,</w:t>
      </w:r>
      <w:r>
        <w:rPr>
          <w:spacing w:val="-20"/>
        </w:rPr>
        <w:t> </w:t>
      </w:r>
      <w:r>
        <w:rPr/>
        <w:t>inpatients</w:t>
      </w:r>
      <w:r>
        <w:rPr>
          <w:spacing w:val="-21"/>
        </w:rPr>
        <w:t> </w:t>
      </w:r>
      <w:r>
        <w:rPr/>
        <w:t>were</w:t>
      </w:r>
      <w:r>
        <w:rPr>
          <w:spacing w:val="-21"/>
        </w:rPr>
        <w:t> </w:t>
      </w:r>
      <w:r>
        <w:rPr/>
        <w:t>transferred from Princess Margaret Hospital, which subsequently</w:t>
      </w:r>
      <w:r>
        <w:rPr>
          <w:spacing w:val="-24"/>
        </w:rPr>
        <w:t> </w:t>
      </w:r>
      <w:r>
        <w:rPr/>
        <w:t>closed.</w:t>
      </w:r>
      <w:r>
        <w:rPr>
          <w:spacing w:val="-23"/>
        </w:rPr>
        <w:t> </w:t>
      </w:r>
      <w:r>
        <w:rPr/>
        <w:t>Mental</w:t>
      </w:r>
      <w:r>
        <w:rPr>
          <w:spacing w:val="-23"/>
        </w:rPr>
        <w:t> </w:t>
      </w:r>
      <w:r>
        <w:rPr/>
        <w:t>health</w:t>
      </w:r>
      <w:r>
        <w:rPr>
          <w:spacing w:val="-24"/>
        </w:rPr>
        <w:t> </w:t>
      </w:r>
      <w:r>
        <w:rPr/>
        <w:t>patients from the Bentley Adolescent Unit were transferred on </w:t>
      </w:r>
      <w:r>
        <w:rPr>
          <w:spacing w:val="-11"/>
        </w:rPr>
        <w:t>17 </w:t>
      </w:r>
      <w:r>
        <w:rPr/>
        <w:t>June</w:t>
      </w:r>
      <w:r>
        <w:rPr>
          <w:spacing w:val="2"/>
        </w:rPr>
        <w:t> </w:t>
      </w:r>
      <w:r>
        <w:rPr>
          <w:spacing w:val="-7"/>
        </w:rPr>
        <w:t>2018.</w:t>
      </w:r>
    </w:p>
    <w:p>
      <w:pPr>
        <w:pStyle w:val="BodyText"/>
        <w:spacing w:before="4"/>
        <w:rPr>
          <w:sz w:val="23"/>
        </w:rPr>
      </w:pPr>
    </w:p>
    <w:p>
      <w:pPr>
        <w:pStyle w:val="BodyText"/>
        <w:spacing w:line="249" w:lineRule="auto"/>
        <w:ind w:left="408" w:right="-6"/>
      </w:pPr>
      <w:r>
        <w:rPr/>
        <w:pict>
          <v:group style="position:absolute;margin-left:477.348755pt;margin-top:6.666665pt;width:364.55pt;height:241.3pt;mso-position-horizontal-relative:page;mso-position-vertical-relative:paragraph;z-index:-707008" coordorigin="9547,133" coordsize="7291,4826">
            <v:shape style="position:absolute;left:2546;top:14046;width:2334;height:1798" coordorigin="2546,14046" coordsize="2334,1798" path="m11259,3291l11750,3782m11069,3212l11829,3972m10923,3176l11866,4118m10797,3160l11881,4244m10686,3159l11883,4357m10581,3165l11876,4460m10486,3180l11861,4555m10397,3202l11840,4644m10314,3229l11812,4727m10236,3261l11780,4805m10162,3297l11744,4879m10092,3338l11703,4949m10027,3383l11601,4957m9965,3431l11490,4957m9907,3484l11380,4957m9853,3540l11270,4957m9802,3600l11159,4957m9755,3663l11049,4957m9712,3730l10938,4957m9673,3801l10828,4957m9638,3877l10718,4957m9608,3957l10607,4957m9584,4043l10497,4957m9565,4135l10387,4957m9553,4233l10276,4957m9549,4340l10166,4957m9557,4458l10056,4957m9580,4591l9945,4957m9630,4751l9835,4957e" filled="false" stroked="true" strokeweight=".25pt" strokecolor="#6f2770">
              <v:path arrowok="t"/>
              <v:stroke dashstyle="solid"/>
            </v:shape>
            <v:shape style="position:absolute;left:10603;top:133;width:6235;height:4824" type="#_x0000_t75" stroked="false">
              <v:imagedata r:id="rId76" o:title=""/>
            </v:shape>
            <v:shape style="position:absolute;left:16356;top:3982;width:482;height:831" coordorigin="16357,3983" coordsize="482,831" path="m16772,3983l16697,3989,16627,4009,16562,4039,16504,4080,16454,4130,16413,4188,16383,4253,16363,4323,16357,4398,16363,4473,16383,4543,16413,4608,16454,4665,16504,4716,16562,4756,16627,4787,16697,4806,16772,4813,16789,4813,16805,4812,16822,4810,16838,4807,16838,3988,16822,3986,16805,3984,16789,3983,16772,3983xe" filled="true" fillcolor="#ffffff" stroked="false">
              <v:path arrowok="t"/>
              <v:fill type="solid"/>
            </v:shape>
            <v:shape style="position:absolute;left:16356;top:3982;width:482;height:831" coordorigin="16357,3983" coordsize="482,831" path="m16772,3983l16697,3989,16627,4009,16562,4039,16504,4080,16454,4130,16413,4188,16383,4253,16363,4323,16357,4398,16363,4473,16383,4543,16413,4608,16454,4665,16504,4716,16562,4756,16627,4787,16697,4806,16772,4813,16789,4813,16805,4812,16822,4810,16838,4807,16838,3988,16822,3986,16805,3984,16789,3983,16772,3983xe" filled="true" fillcolor="#aebd37" stroked="false">
              <v:path arrowok="t"/>
              <v:fill opacity="13107f" type="solid"/>
            </v:shape>
            <v:shape style="position:absolute;left:16571;top:4311;width:93;height:171" coordorigin="16571,4312" coordsize="93,171" path="m16590,4312l16582,4312,16571,4322,16571,4331,16638,4397,16638,4399,16571,4465,16571,4474,16579,4481,16582,4483,16589,4483,16592,4481,16655,4418,16662,4409,16664,4399,16664,4397,16662,4387,16655,4378,16590,4312xe" filled="true" fillcolor="#000000" stroked="false">
              <v:path arrowok="t"/>
              <v:fill type="solid"/>
            </v:shape>
            <w10:wrap type="none"/>
          </v:group>
        </w:pict>
      </w:r>
      <w:r>
        <w:rPr/>
        <w:t>The transition </w:t>
      </w:r>
      <w:r>
        <w:rPr>
          <w:spacing w:val="-3"/>
        </w:rPr>
        <w:t>to </w:t>
      </w:r>
      <w:r>
        <w:rPr/>
        <w:t>clinical operations follows the granting of practical completion </w:t>
      </w:r>
      <w:r>
        <w:rPr>
          <w:spacing w:val="-3"/>
        </w:rPr>
        <w:t>to </w:t>
      </w:r>
      <w:r>
        <w:rPr/>
        <w:t>the Managing </w:t>
      </w:r>
      <w:r>
        <w:rPr>
          <w:spacing w:val="-3"/>
        </w:rPr>
        <w:t>Contractor,</w:t>
      </w:r>
      <w:r>
        <w:rPr>
          <w:spacing w:val="-10"/>
        </w:rPr>
        <w:t> </w:t>
      </w:r>
      <w:r>
        <w:rPr/>
        <w:t>John</w:t>
      </w:r>
      <w:r>
        <w:rPr>
          <w:spacing w:val="-9"/>
        </w:rPr>
        <w:t> </w:t>
      </w:r>
      <w:r>
        <w:rPr/>
        <w:t>Holland</w:t>
      </w:r>
      <w:r>
        <w:rPr>
          <w:spacing w:val="-10"/>
        </w:rPr>
        <w:t> </w:t>
      </w:r>
      <w:r>
        <w:rPr>
          <w:spacing w:val="2"/>
        </w:rPr>
        <w:t>Pty</w:t>
      </w:r>
      <w:r>
        <w:rPr>
          <w:spacing w:val="-9"/>
        </w:rPr>
        <w:t> </w:t>
      </w:r>
      <w:r>
        <w:rPr>
          <w:spacing w:val="-3"/>
        </w:rPr>
        <w:t>Ltd</w:t>
      </w:r>
      <w:r>
        <w:rPr>
          <w:spacing w:val="-10"/>
        </w:rPr>
        <w:t> </w:t>
      </w:r>
      <w:r>
        <w:rPr/>
        <w:t>on</w:t>
      </w:r>
      <w:r>
        <w:rPr>
          <w:spacing w:val="-9"/>
        </w:rPr>
        <w:t> </w:t>
      </w:r>
      <w:r>
        <w:rPr>
          <w:spacing w:val="-8"/>
        </w:rPr>
        <w:t>13</w:t>
      </w:r>
      <w:r>
        <w:rPr>
          <w:spacing w:val="-9"/>
        </w:rPr>
        <w:t> </w:t>
      </w:r>
      <w:r>
        <w:rPr/>
        <w:t>April</w:t>
      </w:r>
      <w:r>
        <w:rPr>
          <w:spacing w:val="-10"/>
        </w:rPr>
        <w:t> </w:t>
      </w:r>
      <w:r>
        <w:rPr>
          <w:spacing w:val="-13"/>
        </w:rPr>
        <w:t>2017.</w:t>
      </w:r>
    </w:p>
    <w:p>
      <w:pPr>
        <w:pStyle w:val="BodyText"/>
        <w:spacing w:before="2"/>
        <w:rPr>
          <w:sz w:val="23"/>
        </w:rPr>
      </w:pPr>
    </w:p>
    <w:p>
      <w:pPr>
        <w:pStyle w:val="BodyText"/>
        <w:spacing w:line="249" w:lineRule="auto"/>
        <w:ind w:left="408" w:right="415"/>
      </w:pPr>
      <w:r>
        <w:rPr/>
        <w:t>Addressing</w:t>
      </w:r>
      <w:r>
        <w:rPr>
          <w:spacing w:val="-31"/>
        </w:rPr>
        <w:t> </w:t>
      </w:r>
      <w:r>
        <w:rPr/>
        <w:t>elevated</w:t>
      </w:r>
      <w:r>
        <w:rPr>
          <w:spacing w:val="-31"/>
        </w:rPr>
        <w:t> </w:t>
      </w:r>
      <w:r>
        <w:rPr/>
        <w:t>lead</w:t>
      </w:r>
      <w:r>
        <w:rPr>
          <w:spacing w:val="-31"/>
        </w:rPr>
        <w:t> </w:t>
      </w:r>
      <w:r>
        <w:rPr/>
        <w:t>levels</w:t>
      </w:r>
      <w:r>
        <w:rPr>
          <w:spacing w:val="-31"/>
        </w:rPr>
        <w:t> </w:t>
      </w:r>
      <w:r>
        <w:rPr/>
        <w:t>in</w:t>
      </w:r>
      <w:r>
        <w:rPr>
          <w:spacing w:val="-31"/>
        </w:rPr>
        <w:t> </w:t>
      </w:r>
      <w:r>
        <w:rPr/>
        <w:t>the</w:t>
      </w:r>
      <w:r>
        <w:rPr>
          <w:spacing w:val="-31"/>
        </w:rPr>
        <w:t> </w:t>
      </w:r>
      <w:r>
        <w:rPr/>
        <w:t>potable water</w:t>
      </w:r>
      <w:r>
        <w:rPr>
          <w:spacing w:val="-15"/>
        </w:rPr>
        <w:t> </w:t>
      </w:r>
      <w:r>
        <w:rPr/>
        <w:t>system</w:t>
      </w:r>
      <w:r>
        <w:rPr>
          <w:spacing w:val="-14"/>
        </w:rPr>
        <w:t> </w:t>
      </w:r>
      <w:r>
        <w:rPr/>
        <w:t>has</w:t>
      </w:r>
      <w:r>
        <w:rPr>
          <w:spacing w:val="-15"/>
        </w:rPr>
        <w:t> </w:t>
      </w:r>
      <w:r>
        <w:rPr/>
        <w:t>been</w:t>
      </w:r>
      <w:r>
        <w:rPr>
          <w:spacing w:val="-14"/>
        </w:rPr>
        <w:t> </w:t>
      </w:r>
      <w:r>
        <w:rPr/>
        <w:t>a</w:t>
      </w:r>
      <w:r>
        <w:rPr>
          <w:spacing w:val="-15"/>
        </w:rPr>
        <w:t> </w:t>
      </w:r>
      <w:r>
        <w:rPr/>
        <w:t>major</w:t>
      </w:r>
      <w:r>
        <w:rPr>
          <w:spacing w:val="-14"/>
        </w:rPr>
        <w:t> </w:t>
      </w:r>
      <w:r>
        <w:rPr/>
        <w:t>focus</w:t>
      </w:r>
      <w:r>
        <w:rPr>
          <w:spacing w:val="-15"/>
        </w:rPr>
        <w:t> </w:t>
      </w:r>
      <w:r>
        <w:rPr/>
        <w:t>for</w:t>
      </w:r>
      <w:r>
        <w:rPr>
          <w:spacing w:val="-14"/>
        </w:rPr>
        <w:t> </w:t>
      </w:r>
      <w:r>
        <w:rPr/>
        <w:t>the Department, involving a major program of remedial work. The success of the program was confirmed with the Chief Health Officer announcing on </w:t>
      </w:r>
      <w:r>
        <w:rPr>
          <w:spacing w:val="-4"/>
        </w:rPr>
        <w:t>27 </w:t>
      </w:r>
      <w:r>
        <w:rPr/>
        <w:t>March </w:t>
      </w:r>
      <w:r>
        <w:rPr>
          <w:spacing w:val="-7"/>
        </w:rPr>
        <w:t>2018 </w:t>
      </w:r>
      <w:r>
        <w:rPr/>
        <w:t>that</w:t>
      </w:r>
      <w:r>
        <w:rPr>
          <w:spacing w:val="-14"/>
        </w:rPr>
        <w:t> </w:t>
      </w:r>
      <w:r>
        <w:rPr/>
        <w:t>he</w:t>
      </w:r>
    </w:p>
    <w:p>
      <w:pPr>
        <w:pStyle w:val="BodyText"/>
        <w:spacing w:line="249" w:lineRule="auto" w:before="6"/>
        <w:ind w:left="408" w:right="1748"/>
      </w:pPr>
      <w:r>
        <w:rPr/>
        <w:t>was</w:t>
      </w:r>
      <w:r>
        <w:rPr>
          <w:spacing w:val="-25"/>
        </w:rPr>
        <w:t> </w:t>
      </w:r>
      <w:r>
        <w:rPr/>
        <w:t>satisfied</w:t>
      </w:r>
      <w:r>
        <w:rPr>
          <w:spacing w:val="-25"/>
        </w:rPr>
        <w:t> </w:t>
      </w:r>
      <w:r>
        <w:rPr/>
        <w:t>the</w:t>
      </w:r>
      <w:r>
        <w:rPr>
          <w:spacing w:val="-25"/>
        </w:rPr>
        <w:t> </w:t>
      </w:r>
      <w:r>
        <w:rPr/>
        <w:t>drinking</w:t>
      </w:r>
      <w:r>
        <w:rPr>
          <w:spacing w:val="-25"/>
        </w:rPr>
        <w:t> </w:t>
      </w:r>
      <w:r>
        <w:rPr/>
        <w:t>water supply was</w:t>
      </w:r>
      <w:r>
        <w:rPr>
          <w:spacing w:val="-5"/>
        </w:rPr>
        <w:t> </w:t>
      </w:r>
      <w:r>
        <w:rPr/>
        <w:t>safe.</w:t>
      </w:r>
    </w:p>
    <w:p>
      <w:pPr>
        <w:pStyle w:val="BodyText"/>
        <w:spacing w:line="249" w:lineRule="auto" w:before="231"/>
        <w:ind w:left="478" w:right="964"/>
      </w:pPr>
      <w:r>
        <w:rPr/>
        <w:br w:type="column"/>
      </w:r>
      <w:r>
        <w:rPr/>
        <w:t>In</w:t>
      </w:r>
      <w:r>
        <w:rPr>
          <w:spacing w:val="-20"/>
        </w:rPr>
        <w:t> </w:t>
      </w:r>
      <w:r>
        <w:rPr/>
        <w:t>addition</w:t>
      </w:r>
      <w:r>
        <w:rPr>
          <w:spacing w:val="-20"/>
        </w:rPr>
        <w:t> </w:t>
      </w:r>
      <w:r>
        <w:rPr>
          <w:spacing w:val="-3"/>
        </w:rPr>
        <w:t>to</w:t>
      </w:r>
      <w:r>
        <w:rPr>
          <w:spacing w:val="-19"/>
        </w:rPr>
        <w:t> </w:t>
      </w:r>
      <w:r>
        <w:rPr/>
        <w:t>overseeing</w:t>
      </w:r>
      <w:r>
        <w:rPr>
          <w:spacing w:val="-20"/>
        </w:rPr>
        <w:t> </w:t>
      </w:r>
      <w:r>
        <w:rPr/>
        <w:t>the</w:t>
      </w:r>
      <w:r>
        <w:rPr>
          <w:spacing w:val="-19"/>
        </w:rPr>
        <w:t> </w:t>
      </w:r>
      <w:r>
        <w:rPr/>
        <w:t>completion</w:t>
      </w:r>
      <w:r>
        <w:rPr>
          <w:spacing w:val="-20"/>
        </w:rPr>
        <w:t> </w:t>
      </w:r>
      <w:r>
        <w:rPr/>
        <w:t>of</w:t>
      </w:r>
      <w:r>
        <w:rPr>
          <w:spacing w:val="-19"/>
        </w:rPr>
        <w:t> </w:t>
      </w:r>
      <w:r>
        <w:rPr/>
        <w:t>minor defects and other outstanding works, </w:t>
      </w:r>
      <w:r>
        <w:rPr>
          <w:b/>
        </w:rPr>
        <w:t>Strategic Projects </w:t>
      </w:r>
      <w:r>
        <w:rPr/>
        <w:t>will continue </w:t>
      </w:r>
      <w:r>
        <w:rPr>
          <w:spacing w:val="-3"/>
        </w:rPr>
        <w:t>to </w:t>
      </w:r>
      <w:r>
        <w:rPr/>
        <w:t>manage the resolution of commercial claims </w:t>
      </w:r>
      <w:r>
        <w:rPr>
          <w:spacing w:val="-3"/>
        </w:rPr>
        <w:t>to </w:t>
      </w:r>
      <w:r>
        <w:rPr/>
        <w:t>complete commercial closure of the</w:t>
      </w:r>
      <w:r>
        <w:rPr>
          <w:spacing w:val="-5"/>
        </w:rPr>
        <w:t> </w:t>
      </w:r>
      <w:r>
        <w:rPr/>
        <w:t>project.</w:t>
      </w:r>
    </w:p>
    <w:p>
      <w:pPr>
        <w:pStyle w:val="BodyText"/>
        <w:spacing w:before="4"/>
        <w:rPr>
          <w:sz w:val="23"/>
        </w:rPr>
      </w:pPr>
    </w:p>
    <w:p>
      <w:pPr>
        <w:pStyle w:val="BodyText"/>
        <w:spacing w:line="249" w:lineRule="auto"/>
        <w:ind w:left="478" w:right="781"/>
      </w:pPr>
      <w:r>
        <w:rPr/>
        <w:t>This complex and significant project has experienced</w:t>
      </w:r>
      <w:r>
        <w:rPr>
          <w:spacing w:val="-27"/>
        </w:rPr>
        <w:t> </w:t>
      </w:r>
      <w:r>
        <w:rPr/>
        <w:t>many</w:t>
      </w:r>
      <w:r>
        <w:rPr>
          <w:spacing w:val="-26"/>
        </w:rPr>
        <w:t> </w:t>
      </w:r>
      <w:r>
        <w:rPr/>
        <w:t>challenges,</w:t>
      </w:r>
      <w:r>
        <w:rPr>
          <w:spacing w:val="-26"/>
        </w:rPr>
        <w:t> </w:t>
      </w:r>
      <w:r>
        <w:rPr/>
        <w:t>but</w:t>
      </w:r>
      <w:r>
        <w:rPr>
          <w:spacing w:val="-26"/>
        </w:rPr>
        <w:t> </w:t>
      </w:r>
      <w:r>
        <w:rPr/>
        <w:t>the</w:t>
      </w:r>
      <w:r>
        <w:rPr>
          <w:spacing w:val="-26"/>
        </w:rPr>
        <w:t> </w:t>
      </w:r>
      <w:r>
        <w:rPr/>
        <w:t>Department is</w:t>
      </w:r>
      <w:r>
        <w:rPr>
          <w:spacing w:val="-21"/>
        </w:rPr>
        <w:t> </w:t>
      </w:r>
      <w:r>
        <w:rPr/>
        <w:t>pleased</w:t>
      </w:r>
      <w:r>
        <w:rPr>
          <w:spacing w:val="-20"/>
        </w:rPr>
        <w:t> </w:t>
      </w:r>
      <w:r>
        <w:rPr/>
        <w:t>this</w:t>
      </w:r>
      <w:r>
        <w:rPr>
          <w:spacing w:val="-20"/>
        </w:rPr>
        <w:t> </w:t>
      </w:r>
      <w:r>
        <w:rPr/>
        <w:t>world-class</w:t>
      </w:r>
      <w:r>
        <w:rPr>
          <w:spacing w:val="-20"/>
        </w:rPr>
        <w:t> </w:t>
      </w:r>
      <w:r>
        <w:rPr/>
        <w:t>facility</w:t>
      </w:r>
      <w:r>
        <w:rPr>
          <w:spacing w:val="-21"/>
        </w:rPr>
        <w:t> </w:t>
      </w:r>
      <w:r>
        <w:rPr/>
        <w:t>is</w:t>
      </w:r>
      <w:r>
        <w:rPr>
          <w:spacing w:val="-20"/>
        </w:rPr>
        <w:t> </w:t>
      </w:r>
      <w:r>
        <w:rPr/>
        <w:t>now</w:t>
      </w:r>
      <w:r>
        <w:rPr>
          <w:spacing w:val="-20"/>
        </w:rPr>
        <w:t> </w:t>
      </w:r>
      <w:r>
        <w:rPr/>
        <w:t>available for</w:t>
      </w:r>
      <w:r>
        <w:rPr>
          <w:spacing w:val="-10"/>
        </w:rPr>
        <w:t> </w:t>
      </w:r>
      <w:r>
        <w:rPr/>
        <w:t>the</w:t>
      </w:r>
      <w:r>
        <w:rPr>
          <w:spacing w:val="-10"/>
        </w:rPr>
        <w:t> </w:t>
      </w:r>
      <w:r>
        <w:rPr/>
        <w:t>delivery</w:t>
      </w:r>
      <w:r>
        <w:rPr>
          <w:spacing w:val="-9"/>
        </w:rPr>
        <w:t> </w:t>
      </w:r>
      <w:r>
        <w:rPr/>
        <w:t>of</w:t>
      </w:r>
      <w:r>
        <w:rPr>
          <w:spacing w:val="-10"/>
        </w:rPr>
        <w:t> </w:t>
      </w:r>
      <w:r>
        <w:rPr/>
        <w:t>health</w:t>
      </w:r>
      <w:r>
        <w:rPr>
          <w:spacing w:val="-9"/>
        </w:rPr>
        <w:t> </w:t>
      </w:r>
      <w:r>
        <w:rPr/>
        <w:t>services</w:t>
      </w:r>
      <w:r>
        <w:rPr>
          <w:spacing w:val="-10"/>
        </w:rPr>
        <w:t> </w:t>
      </w:r>
      <w:r>
        <w:rPr>
          <w:spacing w:val="-3"/>
        </w:rPr>
        <w:t>to</w:t>
      </w:r>
      <w:r>
        <w:rPr>
          <w:spacing w:val="-9"/>
        </w:rPr>
        <w:t> </w:t>
      </w:r>
      <w:r>
        <w:rPr/>
        <w:t>children.</w:t>
      </w:r>
    </w:p>
    <w:p>
      <w:pPr>
        <w:spacing w:after="0" w:line="249" w:lineRule="auto"/>
        <w:sectPr>
          <w:type w:val="continuous"/>
          <w:pgSz w:w="16840" w:h="11910" w:orient="landscape"/>
          <w:pgMar w:top="1100" w:bottom="280" w:left="0" w:right="0"/>
          <w:cols w:num="3" w:equalWidth="0">
            <w:col w:w="5562" w:space="40"/>
            <w:col w:w="5134" w:space="39"/>
            <w:col w:w="6065"/>
          </w:cols>
        </w:sectPr>
      </w:pPr>
    </w:p>
    <w:p>
      <w:pPr>
        <w:pStyle w:val="BodyText"/>
        <w:rPr>
          <w:sz w:val="20"/>
        </w:rPr>
      </w:pPr>
    </w:p>
    <w:p>
      <w:pPr>
        <w:pStyle w:val="BodyText"/>
        <w:rPr>
          <w:sz w:val="20"/>
        </w:rPr>
      </w:pPr>
    </w:p>
    <w:p>
      <w:pPr>
        <w:pStyle w:val="BodyText"/>
        <w:spacing w:before="5"/>
        <w:rPr>
          <w:sz w:val="19"/>
        </w:rPr>
      </w:pPr>
    </w:p>
    <w:p>
      <w:pPr>
        <w:tabs>
          <w:tab w:pos="10886" w:val="left" w:leader="none"/>
          <w:tab w:pos="11199" w:val="left" w:leader="none"/>
          <w:tab w:pos="15849" w:val="left" w:leader="none"/>
        </w:tabs>
        <w:spacing w:before="0"/>
        <w:ind w:left="765" w:right="0" w:firstLine="0"/>
        <w:jc w:val="left"/>
        <w:rPr>
          <w:b/>
          <w:sz w:val="20"/>
        </w:rPr>
      </w:pPr>
      <w:r>
        <w:rPr/>
        <w:pict>
          <v:shape style="position:absolute;margin-left:8.787312pt;margin-top:-406.062836pt;width:44.75pt;height:44.75pt;mso-position-horizontal-relative:page;mso-position-vertical-relative:paragraph;z-index:-706984" coordorigin="176,-8121" coordsize="895,895" path="m8293,152l8055,-87m8438,186l8020,-231m8544,182l8024,-338m8630,157l8049,-423m8703,121l8086,-497m8767,73l8133,-560m8820,17l8189,-614m8864,-49l8256,-658m8897,-127l8333,-691m8915,-220l8426,-709m8912,-332l8539,-706m8837,-518l8724,-631e" filled="false" stroked="true" strokeweight=".25pt" strokecolor="#aebd37">
            <v:path arrowok="t"/>
            <v:stroke dashstyle="solid"/>
            <w10:wrap type="none"/>
          </v:shape>
        </w:pict>
      </w:r>
      <w:r>
        <w:rPr/>
        <w:pict>
          <v:group style="position:absolute;margin-left:0pt;margin-top:-14.855018pt;width:24.1pt;height:41.55pt;mso-position-horizontal-relative:page;mso-position-vertical-relative:paragraph;z-index:5536"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pict>
          <v:shape style="position:absolute;margin-left:656.695007pt;margin-top:-36.796616pt;width:129.75pt;height:33.75pt;mso-position-horizontal-relative:page;mso-position-vertical-relative:paragraph;z-index:5632" type="#_x0000_t202" filled="true" fillcolor="#000101" stroked="false">
            <v:textbox inset="0,0,0,0">
              <w:txbxContent>
                <w:p>
                  <w:pPr>
                    <w:spacing w:line="249" w:lineRule="auto" w:before="77"/>
                    <w:ind w:left="114" w:right="0" w:firstLine="648"/>
                    <w:jc w:val="left"/>
                    <w:rPr>
                      <w:b/>
                      <w:sz w:val="20"/>
                    </w:rPr>
                  </w:pPr>
                  <w:r>
                    <w:rPr>
                      <w:b/>
                      <w:color w:val="FFFFFF"/>
                      <w:sz w:val="20"/>
                    </w:rPr>
                    <w:t>Photo supplied by Perth Children’s Hospital</w:t>
                  </w:r>
                </w:p>
              </w:txbxContent>
            </v:textbox>
            <v:fill opacity="49152f" type="solid"/>
            <w10:wrap type="none"/>
          </v:shape>
        </w:pict>
      </w:r>
      <w:r>
        <w:rPr>
          <w:b/>
          <w:color w:val="FFFFFF"/>
          <w:w w:val="100"/>
          <w:sz w:val="20"/>
          <w:u w:val="single" w:color="939598"/>
        </w:rPr>
        <w:t> </w:t>
      </w:r>
      <w:r>
        <w:rPr>
          <w:b/>
          <w:color w:val="FFFFFF"/>
          <w:sz w:val="20"/>
          <w:u w:val="single" w:color="939598"/>
        </w:rPr>
        <w:tab/>
      </w:r>
      <w:r>
        <w:rPr>
          <w:b/>
          <w:color w:val="FFFFFF"/>
          <w:sz w:val="20"/>
        </w:rPr>
        <w:tab/>
        <w:t>Department of Finance Annual</w:t>
      </w:r>
      <w:r>
        <w:rPr>
          <w:b/>
          <w:color w:val="FFFFFF"/>
          <w:spacing w:val="12"/>
          <w:sz w:val="20"/>
        </w:rPr>
        <w:t> </w:t>
      </w:r>
      <w:r>
        <w:rPr>
          <w:b/>
          <w:color w:val="FFFFFF"/>
          <w:sz w:val="20"/>
        </w:rPr>
        <w:t>Report</w:t>
      </w:r>
      <w:r>
        <w:rPr>
          <w:b/>
          <w:color w:val="FFFFFF"/>
          <w:spacing w:val="3"/>
          <w:sz w:val="20"/>
        </w:rPr>
        <w:t> </w:t>
      </w:r>
      <w:r>
        <w:rPr>
          <w:b/>
          <w:color w:val="FFFFFF"/>
          <w:sz w:val="20"/>
        </w:rPr>
        <w:t>2017-18</w:t>
        <w:tab/>
        <w:t>19</w:t>
      </w:r>
    </w:p>
    <w:p>
      <w:pPr>
        <w:spacing w:after="0"/>
        <w:jc w:val="left"/>
        <w:rPr>
          <w:sz w:val="20"/>
        </w:rPr>
        <w:sectPr>
          <w:type w:val="continuous"/>
          <w:pgSz w:w="16840" w:h="11910" w:orient="landscape"/>
          <w:pgMar w:top="1100" w:bottom="280" w:left="0" w:right="0"/>
        </w:sectPr>
      </w:pPr>
    </w:p>
    <w:p>
      <w:pPr>
        <w:pStyle w:val="BodyText"/>
        <w:ind w:left="14432" w:right="-58"/>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p>
      <w:pPr>
        <w:spacing w:after="0"/>
        <w:rPr>
          <w:sz w:val="17"/>
        </w:rPr>
        <w:sectPr>
          <w:footerReference w:type="default" r:id="rId77"/>
          <w:pgSz w:w="16840" w:h="11910" w:orient="landscape"/>
          <w:pgMar w:footer="774" w:header="0" w:top="0" w:bottom="960" w:left="0" w:right="0"/>
        </w:sectPr>
      </w:pPr>
    </w:p>
    <w:p>
      <w:pPr>
        <w:pStyle w:val="Heading4"/>
        <w:spacing w:before="111"/>
      </w:pPr>
      <w:r>
        <w:rPr/>
        <w:pict>
          <v:group style="position:absolute;margin-left:0pt;margin-top:-99.5522pt;width:721.65pt;height:107.1pt;mso-position-horizontal-relative:page;mso-position-vertical-relative:paragraph;z-index:5824" coordorigin="0,-1991" coordsize="14433,2142">
            <v:shape style="position:absolute;left:8480;top:-539;width:319;height:319" type="#_x0000_t75" stroked="false">
              <v:imagedata r:id="rId78" o:title=""/>
            </v:shape>
            <v:shape style="position:absolute;left:8112;top:-536;width:684;height:684" coordorigin="8112,-535" coordsize="684,684" path="m8514,148l8113,-252,8112,-246,8507,149,8514,148m8587,128l8134,-326,8132,-321,8582,129,8587,128m8649,95l8167,-388,8166,-388,8164,-383,8644,97,8649,95,8649,95m8701,52l8209,-439,8209,-439,8206,-436,8697,55,8700,52,8701,52m8743,0l8261,-482,8260,-482,8257,-479,8740,4,8743,1,8743,0m8776,-62l8323,-515,8319,-514,8318,-513,8774,-56,8775,-58,8776,-62m8796,-136l8397,-535,8390,-534,8796,-129,8796,-136e" filled="true" fillcolor="#bbbcbb" stroked="false">
              <v:path arrowok="t"/>
              <v:fill opacity="32768f" type="solid"/>
            </v:shape>
            <v:shape style="position:absolute;left:8110;top:-161;width:312;height:312" type="#_x0000_t75" stroked="false">
              <v:imagedata r:id="rId79" o:title=""/>
            </v:shape>
            <v:shape style="position:absolute;left:9724;top:-1610;width:135;height:135" type="#_x0000_t75" stroked="false">
              <v:imagedata r:id="rId80" o:title=""/>
            </v:shape>
            <v:shape style="position:absolute;left:8562;top:-1759;width:1446;height:1446" coordorigin="8563,-1759" coordsize="1446,1446" path="m8978,-380l8630,-729,8636,-715,8964,-387,8978,-380m9122,-330l8580,-873,8582,-863,9113,-333,9122,-330m9233,-314l8564,-984,8564,-976,9226,-314,9233,-314m9328,-314l8563,-1079,8563,-1072,9321,-313,9328,-314m9413,-323l8573,-1163,8572,-1157,9406,-322,9413,-323m9489,-341l8591,-1240,8589,-1234,9484,-340,9489,-341m9559,-366l8615,-1310,8613,-1305,9554,-364,9559,-366m9623,-396l8645,-1374,8643,-1369,9619,-393,9623,-396m9683,-431l8680,-1433,8678,-1429,9678,-428,9683,-431m9737,-471l8720,-1488,8717,-1484,9733,-468,9737,-471m9787,-515l8765,-1538,8761,-1534,9784,-512,9787,-515m9833,-564l8813,-1584,8809,-1580,9830,-560,9833,-564m9875,-617l8866,-1625,8862,-1622,9872,-613,9875,-617m9911,-674l8924,-1662,8919,-1659,9909,-670,9911,-674m9944,-737l8986,-1694,8981,-1692,9941,-732,9944,-737m9969,-1271l9965,-1282,9531,-1715,9520,-1719,9969,-1271m9970,-804l9054,-1721,9048,-1719,9968,-799,9970,-804m9991,-878l9127,-1742,9122,-1740,9990,-872,9991,-878m9999,-1146l9998,-1154,9403,-1749,9395,-1750,9999,-1146m10005,-959l9208,-1755,9202,-1754,10004,-953,10005,-959m10008,-1042l10008,-1050,9299,-1758,9292,-1759,10008,-1042e" filled="true" fillcolor="#819c5f" stroked="false">
              <v:path arrowok="t"/>
              <v:fill opacity="32768f" type="solid"/>
            </v:shape>
            <v:rect style="position:absolute;left:7216;top:-1992;width:2406;height:851" filled="true" fillcolor="#d4c4d4" stroked="false">
              <v:fill type="solid"/>
            </v:rect>
            <v:rect style="position:absolute;left:9621;top:-1992;width:2406;height:851" filled="true" fillcolor="#cbb8cc" stroked="false">
              <v:fill type="solid"/>
            </v:rect>
            <v:shape style="position:absolute;left:12026;top:-1992;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992;width:2406;height:851" type="#_x0000_t202" filled="false"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w10:wrap type="none"/>
            </v:shape>
            <v:shape style="position:absolute;left:7216;top:-1992;width:2406;height:851"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v:shape style="position:absolute;left:4810;top:-1992;width:2406;height:851" type="#_x0000_t202" filled="true" fillcolor="#d4d896"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992;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v:shape style="position:absolute;left:0;top:-1992;width:2406;height:851" type="#_x0000_t202" filled="true" fillcolor="#bba1bc"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v:fill type="solid"/>
              <w10:wrap type="none"/>
            </v:shape>
            <w10:wrap type="none"/>
          </v:group>
        </w:pict>
      </w:r>
      <w:r>
        <w:rPr>
          <w:color w:val="6F2770"/>
        </w:rPr>
        <w:t>Karratha Health Campus</w:t>
      </w:r>
    </w:p>
    <w:p>
      <w:pPr>
        <w:pStyle w:val="BodyText"/>
        <w:spacing w:line="249" w:lineRule="auto" w:before="245"/>
        <w:ind w:left="765" w:right="-11"/>
      </w:pPr>
      <w:r>
        <w:rPr/>
        <w:t>The</w:t>
      </w:r>
      <w:r>
        <w:rPr>
          <w:spacing w:val="-33"/>
        </w:rPr>
        <w:t> </w:t>
      </w:r>
      <w:r>
        <w:rPr>
          <w:spacing w:val="-3"/>
        </w:rPr>
        <w:t>Karratha</w:t>
      </w:r>
      <w:r>
        <w:rPr>
          <w:spacing w:val="-32"/>
        </w:rPr>
        <w:t> </w:t>
      </w:r>
      <w:r>
        <w:rPr/>
        <w:t>Health</w:t>
      </w:r>
      <w:r>
        <w:rPr>
          <w:spacing w:val="-32"/>
        </w:rPr>
        <w:t> </w:t>
      </w:r>
      <w:r>
        <w:rPr/>
        <w:t>Campus</w:t>
      </w:r>
      <w:r>
        <w:rPr>
          <w:spacing w:val="-32"/>
        </w:rPr>
        <w:t> </w:t>
      </w:r>
      <w:r>
        <w:rPr/>
        <w:t>will</w:t>
      </w:r>
      <w:r>
        <w:rPr>
          <w:spacing w:val="-32"/>
        </w:rPr>
        <w:t> </w:t>
      </w:r>
      <w:r>
        <w:rPr/>
        <w:t>replace</w:t>
      </w:r>
      <w:r>
        <w:rPr>
          <w:spacing w:val="-32"/>
        </w:rPr>
        <w:t> </w:t>
      </w:r>
      <w:r>
        <w:rPr>
          <w:spacing w:val="-2"/>
        </w:rPr>
        <w:t>the</w:t>
      </w:r>
      <w:r>
        <w:rPr>
          <w:spacing w:val="-32"/>
        </w:rPr>
        <w:t> </w:t>
      </w:r>
      <w:r>
        <w:rPr/>
        <w:t>aging </w:t>
      </w:r>
      <w:r>
        <w:rPr>
          <w:spacing w:val="-3"/>
        </w:rPr>
        <w:t>Nickol Bay </w:t>
      </w:r>
      <w:r>
        <w:rPr/>
        <w:t>Hospital with a modern, </w:t>
      </w:r>
      <w:r>
        <w:rPr>
          <w:spacing w:val="-3"/>
        </w:rPr>
        <w:t>purpose-built </w:t>
      </w:r>
      <w:r>
        <w:rPr/>
        <w:t>facility </w:t>
      </w:r>
      <w:r>
        <w:rPr>
          <w:spacing w:val="-3"/>
        </w:rPr>
        <w:t>that </w:t>
      </w:r>
      <w:r>
        <w:rPr/>
        <w:t>is designed </w:t>
      </w:r>
      <w:r>
        <w:rPr>
          <w:spacing w:val="-4"/>
        </w:rPr>
        <w:t>to </w:t>
      </w:r>
      <w:r>
        <w:rPr>
          <w:spacing w:val="-3"/>
        </w:rPr>
        <w:t>facilitate </w:t>
      </w:r>
      <w:r>
        <w:rPr>
          <w:spacing w:val="-4"/>
        </w:rPr>
        <w:t>patient-centred </w:t>
      </w:r>
      <w:r>
        <w:rPr/>
        <w:t>care</w:t>
      </w:r>
      <w:r>
        <w:rPr>
          <w:spacing w:val="-32"/>
        </w:rPr>
        <w:t> </w:t>
      </w:r>
      <w:r>
        <w:rPr/>
        <w:t>underpinned</w:t>
      </w:r>
      <w:r>
        <w:rPr>
          <w:spacing w:val="-31"/>
        </w:rPr>
        <w:t> </w:t>
      </w:r>
      <w:r>
        <w:rPr>
          <w:spacing w:val="-3"/>
        </w:rPr>
        <w:t>by</w:t>
      </w:r>
      <w:r>
        <w:rPr>
          <w:spacing w:val="-32"/>
        </w:rPr>
        <w:t> </w:t>
      </w:r>
      <w:r>
        <w:rPr/>
        <w:t>contemporary</w:t>
      </w:r>
      <w:r>
        <w:rPr>
          <w:spacing w:val="-31"/>
        </w:rPr>
        <w:t> </w:t>
      </w:r>
      <w:r>
        <w:rPr/>
        <w:t>models</w:t>
      </w:r>
      <w:r>
        <w:rPr>
          <w:spacing w:val="-32"/>
        </w:rPr>
        <w:t> </w:t>
      </w:r>
      <w:r>
        <w:rPr>
          <w:spacing w:val="-3"/>
        </w:rPr>
        <w:t>of</w:t>
      </w:r>
      <w:r>
        <w:rPr>
          <w:spacing w:val="-31"/>
        </w:rPr>
        <w:t> </w:t>
      </w:r>
      <w:r>
        <w:rPr>
          <w:spacing w:val="-3"/>
        </w:rPr>
        <w:t>care.</w:t>
      </w:r>
    </w:p>
    <w:p>
      <w:pPr>
        <w:pStyle w:val="BodyText"/>
        <w:spacing w:before="3"/>
        <w:rPr>
          <w:sz w:val="23"/>
        </w:rPr>
      </w:pPr>
    </w:p>
    <w:p>
      <w:pPr>
        <w:pStyle w:val="BodyText"/>
        <w:spacing w:line="249" w:lineRule="auto"/>
        <w:ind w:left="765" w:right="353"/>
        <w:jc w:val="both"/>
      </w:pPr>
      <w:r>
        <w:rPr/>
        <w:t>The</w:t>
      </w:r>
      <w:r>
        <w:rPr>
          <w:spacing w:val="-24"/>
        </w:rPr>
        <w:t> </w:t>
      </w:r>
      <w:r>
        <w:rPr>
          <w:spacing w:val="-3"/>
        </w:rPr>
        <w:t>project</w:t>
      </w:r>
      <w:r>
        <w:rPr>
          <w:spacing w:val="-25"/>
        </w:rPr>
        <w:t> </w:t>
      </w:r>
      <w:r>
        <w:rPr/>
        <w:t>is</w:t>
      </w:r>
      <w:r>
        <w:rPr>
          <w:spacing w:val="-24"/>
        </w:rPr>
        <w:t> </w:t>
      </w:r>
      <w:r>
        <w:rPr>
          <w:spacing w:val="-3"/>
        </w:rPr>
        <w:t>integral</w:t>
      </w:r>
      <w:r>
        <w:rPr>
          <w:spacing w:val="-24"/>
        </w:rPr>
        <w:t> </w:t>
      </w:r>
      <w:r>
        <w:rPr>
          <w:spacing w:val="-4"/>
        </w:rPr>
        <w:t>to</w:t>
      </w:r>
      <w:r>
        <w:rPr>
          <w:spacing w:val="-24"/>
        </w:rPr>
        <w:t> </w:t>
      </w:r>
      <w:r>
        <w:rPr>
          <w:spacing w:val="-2"/>
        </w:rPr>
        <w:t>the</w:t>
      </w:r>
      <w:r>
        <w:rPr>
          <w:spacing w:val="-24"/>
        </w:rPr>
        <w:t> </w:t>
      </w:r>
      <w:r>
        <w:rPr>
          <w:spacing w:val="-3"/>
        </w:rPr>
        <w:t>Western</w:t>
      </w:r>
      <w:r>
        <w:rPr>
          <w:spacing w:val="-24"/>
        </w:rPr>
        <w:t> </w:t>
      </w:r>
      <w:r>
        <w:rPr>
          <w:spacing w:val="-3"/>
        </w:rPr>
        <w:t>Australian </w:t>
      </w:r>
      <w:r>
        <w:rPr>
          <w:w w:val="95"/>
        </w:rPr>
        <w:t>Country Health </w:t>
      </w:r>
      <w:r>
        <w:rPr>
          <w:spacing w:val="-4"/>
          <w:w w:val="95"/>
        </w:rPr>
        <w:t>Service’s (WACHS) </w:t>
      </w:r>
      <w:r>
        <w:rPr>
          <w:spacing w:val="-3"/>
          <w:w w:val="95"/>
        </w:rPr>
        <w:t>overarching </w:t>
      </w:r>
      <w:r>
        <w:rPr>
          <w:spacing w:val="-3"/>
        </w:rPr>
        <w:t>strategy</w:t>
      </w:r>
      <w:r>
        <w:rPr>
          <w:spacing w:val="-22"/>
        </w:rPr>
        <w:t> </w:t>
      </w:r>
      <w:r>
        <w:rPr>
          <w:spacing w:val="-4"/>
        </w:rPr>
        <w:t>to</w:t>
      </w:r>
      <w:r>
        <w:rPr>
          <w:spacing w:val="-22"/>
        </w:rPr>
        <w:t> </w:t>
      </w:r>
      <w:r>
        <w:rPr>
          <w:spacing w:val="-3"/>
        </w:rPr>
        <w:t>provide</w:t>
      </w:r>
      <w:r>
        <w:rPr>
          <w:spacing w:val="-22"/>
        </w:rPr>
        <w:t> </w:t>
      </w:r>
      <w:r>
        <w:rPr>
          <w:spacing w:val="-2"/>
        </w:rPr>
        <w:t>the</w:t>
      </w:r>
      <w:r>
        <w:rPr>
          <w:spacing w:val="-22"/>
        </w:rPr>
        <w:t> </w:t>
      </w:r>
      <w:r>
        <w:rPr>
          <w:spacing w:val="-3"/>
        </w:rPr>
        <w:t>West</w:t>
      </w:r>
      <w:r>
        <w:rPr>
          <w:spacing w:val="-22"/>
        </w:rPr>
        <w:t> </w:t>
      </w:r>
      <w:r>
        <w:rPr>
          <w:spacing w:val="-3"/>
        </w:rPr>
        <w:t>Pilbara</w:t>
      </w:r>
      <w:r>
        <w:rPr>
          <w:spacing w:val="-22"/>
        </w:rPr>
        <w:t> </w:t>
      </w:r>
      <w:r>
        <w:rPr>
          <w:spacing w:val="-3"/>
        </w:rPr>
        <w:t>District</w:t>
      </w:r>
      <w:r>
        <w:rPr>
          <w:spacing w:val="-22"/>
        </w:rPr>
        <w:t> </w:t>
      </w:r>
      <w:r>
        <w:rPr/>
        <w:t>with a</w:t>
      </w:r>
      <w:r>
        <w:rPr>
          <w:spacing w:val="-30"/>
        </w:rPr>
        <w:t> </w:t>
      </w:r>
      <w:r>
        <w:rPr/>
        <w:t>more</w:t>
      </w:r>
      <w:r>
        <w:rPr>
          <w:spacing w:val="-30"/>
        </w:rPr>
        <w:t> </w:t>
      </w:r>
      <w:r>
        <w:rPr/>
        <w:t>effective</w:t>
      </w:r>
      <w:r>
        <w:rPr>
          <w:spacing w:val="-30"/>
        </w:rPr>
        <w:t> </w:t>
      </w:r>
      <w:r>
        <w:rPr/>
        <w:t>service</w:t>
      </w:r>
      <w:r>
        <w:rPr>
          <w:spacing w:val="-30"/>
        </w:rPr>
        <w:t> </w:t>
      </w:r>
      <w:r>
        <w:rPr/>
        <w:t>delivery</w:t>
      </w:r>
      <w:r>
        <w:rPr>
          <w:spacing w:val="-30"/>
        </w:rPr>
        <w:t> </w:t>
      </w:r>
      <w:r>
        <w:rPr/>
        <w:t>model</w:t>
      </w:r>
      <w:r>
        <w:rPr>
          <w:spacing w:val="-30"/>
        </w:rPr>
        <w:t> </w:t>
      </w:r>
      <w:r>
        <w:rPr>
          <w:spacing w:val="-3"/>
        </w:rPr>
        <w:t>for</w:t>
      </w:r>
      <w:r>
        <w:rPr>
          <w:spacing w:val="-30"/>
        </w:rPr>
        <w:t> </w:t>
      </w:r>
      <w:r>
        <w:rPr>
          <w:spacing w:val="-3"/>
        </w:rPr>
        <w:t>both </w:t>
      </w:r>
      <w:r>
        <w:rPr/>
        <w:t>Emergency</w:t>
      </w:r>
      <w:r>
        <w:rPr>
          <w:spacing w:val="-18"/>
        </w:rPr>
        <w:t> </w:t>
      </w:r>
      <w:r>
        <w:rPr/>
        <w:t>and</w:t>
      </w:r>
      <w:r>
        <w:rPr>
          <w:spacing w:val="-17"/>
        </w:rPr>
        <w:t> </w:t>
      </w:r>
      <w:r>
        <w:rPr/>
        <w:t>Ambulatory</w:t>
      </w:r>
      <w:r>
        <w:rPr>
          <w:spacing w:val="-18"/>
        </w:rPr>
        <w:t> </w:t>
      </w:r>
      <w:r>
        <w:rPr/>
        <w:t>Health</w:t>
      </w:r>
      <w:r>
        <w:rPr>
          <w:spacing w:val="-17"/>
        </w:rPr>
        <w:t> </w:t>
      </w:r>
      <w:r>
        <w:rPr>
          <w:spacing w:val="-3"/>
        </w:rPr>
        <w:t>Care.</w:t>
      </w:r>
    </w:p>
    <w:p>
      <w:pPr>
        <w:pStyle w:val="BodyText"/>
        <w:spacing w:before="4"/>
        <w:rPr>
          <w:sz w:val="23"/>
        </w:rPr>
      </w:pPr>
    </w:p>
    <w:p>
      <w:pPr>
        <w:spacing w:line="249" w:lineRule="auto" w:before="0"/>
        <w:ind w:left="765" w:right="10" w:firstLine="0"/>
        <w:jc w:val="left"/>
        <w:rPr>
          <w:sz w:val="22"/>
        </w:rPr>
      </w:pPr>
      <w:r>
        <w:rPr/>
        <w:pict>
          <v:group style="position:absolute;margin-left:38.268002pt;margin-top:44.810875pt;width:502.9pt;height:207.7pt;mso-position-horizontal-relative:page;mso-position-vertical-relative:paragraph;z-index:5872" coordorigin="765,896" coordsize="10058,4154">
            <v:shape style="position:absolute;left:765;top:896;width:10058;height:4154" type="#_x0000_t75" stroked="false">
              <v:imagedata r:id="rId81" o:title=""/>
            </v:shape>
            <v:shape style="position:absolute;left:1013;top:4550;width:2595;height:435" type="#_x0000_t202" filled="true" fillcolor="#000101" stroked="false">
              <v:textbox inset="0,0,0,0">
                <w:txbxContent>
                  <w:p>
                    <w:pPr>
                      <w:spacing w:before="77"/>
                      <w:ind w:left="116" w:right="0" w:firstLine="0"/>
                      <w:jc w:val="left"/>
                      <w:rPr>
                        <w:b/>
                        <w:sz w:val="20"/>
                      </w:rPr>
                    </w:pPr>
                    <w:r>
                      <w:rPr>
                        <w:b/>
                        <w:color w:val="FFFFFF"/>
                        <w:sz w:val="20"/>
                      </w:rPr>
                      <w:t>Karratha Health Campus</w:t>
                    </w:r>
                  </w:p>
                </w:txbxContent>
              </v:textbox>
              <v:fill opacity="49152f" type="solid"/>
              <w10:wrap type="none"/>
            </v:shape>
            <w10:wrap type="none"/>
          </v:group>
        </w:pict>
      </w:r>
      <w:r>
        <w:rPr>
          <w:b/>
          <w:sz w:val="22"/>
        </w:rPr>
        <w:t>Strategic Projects’ </w:t>
      </w:r>
      <w:r>
        <w:rPr>
          <w:spacing w:val="-3"/>
          <w:sz w:val="22"/>
        </w:rPr>
        <w:t>oversight of </w:t>
      </w:r>
      <w:r>
        <w:rPr>
          <w:spacing w:val="-2"/>
          <w:sz w:val="22"/>
        </w:rPr>
        <w:t>the </w:t>
      </w:r>
      <w:r>
        <w:rPr>
          <w:spacing w:val="-3"/>
          <w:sz w:val="22"/>
        </w:rPr>
        <w:t>project </w:t>
      </w:r>
      <w:r>
        <w:rPr>
          <w:sz w:val="22"/>
        </w:rPr>
        <w:t>in </w:t>
      </w:r>
      <w:r>
        <w:rPr>
          <w:spacing w:val="-2"/>
          <w:sz w:val="22"/>
        </w:rPr>
        <w:t>the </w:t>
      </w:r>
      <w:r>
        <w:rPr>
          <w:sz w:val="22"/>
        </w:rPr>
        <w:t>early phases </w:t>
      </w:r>
      <w:r>
        <w:rPr>
          <w:spacing w:val="-3"/>
          <w:sz w:val="22"/>
        </w:rPr>
        <w:t>of </w:t>
      </w:r>
      <w:r>
        <w:rPr>
          <w:spacing w:val="-2"/>
          <w:sz w:val="22"/>
        </w:rPr>
        <w:t>the </w:t>
      </w:r>
      <w:r>
        <w:rPr>
          <w:spacing w:val="-3"/>
          <w:sz w:val="22"/>
        </w:rPr>
        <w:t>project </w:t>
      </w:r>
      <w:r>
        <w:rPr>
          <w:sz w:val="22"/>
        </w:rPr>
        <w:t>has </w:t>
      </w:r>
      <w:r>
        <w:rPr>
          <w:spacing w:val="-3"/>
          <w:sz w:val="22"/>
        </w:rPr>
        <w:t>resulted </w:t>
      </w:r>
      <w:r>
        <w:rPr>
          <w:sz w:val="22"/>
        </w:rPr>
        <w:t>in a</w:t>
      </w:r>
    </w:p>
    <w:p>
      <w:pPr>
        <w:pStyle w:val="BodyText"/>
        <w:rPr>
          <w:sz w:val="26"/>
        </w:rPr>
      </w:pPr>
      <w:r>
        <w:rPr/>
        <w:br w:type="column"/>
      </w:r>
      <w:r>
        <w:rPr>
          <w:sz w:val="26"/>
        </w:rPr>
      </w:r>
    </w:p>
    <w:p>
      <w:pPr>
        <w:pStyle w:val="BodyText"/>
        <w:rPr>
          <w:sz w:val="26"/>
        </w:rPr>
      </w:pPr>
    </w:p>
    <w:p>
      <w:pPr>
        <w:pStyle w:val="BodyText"/>
        <w:spacing w:line="249" w:lineRule="auto" w:before="172"/>
        <w:ind w:left="428" w:right="774"/>
      </w:pPr>
      <w:r>
        <w:rPr>
          <w:spacing w:val="-3"/>
        </w:rPr>
        <w:t>relatively issue-free construction phase, </w:t>
      </w:r>
      <w:r>
        <w:rPr/>
        <w:t>which</w:t>
      </w:r>
      <w:r>
        <w:rPr>
          <w:spacing w:val="-19"/>
        </w:rPr>
        <w:t> </w:t>
      </w:r>
      <w:r>
        <w:rPr/>
        <w:t>is</w:t>
      </w:r>
      <w:r>
        <w:rPr>
          <w:spacing w:val="-19"/>
        </w:rPr>
        <w:t> </w:t>
      </w:r>
      <w:r>
        <w:rPr>
          <w:spacing w:val="-3"/>
        </w:rPr>
        <w:t>progressing</w:t>
      </w:r>
      <w:r>
        <w:rPr>
          <w:spacing w:val="-19"/>
        </w:rPr>
        <w:t> </w:t>
      </w:r>
      <w:r>
        <w:rPr>
          <w:spacing w:val="-3"/>
        </w:rPr>
        <w:t>well</w:t>
      </w:r>
      <w:r>
        <w:rPr>
          <w:spacing w:val="-18"/>
        </w:rPr>
        <w:t> </w:t>
      </w:r>
      <w:r>
        <w:rPr/>
        <w:t>and</w:t>
      </w:r>
      <w:r>
        <w:rPr>
          <w:spacing w:val="-19"/>
        </w:rPr>
        <w:t> </w:t>
      </w:r>
      <w:r>
        <w:rPr/>
        <w:t>is</w:t>
      </w:r>
      <w:r>
        <w:rPr>
          <w:spacing w:val="-19"/>
        </w:rPr>
        <w:t> </w:t>
      </w:r>
      <w:r>
        <w:rPr/>
        <w:t>on</w:t>
      </w:r>
      <w:r>
        <w:rPr>
          <w:spacing w:val="-19"/>
        </w:rPr>
        <w:t> </w:t>
      </w:r>
      <w:r>
        <w:rPr>
          <w:spacing w:val="-3"/>
        </w:rPr>
        <w:t>track</w:t>
      </w:r>
      <w:r>
        <w:rPr>
          <w:spacing w:val="-18"/>
        </w:rPr>
        <w:t> </w:t>
      </w:r>
      <w:r>
        <w:rPr>
          <w:spacing w:val="-3"/>
        </w:rPr>
        <w:t>for completion</w:t>
      </w:r>
      <w:r>
        <w:rPr>
          <w:spacing w:val="-17"/>
        </w:rPr>
        <w:t> </w:t>
      </w:r>
      <w:r>
        <w:rPr/>
        <w:t>in</w:t>
      </w:r>
      <w:r>
        <w:rPr>
          <w:spacing w:val="-16"/>
        </w:rPr>
        <w:t> </w:t>
      </w:r>
      <w:r>
        <w:rPr/>
        <w:t>July</w:t>
      </w:r>
      <w:r>
        <w:rPr>
          <w:spacing w:val="-16"/>
        </w:rPr>
        <w:t> </w:t>
      </w:r>
      <w:r>
        <w:rPr>
          <w:spacing w:val="-8"/>
        </w:rPr>
        <w:t>2018,</w:t>
      </w:r>
      <w:r>
        <w:rPr>
          <w:spacing w:val="-16"/>
        </w:rPr>
        <w:t> </w:t>
      </w:r>
      <w:r>
        <w:rPr/>
        <w:t>and</w:t>
      </w:r>
      <w:r>
        <w:rPr>
          <w:spacing w:val="-16"/>
        </w:rPr>
        <w:t> </w:t>
      </w:r>
      <w:r>
        <w:rPr>
          <w:spacing w:val="-3"/>
        </w:rPr>
        <w:t>within</w:t>
      </w:r>
      <w:r>
        <w:rPr>
          <w:spacing w:val="-16"/>
        </w:rPr>
        <w:t> </w:t>
      </w:r>
      <w:r>
        <w:rPr>
          <w:spacing w:val="-3"/>
        </w:rPr>
        <w:t>budget.</w:t>
      </w:r>
    </w:p>
    <w:p>
      <w:pPr>
        <w:pStyle w:val="BodyText"/>
        <w:spacing w:line="249" w:lineRule="auto" w:before="3"/>
        <w:ind w:left="428" w:right="-4"/>
      </w:pPr>
      <w:r>
        <w:rPr>
          <w:spacing w:val="-3"/>
        </w:rPr>
        <w:t>Strategic</w:t>
      </w:r>
      <w:r>
        <w:rPr>
          <w:spacing w:val="-20"/>
        </w:rPr>
        <w:t> </w:t>
      </w:r>
      <w:r>
        <w:rPr>
          <w:spacing w:val="-3"/>
        </w:rPr>
        <w:t>Projects</w:t>
      </w:r>
      <w:r>
        <w:rPr>
          <w:spacing w:val="-19"/>
        </w:rPr>
        <w:t> </w:t>
      </w:r>
      <w:r>
        <w:rPr/>
        <w:t>has</w:t>
      </w:r>
      <w:r>
        <w:rPr>
          <w:spacing w:val="-20"/>
        </w:rPr>
        <w:t> </w:t>
      </w:r>
      <w:r>
        <w:rPr>
          <w:spacing w:val="-3"/>
        </w:rPr>
        <w:t>provided</w:t>
      </w:r>
      <w:r>
        <w:rPr>
          <w:spacing w:val="-19"/>
        </w:rPr>
        <w:t> </w:t>
      </w:r>
      <w:r>
        <w:rPr>
          <w:spacing w:val="-3"/>
        </w:rPr>
        <w:t>project</w:t>
      </w:r>
      <w:r>
        <w:rPr>
          <w:spacing w:val="-19"/>
        </w:rPr>
        <w:t> </w:t>
      </w:r>
      <w:r>
        <w:rPr/>
        <w:t>and</w:t>
      </w:r>
      <w:r>
        <w:rPr>
          <w:spacing w:val="-20"/>
        </w:rPr>
        <w:t> </w:t>
      </w:r>
      <w:r>
        <w:rPr>
          <w:spacing w:val="-3"/>
        </w:rPr>
        <w:t>contract </w:t>
      </w:r>
      <w:r>
        <w:rPr/>
        <w:t>management support and advice </w:t>
      </w:r>
      <w:r>
        <w:rPr>
          <w:spacing w:val="-4"/>
        </w:rPr>
        <w:t>to </w:t>
      </w:r>
      <w:r>
        <w:rPr>
          <w:spacing w:val="-6"/>
        </w:rPr>
        <w:t>WACHS </w:t>
      </w:r>
      <w:r>
        <w:rPr>
          <w:spacing w:val="-3"/>
        </w:rPr>
        <w:t>throughout </w:t>
      </w:r>
      <w:r>
        <w:rPr>
          <w:spacing w:val="-2"/>
        </w:rPr>
        <w:t>the </w:t>
      </w:r>
      <w:r>
        <w:rPr>
          <w:spacing w:val="-6"/>
        </w:rPr>
        <w:t>year, </w:t>
      </w:r>
      <w:r>
        <w:rPr>
          <w:spacing w:val="-3"/>
        </w:rPr>
        <w:t>including oversight of </w:t>
      </w:r>
      <w:r>
        <w:rPr/>
        <w:t>final </w:t>
      </w:r>
      <w:r>
        <w:rPr>
          <w:spacing w:val="-3"/>
        </w:rPr>
        <w:t>testing</w:t>
      </w:r>
      <w:r>
        <w:rPr>
          <w:spacing w:val="-11"/>
        </w:rPr>
        <w:t> </w:t>
      </w:r>
      <w:r>
        <w:rPr/>
        <w:t>and</w:t>
      </w:r>
      <w:r>
        <w:rPr>
          <w:spacing w:val="-10"/>
        </w:rPr>
        <w:t> </w:t>
      </w:r>
      <w:r>
        <w:rPr/>
        <w:t>commissioning</w:t>
      </w:r>
      <w:r>
        <w:rPr>
          <w:spacing w:val="-11"/>
        </w:rPr>
        <w:t> </w:t>
      </w:r>
      <w:r>
        <w:rPr/>
        <w:t>in</w:t>
      </w:r>
      <w:r>
        <w:rPr>
          <w:spacing w:val="-10"/>
        </w:rPr>
        <w:t> </w:t>
      </w:r>
      <w:r>
        <w:rPr/>
        <w:t>June</w:t>
      </w:r>
      <w:r>
        <w:rPr>
          <w:spacing w:val="-11"/>
        </w:rPr>
        <w:t> </w:t>
      </w:r>
      <w:r>
        <w:rPr>
          <w:spacing w:val="-8"/>
        </w:rPr>
        <w:t>2018.</w:t>
      </w:r>
    </w:p>
    <w:p>
      <w:pPr>
        <w:pStyle w:val="BodyText"/>
        <w:spacing w:before="3"/>
        <w:rPr>
          <w:sz w:val="23"/>
        </w:rPr>
      </w:pPr>
    </w:p>
    <w:p>
      <w:pPr>
        <w:pStyle w:val="BodyText"/>
        <w:spacing w:line="249" w:lineRule="auto"/>
        <w:ind w:left="428" w:right="32"/>
      </w:pPr>
      <w:r>
        <w:rPr>
          <w:b/>
        </w:rPr>
        <w:t>Strategic Projects </w:t>
      </w:r>
      <w:r>
        <w:rPr/>
        <w:t>will </w:t>
      </w:r>
      <w:r>
        <w:rPr>
          <w:spacing w:val="-3"/>
        </w:rPr>
        <w:t>continue </w:t>
      </w:r>
      <w:r>
        <w:rPr>
          <w:spacing w:val="-4"/>
        </w:rPr>
        <w:t>to </w:t>
      </w:r>
      <w:r>
        <w:rPr>
          <w:spacing w:val="-3"/>
        </w:rPr>
        <w:t>provide </w:t>
      </w:r>
      <w:r>
        <w:rPr/>
        <w:t>ongoing support </w:t>
      </w:r>
      <w:r>
        <w:rPr>
          <w:spacing w:val="-4"/>
        </w:rPr>
        <w:t>to </w:t>
      </w:r>
      <w:r>
        <w:rPr>
          <w:spacing w:val="-6"/>
        </w:rPr>
        <w:t>WACHS </w:t>
      </w:r>
      <w:r>
        <w:rPr/>
        <w:t>in </w:t>
      </w:r>
      <w:r>
        <w:rPr>
          <w:spacing w:val="-2"/>
        </w:rPr>
        <w:t>the </w:t>
      </w:r>
      <w:r>
        <w:rPr/>
        <w:t>next financial </w:t>
      </w:r>
      <w:r>
        <w:rPr>
          <w:spacing w:val="-6"/>
        </w:rPr>
        <w:t>year,</w:t>
      </w:r>
      <w:r>
        <w:rPr>
          <w:spacing w:val="-20"/>
        </w:rPr>
        <w:t> </w:t>
      </w:r>
      <w:r>
        <w:rPr>
          <w:spacing w:val="-3"/>
        </w:rPr>
        <w:t>including</w:t>
      </w:r>
      <w:r>
        <w:rPr>
          <w:spacing w:val="-19"/>
        </w:rPr>
        <w:t> </w:t>
      </w:r>
      <w:r>
        <w:rPr>
          <w:spacing w:val="-3"/>
        </w:rPr>
        <w:t>completion</w:t>
      </w:r>
      <w:r>
        <w:rPr>
          <w:spacing w:val="-19"/>
        </w:rPr>
        <w:t> </w:t>
      </w:r>
      <w:r>
        <w:rPr>
          <w:spacing w:val="-3"/>
        </w:rPr>
        <w:t>of</w:t>
      </w:r>
      <w:r>
        <w:rPr>
          <w:spacing w:val="-19"/>
        </w:rPr>
        <w:t> </w:t>
      </w:r>
      <w:r>
        <w:rPr>
          <w:spacing w:val="-3"/>
        </w:rPr>
        <w:t>project</w:t>
      </w:r>
      <w:r>
        <w:rPr>
          <w:spacing w:val="-19"/>
        </w:rPr>
        <w:t> </w:t>
      </w:r>
      <w:r>
        <w:rPr>
          <w:spacing w:val="-3"/>
        </w:rPr>
        <w:t>documentation </w:t>
      </w:r>
      <w:r>
        <w:rPr/>
        <w:t>and </w:t>
      </w:r>
      <w:r>
        <w:rPr>
          <w:spacing w:val="-3"/>
        </w:rPr>
        <w:t>deliverables, </w:t>
      </w:r>
      <w:r>
        <w:rPr/>
        <w:t>and </w:t>
      </w:r>
      <w:r>
        <w:rPr>
          <w:spacing w:val="-3"/>
        </w:rPr>
        <w:t>overseeing </w:t>
      </w:r>
      <w:r>
        <w:rPr>
          <w:spacing w:val="-2"/>
        </w:rPr>
        <w:t>the </w:t>
      </w:r>
      <w:r>
        <w:rPr>
          <w:spacing w:val="-3"/>
        </w:rPr>
        <w:t>two-year defects</w:t>
      </w:r>
      <w:r>
        <w:rPr>
          <w:spacing w:val="-13"/>
        </w:rPr>
        <w:t> </w:t>
      </w:r>
      <w:r>
        <w:rPr/>
        <w:t>liability</w:t>
      </w:r>
      <w:r>
        <w:rPr>
          <w:spacing w:val="-13"/>
        </w:rPr>
        <w:t> </w:t>
      </w:r>
      <w:r>
        <w:rPr/>
        <w:t>period</w:t>
      </w:r>
      <w:r>
        <w:rPr>
          <w:spacing w:val="-12"/>
        </w:rPr>
        <w:t> </w:t>
      </w:r>
      <w:r>
        <w:rPr/>
        <w:t>up</w:t>
      </w:r>
      <w:r>
        <w:rPr>
          <w:spacing w:val="-13"/>
        </w:rPr>
        <w:t> </w:t>
      </w:r>
      <w:r>
        <w:rPr>
          <w:spacing w:val="-4"/>
        </w:rPr>
        <w:t>to</w:t>
      </w:r>
      <w:r>
        <w:rPr>
          <w:spacing w:val="-13"/>
        </w:rPr>
        <w:t> </w:t>
      </w:r>
      <w:r>
        <w:rPr/>
        <w:t>final</w:t>
      </w:r>
      <w:r>
        <w:rPr>
          <w:spacing w:val="-12"/>
        </w:rPr>
        <w:t> </w:t>
      </w:r>
      <w:r>
        <w:rPr>
          <w:spacing w:val="-3"/>
        </w:rPr>
        <w:t>completion.</w:t>
      </w:r>
    </w:p>
    <w:p>
      <w:pPr>
        <w:pStyle w:val="Heading4"/>
        <w:spacing w:before="111"/>
        <w:ind w:left="392"/>
      </w:pPr>
      <w:r>
        <w:rPr/>
        <w:br w:type="column"/>
      </w:r>
      <w:r>
        <w:rPr>
          <w:color w:val="6F2770"/>
          <w:w w:val="95"/>
        </w:rPr>
        <w:t>Western Australian</w:t>
      </w:r>
      <w:r>
        <w:rPr>
          <w:color w:val="6F2770"/>
          <w:spacing w:val="49"/>
          <w:w w:val="95"/>
        </w:rPr>
        <w:t> </w:t>
      </w:r>
      <w:r>
        <w:rPr>
          <w:color w:val="6F2770"/>
          <w:w w:val="95"/>
        </w:rPr>
        <w:t>Museum</w:t>
      </w:r>
    </w:p>
    <w:p>
      <w:pPr>
        <w:pStyle w:val="BodyText"/>
        <w:spacing w:line="249" w:lineRule="auto" w:before="245"/>
        <w:ind w:left="392" w:right="924"/>
      </w:pPr>
      <w:r>
        <w:rPr/>
        <w:t>The $395.9 million New Museum Project within the</w:t>
      </w:r>
      <w:r>
        <w:rPr>
          <w:spacing w:val="-30"/>
        </w:rPr>
        <w:t> </w:t>
      </w:r>
      <w:r>
        <w:rPr/>
        <w:t>Perth</w:t>
      </w:r>
      <w:r>
        <w:rPr>
          <w:spacing w:val="-30"/>
        </w:rPr>
        <w:t> </w:t>
      </w:r>
      <w:r>
        <w:rPr/>
        <w:t>Cultural</w:t>
      </w:r>
      <w:r>
        <w:rPr>
          <w:spacing w:val="-30"/>
        </w:rPr>
        <w:t> </w:t>
      </w:r>
      <w:r>
        <w:rPr/>
        <w:t>Centre</w:t>
      </w:r>
      <w:r>
        <w:rPr>
          <w:spacing w:val="-29"/>
        </w:rPr>
        <w:t> </w:t>
      </w:r>
      <w:r>
        <w:rPr/>
        <w:t>(PCC)</w:t>
      </w:r>
      <w:r>
        <w:rPr>
          <w:spacing w:val="-30"/>
        </w:rPr>
        <w:t> </w:t>
      </w:r>
      <w:r>
        <w:rPr/>
        <w:t>is</w:t>
      </w:r>
      <w:r>
        <w:rPr>
          <w:spacing w:val="-30"/>
        </w:rPr>
        <w:t> </w:t>
      </w:r>
      <w:r>
        <w:rPr/>
        <w:t>being</w:t>
      </w:r>
      <w:r>
        <w:rPr>
          <w:spacing w:val="-30"/>
        </w:rPr>
        <w:t> </w:t>
      </w:r>
      <w:r>
        <w:rPr>
          <w:spacing w:val="-3"/>
        </w:rPr>
        <w:t>delivered </w:t>
      </w:r>
      <w:r>
        <w:rPr/>
        <w:t>under a two-stage Managing Contractor procurement model, awarded to Multiplex Constructions</w:t>
      </w:r>
      <w:r>
        <w:rPr>
          <w:spacing w:val="-13"/>
        </w:rPr>
        <w:t> </w:t>
      </w:r>
      <w:r>
        <w:rPr/>
        <w:t>Pty</w:t>
      </w:r>
      <w:r>
        <w:rPr>
          <w:spacing w:val="-12"/>
        </w:rPr>
        <w:t> </w:t>
      </w:r>
      <w:r>
        <w:rPr/>
        <w:t>Ltd</w:t>
      </w:r>
      <w:r>
        <w:rPr>
          <w:spacing w:val="-12"/>
        </w:rPr>
        <w:t> </w:t>
      </w:r>
      <w:r>
        <w:rPr/>
        <w:t>(Multiplex)</w:t>
      </w:r>
      <w:r>
        <w:rPr>
          <w:spacing w:val="-13"/>
        </w:rPr>
        <w:t> </w:t>
      </w:r>
      <w:r>
        <w:rPr/>
        <w:t>in</w:t>
      </w:r>
      <w:r>
        <w:rPr>
          <w:spacing w:val="-12"/>
        </w:rPr>
        <w:t> </w:t>
      </w:r>
      <w:r>
        <w:rPr/>
        <w:t>July</w:t>
      </w:r>
      <w:r>
        <w:rPr>
          <w:spacing w:val="-12"/>
        </w:rPr>
        <w:t> </w:t>
      </w:r>
      <w:r>
        <w:rPr/>
        <w:t>2016.</w:t>
      </w:r>
    </w:p>
    <w:p>
      <w:pPr>
        <w:pStyle w:val="BodyText"/>
        <w:spacing w:before="4"/>
        <w:rPr>
          <w:sz w:val="23"/>
        </w:rPr>
      </w:pPr>
    </w:p>
    <w:p>
      <w:pPr>
        <w:pStyle w:val="BodyText"/>
        <w:spacing w:line="249" w:lineRule="auto"/>
        <w:ind w:left="392" w:right="786"/>
      </w:pPr>
      <w:r>
        <w:rPr/>
        <w:t>Throughout the financial </w:t>
      </w:r>
      <w:r>
        <w:rPr>
          <w:spacing w:val="-5"/>
        </w:rPr>
        <w:t>year, </w:t>
      </w:r>
      <w:r>
        <w:rPr>
          <w:b/>
        </w:rPr>
        <w:t>Strategic </w:t>
      </w:r>
      <w:r>
        <w:rPr>
          <w:b/>
          <w:spacing w:val="-4"/>
        </w:rPr>
        <w:t>Projects </w:t>
      </w:r>
      <w:r>
        <w:rPr/>
        <w:t>oversaw the completion of the early works program which included:</w:t>
      </w:r>
    </w:p>
    <w:p>
      <w:pPr>
        <w:pStyle w:val="BodyText"/>
        <w:spacing w:before="2"/>
        <w:rPr>
          <w:sz w:val="23"/>
        </w:rPr>
      </w:pPr>
    </w:p>
    <w:p>
      <w:pPr>
        <w:pStyle w:val="BodyText"/>
        <w:spacing w:line="501" w:lineRule="auto"/>
        <w:ind w:left="392" w:right="2056"/>
      </w:pPr>
      <w:r>
        <w:rPr>
          <w:position w:val="-1"/>
        </w:rPr>
        <w:drawing>
          <wp:inline distT="0" distB="0" distL="0" distR="0">
            <wp:extent cx="125997" cy="125997"/>
            <wp:effectExtent l="0" t="0" r="0" b="0"/>
            <wp:docPr id="13" name="image57.png" descr=""/>
            <wp:cNvGraphicFramePr>
              <a:graphicFrameLocks noChangeAspect="1"/>
            </wp:cNvGraphicFramePr>
            <a:graphic>
              <a:graphicData uri="http://schemas.openxmlformats.org/drawingml/2006/picture">
                <pic:pic>
                  <pic:nvPicPr>
                    <pic:cNvPr id="14" name="image57.png"/>
                    <pic:cNvPicPr/>
                  </pic:nvPicPr>
                  <pic:blipFill>
                    <a:blip r:embed="rId82" cstate="print"/>
                    <a:stretch>
                      <a:fillRect/>
                    </a:stretch>
                  </pic:blipFill>
                  <pic:spPr>
                    <a:xfrm>
                      <a:off x="0" y="0"/>
                      <a:ext cx="125997"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the</w:t>
      </w:r>
      <w:r>
        <w:rPr>
          <w:spacing w:val="-18"/>
        </w:rPr>
        <w:t> </w:t>
      </w:r>
      <w:r>
        <w:rPr/>
        <w:t>removal</w:t>
      </w:r>
      <w:r>
        <w:rPr>
          <w:spacing w:val="-18"/>
        </w:rPr>
        <w:t> </w:t>
      </w:r>
      <w:r>
        <w:rPr/>
        <w:t>of</w:t>
      </w:r>
      <w:r>
        <w:rPr>
          <w:spacing w:val="-18"/>
        </w:rPr>
        <w:t> </w:t>
      </w:r>
      <w:r>
        <w:rPr/>
        <w:t>museum</w:t>
      </w:r>
      <w:r>
        <w:rPr>
          <w:spacing w:val="-18"/>
        </w:rPr>
        <w:t> </w:t>
      </w:r>
      <w:r>
        <w:rPr>
          <w:spacing w:val="-3"/>
        </w:rPr>
        <w:t>content;</w:t>
      </w:r>
      <w:r>
        <w:rPr>
          <w:w w:val="99"/>
        </w:rPr>
        <w:t> </w:t>
      </w:r>
      <w:r>
        <w:rPr>
          <w:w w:val="99"/>
          <w:position w:val="-2"/>
        </w:rPr>
        <w:drawing>
          <wp:inline distT="0" distB="0" distL="0" distR="0">
            <wp:extent cx="125997" cy="125999"/>
            <wp:effectExtent l="0" t="0" r="0" b="0"/>
            <wp:docPr id="15" name="image57.png" descr=""/>
            <wp:cNvGraphicFramePr>
              <a:graphicFrameLocks noChangeAspect="1"/>
            </wp:cNvGraphicFramePr>
            <a:graphic>
              <a:graphicData uri="http://schemas.openxmlformats.org/drawingml/2006/picture">
                <pic:pic>
                  <pic:nvPicPr>
                    <pic:cNvPr id="16" name="image57.png"/>
                    <pic:cNvPicPr/>
                  </pic:nvPicPr>
                  <pic:blipFill>
                    <a:blip r:embed="rId82" cstate="print"/>
                    <a:stretch>
                      <a:fillRect/>
                    </a:stretch>
                  </pic:blipFill>
                  <pic:spPr>
                    <a:xfrm>
                      <a:off x="0" y="0"/>
                      <a:ext cx="125997" cy="125999"/>
                    </a:xfrm>
                    <a:prstGeom prst="rect">
                      <a:avLst/>
                    </a:prstGeom>
                  </pic:spPr>
                </pic:pic>
              </a:graphicData>
            </a:graphic>
          </wp:inline>
        </w:drawing>
      </w:r>
      <w:r>
        <w:rPr>
          <w:w w:val="99"/>
          <w:position w:val="-2"/>
        </w:rPr>
      </w:r>
      <w:r>
        <w:rPr>
          <w:rFonts w:ascii="Times New Roman"/>
          <w:w w:val="99"/>
        </w:rPr>
        <w:t> </w:t>
      </w:r>
      <w:r>
        <w:rPr>
          <w:rFonts w:ascii="Times New Roman"/>
          <w:spacing w:val="-2"/>
          <w:w w:val="99"/>
        </w:rPr>
        <w:t> </w:t>
      </w:r>
      <w:r>
        <w:rPr/>
        <w:t>protection of heritage</w:t>
      </w:r>
      <w:r>
        <w:rPr>
          <w:spacing w:val="-22"/>
        </w:rPr>
        <w:t> </w:t>
      </w:r>
      <w:r>
        <w:rPr/>
        <w:t>fabric;</w:t>
      </w:r>
    </w:p>
    <w:p>
      <w:pPr>
        <w:pStyle w:val="BodyText"/>
        <w:spacing w:line="252" w:lineRule="exact"/>
        <w:ind w:left="392"/>
      </w:pPr>
      <w:r>
        <w:rPr>
          <w:position w:val="-2"/>
        </w:rPr>
        <w:drawing>
          <wp:inline distT="0" distB="0" distL="0" distR="0">
            <wp:extent cx="125997" cy="125999"/>
            <wp:effectExtent l="0" t="0" r="0" b="0"/>
            <wp:docPr id="17" name="image58.png" descr=""/>
            <wp:cNvGraphicFramePr>
              <a:graphicFrameLocks noChangeAspect="1"/>
            </wp:cNvGraphicFramePr>
            <a:graphic>
              <a:graphicData uri="http://schemas.openxmlformats.org/drawingml/2006/picture">
                <pic:pic>
                  <pic:nvPicPr>
                    <pic:cNvPr id="18" name="image58.png"/>
                    <pic:cNvPicPr/>
                  </pic:nvPicPr>
                  <pic:blipFill>
                    <a:blip r:embed="rId83" cstate="print"/>
                    <a:stretch>
                      <a:fillRect/>
                    </a:stretch>
                  </pic:blipFill>
                  <pic:spPr>
                    <a:xfrm>
                      <a:off x="0" y="0"/>
                      <a:ext cx="125997"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demolition of non-heritage</w:t>
      </w:r>
      <w:r>
        <w:rPr>
          <w:spacing w:val="-9"/>
        </w:rPr>
        <w:t> </w:t>
      </w:r>
      <w:r>
        <w:rPr/>
        <w:t>buildings;</w:t>
      </w:r>
    </w:p>
    <w:p>
      <w:pPr>
        <w:pStyle w:val="BodyText"/>
        <w:spacing w:before="11"/>
        <w:rPr>
          <w:sz w:val="23"/>
        </w:rPr>
      </w:pPr>
    </w:p>
    <w:p>
      <w:pPr>
        <w:pStyle w:val="BodyText"/>
        <w:spacing w:line="249" w:lineRule="auto"/>
        <w:ind w:left="698" w:right="849" w:hanging="306"/>
      </w:pPr>
      <w:r>
        <w:rPr>
          <w:position w:val="-2"/>
        </w:rPr>
        <w:drawing>
          <wp:inline distT="0" distB="0" distL="0" distR="0">
            <wp:extent cx="125997" cy="125999"/>
            <wp:effectExtent l="0" t="0" r="0" b="0"/>
            <wp:docPr id="19" name="image58.png" descr=""/>
            <wp:cNvGraphicFramePr>
              <a:graphicFrameLocks noChangeAspect="1"/>
            </wp:cNvGraphicFramePr>
            <a:graphic>
              <a:graphicData uri="http://schemas.openxmlformats.org/drawingml/2006/picture">
                <pic:pic>
                  <pic:nvPicPr>
                    <pic:cNvPr id="20" name="image58.png"/>
                    <pic:cNvPicPr/>
                  </pic:nvPicPr>
                  <pic:blipFill>
                    <a:blip r:embed="rId83" cstate="print"/>
                    <a:stretch>
                      <a:fillRect/>
                    </a:stretch>
                  </pic:blipFill>
                  <pic:spPr>
                    <a:xfrm>
                      <a:off x="0" y="0"/>
                      <a:ext cx="125997"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civil works and commissioning of a Central Energy</w:t>
      </w:r>
      <w:r>
        <w:rPr>
          <w:spacing w:val="-23"/>
        </w:rPr>
        <w:t> </w:t>
      </w:r>
      <w:r>
        <w:rPr/>
        <w:t>Plant</w:t>
      </w:r>
      <w:r>
        <w:rPr>
          <w:spacing w:val="-22"/>
        </w:rPr>
        <w:t> </w:t>
      </w:r>
      <w:r>
        <w:rPr/>
        <w:t>that</w:t>
      </w:r>
      <w:r>
        <w:rPr>
          <w:spacing w:val="-22"/>
        </w:rPr>
        <w:t> </w:t>
      </w:r>
      <w:r>
        <w:rPr/>
        <w:t>will</w:t>
      </w:r>
      <w:r>
        <w:rPr>
          <w:spacing w:val="-22"/>
        </w:rPr>
        <w:t> </w:t>
      </w:r>
      <w:r>
        <w:rPr/>
        <w:t>service</w:t>
      </w:r>
      <w:r>
        <w:rPr>
          <w:spacing w:val="-22"/>
        </w:rPr>
        <w:t> </w:t>
      </w:r>
      <w:r>
        <w:rPr/>
        <w:t>the</w:t>
      </w:r>
      <w:r>
        <w:rPr>
          <w:spacing w:val="-23"/>
        </w:rPr>
        <w:t> </w:t>
      </w:r>
      <w:r>
        <w:rPr/>
        <w:t>New</w:t>
      </w:r>
      <w:r>
        <w:rPr>
          <w:spacing w:val="-22"/>
        </w:rPr>
        <w:t> </w:t>
      </w:r>
      <w:r>
        <w:rPr>
          <w:spacing w:val="-3"/>
        </w:rPr>
        <w:t>Museum </w:t>
      </w:r>
      <w:r>
        <w:rPr/>
        <w:t>and key facilities within the PCC;</w:t>
      </w:r>
      <w:r>
        <w:rPr>
          <w:spacing w:val="-35"/>
        </w:rPr>
        <w:t> </w:t>
      </w:r>
      <w:r>
        <w:rPr/>
        <w:t>and</w:t>
      </w:r>
    </w:p>
    <w:p>
      <w:pPr>
        <w:pStyle w:val="BodyText"/>
        <w:spacing w:before="2"/>
        <w:rPr>
          <w:sz w:val="23"/>
        </w:rPr>
      </w:pPr>
    </w:p>
    <w:p>
      <w:pPr>
        <w:pStyle w:val="BodyText"/>
        <w:spacing w:line="249" w:lineRule="auto"/>
        <w:ind w:left="698" w:right="1104" w:hanging="306"/>
      </w:pPr>
      <w:r>
        <w:rPr>
          <w:position w:val="-2"/>
        </w:rPr>
        <w:drawing>
          <wp:inline distT="0" distB="0" distL="0" distR="0">
            <wp:extent cx="125997" cy="125999"/>
            <wp:effectExtent l="0" t="0" r="0" b="0"/>
            <wp:docPr id="21" name="image57.png" descr=""/>
            <wp:cNvGraphicFramePr>
              <a:graphicFrameLocks noChangeAspect="1"/>
            </wp:cNvGraphicFramePr>
            <a:graphic>
              <a:graphicData uri="http://schemas.openxmlformats.org/drawingml/2006/picture">
                <pic:pic>
                  <pic:nvPicPr>
                    <pic:cNvPr id="22" name="image57.png"/>
                    <pic:cNvPicPr/>
                  </pic:nvPicPr>
                  <pic:blipFill>
                    <a:blip r:embed="rId82" cstate="print"/>
                    <a:stretch>
                      <a:fillRect/>
                    </a:stretch>
                  </pic:blipFill>
                  <pic:spPr>
                    <a:xfrm>
                      <a:off x="0" y="0"/>
                      <a:ext cx="125997"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installation of the majority of the concrete superstructure</w:t>
      </w:r>
      <w:r>
        <w:rPr>
          <w:spacing w:val="-19"/>
        </w:rPr>
        <w:t> </w:t>
      </w:r>
      <w:r>
        <w:rPr/>
        <w:t>and</w:t>
      </w:r>
      <w:r>
        <w:rPr>
          <w:spacing w:val="-18"/>
        </w:rPr>
        <w:t> </w:t>
      </w:r>
      <w:r>
        <w:rPr/>
        <w:t>the</w:t>
      </w:r>
      <w:r>
        <w:rPr>
          <w:spacing w:val="-19"/>
        </w:rPr>
        <w:t> </w:t>
      </w:r>
      <w:r>
        <w:rPr/>
        <w:t>start</w:t>
      </w:r>
      <w:r>
        <w:rPr>
          <w:spacing w:val="-18"/>
        </w:rPr>
        <w:t> </w:t>
      </w:r>
      <w:r>
        <w:rPr/>
        <w:t>of</w:t>
      </w:r>
      <w:r>
        <w:rPr>
          <w:spacing w:val="-18"/>
        </w:rPr>
        <w:t> </w:t>
      </w:r>
      <w:r>
        <w:rPr/>
        <w:t>the</w:t>
      </w:r>
      <w:r>
        <w:rPr>
          <w:spacing w:val="-19"/>
        </w:rPr>
        <w:t> </w:t>
      </w:r>
      <w:r>
        <w:rPr/>
        <w:t>structural steel</w:t>
      </w:r>
      <w:r>
        <w:rPr>
          <w:spacing w:val="-2"/>
        </w:rPr>
        <w:t> </w:t>
      </w:r>
      <w:r>
        <w:rPr/>
        <w:t>installation.</w:t>
      </w:r>
    </w:p>
    <w:p>
      <w:pPr>
        <w:pStyle w:val="BodyText"/>
        <w:spacing w:before="2"/>
        <w:rPr>
          <w:sz w:val="23"/>
        </w:rPr>
      </w:pPr>
    </w:p>
    <w:p>
      <w:pPr>
        <w:pStyle w:val="BodyText"/>
        <w:spacing w:line="249" w:lineRule="auto"/>
        <w:ind w:left="392" w:right="868"/>
      </w:pPr>
      <w:r>
        <w:rPr/>
        <w:t>Construction of the New Museum is scheduled for completion in late 2019, enabling installation of</w:t>
      </w:r>
      <w:r>
        <w:rPr>
          <w:spacing w:val="-13"/>
        </w:rPr>
        <w:t> </w:t>
      </w:r>
      <w:r>
        <w:rPr/>
        <w:t>content</w:t>
      </w:r>
      <w:r>
        <w:rPr>
          <w:spacing w:val="-13"/>
        </w:rPr>
        <w:t> </w:t>
      </w:r>
      <w:r>
        <w:rPr/>
        <w:t>and</w:t>
      </w:r>
      <w:r>
        <w:rPr>
          <w:spacing w:val="-13"/>
        </w:rPr>
        <w:t> </w:t>
      </w:r>
      <w:r>
        <w:rPr/>
        <w:t>exhibitions</w:t>
      </w:r>
      <w:r>
        <w:rPr>
          <w:spacing w:val="-13"/>
        </w:rPr>
        <w:t> </w:t>
      </w:r>
      <w:r>
        <w:rPr/>
        <w:t>to</w:t>
      </w:r>
      <w:r>
        <w:rPr>
          <w:spacing w:val="-13"/>
        </w:rPr>
        <w:t> </w:t>
      </w:r>
      <w:r>
        <w:rPr/>
        <w:t>proceed</w:t>
      </w:r>
      <w:r>
        <w:rPr>
          <w:spacing w:val="-12"/>
        </w:rPr>
        <w:t> </w:t>
      </w:r>
      <w:r>
        <w:rPr/>
        <w:t>ahead</w:t>
      </w:r>
      <w:r>
        <w:rPr>
          <w:spacing w:val="-13"/>
        </w:rPr>
        <w:t> </w:t>
      </w:r>
      <w:r>
        <w:rPr/>
        <w:t>of</w:t>
      </w:r>
      <w:r>
        <w:rPr>
          <w:spacing w:val="-13"/>
        </w:rPr>
        <w:t> </w:t>
      </w:r>
      <w:r>
        <w:rPr>
          <w:spacing w:val="-9"/>
        </w:rPr>
        <w:t>an </w:t>
      </w:r>
      <w:r>
        <w:rPr/>
        <w:t>official</w:t>
      </w:r>
      <w:r>
        <w:rPr>
          <w:spacing w:val="-11"/>
        </w:rPr>
        <w:t> </w:t>
      </w:r>
      <w:r>
        <w:rPr/>
        <w:t>opening</w:t>
      </w:r>
      <w:r>
        <w:rPr>
          <w:spacing w:val="-11"/>
        </w:rPr>
        <w:t> </w:t>
      </w:r>
      <w:r>
        <w:rPr/>
        <w:t>date</w:t>
      </w:r>
      <w:r>
        <w:rPr>
          <w:spacing w:val="-11"/>
        </w:rPr>
        <w:t> </w:t>
      </w:r>
      <w:r>
        <w:rPr/>
        <w:t>targeted</w:t>
      </w:r>
      <w:r>
        <w:rPr>
          <w:spacing w:val="-10"/>
        </w:rPr>
        <w:t> </w:t>
      </w:r>
      <w:r>
        <w:rPr/>
        <w:t>for</w:t>
      </w:r>
      <w:r>
        <w:rPr>
          <w:spacing w:val="-11"/>
        </w:rPr>
        <w:t> </w:t>
      </w:r>
      <w:r>
        <w:rPr/>
        <w:t>October</w:t>
      </w:r>
      <w:r>
        <w:rPr>
          <w:spacing w:val="-11"/>
        </w:rPr>
        <w:t> </w:t>
      </w:r>
      <w:r>
        <w:rPr/>
        <w:t>2020.</w:t>
      </w:r>
    </w:p>
    <w:p>
      <w:pPr>
        <w:spacing w:after="0" w:line="249" w:lineRule="auto"/>
        <w:sectPr>
          <w:type w:val="continuous"/>
          <w:pgSz w:w="16840" w:h="11910" w:orient="landscape"/>
          <w:pgMar w:top="1100" w:bottom="280" w:left="0" w:right="0"/>
          <w:cols w:num="3" w:equalWidth="0">
            <w:col w:w="5536" w:space="40"/>
            <w:col w:w="5246" w:space="39"/>
            <w:col w:w="5979"/>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Heading4"/>
        <w:tabs>
          <w:tab w:pos="11253" w:val="left" w:leader="none"/>
        </w:tabs>
        <w:spacing w:before="111"/>
      </w:pPr>
      <w:r>
        <w:rPr/>
        <w:pict>
          <v:group style="position:absolute;margin-left:240.539398pt;margin-top:-99.676346pt;width:360.85pt;height:119.85pt;mso-position-horizontal-relative:page;mso-position-vertical-relative:paragraph;z-index:-706456" coordorigin="4811,-1994" coordsize="7217,2397">
            <v:shape style="position:absolute;left:2923;top:20298;width:3553;height:2392" coordorigin="2923,20298" coordsize="3553,2392" path="m10733,-1991l10830,-1894m10623,-1991l10868,-1746m10512,-1991l10891,-1612m10402,-1991l10903,-1490m10292,-1991l10907,-1376m10181,-1991l10903,-1269m10071,-1991l10895,-1167m9961,-1991l10881,-1071m9850,-1991l10862,-979m9740,-1991l10840,-891m9630,-1991l10814,-807m9519,-1991l10784,-726m9409,-1991l10752,-648m9298,-1991l10716,-574m9188,-1991l10677,-502m9078,-1991l10636,-433m8967,-1991l10592,-366m8857,-1991l10546,-302m8747,-1991l10497,-241m8636,-1991l10446,-182m8526,-1991l10392,-125m8416,-1991l10336,-71m8305,-1991l10277,-19m8195,-1991l10216,30m8085,-1991l10153,77m7974,-1991l10087,122m7864,-1991l10018,163m7754,-1991l9947,202m7643,-1991l9873,239m7533,-1991l9796,272m7453,-1960l9716,302m7427,-1877l9632,329m7403,-1790l9545,352m7384,-1699l9454,371m7369,-1603l9359,386m7359,-1502l9258,396m7355,-1397l9152,400m7357,-1284l9039,398m7367,-1164l8919,388m7388,-1033l8788,367m7423,-887l8643,333m7479,-720l8476,276m7580,-510l8265,176e" filled="false" stroked="true" strokeweight=".25pt" strokecolor="#aebd37">
              <v:path arrowok="t"/>
              <v:stroke dashstyle="solid"/>
            </v:shape>
            <v:shape style="position:absolute;left:20;top:918;width:1781;height:1527" coordorigin="21,919" coordsize="1781,1527" path="m6737,-583l6408,-912m6929,-501l6326,-1104m7069,-472l6297,-1243m7186,-465l6290,-1361m7290,-472l6297,-1464m7383,-488l6314,-1558m7470,-513l6338,-1644m7548,-544l6370,-1723m7621,-582l6407,-1796m7689,-625l6450,-1864m7751,-672l6497,-1926m7809,-725l6550,-1984m7862,-783l6653,-1991m7910,-845l6764,-1991m7953,-912l6874,-1991m7990,-985l6984,-1991m8021,-1064l7095,-1991m8046,-1150l7205,-1991m8063,-1243l7315,-1991m8070,-1346l7426,-1991m8064,-1463l7536,-1991m8036,-1601l7646,-1991m7956,-1792l7757,-1991e" filled="false" stroked="true" strokeweight=".25pt" strokecolor="#6f2770">
              <v:path arrowok="t"/>
              <v:stroke dashstyle="solid"/>
            </v:shape>
            <v:rect style="position:absolute;left:4810;top:-1992;width:2406;height:851" filled="true" fillcolor="#d4d896" stroked="false">
              <v:fill type="solid"/>
            </v:rect>
            <v:rect style="position:absolute;left:7216;top:-1992;width:2406;height:851" filled="true" fillcolor="#d4c4d4" stroked="false">
              <v:fill type="solid"/>
            </v:rect>
            <v:rect style="position:absolute;left:9621;top:-1992;width:2406;height:851" filled="true" fillcolor="#cbb8cc" stroked="false">
              <v:fill type="solid"/>
            </v:rect>
            <w10:wrap type="none"/>
          </v:group>
        </w:pict>
      </w:r>
      <w:r>
        <w:rPr/>
        <w:pict>
          <v:shape style="position:absolute;margin-left:601.348999pt;margin-top:-99.552322pt;width:120.3pt;height:42.55pt;mso-position-horizontal-relative:page;mso-position-vertical-relative:paragraph;z-index:611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99.552322pt;width:120.3pt;height:42.55pt;mso-position-horizontal-relative:page;mso-position-vertical-relative:paragraph;z-index:6136"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99.552322pt;width:120.3pt;height:42.55pt;mso-position-horizontal-relative:page;mso-position-vertical-relative:paragraph;z-index:616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Eastern</w:t>
      </w:r>
      <w:r>
        <w:rPr>
          <w:color w:val="6F2770"/>
          <w:spacing w:val="-51"/>
        </w:rPr>
        <w:t> </w:t>
      </w:r>
      <w:r>
        <w:rPr>
          <w:color w:val="6F2770"/>
        </w:rPr>
        <w:t>Goldfields</w:t>
      </w:r>
      <w:r>
        <w:rPr>
          <w:color w:val="6F2770"/>
          <w:spacing w:val="-50"/>
        </w:rPr>
        <w:t> </w:t>
      </w:r>
      <w:r>
        <w:rPr>
          <w:color w:val="6F2770"/>
        </w:rPr>
        <w:t>Regional</w:t>
      </w:r>
      <w:r>
        <w:rPr>
          <w:color w:val="6F2770"/>
          <w:spacing w:val="-51"/>
        </w:rPr>
        <w:t> </w:t>
      </w:r>
      <w:r>
        <w:rPr>
          <w:color w:val="6F2770"/>
        </w:rPr>
        <w:t>Prison</w:t>
        <w:tab/>
        <w:t>Casuarina Prison</w:t>
      </w:r>
      <w:r>
        <w:rPr>
          <w:color w:val="6F2770"/>
          <w:spacing w:val="-29"/>
        </w:rPr>
        <w:t> </w:t>
      </w:r>
      <w:r>
        <w:rPr>
          <w:color w:val="6F2770"/>
        </w:rPr>
        <w:t>Expansion</w:t>
      </w:r>
    </w:p>
    <w:p>
      <w:pPr>
        <w:pStyle w:val="BodyText"/>
        <w:spacing w:before="10"/>
        <w:rPr>
          <w:sz w:val="11"/>
        </w:rPr>
      </w:pPr>
    </w:p>
    <w:p>
      <w:pPr>
        <w:spacing w:after="0"/>
        <w:rPr>
          <w:sz w:val="11"/>
        </w:rPr>
        <w:sectPr>
          <w:footerReference w:type="default" r:id="rId84"/>
          <w:pgSz w:w="16840" w:h="11910" w:orient="landscape"/>
          <w:pgMar w:footer="774" w:header="0" w:top="0" w:bottom="960" w:left="0" w:right="0"/>
        </w:sectPr>
      </w:pPr>
    </w:p>
    <w:p>
      <w:pPr>
        <w:pStyle w:val="BodyText"/>
        <w:spacing w:line="249" w:lineRule="auto" w:before="107"/>
        <w:ind w:left="765" w:right="-6"/>
      </w:pPr>
      <w:r>
        <w:rPr/>
        <w:t>With the Eastern Goldfields Regional Prison ‘Design,</w:t>
      </w:r>
      <w:r>
        <w:rPr>
          <w:spacing w:val="-18"/>
        </w:rPr>
        <w:t> </w:t>
      </w:r>
      <w:r>
        <w:rPr/>
        <w:t>Build,</w:t>
      </w:r>
      <w:r>
        <w:rPr>
          <w:spacing w:val="-18"/>
        </w:rPr>
        <w:t> </w:t>
      </w:r>
      <w:r>
        <w:rPr/>
        <w:t>Finance</w:t>
      </w:r>
      <w:r>
        <w:rPr>
          <w:spacing w:val="-18"/>
        </w:rPr>
        <w:t> </w:t>
      </w:r>
      <w:r>
        <w:rPr/>
        <w:t>and</w:t>
      </w:r>
      <w:r>
        <w:rPr>
          <w:spacing w:val="-18"/>
        </w:rPr>
        <w:t> </w:t>
      </w:r>
      <w:r>
        <w:rPr/>
        <w:t>Maintain’</w:t>
      </w:r>
      <w:r>
        <w:rPr>
          <w:spacing w:val="-18"/>
        </w:rPr>
        <w:t> </w:t>
      </w:r>
      <w:r>
        <w:rPr/>
        <w:t>contract</w:t>
      </w:r>
      <w:r>
        <w:rPr>
          <w:spacing w:val="-18"/>
        </w:rPr>
        <w:t> </w:t>
      </w:r>
      <w:r>
        <w:rPr>
          <w:spacing w:val="-7"/>
        </w:rPr>
        <w:t>now </w:t>
      </w:r>
      <w:r>
        <w:rPr/>
        <w:t>into</w:t>
      </w:r>
      <w:r>
        <w:rPr>
          <w:spacing w:val="-13"/>
        </w:rPr>
        <w:t> </w:t>
      </w:r>
      <w:r>
        <w:rPr/>
        <w:t>its</w:t>
      </w:r>
      <w:r>
        <w:rPr>
          <w:spacing w:val="-12"/>
        </w:rPr>
        <w:t> </w:t>
      </w:r>
      <w:r>
        <w:rPr/>
        <w:t>25-year</w:t>
      </w:r>
      <w:r>
        <w:rPr>
          <w:spacing w:val="-13"/>
        </w:rPr>
        <w:t> </w:t>
      </w:r>
      <w:r>
        <w:rPr/>
        <w:t>operational</w:t>
      </w:r>
      <w:r>
        <w:rPr>
          <w:spacing w:val="-12"/>
        </w:rPr>
        <w:t> </w:t>
      </w:r>
      <w:r>
        <w:rPr/>
        <w:t>phase</w:t>
      </w:r>
      <w:r>
        <w:rPr>
          <w:spacing w:val="-13"/>
        </w:rPr>
        <w:t> </w:t>
      </w:r>
      <w:r>
        <w:rPr/>
        <w:t>(managed</w:t>
      </w:r>
      <w:r>
        <w:rPr>
          <w:spacing w:val="-12"/>
        </w:rPr>
        <w:t> </w:t>
      </w:r>
      <w:r>
        <w:rPr/>
        <w:t>by</w:t>
      </w:r>
    </w:p>
    <w:p>
      <w:pPr>
        <w:pStyle w:val="BodyText"/>
        <w:spacing w:line="249" w:lineRule="auto" w:before="3"/>
        <w:ind w:left="765" w:right="220"/>
      </w:pPr>
      <w:r>
        <w:rPr/>
        <w:t>the Department of Justice), </w:t>
      </w:r>
      <w:r>
        <w:rPr>
          <w:b/>
        </w:rPr>
        <w:t>Strategic Projects </w:t>
      </w:r>
      <w:r>
        <w:rPr/>
        <w:t>has continued to support the Department of Justice throughout the year including contract and</w:t>
      </w:r>
      <w:r>
        <w:rPr>
          <w:spacing w:val="-26"/>
        </w:rPr>
        <w:t> </w:t>
      </w:r>
      <w:r>
        <w:rPr/>
        <w:t>commercial</w:t>
      </w:r>
      <w:r>
        <w:rPr>
          <w:spacing w:val="-25"/>
        </w:rPr>
        <w:t> </w:t>
      </w:r>
      <w:r>
        <w:rPr/>
        <w:t>oversight,</w:t>
      </w:r>
      <w:r>
        <w:rPr>
          <w:spacing w:val="-25"/>
        </w:rPr>
        <w:t> </w:t>
      </w:r>
      <w:r>
        <w:rPr/>
        <w:t>and</w:t>
      </w:r>
      <w:r>
        <w:rPr>
          <w:spacing w:val="-26"/>
        </w:rPr>
        <w:t> </w:t>
      </w:r>
      <w:r>
        <w:rPr/>
        <w:t>identification</w:t>
      </w:r>
      <w:r>
        <w:rPr>
          <w:spacing w:val="-25"/>
        </w:rPr>
        <w:t> </w:t>
      </w:r>
      <w:r>
        <w:rPr>
          <w:spacing w:val="-6"/>
        </w:rPr>
        <w:t>and </w:t>
      </w:r>
      <w:r>
        <w:rPr/>
        <w:t>rectification of</w:t>
      </w:r>
      <w:r>
        <w:rPr>
          <w:spacing w:val="-3"/>
        </w:rPr>
        <w:t> </w:t>
      </w:r>
      <w:r>
        <w:rPr/>
        <w:t>defects.</w:t>
      </w:r>
    </w:p>
    <w:p>
      <w:pPr>
        <w:pStyle w:val="BodyText"/>
        <w:spacing w:line="249" w:lineRule="auto" w:before="107"/>
        <w:ind w:left="391" w:right="-4"/>
      </w:pPr>
      <w:r>
        <w:rPr/>
        <w:br w:type="column"/>
      </w:r>
      <w:r>
        <w:rPr/>
        <w:t>The new 350-bed prison facility has been widely acclaimed.</w:t>
      </w:r>
      <w:r>
        <w:rPr>
          <w:spacing w:val="36"/>
        </w:rPr>
        <w:t> </w:t>
      </w:r>
      <w:r>
        <w:rPr/>
        <w:t>In</w:t>
      </w:r>
      <w:r>
        <w:rPr>
          <w:spacing w:val="-13"/>
        </w:rPr>
        <w:t> </w:t>
      </w:r>
      <w:r>
        <w:rPr/>
        <w:t>August</w:t>
      </w:r>
      <w:r>
        <w:rPr>
          <w:spacing w:val="-12"/>
        </w:rPr>
        <w:t> </w:t>
      </w:r>
      <w:r>
        <w:rPr/>
        <w:t>2017,</w:t>
      </w:r>
      <w:r>
        <w:rPr>
          <w:spacing w:val="-13"/>
        </w:rPr>
        <w:t> </w:t>
      </w:r>
      <w:r>
        <w:rPr/>
        <w:t>a</w:t>
      </w:r>
      <w:r>
        <w:rPr>
          <w:spacing w:val="-12"/>
        </w:rPr>
        <w:t> </w:t>
      </w:r>
      <w:r>
        <w:rPr/>
        <w:t>report</w:t>
      </w:r>
      <w:r>
        <w:rPr>
          <w:spacing w:val="-13"/>
        </w:rPr>
        <w:t> </w:t>
      </w:r>
      <w:r>
        <w:rPr/>
        <w:t>by</w:t>
      </w:r>
      <w:r>
        <w:rPr>
          <w:spacing w:val="-12"/>
        </w:rPr>
        <w:t> </w:t>
      </w:r>
      <w:r>
        <w:rPr/>
        <w:t>the</w:t>
      </w:r>
      <w:r>
        <w:rPr>
          <w:spacing w:val="-13"/>
        </w:rPr>
        <w:t> </w:t>
      </w:r>
      <w:r>
        <w:rPr>
          <w:spacing w:val="-5"/>
        </w:rPr>
        <w:t>Office </w:t>
      </w:r>
      <w:r>
        <w:rPr/>
        <w:t>of the Inspector of Custodial Services hailed the new prison as, “a world-class, state-of-the-art </w:t>
      </w:r>
      <w:r>
        <w:rPr>
          <w:spacing w:val="-3"/>
        </w:rPr>
        <w:t>facility,” </w:t>
      </w:r>
      <w:r>
        <w:rPr/>
        <w:t>which, “…balances modern security technology with excellent design for service delivery”.</w:t>
      </w:r>
    </w:p>
    <w:p>
      <w:pPr>
        <w:pStyle w:val="BodyText"/>
        <w:spacing w:line="249" w:lineRule="auto" w:before="109"/>
        <w:ind w:left="500" w:right="800"/>
      </w:pPr>
      <w:r>
        <w:rPr/>
        <w:br w:type="column"/>
      </w:r>
      <w:r>
        <w:rPr/>
        <w:t>In early </w:t>
      </w:r>
      <w:r>
        <w:rPr>
          <w:spacing w:val="-7"/>
        </w:rPr>
        <w:t>2018, </w:t>
      </w:r>
      <w:r>
        <w:rPr>
          <w:b/>
        </w:rPr>
        <w:t>Strategic Projects </w:t>
      </w:r>
      <w:r>
        <w:rPr/>
        <w:t>commenced work on the $96.3 million Casuarina Prison Expansion Project. The project will provide an additional</w:t>
      </w:r>
      <w:r>
        <w:rPr>
          <w:spacing w:val="-20"/>
        </w:rPr>
        <w:t> </w:t>
      </w:r>
      <w:r>
        <w:rPr>
          <w:spacing w:val="-12"/>
        </w:rPr>
        <w:t>512</w:t>
      </w:r>
      <w:r>
        <w:rPr>
          <w:spacing w:val="-20"/>
        </w:rPr>
        <w:t> </w:t>
      </w:r>
      <w:r>
        <w:rPr/>
        <w:t>high-security</w:t>
      </w:r>
      <w:r>
        <w:rPr>
          <w:spacing w:val="-19"/>
        </w:rPr>
        <w:t> </w:t>
      </w:r>
      <w:r>
        <w:rPr/>
        <w:t>beds</w:t>
      </w:r>
      <w:r>
        <w:rPr>
          <w:spacing w:val="-20"/>
        </w:rPr>
        <w:t> </w:t>
      </w:r>
      <w:r>
        <w:rPr/>
        <w:t>at</w:t>
      </w:r>
      <w:r>
        <w:rPr>
          <w:spacing w:val="-19"/>
        </w:rPr>
        <w:t> </w:t>
      </w:r>
      <w:r>
        <w:rPr/>
        <w:t>the</w:t>
      </w:r>
      <w:r>
        <w:rPr>
          <w:spacing w:val="-20"/>
        </w:rPr>
        <w:t> </w:t>
      </w:r>
      <w:r>
        <w:rPr/>
        <w:t>existing Casuarina Prison facility, with a challenging completion target of late</w:t>
      </w:r>
      <w:r>
        <w:rPr>
          <w:spacing w:val="-10"/>
        </w:rPr>
        <w:t> </w:t>
      </w:r>
      <w:r>
        <w:rPr>
          <w:spacing w:val="-7"/>
        </w:rPr>
        <w:t>2019.</w:t>
      </w:r>
    </w:p>
    <w:p>
      <w:pPr>
        <w:pStyle w:val="BodyText"/>
        <w:spacing w:before="4"/>
        <w:rPr>
          <w:sz w:val="23"/>
        </w:rPr>
      </w:pPr>
    </w:p>
    <w:p>
      <w:pPr>
        <w:pStyle w:val="BodyText"/>
        <w:spacing w:line="249" w:lineRule="auto" w:before="1"/>
        <w:ind w:left="500" w:right="800"/>
      </w:pPr>
      <w:r>
        <w:rPr/>
        <w:pict>
          <v:group style="position:absolute;margin-left:38.268002pt;margin-top:28.66077pt;width:502.9pt;height:277.4pt;mso-position-horizontal-relative:page;mso-position-vertical-relative:paragraph;z-index:6088" coordorigin="765,573" coordsize="10058,5548">
            <v:shape style="position:absolute;left:765;top:573;width:10058;height:5534" type="#_x0000_t75" stroked="false">
              <v:imagedata r:id="rId85" o:title=""/>
            </v:shape>
            <v:shape style="position:absolute;left:932;top:5446;width:3780;height:675" type="#_x0000_t202" filled="true" fillcolor="#000101" stroked="false">
              <v:textbox inset="0,0,0,0">
                <w:txbxContent>
                  <w:p>
                    <w:pPr>
                      <w:spacing w:before="198"/>
                      <w:ind w:left="237" w:right="0" w:firstLine="0"/>
                      <w:jc w:val="left"/>
                      <w:rPr>
                        <w:b/>
                        <w:sz w:val="20"/>
                      </w:rPr>
                    </w:pPr>
                    <w:r>
                      <w:rPr>
                        <w:b/>
                        <w:color w:val="FFFFFF"/>
                        <w:sz w:val="20"/>
                      </w:rPr>
                      <w:t>Eastern Goldfields Regional Prison</w:t>
                    </w:r>
                  </w:p>
                </w:txbxContent>
              </v:textbox>
              <v:fill opacity="49152f" type="solid"/>
              <w10:wrap type="none"/>
            </v:shape>
            <w10:wrap type="none"/>
          </v:group>
        </w:pict>
      </w:r>
      <w:r>
        <w:rPr/>
        <w:t>The project will be designed and constructed under</w:t>
      </w:r>
      <w:r>
        <w:rPr>
          <w:spacing w:val="-23"/>
        </w:rPr>
        <w:t> </w:t>
      </w:r>
      <w:r>
        <w:rPr/>
        <w:t>a</w:t>
      </w:r>
      <w:r>
        <w:rPr>
          <w:spacing w:val="-23"/>
        </w:rPr>
        <w:t> </w:t>
      </w:r>
      <w:r>
        <w:rPr/>
        <w:t>Managing</w:t>
      </w:r>
      <w:r>
        <w:rPr>
          <w:spacing w:val="-22"/>
        </w:rPr>
        <w:t> </w:t>
      </w:r>
      <w:r>
        <w:rPr/>
        <w:t>Contractor</w:t>
      </w:r>
      <w:r>
        <w:rPr>
          <w:spacing w:val="-23"/>
        </w:rPr>
        <w:t> </w:t>
      </w:r>
      <w:r>
        <w:rPr/>
        <w:t>procurement</w:t>
      </w:r>
      <w:r>
        <w:rPr>
          <w:spacing w:val="-22"/>
        </w:rPr>
        <w:t> </w:t>
      </w:r>
      <w:r>
        <w:rPr/>
        <w:t>model. The</w:t>
      </w:r>
      <w:r>
        <w:rPr>
          <w:spacing w:val="-16"/>
        </w:rPr>
        <w:t> </w:t>
      </w:r>
      <w:r>
        <w:rPr/>
        <w:t>associated</w:t>
      </w:r>
      <w:r>
        <w:rPr>
          <w:spacing w:val="-15"/>
        </w:rPr>
        <w:t> </w:t>
      </w:r>
      <w:r>
        <w:rPr/>
        <w:t>request</w:t>
      </w:r>
      <w:r>
        <w:rPr>
          <w:spacing w:val="-15"/>
        </w:rPr>
        <w:t> </w:t>
      </w:r>
      <w:r>
        <w:rPr/>
        <w:t>for</w:t>
      </w:r>
      <w:r>
        <w:rPr>
          <w:spacing w:val="-15"/>
        </w:rPr>
        <w:t> </w:t>
      </w:r>
      <w:r>
        <w:rPr/>
        <w:t>proposals</w:t>
      </w:r>
      <w:r>
        <w:rPr>
          <w:spacing w:val="-15"/>
        </w:rPr>
        <w:t> </w:t>
      </w:r>
      <w:r>
        <w:rPr>
          <w:spacing w:val="-3"/>
        </w:rPr>
        <w:t>to</w:t>
      </w:r>
      <w:r>
        <w:rPr>
          <w:spacing w:val="-15"/>
        </w:rPr>
        <w:t> </w:t>
      </w:r>
      <w:r>
        <w:rPr/>
        <w:t>appoint</w:t>
      </w:r>
      <w:r>
        <w:rPr>
          <w:spacing w:val="-15"/>
        </w:rPr>
        <w:t> </w:t>
      </w:r>
      <w:r>
        <w:rPr/>
        <w:t>a Managing</w:t>
      </w:r>
      <w:r>
        <w:rPr>
          <w:spacing w:val="-18"/>
        </w:rPr>
        <w:t> </w:t>
      </w:r>
      <w:r>
        <w:rPr/>
        <w:t>Contractor</w:t>
      </w:r>
      <w:r>
        <w:rPr>
          <w:spacing w:val="-17"/>
        </w:rPr>
        <w:t> </w:t>
      </w:r>
      <w:r>
        <w:rPr/>
        <w:t>were</w:t>
      </w:r>
      <w:r>
        <w:rPr>
          <w:spacing w:val="-18"/>
        </w:rPr>
        <w:t> </w:t>
      </w:r>
      <w:r>
        <w:rPr/>
        <w:t>released</w:t>
      </w:r>
      <w:r>
        <w:rPr>
          <w:spacing w:val="-17"/>
        </w:rPr>
        <w:t> </w:t>
      </w:r>
      <w:r>
        <w:rPr/>
        <w:t>in</w:t>
      </w:r>
      <w:r>
        <w:rPr>
          <w:spacing w:val="-18"/>
        </w:rPr>
        <w:t> </w:t>
      </w:r>
      <w:r>
        <w:rPr/>
        <w:t>May</w:t>
      </w:r>
      <w:r>
        <w:rPr>
          <w:spacing w:val="-18"/>
        </w:rPr>
        <w:t> </w:t>
      </w:r>
      <w:r>
        <w:rPr>
          <w:spacing w:val="-7"/>
        </w:rPr>
        <w:t>2018, </w:t>
      </w:r>
      <w:r>
        <w:rPr/>
        <w:t>targeting contract award by August</w:t>
      </w:r>
      <w:r>
        <w:rPr>
          <w:spacing w:val="-21"/>
        </w:rPr>
        <w:t> </w:t>
      </w:r>
      <w:r>
        <w:rPr>
          <w:spacing w:val="-7"/>
        </w:rPr>
        <w:t>2018.</w:t>
      </w:r>
    </w:p>
    <w:p>
      <w:pPr>
        <w:spacing w:after="0" w:line="249" w:lineRule="auto"/>
        <w:sectPr>
          <w:type w:val="continuous"/>
          <w:pgSz w:w="16840" w:h="11910" w:orient="landscape"/>
          <w:pgMar w:top="1100" w:bottom="280" w:left="0" w:right="0"/>
          <w:cols w:num="3" w:equalWidth="0">
            <w:col w:w="5579" w:space="40"/>
            <w:col w:w="5095" w:space="39"/>
            <w:col w:w="6087"/>
          </w:cols>
        </w:sectPr>
      </w:pPr>
    </w:p>
    <w:p>
      <w:pPr>
        <w:pStyle w:val="BodyText"/>
        <w:rPr>
          <w:sz w:val="20"/>
        </w:rPr>
      </w:pPr>
    </w:p>
    <w:p>
      <w:pPr>
        <w:pStyle w:val="BodyText"/>
        <w:spacing w:before="8" w:after="1"/>
        <w:rPr>
          <w:sz w:val="10"/>
        </w:rPr>
      </w:pPr>
    </w:p>
    <w:p>
      <w:pPr>
        <w:pStyle w:val="BodyText"/>
        <w:ind w:left="11259"/>
        <w:rPr>
          <w:sz w:val="20"/>
        </w:rPr>
      </w:pPr>
      <w:r>
        <w:rPr>
          <w:sz w:val="20"/>
        </w:rPr>
        <w:pict>
          <v:group style="width:240.95pt;height:221.7pt;mso-position-horizontal-relative:char;mso-position-vertical-relative:line" coordorigin="0,0" coordsize="4819,4434">
            <v:shape style="position:absolute;left:0;top:0;width:4819;height:4434" type="#_x0000_t75" stroked="false">
              <v:imagedata r:id="rId86" o:title=""/>
            </v:shape>
            <v:shape style="position:absolute;left:1739;top:3963;width:2702;height:239" type="#_x0000_t202" filled="false" stroked="false">
              <v:textbox inset="0,0,0,0">
                <w:txbxContent>
                  <w:p>
                    <w:pPr>
                      <w:spacing w:before="7"/>
                      <w:ind w:left="0" w:right="0" w:firstLine="0"/>
                      <w:jc w:val="left"/>
                      <w:rPr>
                        <w:b/>
                        <w:sz w:val="20"/>
                      </w:rPr>
                    </w:pPr>
                    <w:r>
                      <w:rPr>
                        <w:b/>
                        <w:color w:val="000101"/>
                        <w:sz w:val="20"/>
                      </w:rPr>
                      <w:t>Casuarina Prison</w:t>
                    </w:r>
                    <w:r>
                      <w:rPr>
                        <w:b/>
                        <w:color w:val="000101"/>
                        <w:spacing w:val="-26"/>
                        <w:sz w:val="20"/>
                      </w:rPr>
                      <w:t> </w:t>
                    </w:r>
                    <w:r>
                      <w:rPr>
                        <w:b/>
                        <w:color w:val="000101"/>
                        <w:sz w:val="20"/>
                      </w:rPr>
                      <w:t>Expansion</w:t>
                    </w:r>
                  </w:p>
                </w:txbxContent>
              </v:textbox>
              <w10:wrap type="none"/>
            </v:shape>
          </v:group>
        </w:pict>
      </w:r>
      <w:r>
        <w:rPr>
          <w:sz w:val="20"/>
        </w:rPr>
      </w:r>
    </w:p>
    <w:p>
      <w:pPr>
        <w:spacing w:after="0"/>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Heading4"/>
        <w:tabs>
          <w:tab w:pos="5978" w:val="left" w:leader="none"/>
        </w:tabs>
        <w:spacing w:before="111"/>
      </w:pPr>
      <w:r>
        <w:rPr/>
        <w:pict>
          <v:shape style="position:absolute;margin-left:601.348999pt;margin-top:-99.5522pt;width:120.3pt;height:42.55pt;mso-position-horizontal-relative:page;mso-position-vertical-relative:paragraph;z-index:632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99.5522pt;width:120.3pt;height:42.55pt;mso-position-horizontal-relative:page;mso-position-vertical-relative:paragraph;z-index:635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99.5522pt;width:120.3pt;height:42.55pt;mso-position-horizontal-relative:page;mso-position-vertical-relative:paragraph;z-index:637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Inner</w:t>
      </w:r>
      <w:r>
        <w:rPr>
          <w:color w:val="6F2770"/>
          <w:spacing w:val="-38"/>
        </w:rPr>
        <w:t> </w:t>
      </w:r>
      <w:r>
        <w:rPr>
          <w:color w:val="6F2770"/>
        </w:rPr>
        <w:t>City</w:t>
      </w:r>
      <w:r>
        <w:rPr>
          <w:color w:val="6F2770"/>
          <w:spacing w:val="-38"/>
        </w:rPr>
        <w:t> </w:t>
      </w:r>
      <w:r>
        <w:rPr>
          <w:color w:val="6F2770"/>
        </w:rPr>
        <w:t>College</w:t>
        <w:tab/>
      </w:r>
      <w:r>
        <w:rPr>
          <w:color w:val="6F2770"/>
          <w:spacing w:val="-4"/>
        </w:rPr>
        <w:t>WA </w:t>
      </w:r>
      <w:r>
        <w:rPr>
          <w:color w:val="6F2770"/>
        </w:rPr>
        <w:t>Schools Public Private</w:t>
      </w:r>
      <w:r>
        <w:rPr>
          <w:color w:val="6F2770"/>
          <w:spacing w:val="-14"/>
        </w:rPr>
        <w:t> </w:t>
      </w:r>
      <w:r>
        <w:rPr>
          <w:color w:val="6F2770"/>
        </w:rPr>
        <w:t>Partnership</w:t>
      </w:r>
    </w:p>
    <w:p>
      <w:pPr>
        <w:pStyle w:val="BodyText"/>
        <w:spacing w:before="9"/>
        <w:rPr>
          <w:sz w:val="11"/>
        </w:rPr>
      </w:pPr>
    </w:p>
    <w:p>
      <w:pPr>
        <w:spacing w:after="0"/>
        <w:rPr>
          <w:sz w:val="11"/>
        </w:rPr>
        <w:sectPr>
          <w:footerReference w:type="default" r:id="rId87"/>
          <w:pgSz w:w="16840" w:h="11910" w:orient="landscape"/>
          <w:pgMar w:footer="774" w:header="0" w:top="0" w:bottom="960" w:left="0" w:right="0"/>
        </w:sectPr>
      </w:pPr>
    </w:p>
    <w:p>
      <w:pPr>
        <w:pStyle w:val="BodyText"/>
        <w:spacing w:line="249" w:lineRule="auto" w:before="110"/>
        <w:ind w:left="765" w:right="387"/>
      </w:pPr>
      <w:r>
        <w:rPr/>
        <w:pict>
          <v:group style="position:absolute;margin-left:240.539398pt;margin-top:.000701pt;width:601.4pt;height:516.8pt;mso-position-horizontal-relative:page;mso-position-vertical-relative:page;z-index:-706192" coordorigin="4811,0" coordsize="12028,10336">
            <v:shape style="position:absolute;left:5611;top:0;width:11227;height:9693" type="#_x0000_t75" stroked="false">
              <v:imagedata r:id="rId34" o:title=""/>
            </v:shape>
            <v:shape style="position:absolute;left:6024;top:7061;width:10058;height:3274" type="#_x0000_t75" stroked="false">
              <v:imagedata r:id="rId88" o:title=""/>
            </v:shape>
            <v:rect style="position:absolute;left:4810;top:0;width:2406;height:851" filled="true" fillcolor="#d4d896" stroked="false">
              <v:fill type="solid"/>
            </v:rect>
            <w10:wrap type="none"/>
          </v:group>
        </w:pict>
      </w:r>
      <w:r>
        <w:rPr/>
        <w:t>In</w:t>
      </w:r>
      <w:r>
        <w:rPr>
          <w:spacing w:val="-27"/>
        </w:rPr>
        <w:t> </w:t>
      </w:r>
      <w:r>
        <w:rPr/>
        <w:t>June</w:t>
      </w:r>
      <w:r>
        <w:rPr>
          <w:spacing w:val="-26"/>
        </w:rPr>
        <w:t> </w:t>
      </w:r>
      <w:r>
        <w:rPr>
          <w:spacing w:val="-15"/>
        </w:rPr>
        <w:t>2017,</w:t>
      </w:r>
      <w:r>
        <w:rPr>
          <w:spacing w:val="-26"/>
        </w:rPr>
        <w:t> </w:t>
      </w:r>
      <w:r>
        <w:rPr>
          <w:spacing w:val="-2"/>
        </w:rPr>
        <w:t>the</w:t>
      </w:r>
      <w:r>
        <w:rPr>
          <w:spacing w:val="-27"/>
        </w:rPr>
        <w:t> </w:t>
      </w:r>
      <w:r>
        <w:rPr>
          <w:spacing w:val="-4"/>
        </w:rPr>
        <w:t>State</w:t>
      </w:r>
      <w:r>
        <w:rPr>
          <w:spacing w:val="-26"/>
        </w:rPr>
        <w:t> </w:t>
      </w:r>
      <w:r>
        <w:rPr>
          <w:spacing w:val="-3"/>
        </w:rPr>
        <w:t>Government</w:t>
      </w:r>
      <w:r>
        <w:rPr>
          <w:spacing w:val="-26"/>
        </w:rPr>
        <w:t> </w:t>
      </w:r>
      <w:r>
        <w:rPr/>
        <w:t>announced </w:t>
      </w:r>
      <w:r>
        <w:rPr>
          <w:spacing w:val="-3"/>
        </w:rPr>
        <w:t>that</w:t>
      </w:r>
      <w:r>
        <w:rPr>
          <w:spacing w:val="-23"/>
        </w:rPr>
        <w:t> </w:t>
      </w:r>
      <w:r>
        <w:rPr>
          <w:spacing w:val="-2"/>
        </w:rPr>
        <w:t>the</w:t>
      </w:r>
      <w:r>
        <w:rPr>
          <w:spacing w:val="-22"/>
        </w:rPr>
        <w:t> </w:t>
      </w:r>
      <w:r>
        <w:rPr>
          <w:spacing w:val="-2"/>
        </w:rPr>
        <w:t>new</w:t>
      </w:r>
      <w:r>
        <w:rPr>
          <w:spacing w:val="-22"/>
        </w:rPr>
        <w:t> </w:t>
      </w:r>
      <w:r>
        <w:rPr/>
        <w:t>Inner</w:t>
      </w:r>
      <w:r>
        <w:rPr>
          <w:spacing w:val="-22"/>
        </w:rPr>
        <w:t> </w:t>
      </w:r>
      <w:r>
        <w:rPr/>
        <w:t>City</w:t>
      </w:r>
      <w:r>
        <w:rPr>
          <w:spacing w:val="-22"/>
        </w:rPr>
        <w:t> </w:t>
      </w:r>
      <w:r>
        <w:rPr/>
        <w:t>College</w:t>
      </w:r>
      <w:r>
        <w:rPr>
          <w:spacing w:val="-23"/>
        </w:rPr>
        <w:t> </w:t>
      </w:r>
      <w:r>
        <w:rPr>
          <w:spacing w:val="-4"/>
        </w:rPr>
        <w:t>(ICC)</w:t>
      </w:r>
      <w:r>
        <w:rPr>
          <w:spacing w:val="-22"/>
        </w:rPr>
        <w:t> </w:t>
      </w:r>
      <w:r>
        <w:rPr>
          <w:spacing w:val="-3"/>
        </w:rPr>
        <w:t>would</w:t>
      </w:r>
      <w:r>
        <w:rPr>
          <w:spacing w:val="-22"/>
        </w:rPr>
        <w:t> </w:t>
      </w:r>
      <w:r>
        <w:rPr/>
        <w:t>be built</w:t>
      </w:r>
      <w:r>
        <w:rPr>
          <w:spacing w:val="-16"/>
        </w:rPr>
        <w:t> </w:t>
      </w:r>
      <w:r>
        <w:rPr/>
        <w:t>on</w:t>
      </w:r>
      <w:r>
        <w:rPr>
          <w:spacing w:val="-15"/>
        </w:rPr>
        <w:t> </w:t>
      </w:r>
      <w:r>
        <w:rPr>
          <w:spacing w:val="-2"/>
        </w:rPr>
        <w:t>the</w:t>
      </w:r>
      <w:r>
        <w:rPr>
          <w:spacing w:val="-15"/>
        </w:rPr>
        <w:t> </w:t>
      </w:r>
      <w:r>
        <w:rPr/>
        <w:t>Kitchener</w:t>
      </w:r>
      <w:r>
        <w:rPr>
          <w:spacing w:val="-15"/>
        </w:rPr>
        <w:t> </w:t>
      </w:r>
      <w:r>
        <w:rPr/>
        <w:t>Park</w:t>
      </w:r>
      <w:r>
        <w:rPr>
          <w:spacing w:val="-15"/>
        </w:rPr>
        <w:t> </w:t>
      </w:r>
      <w:r>
        <w:rPr>
          <w:spacing w:val="-3"/>
        </w:rPr>
        <w:t>site</w:t>
      </w:r>
      <w:r>
        <w:rPr>
          <w:spacing w:val="-15"/>
        </w:rPr>
        <w:t> </w:t>
      </w:r>
      <w:r>
        <w:rPr/>
        <w:t>in</w:t>
      </w:r>
      <w:r>
        <w:rPr>
          <w:spacing w:val="-16"/>
        </w:rPr>
        <w:t> </w:t>
      </w:r>
      <w:r>
        <w:rPr>
          <w:spacing w:val="-3"/>
        </w:rPr>
        <w:t>Subiaco.</w:t>
      </w:r>
    </w:p>
    <w:p>
      <w:pPr>
        <w:pStyle w:val="BodyText"/>
        <w:spacing w:line="249" w:lineRule="auto" w:before="2"/>
        <w:ind w:left="765" w:right="141"/>
      </w:pPr>
      <w:r>
        <w:rPr/>
        <w:t>Stage</w:t>
      </w:r>
      <w:r>
        <w:rPr>
          <w:spacing w:val="-18"/>
        </w:rPr>
        <w:t> </w:t>
      </w:r>
      <w:r>
        <w:rPr/>
        <w:t>One</w:t>
      </w:r>
      <w:r>
        <w:rPr>
          <w:spacing w:val="-18"/>
        </w:rPr>
        <w:t> </w:t>
      </w:r>
      <w:r>
        <w:rPr>
          <w:spacing w:val="-3"/>
        </w:rPr>
        <w:t>of</w:t>
      </w:r>
      <w:r>
        <w:rPr>
          <w:spacing w:val="-18"/>
        </w:rPr>
        <w:t> </w:t>
      </w:r>
      <w:r>
        <w:rPr>
          <w:spacing w:val="-2"/>
        </w:rPr>
        <w:t>the</w:t>
      </w:r>
      <w:r>
        <w:rPr>
          <w:spacing w:val="-18"/>
        </w:rPr>
        <w:t> </w:t>
      </w:r>
      <w:r>
        <w:rPr/>
        <w:t>ICC</w:t>
      </w:r>
      <w:r>
        <w:rPr>
          <w:spacing w:val="-18"/>
        </w:rPr>
        <w:t> </w:t>
      </w:r>
      <w:r>
        <w:rPr/>
        <w:t>will</w:t>
      </w:r>
      <w:r>
        <w:rPr>
          <w:spacing w:val="-18"/>
        </w:rPr>
        <w:t> </w:t>
      </w:r>
      <w:r>
        <w:rPr/>
        <w:t>open</w:t>
      </w:r>
      <w:r>
        <w:rPr>
          <w:spacing w:val="-18"/>
        </w:rPr>
        <w:t> </w:t>
      </w:r>
      <w:r>
        <w:rPr>
          <w:spacing w:val="-3"/>
        </w:rPr>
        <w:t>for</w:t>
      </w:r>
      <w:r>
        <w:rPr>
          <w:spacing w:val="-17"/>
        </w:rPr>
        <w:t> </w:t>
      </w:r>
      <w:r>
        <w:rPr>
          <w:spacing w:val="-2"/>
        </w:rPr>
        <w:t>the</w:t>
      </w:r>
      <w:r>
        <w:rPr>
          <w:spacing w:val="-18"/>
        </w:rPr>
        <w:t> </w:t>
      </w:r>
      <w:r>
        <w:rPr/>
        <w:t>start</w:t>
      </w:r>
      <w:r>
        <w:rPr>
          <w:spacing w:val="-18"/>
        </w:rPr>
        <w:t> </w:t>
      </w:r>
      <w:r>
        <w:rPr>
          <w:spacing w:val="-3"/>
        </w:rPr>
        <w:t>of</w:t>
      </w:r>
      <w:r>
        <w:rPr>
          <w:spacing w:val="-18"/>
        </w:rPr>
        <w:t> </w:t>
      </w:r>
      <w:r>
        <w:rPr>
          <w:spacing w:val="-2"/>
        </w:rPr>
        <w:t>the </w:t>
      </w:r>
      <w:r>
        <w:rPr>
          <w:spacing w:val="-4"/>
        </w:rPr>
        <w:t>2020 </w:t>
      </w:r>
      <w:r>
        <w:rPr/>
        <w:t>school year with a capacity </w:t>
      </w:r>
      <w:r>
        <w:rPr>
          <w:spacing w:val="-3"/>
        </w:rPr>
        <w:t>of </w:t>
      </w:r>
      <w:r>
        <w:rPr>
          <w:spacing w:val="-6"/>
        </w:rPr>
        <w:t>1,000 </w:t>
      </w:r>
      <w:r>
        <w:rPr>
          <w:spacing w:val="-3"/>
        </w:rPr>
        <w:t>pupils. </w:t>
      </w:r>
      <w:r>
        <w:rPr/>
        <w:t>Under</w:t>
      </w:r>
      <w:r>
        <w:rPr>
          <w:spacing w:val="-27"/>
        </w:rPr>
        <w:t> </w:t>
      </w:r>
      <w:r>
        <w:rPr/>
        <w:t>Stage</w:t>
      </w:r>
      <w:r>
        <w:rPr>
          <w:spacing w:val="-27"/>
        </w:rPr>
        <w:t> </w:t>
      </w:r>
      <w:r>
        <w:rPr>
          <w:spacing w:val="-9"/>
        </w:rPr>
        <w:t>Two,</w:t>
      </w:r>
      <w:r>
        <w:rPr>
          <w:spacing w:val="-26"/>
        </w:rPr>
        <w:t> </w:t>
      </w:r>
      <w:r>
        <w:rPr>
          <w:spacing w:val="-2"/>
        </w:rPr>
        <w:t>the</w:t>
      </w:r>
      <w:r>
        <w:rPr>
          <w:spacing w:val="-27"/>
        </w:rPr>
        <w:t> </w:t>
      </w:r>
      <w:r>
        <w:rPr/>
        <w:t>ICC</w:t>
      </w:r>
      <w:r>
        <w:rPr>
          <w:spacing w:val="-26"/>
        </w:rPr>
        <w:t> </w:t>
      </w:r>
      <w:r>
        <w:rPr/>
        <w:t>will</w:t>
      </w:r>
      <w:r>
        <w:rPr>
          <w:spacing w:val="-27"/>
        </w:rPr>
        <w:t> </w:t>
      </w:r>
      <w:r>
        <w:rPr>
          <w:spacing w:val="-3"/>
        </w:rPr>
        <w:t>expand</w:t>
      </w:r>
      <w:r>
        <w:rPr>
          <w:spacing w:val="-26"/>
        </w:rPr>
        <w:t> </w:t>
      </w:r>
      <w:r>
        <w:rPr>
          <w:spacing w:val="-4"/>
        </w:rPr>
        <w:t>to</w:t>
      </w:r>
      <w:r>
        <w:rPr>
          <w:spacing w:val="-27"/>
        </w:rPr>
        <w:t> </w:t>
      </w:r>
      <w:r>
        <w:rPr>
          <w:spacing w:val="-3"/>
        </w:rPr>
        <w:t>ultimately </w:t>
      </w:r>
      <w:r>
        <w:rPr>
          <w:spacing w:val="-4"/>
        </w:rPr>
        <w:t>have </w:t>
      </w:r>
      <w:r>
        <w:rPr/>
        <w:t>capacity </w:t>
      </w:r>
      <w:r>
        <w:rPr>
          <w:spacing w:val="-3"/>
        </w:rPr>
        <w:t>for </w:t>
      </w:r>
      <w:r>
        <w:rPr>
          <w:spacing w:val="-4"/>
        </w:rPr>
        <w:t>2,000 </w:t>
      </w:r>
      <w:r>
        <w:rPr>
          <w:spacing w:val="-3"/>
        </w:rPr>
        <w:t>students by </w:t>
      </w:r>
      <w:r>
        <w:rPr>
          <w:spacing w:val="-2"/>
        </w:rPr>
        <w:t>the </w:t>
      </w:r>
      <w:r>
        <w:rPr>
          <w:spacing w:val="-7"/>
        </w:rPr>
        <w:t>2024 </w:t>
      </w:r>
      <w:r>
        <w:rPr/>
        <w:t>school</w:t>
      </w:r>
      <w:r>
        <w:rPr>
          <w:spacing w:val="-6"/>
        </w:rPr>
        <w:t> year.</w:t>
      </w:r>
    </w:p>
    <w:p>
      <w:pPr>
        <w:pStyle w:val="BodyText"/>
        <w:spacing w:before="4"/>
        <w:rPr>
          <w:sz w:val="23"/>
        </w:rPr>
      </w:pPr>
    </w:p>
    <w:p>
      <w:pPr>
        <w:spacing w:line="249" w:lineRule="auto" w:before="0"/>
        <w:ind w:left="765" w:right="258" w:firstLine="0"/>
        <w:jc w:val="left"/>
        <w:rPr>
          <w:sz w:val="22"/>
        </w:rPr>
      </w:pPr>
      <w:r>
        <w:rPr>
          <w:sz w:val="22"/>
        </w:rPr>
        <w:t>A </w:t>
      </w:r>
      <w:r>
        <w:rPr>
          <w:spacing w:val="-3"/>
          <w:sz w:val="22"/>
        </w:rPr>
        <w:t>joint </w:t>
      </w:r>
      <w:r>
        <w:rPr>
          <w:b/>
          <w:sz w:val="22"/>
        </w:rPr>
        <w:t>Strategic Projects </w:t>
      </w:r>
      <w:r>
        <w:rPr>
          <w:sz w:val="22"/>
        </w:rPr>
        <w:t>and </w:t>
      </w:r>
      <w:r>
        <w:rPr>
          <w:b/>
          <w:sz w:val="22"/>
        </w:rPr>
        <w:t>Building Management and </w:t>
      </w:r>
      <w:r>
        <w:rPr>
          <w:b/>
          <w:spacing w:val="-3"/>
          <w:sz w:val="22"/>
        </w:rPr>
        <w:t>Works </w:t>
      </w:r>
      <w:r>
        <w:rPr>
          <w:spacing w:val="-3"/>
          <w:sz w:val="22"/>
        </w:rPr>
        <w:t>project team was </w:t>
      </w:r>
      <w:r>
        <w:rPr>
          <w:sz w:val="22"/>
        </w:rPr>
        <w:t>assembled</w:t>
      </w:r>
      <w:r>
        <w:rPr>
          <w:spacing w:val="-28"/>
          <w:sz w:val="22"/>
        </w:rPr>
        <w:t> </w:t>
      </w:r>
      <w:r>
        <w:rPr>
          <w:spacing w:val="-4"/>
          <w:sz w:val="22"/>
        </w:rPr>
        <w:t>to</w:t>
      </w:r>
      <w:r>
        <w:rPr>
          <w:spacing w:val="-27"/>
          <w:sz w:val="22"/>
        </w:rPr>
        <w:t> </w:t>
      </w:r>
      <w:r>
        <w:rPr>
          <w:sz w:val="22"/>
        </w:rPr>
        <w:t>manage</w:t>
      </w:r>
      <w:r>
        <w:rPr>
          <w:spacing w:val="-28"/>
          <w:sz w:val="22"/>
        </w:rPr>
        <w:t> </w:t>
      </w:r>
      <w:r>
        <w:rPr>
          <w:sz w:val="22"/>
        </w:rPr>
        <w:t>delivery</w:t>
      </w:r>
      <w:r>
        <w:rPr>
          <w:spacing w:val="-27"/>
          <w:sz w:val="22"/>
        </w:rPr>
        <w:t> </w:t>
      </w:r>
      <w:r>
        <w:rPr>
          <w:spacing w:val="-3"/>
          <w:sz w:val="22"/>
        </w:rPr>
        <w:t>of</w:t>
      </w:r>
      <w:r>
        <w:rPr>
          <w:spacing w:val="-27"/>
          <w:sz w:val="22"/>
        </w:rPr>
        <w:t> </w:t>
      </w:r>
      <w:r>
        <w:rPr>
          <w:spacing w:val="-2"/>
          <w:sz w:val="22"/>
        </w:rPr>
        <w:t>the</w:t>
      </w:r>
      <w:r>
        <w:rPr>
          <w:spacing w:val="-28"/>
          <w:sz w:val="22"/>
        </w:rPr>
        <w:t> </w:t>
      </w:r>
      <w:r>
        <w:rPr>
          <w:spacing w:val="-3"/>
          <w:sz w:val="22"/>
        </w:rPr>
        <w:t>project</w:t>
      </w:r>
      <w:r>
        <w:rPr>
          <w:spacing w:val="-27"/>
          <w:sz w:val="22"/>
        </w:rPr>
        <w:t> </w:t>
      </w:r>
      <w:r>
        <w:rPr>
          <w:sz w:val="22"/>
        </w:rPr>
        <w:t>with </w:t>
      </w:r>
      <w:r>
        <w:rPr>
          <w:spacing w:val="-2"/>
          <w:sz w:val="22"/>
        </w:rPr>
        <w:t>the </w:t>
      </w:r>
      <w:r>
        <w:rPr>
          <w:spacing w:val="-3"/>
          <w:sz w:val="22"/>
        </w:rPr>
        <w:t>project </w:t>
      </w:r>
      <w:r>
        <w:rPr>
          <w:sz w:val="22"/>
        </w:rPr>
        <w:t>being </w:t>
      </w:r>
      <w:r>
        <w:rPr>
          <w:spacing w:val="-3"/>
          <w:sz w:val="22"/>
        </w:rPr>
        <w:t>procured </w:t>
      </w:r>
      <w:r>
        <w:rPr>
          <w:sz w:val="22"/>
        </w:rPr>
        <w:t>on a ‘fast </w:t>
      </w:r>
      <w:r>
        <w:rPr>
          <w:spacing w:val="-4"/>
          <w:sz w:val="22"/>
        </w:rPr>
        <w:t>tracked’ </w:t>
      </w:r>
      <w:r>
        <w:rPr>
          <w:sz w:val="22"/>
        </w:rPr>
        <w:t>basis</w:t>
      </w:r>
      <w:r>
        <w:rPr>
          <w:spacing w:val="-30"/>
          <w:sz w:val="22"/>
        </w:rPr>
        <w:t> </w:t>
      </w:r>
      <w:r>
        <w:rPr>
          <w:spacing w:val="-4"/>
          <w:sz w:val="22"/>
        </w:rPr>
        <w:t>to</w:t>
      </w:r>
      <w:r>
        <w:rPr>
          <w:spacing w:val="-29"/>
          <w:sz w:val="22"/>
        </w:rPr>
        <w:t> </w:t>
      </w:r>
      <w:r>
        <w:rPr>
          <w:sz w:val="22"/>
        </w:rPr>
        <w:t>meet</w:t>
      </w:r>
      <w:r>
        <w:rPr>
          <w:spacing w:val="-29"/>
          <w:sz w:val="22"/>
        </w:rPr>
        <w:t> </w:t>
      </w:r>
      <w:r>
        <w:rPr>
          <w:spacing w:val="-2"/>
          <w:sz w:val="22"/>
        </w:rPr>
        <w:t>the</w:t>
      </w:r>
      <w:r>
        <w:rPr>
          <w:spacing w:val="-29"/>
          <w:sz w:val="22"/>
        </w:rPr>
        <w:t> </w:t>
      </w:r>
      <w:r>
        <w:rPr>
          <w:sz w:val="22"/>
        </w:rPr>
        <w:t>challenging</w:t>
      </w:r>
      <w:r>
        <w:rPr>
          <w:spacing w:val="-30"/>
          <w:sz w:val="22"/>
        </w:rPr>
        <w:t> </w:t>
      </w:r>
      <w:r>
        <w:rPr>
          <w:sz w:val="22"/>
        </w:rPr>
        <w:t>delivery</w:t>
      </w:r>
      <w:r>
        <w:rPr>
          <w:spacing w:val="-29"/>
          <w:sz w:val="22"/>
        </w:rPr>
        <w:t> </w:t>
      </w:r>
      <w:r>
        <w:rPr>
          <w:spacing w:val="-3"/>
          <w:sz w:val="22"/>
        </w:rPr>
        <w:t>timetable.</w:t>
      </w:r>
    </w:p>
    <w:p>
      <w:pPr>
        <w:pStyle w:val="BodyText"/>
        <w:spacing w:before="4"/>
        <w:rPr>
          <w:sz w:val="23"/>
        </w:rPr>
      </w:pPr>
    </w:p>
    <w:p>
      <w:pPr>
        <w:pStyle w:val="BodyText"/>
        <w:spacing w:line="249" w:lineRule="auto"/>
        <w:ind w:left="765" w:right="503"/>
      </w:pPr>
      <w:r>
        <w:rPr/>
        <w:t>Early </w:t>
      </w:r>
      <w:r>
        <w:rPr>
          <w:spacing w:val="-3"/>
        </w:rPr>
        <w:t>works, including sewer </w:t>
      </w:r>
      <w:r>
        <w:rPr/>
        <w:t>and </w:t>
      </w:r>
      <w:r>
        <w:rPr>
          <w:spacing w:val="-4"/>
        </w:rPr>
        <w:t>stormwater </w:t>
      </w:r>
      <w:r>
        <w:rPr>
          <w:spacing w:val="-3"/>
        </w:rPr>
        <w:t>diversion, </w:t>
      </w:r>
      <w:r>
        <w:rPr/>
        <w:t>earth </w:t>
      </w:r>
      <w:r>
        <w:rPr>
          <w:spacing w:val="-3"/>
        </w:rPr>
        <w:t>works </w:t>
      </w:r>
      <w:r>
        <w:rPr/>
        <w:t>and </w:t>
      </w:r>
      <w:r>
        <w:rPr>
          <w:spacing w:val="-3"/>
        </w:rPr>
        <w:t>piling works, </w:t>
      </w:r>
      <w:r>
        <w:rPr/>
        <w:t>commenced</w:t>
      </w:r>
      <w:r>
        <w:rPr>
          <w:spacing w:val="-33"/>
        </w:rPr>
        <w:t> </w:t>
      </w:r>
      <w:r>
        <w:rPr/>
        <w:t>in</w:t>
      </w:r>
      <w:r>
        <w:rPr>
          <w:spacing w:val="-33"/>
        </w:rPr>
        <w:t> </w:t>
      </w:r>
      <w:r>
        <w:rPr/>
        <w:t>February</w:t>
      </w:r>
      <w:r>
        <w:rPr>
          <w:spacing w:val="-33"/>
        </w:rPr>
        <w:t> </w:t>
      </w:r>
      <w:r>
        <w:rPr>
          <w:spacing w:val="-9"/>
        </w:rPr>
        <w:t>2018</w:t>
      </w:r>
      <w:r>
        <w:rPr>
          <w:spacing w:val="-33"/>
        </w:rPr>
        <w:t> </w:t>
      </w:r>
      <w:r>
        <w:rPr/>
        <w:t>and</w:t>
      </w:r>
      <w:r>
        <w:rPr>
          <w:spacing w:val="-32"/>
        </w:rPr>
        <w:t> </w:t>
      </w:r>
      <w:r>
        <w:rPr/>
        <w:t>are</w:t>
      </w:r>
      <w:r>
        <w:rPr>
          <w:spacing w:val="-33"/>
        </w:rPr>
        <w:t> </w:t>
      </w:r>
      <w:r>
        <w:rPr/>
        <w:t>nearing </w:t>
      </w:r>
      <w:r>
        <w:rPr>
          <w:spacing w:val="-3"/>
        </w:rPr>
        <w:t>completion.</w:t>
      </w:r>
    </w:p>
    <w:p>
      <w:pPr>
        <w:pStyle w:val="BodyText"/>
        <w:spacing w:before="3"/>
        <w:rPr>
          <w:sz w:val="23"/>
        </w:rPr>
      </w:pPr>
    </w:p>
    <w:p>
      <w:pPr>
        <w:pStyle w:val="BodyText"/>
        <w:spacing w:line="249" w:lineRule="auto" w:before="1"/>
        <w:ind w:left="765" w:right="-11"/>
      </w:pPr>
      <w:r>
        <w:rPr/>
        <w:t>The College will be a </w:t>
      </w:r>
      <w:r>
        <w:rPr>
          <w:spacing w:val="-3"/>
        </w:rPr>
        <w:t>central </w:t>
      </w:r>
      <w:r>
        <w:rPr/>
        <w:t>hub </w:t>
      </w:r>
      <w:r>
        <w:rPr>
          <w:spacing w:val="-3"/>
        </w:rPr>
        <w:t>for </w:t>
      </w:r>
      <w:r>
        <w:rPr>
          <w:spacing w:val="-2"/>
        </w:rPr>
        <w:t>the </w:t>
      </w:r>
      <w:r>
        <w:rPr/>
        <w:t>Subiaco </w:t>
      </w:r>
      <w:r>
        <w:rPr>
          <w:spacing w:val="-4"/>
        </w:rPr>
        <w:t>community,</w:t>
      </w:r>
      <w:r>
        <w:rPr>
          <w:spacing w:val="-32"/>
        </w:rPr>
        <w:t> </w:t>
      </w:r>
      <w:r>
        <w:rPr>
          <w:spacing w:val="-3"/>
        </w:rPr>
        <w:t>providing</w:t>
      </w:r>
      <w:r>
        <w:rPr>
          <w:spacing w:val="-31"/>
        </w:rPr>
        <w:t> </w:t>
      </w:r>
      <w:r>
        <w:rPr/>
        <w:t>important</w:t>
      </w:r>
      <w:r>
        <w:rPr>
          <w:spacing w:val="-32"/>
        </w:rPr>
        <w:t> </w:t>
      </w:r>
      <w:r>
        <w:rPr/>
        <w:t>social</w:t>
      </w:r>
      <w:r>
        <w:rPr>
          <w:spacing w:val="-31"/>
        </w:rPr>
        <w:t> </w:t>
      </w:r>
      <w:r>
        <w:rPr>
          <w:spacing w:val="-3"/>
        </w:rPr>
        <w:t>infrastructure for</w:t>
      </w:r>
      <w:r>
        <w:rPr>
          <w:spacing w:val="-30"/>
        </w:rPr>
        <w:t> </w:t>
      </w:r>
      <w:r>
        <w:rPr/>
        <w:t>Subiaco</w:t>
      </w:r>
      <w:r>
        <w:rPr>
          <w:spacing w:val="-30"/>
        </w:rPr>
        <w:t> </w:t>
      </w:r>
      <w:r>
        <w:rPr/>
        <w:t>East</w:t>
      </w:r>
      <w:r>
        <w:rPr>
          <w:spacing w:val="-30"/>
        </w:rPr>
        <w:t> </w:t>
      </w:r>
      <w:r>
        <w:rPr/>
        <w:t>and</w:t>
      </w:r>
      <w:r>
        <w:rPr>
          <w:spacing w:val="-30"/>
        </w:rPr>
        <w:t> </w:t>
      </w:r>
      <w:r>
        <w:rPr>
          <w:spacing w:val="-3"/>
        </w:rPr>
        <w:t>surrounding</w:t>
      </w:r>
      <w:r>
        <w:rPr>
          <w:spacing w:val="-30"/>
        </w:rPr>
        <w:t> </w:t>
      </w:r>
      <w:r>
        <w:rPr>
          <w:spacing w:val="-3"/>
        </w:rPr>
        <w:t>areas.</w:t>
      </w:r>
      <w:r>
        <w:rPr>
          <w:spacing w:val="-30"/>
        </w:rPr>
        <w:t> </w:t>
      </w:r>
      <w:r>
        <w:rPr/>
        <w:t>The</w:t>
      </w:r>
      <w:r>
        <w:rPr>
          <w:spacing w:val="-30"/>
        </w:rPr>
        <w:t> </w:t>
      </w:r>
      <w:r>
        <w:rPr/>
        <w:t>school and</w:t>
      </w:r>
      <w:r>
        <w:rPr>
          <w:spacing w:val="-26"/>
        </w:rPr>
        <w:t> </w:t>
      </w:r>
      <w:r>
        <w:rPr>
          <w:spacing w:val="-3"/>
        </w:rPr>
        <w:t>its</w:t>
      </w:r>
      <w:r>
        <w:rPr>
          <w:spacing w:val="-25"/>
        </w:rPr>
        <w:t> </w:t>
      </w:r>
      <w:r>
        <w:rPr/>
        <w:t>access</w:t>
      </w:r>
      <w:r>
        <w:rPr>
          <w:spacing w:val="-25"/>
        </w:rPr>
        <w:t> </w:t>
      </w:r>
      <w:r>
        <w:rPr>
          <w:spacing w:val="-3"/>
        </w:rPr>
        <w:t>points</w:t>
      </w:r>
      <w:r>
        <w:rPr>
          <w:spacing w:val="-25"/>
        </w:rPr>
        <w:t> </w:t>
      </w:r>
      <w:r>
        <w:rPr>
          <w:spacing w:val="-4"/>
        </w:rPr>
        <w:t>have</w:t>
      </w:r>
      <w:r>
        <w:rPr>
          <w:spacing w:val="-26"/>
        </w:rPr>
        <w:t> </w:t>
      </w:r>
      <w:r>
        <w:rPr/>
        <w:t>been</w:t>
      </w:r>
      <w:r>
        <w:rPr>
          <w:spacing w:val="-25"/>
        </w:rPr>
        <w:t> </w:t>
      </w:r>
      <w:r>
        <w:rPr/>
        <w:t>designed</w:t>
      </w:r>
      <w:r>
        <w:rPr>
          <w:spacing w:val="-25"/>
        </w:rPr>
        <w:t> </w:t>
      </w:r>
      <w:r>
        <w:rPr>
          <w:spacing w:val="-4"/>
        </w:rPr>
        <w:t>to</w:t>
      </w:r>
      <w:r>
        <w:rPr>
          <w:spacing w:val="-25"/>
        </w:rPr>
        <w:t> </w:t>
      </w:r>
      <w:r>
        <w:rPr/>
        <w:t>enable and</w:t>
      </w:r>
      <w:r>
        <w:rPr>
          <w:spacing w:val="-20"/>
        </w:rPr>
        <w:t> </w:t>
      </w:r>
      <w:r>
        <w:rPr>
          <w:spacing w:val="-4"/>
        </w:rPr>
        <w:t>promote</w:t>
      </w:r>
      <w:r>
        <w:rPr>
          <w:spacing w:val="-20"/>
        </w:rPr>
        <w:t> </w:t>
      </w:r>
      <w:r>
        <w:rPr/>
        <w:t>community</w:t>
      </w:r>
      <w:r>
        <w:rPr>
          <w:spacing w:val="-20"/>
        </w:rPr>
        <w:t> </w:t>
      </w:r>
      <w:r>
        <w:rPr/>
        <w:t>use</w:t>
      </w:r>
      <w:r>
        <w:rPr>
          <w:spacing w:val="-20"/>
        </w:rPr>
        <w:t> </w:t>
      </w:r>
      <w:r>
        <w:rPr>
          <w:spacing w:val="-3"/>
        </w:rPr>
        <w:t>of</w:t>
      </w:r>
      <w:r>
        <w:rPr>
          <w:spacing w:val="-20"/>
        </w:rPr>
        <w:t> </w:t>
      </w:r>
      <w:r>
        <w:rPr>
          <w:spacing w:val="-2"/>
        </w:rPr>
        <w:t>the</w:t>
      </w:r>
      <w:r>
        <w:rPr>
          <w:spacing w:val="-19"/>
        </w:rPr>
        <w:t> </w:t>
      </w:r>
      <w:r>
        <w:rPr/>
        <w:t>school</w:t>
      </w:r>
      <w:r>
        <w:rPr>
          <w:spacing w:val="-20"/>
        </w:rPr>
        <w:t> </w:t>
      </w:r>
      <w:r>
        <w:rPr>
          <w:spacing w:val="-3"/>
        </w:rPr>
        <w:t>facilities </w:t>
      </w:r>
      <w:r>
        <w:rPr/>
        <w:t>and </w:t>
      </w:r>
      <w:r>
        <w:rPr>
          <w:spacing w:val="-3"/>
        </w:rPr>
        <w:t>grounds </w:t>
      </w:r>
      <w:r>
        <w:rPr/>
        <w:t>after </w:t>
      </w:r>
      <w:r>
        <w:rPr>
          <w:spacing w:val="-2"/>
        </w:rPr>
        <w:t>hours. </w:t>
      </w:r>
      <w:r>
        <w:rPr>
          <w:spacing w:val="-3"/>
        </w:rPr>
        <w:t>Project </w:t>
      </w:r>
      <w:r>
        <w:rPr/>
        <w:t>design includes </w:t>
      </w:r>
      <w:r>
        <w:rPr>
          <w:spacing w:val="-3"/>
        </w:rPr>
        <w:t>site </w:t>
      </w:r>
      <w:r>
        <w:rPr/>
        <w:t>access </w:t>
      </w:r>
      <w:r>
        <w:rPr>
          <w:spacing w:val="-3"/>
        </w:rPr>
        <w:t>strategies allowing </w:t>
      </w:r>
      <w:r>
        <w:rPr>
          <w:spacing w:val="-2"/>
        </w:rPr>
        <w:t>the </w:t>
      </w:r>
      <w:r>
        <w:rPr>
          <w:spacing w:val="-3"/>
        </w:rPr>
        <w:t>gymnasium, central</w:t>
      </w:r>
      <w:r>
        <w:rPr>
          <w:spacing w:val="-23"/>
        </w:rPr>
        <w:t> </w:t>
      </w:r>
      <w:r>
        <w:rPr/>
        <w:t>courtyard,</w:t>
      </w:r>
      <w:r>
        <w:rPr>
          <w:spacing w:val="-22"/>
        </w:rPr>
        <w:t> </w:t>
      </w:r>
      <w:r>
        <w:rPr>
          <w:spacing w:val="-3"/>
        </w:rPr>
        <w:t>cafeteria</w:t>
      </w:r>
      <w:r>
        <w:rPr>
          <w:spacing w:val="-22"/>
        </w:rPr>
        <w:t> </w:t>
      </w:r>
      <w:r>
        <w:rPr/>
        <w:t>and</w:t>
      </w:r>
      <w:r>
        <w:rPr>
          <w:spacing w:val="-23"/>
        </w:rPr>
        <w:t> </w:t>
      </w:r>
      <w:r>
        <w:rPr>
          <w:spacing w:val="-3"/>
        </w:rPr>
        <w:t>teaching</w:t>
      </w:r>
      <w:r>
        <w:rPr>
          <w:spacing w:val="-22"/>
        </w:rPr>
        <w:t> </w:t>
      </w:r>
      <w:r>
        <w:rPr/>
        <w:t>spaces</w:t>
      </w:r>
      <w:r>
        <w:rPr>
          <w:spacing w:val="-22"/>
        </w:rPr>
        <w:t> </w:t>
      </w:r>
      <w:r>
        <w:rPr>
          <w:spacing w:val="-4"/>
        </w:rPr>
        <w:t>to </w:t>
      </w:r>
      <w:r>
        <w:rPr>
          <w:spacing w:val="-3"/>
        </w:rPr>
        <w:t>operate independently outside </w:t>
      </w:r>
      <w:r>
        <w:rPr/>
        <w:t>school</w:t>
      </w:r>
      <w:r>
        <w:rPr>
          <w:spacing w:val="-36"/>
        </w:rPr>
        <w:t> </w:t>
      </w:r>
      <w:r>
        <w:rPr>
          <w:spacing w:val="-2"/>
        </w:rPr>
        <w:t>hours.</w:t>
      </w:r>
    </w:p>
    <w:p>
      <w:pPr>
        <w:pStyle w:val="BodyText"/>
        <w:spacing w:line="249" w:lineRule="auto" w:before="108"/>
        <w:ind w:left="359" w:right="-5"/>
      </w:pPr>
      <w:r>
        <w:rPr/>
        <w:br w:type="column"/>
      </w:r>
      <w:r>
        <w:rPr/>
        <w:t>Managed</w:t>
      </w:r>
      <w:r>
        <w:rPr>
          <w:spacing w:val="-17"/>
        </w:rPr>
        <w:t> </w:t>
      </w:r>
      <w:r>
        <w:rPr>
          <w:spacing w:val="-3"/>
        </w:rPr>
        <w:t>by</w:t>
      </w:r>
      <w:r>
        <w:rPr>
          <w:spacing w:val="-17"/>
        </w:rPr>
        <w:t> </w:t>
      </w:r>
      <w:r>
        <w:rPr>
          <w:b/>
        </w:rPr>
        <w:t>Strategic</w:t>
      </w:r>
      <w:r>
        <w:rPr>
          <w:b/>
          <w:spacing w:val="-17"/>
        </w:rPr>
        <w:t> </w:t>
      </w:r>
      <w:r>
        <w:rPr>
          <w:b/>
        </w:rPr>
        <w:t>Projects</w:t>
      </w:r>
      <w:r>
        <w:rPr/>
        <w:t>,</w:t>
      </w:r>
      <w:r>
        <w:rPr>
          <w:spacing w:val="-17"/>
        </w:rPr>
        <w:t> </w:t>
      </w:r>
      <w:r>
        <w:rPr>
          <w:spacing w:val="-2"/>
        </w:rPr>
        <w:t>the</w:t>
      </w:r>
      <w:r>
        <w:rPr>
          <w:spacing w:val="-17"/>
        </w:rPr>
        <w:t> </w:t>
      </w:r>
      <w:r>
        <w:rPr>
          <w:spacing w:val="-6"/>
        </w:rPr>
        <w:t>WA</w:t>
      </w:r>
      <w:r>
        <w:rPr>
          <w:spacing w:val="-17"/>
        </w:rPr>
        <w:t> </w:t>
      </w:r>
      <w:r>
        <w:rPr>
          <w:spacing w:val="-3"/>
        </w:rPr>
        <w:t>Schools Public</w:t>
      </w:r>
      <w:r>
        <w:rPr>
          <w:spacing w:val="-30"/>
        </w:rPr>
        <w:t> </w:t>
      </w:r>
      <w:r>
        <w:rPr>
          <w:spacing w:val="-4"/>
        </w:rPr>
        <w:t>Private</w:t>
      </w:r>
      <w:r>
        <w:rPr>
          <w:spacing w:val="-29"/>
        </w:rPr>
        <w:t> </w:t>
      </w:r>
      <w:r>
        <w:rPr/>
        <w:t>Partnership</w:t>
      </w:r>
      <w:r>
        <w:rPr>
          <w:spacing w:val="-30"/>
        </w:rPr>
        <w:t> </w:t>
      </w:r>
      <w:r>
        <w:rPr>
          <w:spacing w:val="-5"/>
        </w:rPr>
        <w:t>(PPP)</w:t>
      </w:r>
      <w:r>
        <w:rPr>
          <w:spacing w:val="-29"/>
        </w:rPr>
        <w:t> </w:t>
      </w:r>
      <w:r>
        <w:rPr/>
        <w:t>is</w:t>
      </w:r>
      <w:r>
        <w:rPr>
          <w:spacing w:val="-30"/>
        </w:rPr>
        <w:t> </w:t>
      </w:r>
      <w:r>
        <w:rPr>
          <w:spacing w:val="-2"/>
        </w:rPr>
        <w:t>delivering</w:t>
      </w:r>
      <w:r>
        <w:rPr>
          <w:spacing w:val="-29"/>
        </w:rPr>
        <w:t> </w:t>
      </w:r>
      <w:r>
        <w:rPr>
          <w:spacing w:val="-3"/>
        </w:rPr>
        <w:t>four </w:t>
      </w:r>
      <w:r>
        <w:rPr/>
        <w:t>primary schools and </w:t>
      </w:r>
      <w:r>
        <w:rPr>
          <w:spacing w:val="-3"/>
        </w:rPr>
        <w:t>seven </w:t>
      </w:r>
      <w:r>
        <w:rPr/>
        <w:t>secondary school stages</w:t>
      </w:r>
      <w:r>
        <w:rPr>
          <w:spacing w:val="-18"/>
        </w:rPr>
        <w:t> </w:t>
      </w:r>
      <w:r>
        <w:rPr>
          <w:spacing w:val="-3"/>
        </w:rPr>
        <w:t>over</w:t>
      </w:r>
      <w:r>
        <w:rPr>
          <w:spacing w:val="-18"/>
        </w:rPr>
        <w:t> </w:t>
      </w:r>
      <w:r>
        <w:rPr/>
        <w:t>a</w:t>
      </w:r>
      <w:r>
        <w:rPr>
          <w:spacing w:val="-17"/>
        </w:rPr>
        <w:t> </w:t>
      </w:r>
      <w:r>
        <w:rPr>
          <w:spacing w:val="-3"/>
        </w:rPr>
        <w:t>seven-year</w:t>
      </w:r>
      <w:r>
        <w:rPr>
          <w:spacing w:val="-18"/>
        </w:rPr>
        <w:t> </w:t>
      </w:r>
      <w:r>
        <w:rPr>
          <w:spacing w:val="-3"/>
        </w:rPr>
        <w:t>construction</w:t>
      </w:r>
      <w:r>
        <w:rPr>
          <w:spacing w:val="-17"/>
        </w:rPr>
        <w:t> </w:t>
      </w:r>
      <w:r>
        <w:rPr>
          <w:spacing w:val="-3"/>
        </w:rPr>
        <w:t>program.</w:t>
      </w:r>
    </w:p>
    <w:p>
      <w:pPr>
        <w:pStyle w:val="BodyText"/>
        <w:spacing w:line="249" w:lineRule="auto" w:before="231"/>
        <w:ind w:left="359" w:right="52"/>
      </w:pPr>
      <w:r>
        <w:rPr>
          <w:spacing w:val="-3"/>
        </w:rPr>
        <w:t>Four</w:t>
      </w:r>
      <w:r>
        <w:rPr>
          <w:spacing w:val="-24"/>
        </w:rPr>
        <w:t> </w:t>
      </w:r>
      <w:r>
        <w:rPr/>
        <w:t>primary</w:t>
      </w:r>
      <w:r>
        <w:rPr>
          <w:spacing w:val="-24"/>
        </w:rPr>
        <w:t> </w:t>
      </w:r>
      <w:r>
        <w:rPr/>
        <w:t>schools</w:t>
      </w:r>
      <w:r>
        <w:rPr>
          <w:spacing w:val="-24"/>
        </w:rPr>
        <w:t> </w:t>
      </w:r>
      <w:r>
        <w:rPr/>
        <w:t>and</w:t>
      </w:r>
      <w:r>
        <w:rPr>
          <w:spacing w:val="-24"/>
        </w:rPr>
        <w:t> </w:t>
      </w:r>
      <w:r>
        <w:rPr/>
        <w:t>one</w:t>
      </w:r>
      <w:r>
        <w:rPr>
          <w:spacing w:val="-24"/>
        </w:rPr>
        <w:t> </w:t>
      </w:r>
      <w:r>
        <w:rPr/>
        <w:t>secondary</w:t>
      </w:r>
      <w:r>
        <w:rPr>
          <w:spacing w:val="-24"/>
        </w:rPr>
        <w:t> </w:t>
      </w:r>
      <w:r>
        <w:rPr/>
        <w:t>school </w:t>
      </w:r>
      <w:r>
        <w:rPr>
          <w:spacing w:val="-3"/>
        </w:rPr>
        <w:t>were</w:t>
      </w:r>
      <w:r>
        <w:rPr>
          <w:spacing w:val="-18"/>
        </w:rPr>
        <w:t> </w:t>
      </w:r>
      <w:r>
        <w:rPr>
          <w:spacing w:val="-3"/>
        </w:rPr>
        <w:t>delivered</w:t>
      </w:r>
      <w:r>
        <w:rPr>
          <w:spacing w:val="-18"/>
        </w:rPr>
        <w:t> </w:t>
      </w:r>
      <w:r>
        <w:rPr/>
        <w:t>prior</w:t>
      </w:r>
      <w:r>
        <w:rPr>
          <w:spacing w:val="-18"/>
        </w:rPr>
        <w:t> </w:t>
      </w:r>
      <w:r>
        <w:rPr>
          <w:spacing w:val="-4"/>
        </w:rPr>
        <w:t>to</w:t>
      </w:r>
      <w:r>
        <w:rPr>
          <w:spacing w:val="-17"/>
        </w:rPr>
        <w:t> </w:t>
      </w:r>
      <w:r>
        <w:rPr>
          <w:spacing w:val="-2"/>
        </w:rPr>
        <w:t>the</w:t>
      </w:r>
      <w:r>
        <w:rPr>
          <w:spacing w:val="-18"/>
        </w:rPr>
        <w:t> </w:t>
      </w:r>
      <w:r>
        <w:rPr/>
        <w:t>start</w:t>
      </w:r>
      <w:r>
        <w:rPr>
          <w:spacing w:val="-18"/>
        </w:rPr>
        <w:t> </w:t>
      </w:r>
      <w:r>
        <w:rPr>
          <w:spacing w:val="-3"/>
        </w:rPr>
        <w:t>of</w:t>
      </w:r>
      <w:r>
        <w:rPr>
          <w:spacing w:val="-18"/>
        </w:rPr>
        <w:t> </w:t>
      </w:r>
      <w:r>
        <w:rPr>
          <w:spacing w:val="-2"/>
        </w:rPr>
        <w:t>the</w:t>
      </w:r>
      <w:r>
        <w:rPr>
          <w:spacing w:val="-17"/>
        </w:rPr>
        <w:t> </w:t>
      </w:r>
      <w:r>
        <w:rPr>
          <w:spacing w:val="-10"/>
        </w:rPr>
        <w:t>2017</w:t>
      </w:r>
      <w:r>
        <w:rPr>
          <w:spacing w:val="-18"/>
        </w:rPr>
        <w:t> </w:t>
      </w:r>
      <w:r>
        <w:rPr/>
        <w:t>school year</w:t>
      </w:r>
      <w:r>
        <w:rPr>
          <w:spacing w:val="-14"/>
        </w:rPr>
        <w:t> </w:t>
      </w:r>
      <w:r>
        <w:rPr/>
        <w:t>with</w:t>
      </w:r>
      <w:r>
        <w:rPr>
          <w:spacing w:val="-13"/>
        </w:rPr>
        <w:t> </w:t>
      </w:r>
      <w:r>
        <w:rPr>
          <w:spacing w:val="-3"/>
        </w:rPr>
        <w:t>Strategic</w:t>
      </w:r>
      <w:r>
        <w:rPr>
          <w:spacing w:val="-14"/>
        </w:rPr>
        <w:t> </w:t>
      </w:r>
      <w:r>
        <w:rPr>
          <w:spacing w:val="-3"/>
        </w:rPr>
        <w:t>Projects</w:t>
      </w:r>
      <w:r>
        <w:rPr>
          <w:spacing w:val="-13"/>
        </w:rPr>
        <w:t> </w:t>
      </w:r>
      <w:r>
        <w:rPr>
          <w:spacing w:val="-3"/>
        </w:rPr>
        <w:t>directing</w:t>
      </w:r>
      <w:r>
        <w:rPr>
          <w:spacing w:val="-14"/>
        </w:rPr>
        <w:t> </w:t>
      </w:r>
      <w:r>
        <w:rPr>
          <w:spacing w:val="-3"/>
        </w:rPr>
        <w:t>its</w:t>
      </w:r>
      <w:r>
        <w:rPr>
          <w:spacing w:val="-13"/>
        </w:rPr>
        <w:t> </w:t>
      </w:r>
      <w:r>
        <w:rPr>
          <w:spacing w:val="-3"/>
        </w:rPr>
        <w:t>focus</w:t>
      </w:r>
    </w:p>
    <w:p>
      <w:pPr>
        <w:pStyle w:val="BodyText"/>
        <w:spacing w:line="249" w:lineRule="auto" w:before="2"/>
        <w:ind w:left="359" w:right="749"/>
      </w:pPr>
      <w:r>
        <w:rPr>
          <w:spacing w:val="-4"/>
        </w:rPr>
        <w:t>to</w:t>
      </w:r>
      <w:r>
        <w:rPr>
          <w:spacing w:val="-23"/>
        </w:rPr>
        <w:t> </w:t>
      </w:r>
      <w:r>
        <w:rPr>
          <w:spacing w:val="-3"/>
        </w:rPr>
        <w:t>three</w:t>
      </w:r>
      <w:r>
        <w:rPr>
          <w:spacing w:val="-22"/>
        </w:rPr>
        <w:t> </w:t>
      </w:r>
      <w:r>
        <w:rPr/>
        <w:t>secondary</w:t>
      </w:r>
      <w:r>
        <w:rPr>
          <w:spacing w:val="-23"/>
        </w:rPr>
        <w:t> </w:t>
      </w:r>
      <w:r>
        <w:rPr/>
        <w:t>schools</w:t>
      </w:r>
      <w:r>
        <w:rPr>
          <w:spacing w:val="-22"/>
        </w:rPr>
        <w:t> </w:t>
      </w:r>
      <w:r>
        <w:rPr>
          <w:spacing w:val="-3"/>
        </w:rPr>
        <w:t>throughout</w:t>
      </w:r>
      <w:r>
        <w:rPr>
          <w:spacing w:val="-23"/>
        </w:rPr>
        <w:t> </w:t>
      </w:r>
      <w:r>
        <w:rPr>
          <w:spacing w:val="-2"/>
        </w:rPr>
        <w:t>the </w:t>
      </w:r>
      <w:r>
        <w:rPr>
          <w:spacing w:val="-16"/>
        </w:rPr>
        <w:t>2017-18 </w:t>
      </w:r>
      <w:r>
        <w:rPr/>
        <w:t>financial</w:t>
      </w:r>
      <w:r>
        <w:rPr>
          <w:spacing w:val="1"/>
        </w:rPr>
        <w:t> </w:t>
      </w:r>
      <w:r>
        <w:rPr>
          <w:spacing w:val="-6"/>
        </w:rPr>
        <w:t>year.</w:t>
      </w:r>
    </w:p>
    <w:p>
      <w:pPr>
        <w:pStyle w:val="BodyText"/>
        <w:spacing w:line="249" w:lineRule="auto" w:before="229"/>
        <w:ind w:left="359" w:right="81"/>
      </w:pPr>
      <w:r>
        <w:rPr/>
        <w:t>Stage One </w:t>
      </w:r>
      <w:r>
        <w:rPr>
          <w:spacing w:val="-3"/>
        </w:rPr>
        <w:t>construction </w:t>
      </w:r>
      <w:r>
        <w:rPr/>
        <w:t>at </w:t>
      </w:r>
      <w:r>
        <w:rPr>
          <w:spacing w:val="-4"/>
        </w:rPr>
        <w:t>Aveley </w:t>
      </w:r>
      <w:r>
        <w:rPr/>
        <w:t>Secondary College</w:t>
      </w:r>
      <w:r>
        <w:rPr>
          <w:spacing w:val="-21"/>
        </w:rPr>
        <w:t> </w:t>
      </w:r>
      <w:r>
        <w:rPr>
          <w:spacing w:val="-3"/>
        </w:rPr>
        <w:t>was</w:t>
      </w:r>
      <w:r>
        <w:rPr>
          <w:spacing w:val="-21"/>
        </w:rPr>
        <w:t> </w:t>
      </w:r>
      <w:r>
        <w:rPr>
          <w:spacing w:val="-3"/>
        </w:rPr>
        <w:t>completed</w:t>
      </w:r>
      <w:r>
        <w:rPr>
          <w:spacing w:val="-20"/>
        </w:rPr>
        <w:t> </w:t>
      </w:r>
      <w:r>
        <w:rPr/>
        <w:t>on</w:t>
      </w:r>
      <w:r>
        <w:rPr>
          <w:spacing w:val="-21"/>
        </w:rPr>
        <w:t> </w:t>
      </w:r>
      <w:r>
        <w:rPr/>
        <w:t>8</w:t>
      </w:r>
      <w:r>
        <w:rPr>
          <w:spacing w:val="-21"/>
        </w:rPr>
        <w:t> </w:t>
      </w:r>
      <w:r>
        <w:rPr/>
        <w:t>December</w:t>
      </w:r>
      <w:r>
        <w:rPr>
          <w:spacing w:val="-20"/>
        </w:rPr>
        <w:t> </w:t>
      </w:r>
      <w:r>
        <w:rPr>
          <w:spacing w:val="-10"/>
        </w:rPr>
        <w:t>2017</w:t>
      </w:r>
      <w:r>
        <w:rPr>
          <w:spacing w:val="-21"/>
        </w:rPr>
        <w:t> </w:t>
      </w:r>
      <w:r>
        <w:rPr/>
        <w:t>and opened</w:t>
      </w:r>
      <w:r>
        <w:rPr>
          <w:spacing w:val="-21"/>
        </w:rPr>
        <w:t> </w:t>
      </w:r>
      <w:r>
        <w:rPr>
          <w:spacing w:val="-4"/>
        </w:rPr>
        <w:t>to</w:t>
      </w:r>
      <w:r>
        <w:rPr>
          <w:spacing w:val="-20"/>
        </w:rPr>
        <w:t> </w:t>
      </w:r>
      <w:r>
        <w:rPr>
          <w:spacing w:val="-3"/>
        </w:rPr>
        <w:t>students</w:t>
      </w:r>
      <w:r>
        <w:rPr>
          <w:spacing w:val="-20"/>
        </w:rPr>
        <w:t> </w:t>
      </w:r>
      <w:r>
        <w:rPr/>
        <w:t>in</w:t>
      </w:r>
      <w:r>
        <w:rPr>
          <w:spacing w:val="-20"/>
        </w:rPr>
        <w:t> </w:t>
      </w:r>
      <w:r>
        <w:rPr/>
        <w:t>February</w:t>
      </w:r>
      <w:r>
        <w:rPr>
          <w:spacing w:val="-20"/>
        </w:rPr>
        <w:t> </w:t>
      </w:r>
      <w:r>
        <w:rPr>
          <w:spacing w:val="-8"/>
        </w:rPr>
        <w:t>2018.</w:t>
      </w:r>
      <w:r>
        <w:rPr>
          <w:spacing w:val="-20"/>
        </w:rPr>
        <w:t> </w:t>
      </w:r>
      <w:r>
        <w:rPr/>
        <w:t>Stage</w:t>
      </w:r>
      <w:r>
        <w:rPr>
          <w:spacing w:val="-20"/>
        </w:rPr>
        <w:t> </w:t>
      </w:r>
      <w:r>
        <w:rPr>
          <w:spacing w:val="-9"/>
        </w:rPr>
        <w:t>Two </w:t>
      </w:r>
      <w:r>
        <w:rPr/>
        <w:t>will</w:t>
      </w:r>
      <w:r>
        <w:rPr>
          <w:spacing w:val="-13"/>
        </w:rPr>
        <w:t> </w:t>
      </w:r>
      <w:r>
        <w:rPr/>
        <w:t>be</w:t>
      </w:r>
      <w:r>
        <w:rPr>
          <w:spacing w:val="-13"/>
        </w:rPr>
        <w:t> </w:t>
      </w:r>
      <w:r>
        <w:rPr>
          <w:spacing w:val="-3"/>
        </w:rPr>
        <w:t>delivered</w:t>
      </w:r>
      <w:r>
        <w:rPr>
          <w:spacing w:val="-13"/>
        </w:rPr>
        <w:t> </w:t>
      </w:r>
      <w:r>
        <w:rPr/>
        <w:t>in</w:t>
      </w:r>
      <w:r>
        <w:rPr>
          <w:spacing w:val="-13"/>
        </w:rPr>
        <w:t> </w:t>
      </w:r>
      <w:r>
        <w:rPr>
          <w:spacing w:val="-4"/>
        </w:rPr>
        <w:t>2020</w:t>
      </w:r>
      <w:r>
        <w:rPr>
          <w:spacing w:val="-13"/>
        </w:rPr>
        <w:t> </w:t>
      </w:r>
      <w:r>
        <w:rPr>
          <w:spacing w:val="-3"/>
        </w:rPr>
        <w:t>for</w:t>
      </w:r>
      <w:r>
        <w:rPr>
          <w:spacing w:val="-13"/>
        </w:rPr>
        <w:t> </w:t>
      </w:r>
      <w:r>
        <w:rPr/>
        <w:t>opening</w:t>
      </w:r>
      <w:r>
        <w:rPr>
          <w:spacing w:val="-13"/>
        </w:rPr>
        <w:t> </w:t>
      </w:r>
      <w:r>
        <w:rPr/>
        <w:t>in</w:t>
      </w:r>
      <w:r>
        <w:rPr>
          <w:spacing w:val="-13"/>
        </w:rPr>
        <w:t> </w:t>
      </w:r>
      <w:r>
        <w:rPr>
          <w:spacing w:val="-9"/>
        </w:rPr>
        <w:t>2021.</w:t>
      </w:r>
    </w:p>
    <w:p>
      <w:pPr>
        <w:pStyle w:val="BodyText"/>
        <w:spacing w:line="249" w:lineRule="auto" w:before="108"/>
        <w:ind w:left="404" w:right="1069"/>
        <w:jc w:val="both"/>
      </w:pPr>
      <w:r>
        <w:rPr/>
        <w:br w:type="column"/>
      </w:r>
      <w:r>
        <w:rPr/>
        <w:t>Stage</w:t>
      </w:r>
      <w:r>
        <w:rPr>
          <w:spacing w:val="-27"/>
        </w:rPr>
        <w:t> </w:t>
      </w:r>
      <w:r>
        <w:rPr/>
        <w:t>One</w:t>
      </w:r>
      <w:r>
        <w:rPr>
          <w:spacing w:val="-27"/>
        </w:rPr>
        <w:t> </w:t>
      </w:r>
      <w:r>
        <w:rPr>
          <w:spacing w:val="-3"/>
        </w:rPr>
        <w:t>construction</w:t>
      </w:r>
      <w:r>
        <w:rPr>
          <w:spacing w:val="-27"/>
        </w:rPr>
        <w:t> </w:t>
      </w:r>
      <w:r>
        <w:rPr/>
        <w:t>at</w:t>
      </w:r>
      <w:r>
        <w:rPr>
          <w:spacing w:val="-27"/>
        </w:rPr>
        <w:t> </w:t>
      </w:r>
      <w:r>
        <w:rPr>
          <w:spacing w:val="-3"/>
        </w:rPr>
        <w:t>Coastal</w:t>
      </w:r>
      <w:r>
        <w:rPr>
          <w:spacing w:val="-27"/>
        </w:rPr>
        <w:t> </w:t>
      </w:r>
      <w:r>
        <w:rPr/>
        <w:t>Lakes</w:t>
      </w:r>
      <w:r>
        <w:rPr>
          <w:spacing w:val="-27"/>
        </w:rPr>
        <w:t> </w:t>
      </w:r>
      <w:r>
        <w:rPr/>
        <w:t>College commenced</w:t>
      </w:r>
      <w:r>
        <w:rPr>
          <w:spacing w:val="-21"/>
        </w:rPr>
        <w:t> </w:t>
      </w:r>
      <w:r>
        <w:rPr/>
        <w:t>in</w:t>
      </w:r>
      <w:r>
        <w:rPr>
          <w:spacing w:val="-20"/>
        </w:rPr>
        <w:t> </w:t>
      </w:r>
      <w:r>
        <w:rPr/>
        <w:t>June</w:t>
      </w:r>
      <w:r>
        <w:rPr>
          <w:spacing w:val="-21"/>
        </w:rPr>
        <w:t> </w:t>
      </w:r>
      <w:r>
        <w:rPr>
          <w:spacing w:val="-10"/>
        </w:rPr>
        <w:t>2017</w:t>
      </w:r>
      <w:r>
        <w:rPr>
          <w:spacing w:val="-20"/>
        </w:rPr>
        <w:t> </w:t>
      </w:r>
      <w:r>
        <w:rPr/>
        <w:t>and</w:t>
      </w:r>
      <w:r>
        <w:rPr>
          <w:spacing w:val="-21"/>
        </w:rPr>
        <w:t> </w:t>
      </w:r>
      <w:r>
        <w:rPr/>
        <w:t>has</w:t>
      </w:r>
      <w:r>
        <w:rPr>
          <w:spacing w:val="-20"/>
        </w:rPr>
        <w:t> </w:t>
      </w:r>
      <w:r>
        <w:rPr/>
        <w:t>progressed</w:t>
      </w:r>
      <w:r>
        <w:rPr>
          <w:spacing w:val="-21"/>
        </w:rPr>
        <w:t> </w:t>
      </w:r>
      <w:r>
        <w:rPr>
          <w:spacing w:val="-4"/>
        </w:rPr>
        <w:t>to </w:t>
      </w:r>
      <w:r>
        <w:rPr/>
        <w:t>schedule</w:t>
      </w:r>
      <w:r>
        <w:rPr>
          <w:spacing w:val="-22"/>
        </w:rPr>
        <w:t> </w:t>
      </w:r>
      <w:r>
        <w:rPr>
          <w:spacing w:val="-3"/>
        </w:rPr>
        <w:t>throughout</w:t>
      </w:r>
      <w:r>
        <w:rPr>
          <w:spacing w:val="-21"/>
        </w:rPr>
        <w:t> </w:t>
      </w:r>
      <w:r>
        <w:rPr>
          <w:spacing w:val="-2"/>
        </w:rPr>
        <w:t>the</w:t>
      </w:r>
      <w:r>
        <w:rPr>
          <w:spacing w:val="-21"/>
        </w:rPr>
        <w:t> </w:t>
      </w:r>
      <w:r>
        <w:rPr>
          <w:spacing w:val="-6"/>
        </w:rPr>
        <w:t>year.</w:t>
      </w:r>
      <w:r>
        <w:rPr>
          <w:spacing w:val="-21"/>
        </w:rPr>
        <w:t> </w:t>
      </w:r>
      <w:r>
        <w:rPr/>
        <w:t>It</w:t>
      </w:r>
      <w:r>
        <w:rPr>
          <w:spacing w:val="-22"/>
        </w:rPr>
        <w:t> </w:t>
      </w:r>
      <w:r>
        <w:rPr/>
        <w:t>will</w:t>
      </w:r>
      <w:r>
        <w:rPr>
          <w:spacing w:val="-21"/>
        </w:rPr>
        <w:t> </w:t>
      </w:r>
      <w:r>
        <w:rPr/>
        <w:t>be</w:t>
      </w:r>
      <w:r>
        <w:rPr>
          <w:spacing w:val="-21"/>
        </w:rPr>
        <w:t> </w:t>
      </w:r>
      <w:r>
        <w:rPr>
          <w:spacing w:val="-3"/>
        </w:rPr>
        <w:t>completed </w:t>
      </w:r>
      <w:r>
        <w:rPr/>
        <w:t>in</w:t>
      </w:r>
      <w:r>
        <w:rPr>
          <w:spacing w:val="-16"/>
        </w:rPr>
        <w:t> </w:t>
      </w:r>
      <w:r>
        <w:rPr/>
        <w:t>December</w:t>
      </w:r>
      <w:r>
        <w:rPr>
          <w:spacing w:val="-16"/>
        </w:rPr>
        <w:t> </w:t>
      </w:r>
      <w:r>
        <w:rPr>
          <w:spacing w:val="-8"/>
        </w:rPr>
        <w:t>2018,</w:t>
      </w:r>
      <w:r>
        <w:rPr>
          <w:spacing w:val="-16"/>
        </w:rPr>
        <w:t> </w:t>
      </w:r>
      <w:r>
        <w:rPr/>
        <w:t>in</w:t>
      </w:r>
      <w:r>
        <w:rPr>
          <w:spacing w:val="-16"/>
        </w:rPr>
        <w:t> </w:t>
      </w:r>
      <w:r>
        <w:rPr>
          <w:spacing w:val="-3"/>
        </w:rPr>
        <w:t>time</w:t>
      </w:r>
      <w:r>
        <w:rPr>
          <w:spacing w:val="-16"/>
        </w:rPr>
        <w:t> </w:t>
      </w:r>
      <w:r>
        <w:rPr>
          <w:spacing w:val="-3"/>
        </w:rPr>
        <w:t>for</w:t>
      </w:r>
      <w:r>
        <w:rPr>
          <w:spacing w:val="-16"/>
        </w:rPr>
        <w:t> </w:t>
      </w:r>
      <w:r>
        <w:rPr>
          <w:spacing w:val="-2"/>
        </w:rPr>
        <w:t>the</w:t>
      </w:r>
      <w:r>
        <w:rPr>
          <w:spacing w:val="-16"/>
        </w:rPr>
        <w:t> </w:t>
      </w:r>
      <w:r>
        <w:rPr/>
        <w:t>start</w:t>
      </w:r>
      <w:r>
        <w:rPr>
          <w:spacing w:val="-15"/>
        </w:rPr>
        <w:t> </w:t>
      </w:r>
      <w:r>
        <w:rPr>
          <w:spacing w:val="-3"/>
        </w:rPr>
        <w:t>of</w:t>
      </w:r>
      <w:r>
        <w:rPr>
          <w:spacing w:val="-16"/>
        </w:rPr>
        <w:t> </w:t>
      </w:r>
      <w:r>
        <w:rPr>
          <w:spacing w:val="-2"/>
        </w:rPr>
        <w:t>the</w:t>
      </w:r>
      <w:r>
        <w:rPr>
          <w:spacing w:val="-16"/>
        </w:rPr>
        <w:t> </w:t>
      </w:r>
      <w:r>
        <w:rPr>
          <w:spacing w:val="-9"/>
        </w:rPr>
        <w:t>2019 </w:t>
      </w:r>
      <w:r>
        <w:rPr/>
        <w:t>school</w:t>
      </w:r>
      <w:r>
        <w:rPr>
          <w:spacing w:val="-6"/>
        </w:rPr>
        <w:t> year.</w:t>
      </w:r>
    </w:p>
    <w:p>
      <w:pPr>
        <w:pStyle w:val="BodyText"/>
        <w:spacing w:line="249" w:lineRule="auto" w:before="214"/>
        <w:ind w:left="404" w:right="831"/>
      </w:pPr>
      <w:r>
        <w:rPr>
          <w:spacing w:val="-3"/>
        </w:rPr>
        <w:t>Surrounding works for </w:t>
      </w:r>
      <w:r>
        <w:rPr>
          <w:spacing w:val="-2"/>
        </w:rPr>
        <w:t>the </w:t>
      </w:r>
      <w:r>
        <w:rPr/>
        <w:t>Hammond Park Secondary</w:t>
      </w:r>
      <w:r>
        <w:rPr>
          <w:spacing w:val="-25"/>
        </w:rPr>
        <w:t> </w:t>
      </w:r>
      <w:r>
        <w:rPr/>
        <w:t>School</w:t>
      </w:r>
      <w:r>
        <w:rPr>
          <w:spacing w:val="-24"/>
        </w:rPr>
        <w:t> </w:t>
      </w:r>
      <w:r>
        <w:rPr/>
        <w:t>Stage</w:t>
      </w:r>
      <w:r>
        <w:rPr>
          <w:spacing w:val="-25"/>
        </w:rPr>
        <w:t> </w:t>
      </w:r>
      <w:r>
        <w:rPr/>
        <w:t>One</w:t>
      </w:r>
      <w:r>
        <w:rPr>
          <w:spacing w:val="-24"/>
        </w:rPr>
        <w:t> </w:t>
      </w:r>
      <w:r>
        <w:rPr>
          <w:spacing w:val="-3"/>
        </w:rPr>
        <w:t>project</w:t>
      </w:r>
      <w:r>
        <w:rPr>
          <w:spacing w:val="-24"/>
        </w:rPr>
        <w:t> </w:t>
      </w:r>
      <w:r>
        <w:rPr/>
        <w:t>commenced in </w:t>
      </w:r>
      <w:r>
        <w:rPr>
          <w:spacing w:val="-3"/>
        </w:rPr>
        <w:t>March </w:t>
      </w:r>
      <w:r>
        <w:rPr>
          <w:spacing w:val="-8"/>
        </w:rPr>
        <w:t>2018. </w:t>
      </w:r>
      <w:r>
        <w:rPr/>
        <w:t>The builder </w:t>
      </w:r>
      <w:r>
        <w:rPr>
          <w:spacing w:val="-3"/>
        </w:rPr>
        <w:t>took </w:t>
      </w:r>
      <w:r>
        <w:rPr/>
        <w:t>possession </w:t>
      </w:r>
      <w:r>
        <w:rPr>
          <w:spacing w:val="-3"/>
        </w:rPr>
        <w:t>of </w:t>
      </w:r>
      <w:r>
        <w:rPr>
          <w:spacing w:val="-2"/>
        </w:rPr>
        <w:t>the </w:t>
      </w:r>
      <w:r>
        <w:rPr>
          <w:spacing w:val="-3"/>
        </w:rPr>
        <w:t>site </w:t>
      </w:r>
      <w:r>
        <w:rPr/>
        <w:t>on 1 June </w:t>
      </w:r>
      <w:r>
        <w:rPr>
          <w:spacing w:val="-9"/>
        </w:rPr>
        <w:t>2018 </w:t>
      </w:r>
      <w:r>
        <w:rPr/>
        <w:t>and began </w:t>
      </w:r>
      <w:r>
        <w:rPr>
          <w:spacing w:val="-3"/>
        </w:rPr>
        <w:t>relocating </w:t>
      </w:r>
      <w:r>
        <w:rPr/>
        <w:t>fauna </w:t>
      </w:r>
      <w:r>
        <w:rPr>
          <w:spacing w:val="-3"/>
        </w:rPr>
        <w:t>in preparation</w:t>
      </w:r>
      <w:r>
        <w:rPr>
          <w:spacing w:val="-18"/>
        </w:rPr>
        <w:t> </w:t>
      </w:r>
      <w:r>
        <w:rPr>
          <w:spacing w:val="-3"/>
        </w:rPr>
        <w:t>for</w:t>
      </w:r>
      <w:r>
        <w:rPr>
          <w:spacing w:val="-17"/>
        </w:rPr>
        <w:t> </w:t>
      </w:r>
      <w:r>
        <w:rPr>
          <w:spacing w:val="-2"/>
        </w:rPr>
        <w:t>the</w:t>
      </w:r>
      <w:r>
        <w:rPr>
          <w:spacing w:val="-17"/>
        </w:rPr>
        <w:t> </w:t>
      </w:r>
      <w:r>
        <w:rPr/>
        <w:t>start</w:t>
      </w:r>
      <w:r>
        <w:rPr>
          <w:spacing w:val="-17"/>
        </w:rPr>
        <w:t> </w:t>
      </w:r>
      <w:r>
        <w:rPr>
          <w:spacing w:val="-3"/>
        </w:rPr>
        <w:t>of</w:t>
      </w:r>
      <w:r>
        <w:rPr>
          <w:spacing w:val="-17"/>
        </w:rPr>
        <w:t> </w:t>
      </w:r>
      <w:r>
        <w:rPr>
          <w:spacing w:val="-3"/>
        </w:rPr>
        <w:t>construction</w:t>
      </w:r>
      <w:r>
        <w:rPr>
          <w:spacing w:val="-17"/>
        </w:rPr>
        <w:t> </w:t>
      </w:r>
      <w:r>
        <w:rPr/>
        <w:t>in</w:t>
      </w:r>
      <w:r>
        <w:rPr>
          <w:spacing w:val="-17"/>
        </w:rPr>
        <w:t> </w:t>
      </w:r>
      <w:r>
        <w:rPr/>
        <w:t>July</w:t>
      </w:r>
      <w:r>
        <w:rPr>
          <w:spacing w:val="-17"/>
        </w:rPr>
        <w:t> </w:t>
      </w:r>
      <w:r>
        <w:rPr>
          <w:spacing w:val="-8"/>
        </w:rPr>
        <w:t>2018.</w:t>
      </w:r>
    </w:p>
    <w:p>
      <w:pPr>
        <w:pStyle w:val="BodyText"/>
        <w:spacing w:line="249" w:lineRule="auto" w:before="215"/>
        <w:ind w:left="404" w:right="788"/>
      </w:pPr>
      <w:r>
        <w:rPr/>
        <w:t>The</w:t>
      </w:r>
      <w:r>
        <w:rPr>
          <w:spacing w:val="-26"/>
        </w:rPr>
        <w:t> </w:t>
      </w:r>
      <w:r>
        <w:rPr>
          <w:spacing w:val="-4"/>
        </w:rPr>
        <w:t>PPP</w:t>
      </w:r>
      <w:r>
        <w:rPr>
          <w:spacing w:val="-26"/>
        </w:rPr>
        <w:t> </w:t>
      </w:r>
      <w:r>
        <w:rPr>
          <w:spacing w:val="-4"/>
        </w:rPr>
        <w:t>contractor</w:t>
      </w:r>
      <w:r>
        <w:rPr>
          <w:spacing w:val="-26"/>
        </w:rPr>
        <w:t> </w:t>
      </w:r>
      <w:r>
        <w:rPr/>
        <w:t>is</w:t>
      </w:r>
      <w:r>
        <w:rPr>
          <w:spacing w:val="-25"/>
        </w:rPr>
        <w:t> </w:t>
      </w:r>
      <w:r>
        <w:rPr>
          <w:spacing w:val="-3"/>
        </w:rPr>
        <w:t>required</w:t>
      </w:r>
      <w:r>
        <w:rPr>
          <w:spacing w:val="-26"/>
        </w:rPr>
        <w:t> </w:t>
      </w:r>
      <w:r>
        <w:rPr>
          <w:spacing w:val="-4"/>
        </w:rPr>
        <w:t>to</w:t>
      </w:r>
      <w:r>
        <w:rPr>
          <w:spacing w:val="-26"/>
        </w:rPr>
        <w:t> </w:t>
      </w:r>
      <w:r>
        <w:rPr/>
        <w:t>deliver</w:t>
      </w:r>
      <w:r>
        <w:rPr>
          <w:spacing w:val="-25"/>
        </w:rPr>
        <w:t> </w:t>
      </w:r>
      <w:r>
        <w:rPr/>
        <w:t>each</w:t>
      </w:r>
      <w:r>
        <w:rPr>
          <w:spacing w:val="-26"/>
        </w:rPr>
        <w:t> </w:t>
      </w:r>
      <w:r>
        <w:rPr/>
        <w:t>school in</w:t>
      </w:r>
      <w:r>
        <w:rPr>
          <w:spacing w:val="-23"/>
        </w:rPr>
        <w:t> </w:t>
      </w:r>
      <w:r>
        <w:rPr/>
        <w:t>early</w:t>
      </w:r>
      <w:r>
        <w:rPr>
          <w:spacing w:val="-23"/>
        </w:rPr>
        <w:t> </w:t>
      </w:r>
      <w:r>
        <w:rPr/>
        <w:t>December</w:t>
      </w:r>
      <w:r>
        <w:rPr>
          <w:spacing w:val="-23"/>
        </w:rPr>
        <w:t> </w:t>
      </w:r>
      <w:r>
        <w:rPr>
          <w:spacing w:val="-3"/>
        </w:rPr>
        <w:t>of</w:t>
      </w:r>
      <w:r>
        <w:rPr>
          <w:spacing w:val="-22"/>
        </w:rPr>
        <w:t> </w:t>
      </w:r>
      <w:r>
        <w:rPr>
          <w:spacing w:val="-2"/>
        </w:rPr>
        <w:t>the</w:t>
      </w:r>
      <w:r>
        <w:rPr>
          <w:spacing w:val="-23"/>
        </w:rPr>
        <w:t> </w:t>
      </w:r>
      <w:r>
        <w:rPr/>
        <w:t>year</w:t>
      </w:r>
      <w:r>
        <w:rPr>
          <w:spacing w:val="-23"/>
        </w:rPr>
        <w:t> </w:t>
      </w:r>
      <w:r>
        <w:rPr/>
        <w:t>preceding</w:t>
      </w:r>
      <w:r>
        <w:rPr>
          <w:spacing w:val="-23"/>
        </w:rPr>
        <w:t> </w:t>
      </w:r>
      <w:r>
        <w:rPr>
          <w:spacing w:val="-2"/>
        </w:rPr>
        <w:t>the</w:t>
      </w:r>
      <w:r>
        <w:rPr>
          <w:spacing w:val="-22"/>
        </w:rPr>
        <w:t> </w:t>
      </w:r>
      <w:r>
        <w:rPr/>
        <w:t>school </w:t>
      </w:r>
      <w:r>
        <w:rPr>
          <w:spacing w:val="-3"/>
        </w:rPr>
        <w:t>opening,</w:t>
      </w:r>
      <w:r>
        <w:rPr>
          <w:spacing w:val="-23"/>
        </w:rPr>
        <w:t> </w:t>
      </w:r>
      <w:r>
        <w:rPr>
          <w:spacing w:val="-3"/>
        </w:rPr>
        <w:t>facilitating</w:t>
      </w:r>
      <w:r>
        <w:rPr>
          <w:spacing w:val="-23"/>
        </w:rPr>
        <w:t> </w:t>
      </w:r>
      <w:r>
        <w:rPr/>
        <w:t>a</w:t>
      </w:r>
      <w:r>
        <w:rPr>
          <w:spacing w:val="-23"/>
        </w:rPr>
        <w:t> </w:t>
      </w:r>
      <w:r>
        <w:rPr>
          <w:spacing w:val="-3"/>
        </w:rPr>
        <w:t>smooth</w:t>
      </w:r>
      <w:r>
        <w:rPr>
          <w:spacing w:val="-23"/>
        </w:rPr>
        <w:t> </w:t>
      </w:r>
      <w:r>
        <w:rPr>
          <w:spacing w:val="-3"/>
        </w:rPr>
        <w:t>transition</w:t>
      </w:r>
      <w:r>
        <w:rPr>
          <w:spacing w:val="-23"/>
        </w:rPr>
        <w:t> </w:t>
      </w:r>
      <w:r>
        <w:rPr>
          <w:spacing w:val="-4"/>
        </w:rPr>
        <w:t>to</w:t>
      </w:r>
      <w:r>
        <w:rPr>
          <w:spacing w:val="-23"/>
        </w:rPr>
        <w:t> </w:t>
      </w:r>
      <w:r>
        <w:rPr>
          <w:spacing w:val="-3"/>
        </w:rPr>
        <w:t>operations.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shape style="position:absolute;margin-left:656.124023pt;margin-top:10.46425pt;width:138pt;height:24.75pt;mso-position-horizontal-relative:page;mso-position-vertical-relative:paragraph;z-index:4232;mso-wrap-distance-left:0;mso-wrap-distance-right:0" type="#_x0000_t202" filled="true" fillcolor="#000101" stroked="false">
            <v:textbox inset="0,0,0,0">
              <w:txbxContent>
                <w:p>
                  <w:pPr>
                    <w:spacing w:before="108"/>
                    <w:ind w:left="133" w:right="0" w:firstLine="0"/>
                    <w:jc w:val="left"/>
                    <w:rPr>
                      <w:b/>
                      <w:sz w:val="20"/>
                    </w:rPr>
                  </w:pPr>
                  <w:r>
                    <w:rPr>
                      <w:b/>
                      <w:color w:val="FFFFFF"/>
                      <w:sz w:val="20"/>
                    </w:rPr>
                    <w:t>Aveley Secondary College</w:t>
                  </w:r>
                </w:p>
              </w:txbxContent>
            </v:textbox>
            <v:fill opacity="49152f" type="solid"/>
            <w10:wrap type="topAndBottom"/>
          </v:shape>
        </w:pict>
      </w:r>
    </w:p>
    <w:p>
      <w:pPr>
        <w:spacing w:after="0"/>
        <w:rPr>
          <w:sz w:val="16"/>
        </w:rPr>
        <w:sectPr>
          <w:type w:val="continuous"/>
          <w:pgSz w:w="16840" w:h="11910" w:orient="landscape"/>
          <w:pgMar w:top="1100" w:bottom="280" w:left="0" w:right="0"/>
          <w:cols w:num="3" w:equalWidth="0">
            <w:col w:w="5580" w:space="40"/>
            <w:col w:w="5058" w:space="39"/>
            <w:col w:w="6123"/>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after="0"/>
        <w:rPr>
          <w:sz w:val="17"/>
        </w:rPr>
        <w:sectPr>
          <w:footerReference w:type="default" r:id="rId89"/>
          <w:pgSz w:w="16840" w:h="11910" w:orient="landscape"/>
          <w:pgMar w:footer="0" w:header="0" w:top="0" w:bottom="0" w:left="0" w:right="0"/>
        </w:sectPr>
      </w:pPr>
    </w:p>
    <w:p>
      <w:pPr>
        <w:pStyle w:val="Heading4"/>
        <w:spacing w:before="111"/>
      </w:pPr>
      <w:r>
        <w:rPr/>
        <w:pict>
          <v:group style="position:absolute;margin-left:0pt;margin-top:-99.552322pt;width:120.3pt;height:246.95pt;mso-position-horizontal-relative:page;mso-position-vertical-relative:paragraph;z-index:-706000" coordorigin="0,-1991" coordsize="2406,4939">
            <v:shape style="position:absolute;left:0;top:-1992;width:1948;height:4787" type="#_x0000_t75" stroked="false">
              <v:imagedata r:id="rId37" o:title=""/>
            </v:shape>
            <v:shape style="position:absolute;left:765;top:2379;width:199;height:199" type="#_x0000_t75" stroked="false">
              <v:imagedata r:id="rId90" o:title=""/>
            </v:shape>
            <v:shape style="position:absolute;left:765;top:2749;width:199;height:199" type="#_x0000_t75" stroked="false">
              <v:imagedata r:id="rId91" o:title=""/>
            </v:shape>
            <v:rect style="position:absolute;left:0;top:-1992;width:2406;height:851" filled="true" fillcolor="#bba1bc" stroked="false">
              <v:fill type="solid"/>
            </v:rect>
            <v:line style="position:absolute" from="0,-1991" to="0,-1141" stroked="true" strokeweight="0pt" strokecolor="#bba1bc">
              <v:stroke dashstyle="solid"/>
            </v:line>
            <w10:wrap type="none"/>
          </v:group>
        </w:pict>
      </w:r>
      <w:r>
        <w:rPr/>
        <w:pict>
          <v:shape style="position:absolute;margin-left:360.811798pt;margin-top:-99.552322pt;width:120.3pt;height:42.55pt;mso-position-horizontal-relative:page;mso-position-vertical-relative:paragraph;z-index:6640"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99.552322pt;width:120.3pt;height:42.55pt;mso-position-horizontal-relative:page;mso-position-vertical-relative:paragraph;z-index:6664"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Public Infrastructure</w:t>
      </w:r>
    </w:p>
    <w:p>
      <w:pPr>
        <w:pStyle w:val="BodyText"/>
        <w:spacing w:line="249" w:lineRule="auto" w:before="244"/>
        <w:ind w:left="765" w:right="30"/>
      </w:pPr>
      <w:r>
        <w:rPr/>
        <w:t>On behalf of the Department of Education, </w:t>
      </w:r>
      <w:r>
        <w:rPr>
          <w:b/>
        </w:rPr>
        <w:t>Building Management and Works </w:t>
      </w:r>
      <w:r>
        <w:rPr/>
        <w:t>managed</w:t>
      </w:r>
      <w:r>
        <w:rPr>
          <w:spacing w:val="-32"/>
        </w:rPr>
        <w:t> </w:t>
      </w:r>
      <w:r>
        <w:rPr>
          <w:spacing w:val="-6"/>
        </w:rPr>
        <w:t>the </w:t>
      </w:r>
      <w:r>
        <w:rPr/>
        <w:t>delivery</w:t>
      </w:r>
      <w:r>
        <w:rPr>
          <w:spacing w:val="-17"/>
        </w:rPr>
        <w:t> </w:t>
      </w:r>
      <w:r>
        <w:rPr/>
        <w:t>of</w:t>
      </w:r>
      <w:r>
        <w:rPr>
          <w:spacing w:val="-16"/>
        </w:rPr>
        <w:t> </w:t>
      </w:r>
      <w:r>
        <w:rPr/>
        <w:t>four</w:t>
      </w:r>
      <w:r>
        <w:rPr>
          <w:spacing w:val="-16"/>
        </w:rPr>
        <w:t> </w:t>
      </w:r>
      <w:r>
        <w:rPr/>
        <w:t>new</w:t>
      </w:r>
      <w:r>
        <w:rPr>
          <w:spacing w:val="-16"/>
        </w:rPr>
        <w:t> </w:t>
      </w:r>
      <w:r>
        <w:rPr/>
        <w:t>primary</w:t>
      </w:r>
      <w:r>
        <w:rPr>
          <w:spacing w:val="-17"/>
        </w:rPr>
        <w:t> </w:t>
      </w:r>
      <w:r>
        <w:rPr/>
        <w:t>schools</w:t>
      </w:r>
      <w:r>
        <w:rPr>
          <w:spacing w:val="-16"/>
        </w:rPr>
        <w:t> </w:t>
      </w:r>
      <w:r>
        <w:rPr/>
        <w:t>and</w:t>
      </w:r>
      <w:r>
        <w:rPr>
          <w:spacing w:val="-16"/>
        </w:rPr>
        <w:t> </w:t>
      </w:r>
      <w:r>
        <w:rPr/>
        <w:t>one</w:t>
      </w:r>
      <w:r>
        <w:rPr>
          <w:spacing w:val="-16"/>
        </w:rPr>
        <w:t> </w:t>
      </w:r>
      <w:r>
        <w:rPr/>
        <w:t>high school, plus major redevelopments and additions at</w:t>
      </w:r>
      <w:r>
        <w:rPr>
          <w:spacing w:val="-9"/>
        </w:rPr>
        <w:t> </w:t>
      </w:r>
      <w:r>
        <w:rPr/>
        <w:t>a</w:t>
      </w:r>
      <w:r>
        <w:rPr>
          <w:spacing w:val="-9"/>
        </w:rPr>
        <w:t> </w:t>
      </w:r>
      <w:r>
        <w:rPr/>
        <w:t>further</w:t>
      </w:r>
      <w:r>
        <w:rPr>
          <w:spacing w:val="-9"/>
        </w:rPr>
        <w:t> </w:t>
      </w:r>
      <w:r>
        <w:rPr/>
        <w:t>four</w:t>
      </w:r>
      <w:r>
        <w:rPr>
          <w:spacing w:val="-8"/>
        </w:rPr>
        <w:t> </w:t>
      </w:r>
      <w:r>
        <w:rPr/>
        <w:t>high</w:t>
      </w:r>
      <w:r>
        <w:rPr>
          <w:spacing w:val="-9"/>
        </w:rPr>
        <w:t> </w:t>
      </w:r>
      <w:r>
        <w:rPr/>
        <w:t>schools.</w:t>
      </w:r>
      <w:r>
        <w:rPr>
          <w:spacing w:val="-9"/>
        </w:rPr>
        <w:t> </w:t>
      </w:r>
      <w:r>
        <w:rPr/>
        <w:t>These</w:t>
      </w:r>
      <w:r>
        <w:rPr>
          <w:spacing w:val="-8"/>
        </w:rPr>
        <w:t> </w:t>
      </w:r>
      <w:r>
        <w:rPr/>
        <w:t>include:</w:t>
      </w:r>
    </w:p>
    <w:p>
      <w:pPr>
        <w:pStyle w:val="BodyText"/>
        <w:spacing w:before="4"/>
        <w:rPr>
          <w:sz w:val="23"/>
        </w:rPr>
      </w:pPr>
    </w:p>
    <w:p>
      <w:pPr>
        <w:pStyle w:val="BodyText"/>
        <w:ind w:left="1071"/>
      </w:pPr>
      <w:r>
        <w:rPr/>
        <w:t>Wellard Primary School ($15.3 million);</w:t>
      </w:r>
    </w:p>
    <w:p>
      <w:pPr>
        <w:pStyle w:val="BodyText"/>
        <w:spacing w:before="124"/>
        <w:ind w:left="1071"/>
      </w:pPr>
      <w:r>
        <w:rPr/>
        <w:t>Rapids</w:t>
      </w:r>
      <w:r>
        <w:rPr>
          <w:spacing w:val="-27"/>
        </w:rPr>
        <w:t> </w:t>
      </w:r>
      <w:r>
        <w:rPr/>
        <w:t>Landing</w:t>
      </w:r>
      <w:r>
        <w:rPr>
          <w:spacing w:val="-27"/>
        </w:rPr>
        <w:t> </w:t>
      </w:r>
      <w:r>
        <w:rPr/>
        <w:t>Primary</w:t>
      </w:r>
      <w:r>
        <w:rPr>
          <w:spacing w:val="-27"/>
        </w:rPr>
        <w:t> </w:t>
      </w:r>
      <w:r>
        <w:rPr/>
        <w:t>School</w:t>
      </w:r>
      <w:r>
        <w:rPr>
          <w:spacing w:val="-27"/>
        </w:rPr>
        <w:t> </w:t>
      </w:r>
      <w:r>
        <w:rPr/>
        <w:t>($17.6</w:t>
      </w:r>
      <w:r>
        <w:rPr>
          <w:spacing w:val="-27"/>
        </w:rPr>
        <w:t> </w:t>
      </w:r>
      <w:r>
        <w:rPr/>
        <w:t>million);</w:t>
      </w:r>
    </w:p>
    <w:p>
      <w:pPr>
        <w:pStyle w:val="BodyText"/>
        <w:spacing w:line="249" w:lineRule="auto" w:before="124"/>
        <w:ind w:left="1071" w:right="185" w:hanging="306"/>
      </w:pPr>
      <w:r>
        <w:rPr>
          <w:position w:val="-2"/>
        </w:rPr>
        <w:drawing>
          <wp:inline distT="0" distB="0" distL="0" distR="0">
            <wp:extent cx="125999" cy="125997"/>
            <wp:effectExtent l="0" t="0" r="0" b="0"/>
            <wp:docPr id="23" name="image63.png" descr=""/>
            <wp:cNvGraphicFramePr>
              <a:graphicFrameLocks noChangeAspect="1"/>
            </wp:cNvGraphicFramePr>
            <a:graphic>
              <a:graphicData uri="http://schemas.openxmlformats.org/drawingml/2006/picture">
                <pic:pic>
                  <pic:nvPicPr>
                    <pic:cNvPr id="24" name="image63.png"/>
                    <pic:cNvPicPr/>
                  </pic:nvPicPr>
                  <pic:blipFill>
                    <a:blip r:embed="rId91" cstate="print"/>
                    <a:stretch>
                      <a:fillRect/>
                    </a:stretch>
                  </pic:blipFill>
                  <pic:spPr>
                    <a:xfrm>
                      <a:off x="0" y="0"/>
                      <a:ext cx="125999" cy="125997"/>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w w:val="95"/>
        </w:rPr>
        <w:t>Doubleview Primary School Replacement </w:t>
      </w:r>
      <w:r>
        <w:rPr/>
        <w:t>($15.4</w:t>
      </w:r>
      <w:r>
        <w:rPr>
          <w:spacing w:val="-2"/>
        </w:rPr>
        <w:t> </w:t>
      </w:r>
      <w:r>
        <w:rPr/>
        <w:t>million);</w:t>
      </w:r>
    </w:p>
    <w:p>
      <w:pPr>
        <w:pStyle w:val="BodyText"/>
        <w:spacing w:before="113"/>
        <w:ind w:left="765"/>
      </w:pPr>
      <w:r>
        <w:rPr/>
        <w:drawing>
          <wp:inline distT="0" distB="0" distL="0" distR="0">
            <wp:extent cx="125999" cy="125999"/>
            <wp:effectExtent l="0" t="0" r="0" b="0"/>
            <wp:docPr id="25" name="image62.png" descr=""/>
            <wp:cNvGraphicFramePr>
              <a:graphicFrameLocks noChangeAspect="1"/>
            </wp:cNvGraphicFramePr>
            <a:graphic>
              <a:graphicData uri="http://schemas.openxmlformats.org/drawingml/2006/picture">
                <pic:pic>
                  <pic:nvPicPr>
                    <pic:cNvPr id="26" name="image62.png"/>
                    <pic:cNvPicPr/>
                  </pic:nvPicPr>
                  <pic:blipFill>
                    <a:blip r:embed="rId90" cstate="print"/>
                    <a:stretch>
                      <a:fillRect/>
                    </a:stretch>
                  </pic:blipFill>
                  <pic:spPr>
                    <a:xfrm>
                      <a:off x="0" y="0"/>
                      <a:ext cx="125999"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Honeywood</w:t>
      </w:r>
      <w:r>
        <w:rPr>
          <w:spacing w:val="-14"/>
          <w:position w:val="2"/>
        </w:rPr>
        <w:t> </w:t>
      </w:r>
      <w:r>
        <w:rPr>
          <w:position w:val="2"/>
        </w:rPr>
        <w:t>Primary</w:t>
      </w:r>
      <w:r>
        <w:rPr>
          <w:spacing w:val="-13"/>
          <w:position w:val="2"/>
        </w:rPr>
        <w:t> </w:t>
      </w:r>
      <w:r>
        <w:rPr>
          <w:position w:val="2"/>
        </w:rPr>
        <w:t>School</w:t>
      </w:r>
      <w:r>
        <w:rPr>
          <w:spacing w:val="-14"/>
          <w:position w:val="2"/>
        </w:rPr>
        <w:t> </w:t>
      </w:r>
      <w:r>
        <w:rPr>
          <w:position w:val="2"/>
        </w:rPr>
        <w:t>($16.1</w:t>
      </w:r>
      <w:r>
        <w:rPr>
          <w:spacing w:val="-13"/>
          <w:position w:val="2"/>
        </w:rPr>
        <w:t> </w:t>
      </w:r>
      <w:r>
        <w:rPr>
          <w:position w:val="2"/>
        </w:rPr>
        <w:t>million);</w:t>
      </w:r>
    </w:p>
    <w:p>
      <w:pPr>
        <w:pStyle w:val="BodyText"/>
        <w:spacing w:line="249" w:lineRule="auto" w:before="127"/>
        <w:ind w:left="1071" w:right="185" w:hanging="306"/>
      </w:pPr>
      <w:r>
        <w:rPr>
          <w:position w:val="-3"/>
        </w:rPr>
        <w:drawing>
          <wp:inline distT="0" distB="0" distL="0" distR="0">
            <wp:extent cx="125999" cy="125999"/>
            <wp:effectExtent l="0" t="0" r="0" b="0"/>
            <wp:docPr id="27" name="image64.png" descr=""/>
            <wp:cNvGraphicFramePr>
              <a:graphicFrameLocks noChangeAspect="1"/>
            </wp:cNvGraphicFramePr>
            <a:graphic>
              <a:graphicData uri="http://schemas.openxmlformats.org/drawingml/2006/picture">
                <pic:pic>
                  <pic:nvPicPr>
                    <pic:cNvPr id="28" name="image64.png"/>
                    <pic:cNvPicPr/>
                  </pic:nvPicPr>
                  <pic:blipFill>
                    <a:blip r:embed="rId92" cstate="print"/>
                    <a:stretch>
                      <a:fillRect/>
                    </a:stretch>
                  </pic:blipFill>
                  <pic:spPr>
                    <a:xfrm>
                      <a:off x="0" y="0"/>
                      <a:ext cx="125999" cy="125999"/>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w w:val="95"/>
        </w:rPr>
        <w:t>Carnarvon Community College additions </w:t>
      </w:r>
      <w:r>
        <w:rPr/>
        <w:t>($17.6</w:t>
      </w:r>
      <w:r>
        <w:rPr>
          <w:spacing w:val="-2"/>
        </w:rPr>
        <w:t> </w:t>
      </w:r>
      <w:r>
        <w:rPr/>
        <w:t>million);</w:t>
      </w:r>
    </w:p>
    <w:p>
      <w:pPr>
        <w:pStyle w:val="BodyText"/>
        <w:spacing w:line="249" w:lineRule="auto" w:before="115"/>
        <w:ind w:left="1071" w:right="918" w:hanging="306"/>
      </w:pPr>
      <w:r>
        <w:rPr>
          <w:position w:val="-4"/>
        </w:rPr>
        <w:drawing>
          <wp:inline distT="0" distB="0" distL="0" distR="0">
            <wp:extent cx="125999" cy="125997"/>
            <wp:effectExtent l="0" t="0" r="0" b="0"/>
            <wp:docPr id="29" name="image65.png" descr=""/>
            <wp:cNvGraphicFramePr>
              <a:graphicFrameLocks noChangeAspect="1"/>
            </wp:cNvGraphicFramePr>
            <a:graphic>
              <a:graphicData uri="http://schemas.openxmlformats.org/drawingml/2006/picture">
                <pic:pic>
                  <pic:nvPicPr>
                    <pic:cNvPr id="30" name="image65.png"/>
                    <pic:cNvPicPr/>
                  </pic:nvPicPr>
                  <pic:blipFill>
                    <a:blip r:embed="rId93" cstate="print"/>
                    <a:stretch>
                      <a:fillRect/>
                    </a:stretch>
                  </pic:blipFill>
                  <pic:spPr>
                    <a:xfrm>
                      <a:off x="0" y="0"/>
                      <a:ext cx="125999" cy="125997"/>
                    </a:xfrm>
                    <a:prstGeom prst="rect">
                      <a:avLst/>
                    </a:prstGeom>
                  </pic:spPr>
                </pic:pic>
              </a:graphicData>
            </a:graphic>
          </wp:inline>
        </w:drawing>
      </w:r>
      <w:r>
        <w:rPr>
          <w:position w:val="-4"/>
        </w:rPr>
      </w:r>
      <w:r>
        <w:rPr>
          <w:rFonts w:ascii="Times New Roman"/>
          <w:sz w:val="20"/>
        </w:rPr>
        <w:t> </w:t>
      </w:r>
      <w:r>
        <w:rPr>
          <w:rFonts w:ascii="Times New Roman"/>
          <w:spacing w:val="7"/>
          <w:sz w:val="20"/>
        </w:rPr>
        <w:t> </w:t>
      </w:r>
      <w:r>
        <w:rPr>
          <w:w w:val="95"/>
        </w:rPr>
        <w:t>Fremantle College major additions </w:t>
      </w:r>
      <w:r>
        <w:rPr/>
        <w:t>($31.2</w:t>
      </w:r>
      <w:r>
        <w:rPr>
          <w:spacing w:val="-3"/>
        </w:rPr>
        <w:t> </w:t>
      </w:r>
      <w:r>
        <w:rPr/>
        <w:t>million);</w:t>
      </w:r>
    </w:p>
    <w:p>
      <w:pPr>
        <w:pStyle w:val="BodyText"/>
        <w:spacing w:line="244" w:lineRule="auto" w:before="115"/>
        <w:ind w:left="1071" w:right="918" w:hanging="306"/>
      </w:pPr>
      <w:r>
        <w:rPr>
          <w:position w:val="-4"/>
        </w:rPr>
        <w:drawing>
          <wp:inline distT="0" distB="0" distL="0" distR="0">
            <wp:extent cx="125999" cy="125997"/>
            <wp:effectExtent l="0" t="0" r="0" b="0"/>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42" cstate="print"/>
                    <a:stretch>
                      <a:fillRect/>
                    </a:stretch>
                  </pic:blipFill>
                  <pic:spPr>
                    <a:xfrm>
                      <a:off x="0" y="0"/>
                      <a:ext cx="125999" cy="125997"/>
                    </a:xfrm>
                    <a:prstGeom prst="rect">
                      <a:avLst/>
                    </a:prstGeom>
                  </pic:spPr>
                </pic:pic>
              </a:graphicData>
            </a:graphic>
          </wp:inline>
        </w:drawing>
      </w:r>
      <w:r>
        <w:rPr>
          <w:position w:val="-4"/>
        </w:rPr>
      </w:r>
      <w:r>
        <w:rPr>
          <w:rFonts w:ascii="Times New Roman" w:hAnsi="Times New Roman"/>
          <w:sz w:val="20"/>
        </w:rPr>
        <w:t> </w:t>
      </w:r>
      <w:r>
        <w:rPr>
          <w:rFonts w:ascii="Times New Roman" w:hAnsi="Times New Roman"/>
          <w:spacing w:val="7"/>
          <w:sz w:val="20"/>
        </w:rPr>
        <w:t> </w:t>
      </w:r>
      <w:r>
        <w:rPr>
          <w:spacing w:val="-3"/>
        </w:rPr>
        <w:t>Yanchep</w:t>
      </w:r>
      <w:r>
        <w:rPr>
          <w:spacing w:val="-21"/>
        </w:rPr>
        <w:t> </w:t>
      </w:r>
      <w:r>
        <w:rPr/>
        <w:t>Secondary</w:t>
      </w:r>
      <w:r>
        <w:rPr>
          <w:spacing w:val="-21"/>
        </w:rPr>
        <w:t> </w:t>
      </w:r>
      <w:r>
        <w:rPr/>
        <w:t>School</w:t>
      </w:r>
      <w:r>
        <w:rPr>
          <w:spacing w:val="-20"/>
        </w:rPr>
        <w:t> </w:t>
      </w:r>
      <w:r>
        <w:rPr/>
        <w:t>–</w:t>
      </w:r>
      <w:r>
        <w:rPr>
          <w:spacing w:val="-21"/>
        </w:rPr>
        <w:t> </w:t>
      </w:r>
      <w:r>
        <w:rPr/>
        <w:t>Stage</w:t>
      </w:r>
      <w:r>
        <w:rPr>
          <w:spacing w:val="-21"/>
        </w:rPr>
        <w:t> </w:t>
      </w:r>
      <w:r>
        <w:rPr>
          <w:spacing w:val="-17"/>
        </w:rPr>
        <w:t>1 </w:t>
      </w:r>
      <w:r>
        <w:rPr/>
        <w:t>($43.5</w:t>
      </w:r>
      <w:r>
        <w:rPr>
          <w:spacing w:val="-3"/>
        </w:rPr>
        <w:t> </w:t>
      </w:r>
      <w:r>
        <w:rPr/>
        <w:t>million);</w:t>
      </w:r>
    </w:p>
    <w:p>
      <w:pPr>
        <w:pStyle w:val="BodyText"/>
        <w:spacing w:line="249" w:lineRule="auto" w:before="121"/>
        <w:ind w:left="1071" w:right="838" w:hanging="306"/>
      </w:pPr>
      <w:r>
        <w:rPr>
          <w:position w:val="-3"/>
        </w:rPr>
        <w:drawing>
          <wp:inline distT="0" distB="0" distL="0" distR="0">
            <wp:extent cx="125999" cy="125997"/>
            <wp:effectExtent l="0" t="0" r="0" b="0"/>
            <wp:docPr id="33" name="image65.png" descr=""/>
            <wp:cNvGraphicFramePr>
              <a:graphicFrameLocks noChangeAspect="1"/>
            </wp:cNvGraphicFramePr>
            <a:graphic>
              <a:graphicData uri="http://schemas.openxmlformats.org/drawingml/2006/picture">
                <pic:pic>
                  <pic:nvPicPr>
                    <pic:cNvPr id="34" name="image65.png"/>
                    <pic:cNvPicPr/>
                  </pic:nvPicPr>
                  <pic:blipFill>
                    <a:blip r:embed="rId93" cstate="print"/>
                    <a:stretch>
                      <a:fillRect/>
                    </a:stretch>
                  </pic:blipFill>
                  <pic:spPr>
                    <a:xfrm>
                      <a:off x="0" y="0"/>
                      <a:ext cx="125999" cy="125997"/>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t>Churchlands</w:t>
      </w:r>
      <w:r>
        <w:rPr>
          <w:spacing w:val="-29"/>
        </w:rPr>
        <w:t> </w:t>
      </w:r>
      <w:r>
        <w:rPr/>
        <w:t>Senior</w:t>
      </w:r>
      <w:r>
        <w:rPr>
          <w:spacing w:val="-29"/>
        </w:rPr>
        <w:t> </w:t>
      </w:r>
      <w:r>
        <w:rPr/>
        <w:t>High</w:t>
      </w:r>
      <w:r>
        <w:rPr>
          <w:spacing w:val="-28"/>
        </w:rPr>
        <w:t> </w:t>
      </w:r>
      <w:r>
        <w:rPr/>
        <w:t>School</w:t>
      </w:r>
      <w:r>
        <w:rPr>
          <w:spacing w:val="-29"/>
        </w:rPr>
        <w:t> </w:t>
      </w:r>
      <w:r>
        <w:rPr>
          <w:spacing w:val="-4"/>
        </w:rPr>
        <w:t>major </w:t>
      </w:r>
      <w:r>
        <w:rPr/>
        <w:t>additions ($33.9 million);</w:t>
      </w:r>
      <w:r>
        <w:rPr>
          <w:spacing w:val="-18"/>
        </w:rPr>
        <w:t> </w:t>
      </w:r>
      <w:r>
        <w:rPr/>
        <w:t>and</w:t>
      </w:r>
    </w:p>
    <w:p>
      <w:pPr>
        <w:pStyle w:val="BodyText"/>
        <w:spacing w:line="249" w:lineRule="auto" w:before="115"/>
        <w:ind w:left="1069" w:right="-12" w:hanging="305"/>
      </w:pPr>
      <w:r>
        <w:rPr>
          <w:position w:val="-2"/>
        </w:rPr>
        <w:drawing>
          <wp:inline distT="0" distB="0" distL="0" distR="0">
            <wp:extent cx="125999" cy="125999"/>
            <wp:effectExtent l="0" t="0" r="0" b="0"/>
            <wp:docPr id="35" name="image66.png" descr=""/>
            <wp:cNvGraphicFramePr>
              <a:graphicFrameLocks noChangeAspect="1"/>
            </wp:cNvGraphicFramePr>
            <a:graphic>
              <a:graphicData uri="http://schemas.openxmlformats.org/drawingml/2006/picture">
                <pic:pic>
                  <pic:nvPicPr>
                    <pic:cNvPr id="36" name="image66.png"/>
                    <pic:cNvPicPr/>
                  </pic:nvPicPr>
                  <pic:blipFill>
                    <a:blip r:embed="rId94"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Kalgoorlie-Boulder Community High School and</w:t>
      </w:r>
      <w:r>
        <w:rPr>
          <w:spacing w:val="-31"/>
        </w:rPr>
        <w:t> </w:t>
      </w:r>
      <w:r>
        <w:rPr/>
        <w:t>Education</w:t>
      </w:r>
      <w:r>
        <w:rPr>
          <w:spacing w:val="-30"/>
        </w:rPr>
        <w:t> </w:t>
      </w:r>
      <w:r>
        <w:rPr/>
        <w:t>Support</w:t>
      </w:r>
      <w:r>
        <w:rPr>
          <w:spacing w:val="-30"/>
        </w:rPr>
        <w:t> </w:t>
      </w:r>
      <w:r>
        <w:rPr/>
        <w:t>Redevelopment</w:t>
      </w:r>
      <w:r>
        <w:rPr>
          <w:spacing w:val="-31"/>
        </w:rPr>
        <w:t> </w:t>
      </w:r>
      <w:r>
        <w:rPr/>
        <w:t>Stage</w:t>
      </w:r>
      <w:r>
        <w:rPr>
          <w:spacing w:val="-30"/>
        </w:rPr>
        <w:t> </w:t>
      </w:r>
      <w:r>
        <w:rPr/>
        <w:t>1 ($45.8</w:t>
      </w:r>
      <w:r>
        <w:rPr>
          <w:spacing w:val="-2"/>
        </w:rPr>
        <w:t> </w:t>
      </w:r>
      <w:r>
        <w:rPr/>
        <w:t>million).</w:t>
      </w:r>
    </w:p>
    <w:p>
      <w:pPr>
        <w:pStyle w:val="BodyText"/>
        <w:rPr>
          <w:sz w:val="26"/>
        </w:rPr>
      </w:pPr>
      <w:r>
        <w:rPr/>
        <w:br w:type="column"/>
      </w:r>
      <w:r>
        <w:rPr>
          <w:sz w:val="26"/>
        </w:rPr>
      </w:r>
    </w:p>
    <w:p>
      <w:pPr>
        <w:pStyle w:val="BodyText"/>
        <w:rPr>
          <w:sz w:val="26"/>
        </w:rPr>
      </w:pPr>
    </w:p>
    <w:p>
      <w:pPr>
        <w:pStyle w:val="BodyText"/>
        <w:spacing w:line="249" w:lineRule="auto" w:before="170"/>
        <w:ind w:left="445" w:right="-10"/>
      </w:pPr>
      <w:r>
        <w:rPr/>
        <w:t>Several</w:t>
      </w:r>
      <w:r>
        <w:rPr>
          <w:spacing w:val="-33"/>
        </w:rPr>
        <w:t> </w:t>
      </w:r>
      <w:r>
        <w:rPr/>
        <w:t>district</w:t>
      </w:r>
      <w:r>
        <w:rPr>
          <w:spacing w:val="-32"/>
        </w:rPr>
        <w:t> </w:t>
      </w:r>
      <w:r>
        <w:rPr/>
        <w:t>hospitals</w:t>
      </w:r>
      <w:r>
        <w:rPr>
          <w:spacing w:val="-32"/>
        </w:rPr>
        <w:t> </w:t>
      </w:r>
      <w:r>
        <w:rPr/>
        <w:t>were</w:t>
      </w:r>
      <w:r>
        <w:rPr>
          <w:spacing w:val="-33"/>
        </w:rPr>
        <w:t> </w:t>
      </w:r>
      <w:r>
        <w:rPr/>
        <w:t>delivered</w:t>
      </w:r>
      <w:r>
        <w:rPr>
          <w:spacing w:val="-32"/>
        </w:rPr>
        <w:t> </w:t>
      </w:r>
      <w:r>
        <w:rPr>
          <w:spacing w:val="-4"/>
        </w:rPr>
        <w:t>during </w:t>
      </w:r>
      <w:r>
        <w:rPr/>
        <w:t>the 2017-18 financial year</w:t>
      </w:r>
      <w:r>
        <w:rPr>
          <w:spacing w:val="-23"/>
        </w:rPr>
        <w:t> </w:t>
      </w:r>
      <w:r>
        <w:rPr/>
        <w:t>including:</w:t>
      </w:r>
    </w:p>
    <w:p>
      <w:pPr>
        <w:pStyle w:val="BodyText"/>
        <w:spacing w:before="1"/>
        <w:rPr>
          <w:sz w:val="23"/>
        </w:rPr>
      </w:pPr>
    </w:p>
    <w:p>
      <w:pPr>
        <w:pStyle w:val="BodyText"/>
        <w:spacing w:line="355" w:lineRule="auto"/>
        <w:ind w:left="444" w:right="1348"/>
      </w:pPr>
      <w:r>
        <w:rPr>
          <w:position w:val="-1"/>
        </w:rPr>
        <w:drawing>
          <wp:inline distT="0" distB="0" distL="0" distR="0">
            <wp:extent cx="125997" cy="125997"/>
            <wp:effectExtent l="0" t="0" r="0" b="0"/>
            <wp:docPr id="37" name="image67.png" descr=""/>
            <wp:cNvGraphicFramePr>
              <a:graphicFrameLocks noChangeAspect="1"/>
            </wp:cNvGraphicFramePr>
            <a:graphic>
              <a:graphicData uri="http://schemas.openxmlformats.org/drawingml/2006/picture">
                <pic:pic>
                  <pic:nvPicPr>
                    <pic:cNvPr id="38" name="image67.png"/>
                    <pic:cNvPicPr/>
                  </pic:nvPicPr>
                  <pic:blipFill>
                    <a:blip r:embed="rId95" cstate="print"/>
                    <a:stretch>
                      <a:fillRect/>
                    </a:stretch>
                  </pic:blipFill>
                  <pic:spPr>
                    <a:xfrm>
                      <a:off x="0" y="0"/>
                      <a:ext cx="125997"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w w:val="95"/>
        </w:rPr>
        <w:t>Dalwallinu</w:t>
      </w:r>
      <w:r>
        <w:rPr>
          <w:spacing w:val="4"/>
          <w:w w:val="95"/>
        </w:rPr>
        <w:t> </w:t>
      </w:r>
      <w:r>
        <w:rPr>
          <w:w w:val="95"/>
        </w:rPr>
        <w:t>District</w:t>
      </w:r>
      <w:r>
        <w:rPr>
          <w:spacing w:val="5"/>
          <w:w w:val="95"/>
        </w:rPr>
        <w:t> </w:t>
      </w:r>
      <w:r>
        <w:rPr>
          <w:w w:val="95"/>
        </w:rPr>
        <w:t>Hospital;</w:t>
      </w:r>
      <w:r>
        <w:rPr>
          <w:w w:val="97"/>
        </w:rPr>
        <w:t> </w:t>
      </w:r>
      <w:r>
        <w:rPr>
          <w:w w:val="97"/>
        </w:rPr>
        <w:drawing>
          <wp:inline distT="0" distB="0" distL="0" distR="0">
            <wp:extent cx="125997" cy="125997"/>
            <wp:effectExtent l="0" t="0" r="0" b="0"/>
            <wp:docPr id="39" name="image65.png" descr=""/>
            <wp:cNvGraphicFramePr>
              <a:graphicFrameLocks noChangeAspect="1"/>
            </wp:cNvGraphicFramePr>
            <a:graphic>
              <a:graphicData uri="http://schemas.openxmlformats.org/drawingml/2006/picture">
                <pic:pic>
                  <pic:nvPicPr>
                    <pic:cNvPr id="40" name="image65.png"/>
                    <pic:cNvPicPr/>
                  </pic:nvPicPr>
                  <pic:blipFill>
                    <a:blip r:embed="rId93" cstate="print"/>
                    <a:stretch>
                      <a:fillRect/>
                    </a:stretch>
                  </pic:blipFill>
                  <pic:spPr>
                    <a:xfrm>
                      <a:off x="0" y="0"/>
                      <a:ext cx="125997" cy="125997"/>
                    </a:xfrm>
                    <a:prstGeom prst="rect">
                      <a:avLst/>
                    </a:prstGeom>
                  </pic:spPr>
                </pic:pic>
              </a:graphicData>
            </a:graphic>
          </wp:inline>
        </w:drawing>
      </w:r>
      <w:r>
        <w:rPr>
          <w:w w:val="97"/>
        </w:rPr>
      </w:r>
      <w:r>
        <w:rPr>
          <w:rFonts w:ascii="Times New Roman"/>
          <w:w w:val="97"/>
          <w:position w:val="2"/>
        </w:rPr>
        <w:t>  </w:t>
      </w:r>
      <w:r>
        <w:rPr>
          <w:position w:val="2"/>
        </w:rPr>
        <w:t>Jurien</w:t>
      </w:r>
      <w:r>
        <w:rPr>
          <w:spacing w:val="-20"/>
          <w:position w:val="2"/>
        </w:rPr>
        <w:t> </w:t>
      </w:r>
      <w:r>
        <w:rPr>
          <w:position w:val="2"/>
        </w:rPr>
        <w:t>Bay</w:t>
      </w:r>
      <w:r>
        <w:rPr>
          <w:spacing w:val="-20"/>
          <w:position w:val="2"/>
        </w:rPr>
        <w:t> </w:t>
      </w:r>
      <w:r>
        <w:rPr>
          <w:position w:val="2"/>
        </w:rPr>
        <w:t>Health</w:t>
      </w:r>
      <w:r>
        <w:rPr>
          <w:spacing w:val="-20"/>
          <w:position w:val="2"/>
        </w:rPr>
        <w:t> </w:t>
      </w:r>
      <w:r>
        <w:rPr>
          <w:position w:val="2"/>
        </w:rPr>
        <w:t>Centre;</w:t>
      </w:r>
    </w:p>
    <w:p>
      <w:pPr>
        <w:pStyle w:val="BodyText"/>
        <w:spacing w:line="362" w:lineRule="auto" w:before="6"/>
        <w:ind w:left="444" w:right="1055"/>
      </w:pPr>
      <w:r>
        <w:rPr>
          <w:position w:val="-2"/>
        </w:rPr>
        <w:drawing>
          <wp:inline distT="0" distB="0" distL="0" distR="0">
            <wp:extent cx="125997" cy="125997"/>
            <wp:effectExtent l="0" t="0" r="0" b="0"/>
            <wp:docPr id="41" name="image65.png" descr=""/>
            <wp:cNvGraphicFramePr>
              <a:graphicFrameLocks noChangeAspect="1"/>
            </wp:cNvGraphicFramePr>
            <a:graphic>
              <a:graphicData uri="http://schemas.openxmlformats.org/drawingml/2006/picture">
                <pic:pic>
                  <pic:nvPicPr>
                    <pic:cNvPr id="42" name="image65.png"/>
                    <pic:cNvPicPr/>
                  </pic:nvPicPr>
                  <pic:blipFill>
                    <a:blip r:embed="rId93" cstate="print"/>
                    <a:stretch>
                      <a:fillRect/>
                    </a:stretch>
                  </pic:blipFill>
                  <pic:spPr>
                    <a:xfrm>
                      <a:off x="0" y="0"/>
                      <a:ext cx="125997" cy="125997"/>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w w:val="95"/>
        </w:rPr>
        <w:t>Wongan Hills</w:t>
      </w:r>
      <w:r>
        <w:rPr>
          <w:spacing w:val="16"/>
          <w:w w:val="95"/>
        </w:rPr>
        <w:t> </w:t>
      </w:r>
      <w:r>
        <w:rPr>
          <w:w w:val="95"/>
        </w:rPr>
        <w:t>District</w:t>
      </w:r>
      <w:r>
        <w:rPr>
          <w:spacing w:val="8"/>
          <w:w w:val="95"/>
        </w:rPr>
        <w:t> </w:t>
      </w:r>
      <w:r>
        <w:rPr>
          <w:w w:val="95"/>
        </w:rPr>
        <w:t>Hospital;</w:t>
      </w:r>
      <w:r>
        <w:rPr>
          <w:w w:val="97"/>
        </w:rPr>
        <w:t> </w:t>
      </w:r>
      <w:r>
        <w:rPr>
          <w:w w:val="97"/>
        </w:rPr>
        <w:drawing>
          <wp:inline distT="0" distB="0" distL="0" distR="0">
            <wp:extent cx="125997" cy="125997"/>
            <wp:effectExtent l="0" t="0" r="0" b="0"/>
            <wp:docPr id="43" name="image65.png" descr=""/>
            <wp:cNvGraphicFramePr>
              <a:graphicFrameLocks noChangeAspect="1"/>
            </wp:cNvGraphicFramePr>
            <a:graphic>
              <a:graphicData uri="http://schemas.openxmlformats.org/drawingml/2006/picture">
                <pic:pic>
                  <pic:nvPicPr>
                    <pic:cNvPr id="44" name="image65.png"/>
                    <pic:cNvPicPr/>
                  </pic:nvPicPr>
                  <pic:blipFill>
                    <a:blip r:embed="rId93" cstate="print"/>
                    <a:stretch>
                      <a:fillRect/>
                    </a:stretch>
                  </pic:blipFill>
                  <pic:spPr>
                    <a:xfrm>
                      <a:off x="0" y="0"/>
                      <a:ext cx="125997" cy="125997"/>
                    </a:xfrm>
                    <a:prstGeom prst="rect">
                      <a:avLst/>
                    </a:prstGeom>
                  </pic:spPr>
                </pic:pic>
              </a:graphicData>
            </a:graphic>
          </wp:inline>
        </w:drawing>
      </w:r>
      <w:r>
        <w:rPr>
          <w:w w:val="97"/>
        </w:rPr>
      </w:r>
      <w:r>
        <w:rPr>
          <w:rFonts w:ascii="Times New Roman"/>
          <w:w w:val="97"/>
          <w:position w:val="1"/>
        </w:rPr>
        <w:t>  </w:t>
      </w:r>
      <w:r>
        <w:rPr>
          <w:position w:val="1"/>
        </w:rPr>
        <w:t>Moora</w:t>
      </w:r>
      <w:r>
        <w:rPr>
          <w:spacing w:val="-2"/>
          <w:position w:val="1"/>
        </w:rPr>
        <w:t> </w:t>
      </w:r>
      <w:r>
        <w:rPr>
          <w:position w:val="1"/>
        </w:rPr>
        <w:t>Hospital;</w:t>
      </w:r>
    </w:p>
    <w:p>
      <w:pPr>
        <w:pStyle w:val="BodyText"/>
        <w:spacing w:line="244" w:lineRule="exact"/>
        <w:ind w:left="444"/>
      </w:pPr>
      <w:r>
        <w:rPr>
          <w:position w:val="-3"/>
        </w:rPr>
        <w:drawing>
          <wp:inline distT="0" distB="0" distL="0" distR="0">
            <wp:extent cx="125997" cy="125999"/>
            <wp:effectExtent l="0" t="0" r="0" b="0"/>
            <wp:docPr id="45" name="image62.png" descr=""/>
            <wp:cNvGraphicFramePr>
              <a:graphicFrameLocks noChangeAspect="1"/>
            </wp:cNvGraphicFramePr>
            <a:graphic>
              <a:graphicData uri="http://schemas.openxmlformats.org/drawingml/2006/picture">
                <pic:pic>
                  <pic:nvPicPr>
                    <pic:cNvPr id="46" name="image62.png"/>
                    <pic:cNvPicPr/>
                  </pic:nvPicPr>
                  <pic:blipFill>
                    <a:blip r:embed="rId90" cstate="print"/>
                    <a:stretch>
                      <a:fillRect/>
                    </a:stretch>
                  </pic:blipFill>
                  <pic:spPr>
                    <a:xfrm>
                      <a:off x="0" y="0"/>
                      <a:ext cx="125997" cy="125999"/>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spacing w:val="-6"/>
        </w:rPr>
        <w:t>York</w:t>
      </w:r>
      <w:r>
        <w:rPr>
          <w:spacing w:val="-1"/>
        </w:rPr>
        <w:t> </w:t>
      </w:r>
      <w:r>
        <w:rPr/>
        <w:t>Hospital;</w:t>
      </w:r>
    </w:p>
    <w:p>
      <w:pPr>
        <w:pStyle w:val="BodyText"/>
        <w:spacing w:line="357" w:lineRule="auto" w:before="124"/>
        <w:ind w:left="444" w:right="1877"/>
      </w:pPr>
      <w:r>
        <w:rPr>
          <w:position w:val="-2"/>
        </w:rPr>
        <w:drawing>
          <wp:inline distT="0" distB="0" distL="0" distR="0">
            <wp:extent cx="125997" cy="125999"/>
            <wp:effectExtent l="0" t="0" r="0" b="0"/>
            <wp:docPr id="47" name="image68.png" descr=""/>
            <wp:cNvGraphicFramePr>
              <a:graphicFrameLocks noChangeAspect="1"/>
            </wp:cNvGraphicFramePr>
            <a:graphic>
              <a:graphicData uri="http://schemas.openxmlformats.org/drawingml/2006/picture">
                <pic:pic>
                  <pic:nvPicPr>
                    <pic:cNvPr id="48" name="image68.png"/>
                    <pic:cNvPicPr/>
                  </pic:nvPicPr>
                  <pic:blipFill>
                    <a:blip r:embed="rId96" cstate="print"/>
                    <a:stretch>
                      <a:fillRect/>
                    </a:stretch>
                  </pic:blipFill>
                  <pic:spPr>
                    <a:xfrm>
                      <a:off x="0" y="0"/>
                      <a:ext cx="125997"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Beverly</w:t>
      </w:r>
      <w:r>
        <w:rPr>
          <w:spacing w:val="-39"/>
        </w:rPr>
        <w:t> </w:t>
      </w:r>
      <w:r>
        <w:rPr/>
        <w:t>Hospital;</w:t>
      </w:r>
      <w:r>
        <w:rPr>
          <w:spacing w:val="-39"/>
        </w:rPr>
        <w:t> </w:t>
      </w:r>
      <w:r>
        <w:rPr/>
        <w:t>and</w:t>
      </w:r>
      <w:r>
        <w:rPr>
          <w:w w:val="97"/>
        </w:rPr>
        <w:t> </w:t>
      </w:r>
      <w:r>
        <w:rPr>
          <w:w w:val="97"/>
          <w:position w:val="-2"/>
        </w:rPr>
        <w:drawing>
          <wp:inline distT="0" distB="0" distL="0" distR="0">
            <wp:extent cx="125997" cy="125999"/>
            <wp:effectExtent l="0" t="0" r="0" b="0"/>
            <wp:docPr id="49" name="image68.png" descr=""/>
            <wp:cNvGraphicFramePr>
              <a:graphicFrameLocks noChangeAspect="1"/>
            </wp:cNvGraphicFramePr>
            <a:graphic>
              <a:graphicData uri="http://schemas.openxmlformats.org/drawingml/2006/picture">
                <pic:pic>
                  <pic:nvPicPr>
                    <pic:cNvPr id="50" name="image68.png"/>
                    <pic:cNvPicPr/>
                  </pic:nvPicPr>
                  <pic:blipFill>
                    <a:blip r:embed="rId96" cstate="print"/>
                    <a:stretch>
                      <a:fillRect/>
                    </a:stretch>
                  </pic:blipFill>
                  <pic:spPr>
                    <a:xfrm>
                      <a:off x="0" y="0"/>
                      <a:ext cx="125997" cy="125999"/>
                    </a:xfrm>
                    <a:prstGeom prst="rect">
                      <a:avLst/>
                    </a:prstGeom>
                  </pic:spPr>
                </pic:pic>
              </a:graphicData>
            </a:graphic>
          </wp:inline>
        </w:drawing>
      </w:r>
      <w:r>
        <w:rPr>
          <w:w w:val="97"/>
          <w:position w:val="-2"/>
        </w:rPr>
      </w:r>
      <w:r>
        <w:rPr>
          <w:rFonts w:ascii="Times New Roman"/>
          <w:w w:val="97"/>
        </w:rPr>
        <w:t>  </w:t>
      </w:r>
      <w:r>
        <w:rPr>
          <w:w w:val="95"/>
        </w:rPr>
        <w:t>Pingelly Health</w:t>
      </w:r>
      <w:r>
        <w:rPr>
          <w:spacing w:val="12"/>
          <w:w w:val="95"/>
        </w:rPr>
        <w:t> </w:t>
      </w:r>
      <w:r>
        <w:rPr>
          <w:spacing w:val="-4"/>
          <w:w w:val="95"/>
        </w:rPr>
        <w:t>Centre.</w:t>
      </w:r>
    </w:p>
    <w:p>
      <w:pPr>
        <w:pStyle w:val="BodyText"/>
        <w:rPr>
          <w:sz w:val="26"/>
        </w:rPr>
      </w:pPr>
      <w:r>
        <w:rPr/>
        <w:br w:type="column"/>
      </w:r>
      <w:r>
        <w:rPr>
          <w:sz w:val="26"/>
        </w:rPr>
      </w:r>
    </w:p>
    <w:p>
      <w:pPr>
        <w:pStyle w:val="BodyText"/>
        <w:rPr>
          <w:sz w:val="26"/>
        </w:rPr>
      </w:pPr>
    </w:p>
    <w:p>
      <w:pPr>
        <w:pStyle w:val="BodyText"/>
        <w:spacing w:line="249" w:lineRule="auto" w:before="170"/>
        <w:ind w:left="765" w:right="1030"/>
      </w:pPr>
      <w:r>
        <w:rPr/>
        <w:pict>
          <v:shape style="position:absolute;margin-left:601.348999pt;margin-top:-129.438141pt;width:120.3pt;height:42.55pt;mso-position-horizontal-relative:page;mso-position-vertical-relative:paragraph;z-index:6616"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t>Works</w:t>
      </w:r>
      <w:r>
        <w:rPr>
          <w:spacing w:val="-18"/>
        </w:rPr>
        <w:t> </w:t>
      </w:r>
      <w:r>
        <w:rPr/>
        <w:t>to</w:t>
      </w:r>
      <w:r>
        <w:rPr>
          <w:spacing w:val="-17"/>
        </w:rPr>
        <w:t> </w:t>
      </w:r>
      <w:r>
        <w:rPr/>
        <w:t>two</w:t>
      </w:r>
      <w:r>
        <w:rPr>
          <w:spacing w:val="-17"/>
        </w:rPr>
        <w:t> </w:t>
      </w:r>
      <w:r>
        <w:rPr/>
        <w:t>police</w:t>
      </w:r>
      <w:r>
        <w:rPr>
          <w:spacing w:val="-17"/>
        </w:rPr>
        <w:t> </w:t>
      </w:r>
      <w:r>
        <w:rPr/>
        <w:t>stations</w:t>
      </w:r>
      <w:r>
        <w:rPr>
          <w:spacing w:val="-17"/>
        </w:rPr>
        <w:t> </w:t>
      </w:r>
      <w:r>
        <w:rPr/>
        <w:t>were</w:t>
      </w:r>
      <w:r>
        <w:rPr>
          <w:spacing w:val="-17"/>
        </w:rPr>
        <w:t> </w:t>
      </w:r>
      <w:r>
        <w:rPr/>
        <w:t>also</w:t>
      </w:r>
      <w:r>
        <w:rPr>
          <w:spacing w:val="-17"/>
        </w:rPr>
        <w:t> </w:t>
      </w:r>
      <w:r>
        <w:rPr>
          <w:spacing w:val="-3"/>
        </w:rPr>
        <w:t>delivered </w:t>
      </w:r>
      <w:r>
        <w:rPr/>
        <w:t>on</w:t>
      </w:r>
      <w:r>
        <w:rPr>
          <w:spacing w:val="-23"/>
        </w:rPr>
        <w:t> </w:t>
      </w:r>
      <w:r>
        <w:rPr/>
        <w:t>behalf</w:t>
      </w:r>
      <w:r>
        <w:rPr>
          <w:spacing w:val="-22"/>
        </w:rPr>
        <w:t> </w:t>
      </w:r>
      <w:r>
        <w:rPr/>
        <w:t>of</w:t>
      </w:r>
      <w:r>
        <w:rPr>
          <w:spacing w:val="-23"/>
        </w:rPr>
        <w:t> </w:t>
      </w:r>
      <w:r>
        <w:rPr/>
        <w:t>the</w:t>
      </w:r>
      <w:r>
        <w:rPr>
          <w:spacing w:val="-22"/>
        </w:rPr>
        <w:t> </w:t>
      </w:r>
      <w:r>
        <w:rPr/>
        <w:t>Western</w:t>
      </w:r>
      <w:r>
        <w:rPr>
          <w:spacing w:val="-22"/>
        </w:rPr>
        <w:t> </w:t>
      </w:r>
      <w:r>
        <w:rPr/>
        <w:t>Australia</w:t>
      </w:r>
      <w:r>
        <w:rPr>
          <w:spacing w:val="-23"/>
        </w:rPr>
        <w:t> </w:t>
      </w:r>
      <w:r>
        <w:rPr/>
        <w:t>Police</w:t>
      </w:r>
      <w:r>
        <w:rPr>
          <w:spacing w:val="-22"/>
        </w:rPr>
        <w:t> </w:t>
      </w:r>
      <w:r>
        <w:rPr/>
        <w:t>Force:</w:t>
      </w:r>
    </w:p>
    <w:p>
      <w:pPr>
        <w:pStyle w:val="BodyText"/>
        <w:spacing w:before="1"/>
        <w:rPr>
          <w:sz w:val="23"/>
        </w:rPr>
      </w:pPr>
    </w:p>
    <w:p>
      <w:pPr>
        <w:pStyle w:val="BodyText"/>
        <w:spacing w:line="249" w:lineRule="auto"/>
        <w:ind w:left="1071" w:right="1098" w:hanging="306"/>
      </w:pPr>
      <w:r>
        <w:rPr>
          <w:position w:val="-1"/>
        </w:rPr>
        <w:drawing>
          <wp:inline distT="0" distB="0" distL="0" distR="0">
            <wp:extent cx="125997" cy="125997"/>
            <wp:effectExtent l="0" t="0" r="0" b="0"/>
            <wp:docPr id="51" name="image69.png" descr=""/>
            <wp:cNvGraphicFramePr>
              <a:graphicFrameLocks noChangeAspect="1"/>
            </wp:cNvGraphicFramePr>
            <a:graphic>
              <a:graphicData uri="http://schemas.openxmlformats.org/drawingml/2006/picture">
                <pic:pic>
                  <pic:nvPicPr>
                    <pic:cNvPr id="52" name="image69.png"/>
                    <pic:cNvPicPr/>
                  </pic:nvPicPr>
                  <pic:blipFill>
                    <a:blip r:embed="rId97" cstate="print"/>
                    <a:stretch>
                      <a:fillRect/>
                    </a:stretch>
                  </pic:blipFill>
                  <pic:spPr>
                    <a:xfrm>
                      <a:off x="0" y="0"/>
                      <a:ext cx="125997"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Kalgoorlie</w:t>
      </w:r>
      <w:r>
        <w:rPr>
          <w:spacing w:val="-34"/>
        </w:rPr>
        <w:t> </w:t>
      </w:r>
      <w:r>
        <w:rPr/>
        <w:t>Police</w:t>
      </w:r>
      <w:r>
        <w:rPr>
          <w:spacing w:val="-33"/>
        </w:rPr>
        <w:t> </w:t>
      </w:r>
      <w:r>
        <w:rPr/>
        <w:t>Station</w:t>
      </w:r>
      <w:r>
        <w:rPr>
          <w:spacing w:val="-33"/>
        </w:rPr>
        <w:t> </w:t>
      </w:r>
      <w:r>
        <w:rPr/>
        <w:t>refurbishment</w:t>
      </w:r>
      <w:r>
        <w:rPr>
          <w:spacing w:val="-33"/>
        </w:rPr>
        <w:t> </w:t>
      </w:r>
      <w:r>
        <w:rPr>
          <w:spacing w:val="-5"/>
        </w:rPr>
        <w:t>work </w:t>
      </w:r>
      <w:r>
        <w:rPr/>
        <w:t>($5 million);</w:t>
      </w:r>
      <w:r>
        <w:rPr>
          <w:spacing w:val="-4"/>
        </w:rPr>
        <w:t> </w:t>
      </w:r>
      <w:r>
        <w:rPr/>
        <w:t>and</w:t>
      </w:r>
    </w:p>
    <w:p>
      <w:pPr>
        <w:pStyle w:val="BodyText"/>
        <w:spacing w:line="249" w:lineRule="auto" w:before="115"/>
        <w:ind w:left="1071" w:right="2080" w:hanging="306"/>
      </w:pPr>
      <w:r>
        <w:rPr>
          <w:position w:val="-2"/>
        </w:rPr>
        <w:drawing>
          <wp:inline distT="0" distB="0" distL="0" distR="0">
            <wp:extent cx="125997" cy="125997"/>
            <wp:effectExtent l="0" t="0" r="0" b="0"/>
            <wp:docPr id="53" name="image70.png" descr=""/>
            <wp:cNvGraphicFramePr>
              <a:graphicFrameLocks noChangeAspect="1"/>
            </wp:cNvGraphicFramePr>
            <a:graphic>
              <a:graphicData uri="http://schemas.openxmlformats.org/drawingml/2006/picture">
                <pic:pic>
                  <pic:nvPicPr>
                    <pic:cNvPr id="54" name="image70.png"/>
                    <pic:cNvPicPr/>
                  </pic:nvPicPr>
                  <pic:blipFill>
                    <a:blip r:embed="rId98" cstate="print"/>
                    <a:stretch>
                      <a:fillRect/>
                    </a:stretch>
                  </pic:blipFill>
                  <pic:spPr>
                    <a:xfrm>
                      <a:off x="0" y="0"/>
                      <a:ext cx="125997" cy="125997"/>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Kimberley</w:t>
      </w:r>
      <w:r>
        <w:rPr>
          <w:spacing w:val="-33"/>
        </w:rPr>
        <w:t> </w:t>
      </w:r>
      <w:r>
        <w:rPr/>
        <w:t>District</w:t>
      </w:r>
      <w:r>
        <w:rPr>
          <w:spacing w:val="-33"/>
        </w:rPr>
        <w:t> </w:t>
      </w:r>
      <w:r>
        <w:rPr/>
        <w:t>Police</w:t>
      </w:r>
      <w:r>
        <w:rPr>
          <w:spacing w:val="-33"/>
        </w:rPr>
        <w:t> </w:t>
      </w:r>
      <w:r>
        <w:rPr>
          <w:spacing w:val="-3"/>
        </w:rPr>
        <w:t>Complex </w:t>
      </w:r>
      <w:r>
        <w:rPr/>
        <w:t>($8.4</w:t>
      </w:r>
      <w:r>
        <w:rPr>
          <w:spacing w:val="-3"/>
        </w:rPr>
        <w:t> </w:t>
      </w:r>
      <w:r>
        <w:rPr/>
        <w:t>million).</w:t>
      </w:r>
    </w:p>
    <w:p>
      <w:pPr>
        <w:pStyle w:val="BodyText"/>
        <w:spacing w:before="1"/>
        <w:rPr>
          <w:sz w:val="23"/>
        </w:rPr>
      </w:pPr>
    </w:p>
    <w:p>
      <w:pPr>
        <w:pStyle w:val="BodyText"/>
        <w:spacing w:line="249" w:lineRule="auto"/>
        <w:ind w:left="765" w:right="935"/>
      </w:pPr>
      <w:r>
        <w:rPr>
          <w:b/>
        </w:rPr>
        <w:t>Building Management and Works </w:t>
      </w:r>
      <w:r>
        <w:rPr/>
        <w:t>also managed the delivery of Challenger Institute of </w:t>
      </w:r>
      <w:r>
        <w:rPr>
          <w:spacing w:val="-3"/>
        </w:rPr>
        <w:t>Technology</w:t>
      </w:r>
      <w:r>
        <w:rPr>
          <w:spacing w:val="-26"/>
        </w:rPr>
        <w:t> </w:t>
      </w:r>
      <w:r>
        <w:rPr/>
        <w:t>Murdoch</w:t>
      </w:r>
      <w:r>
        <w:rPr>
          <w:spacing w:val="-26"/>
        </w:rPr>
        <w:t> </w:t>
      </w:r>
      <w:r>
        <w:rPr/>
        <w:t>(Stage</w:t>
      </w:r>
      <w:r>
        <w:rPr>
          <w:spacing w:val="-26"/>
        </w:rPr>
        <w:t> </w:t>
      </w:r>
      <w:r>
        <w:rPr/>
        <w:t>Four)</w:t>
      </w:r>
      <w:r>
        <w:rPr>
          <w:spacing w:val="-25"/>
        </w:rPr>
        <w:t> </w:t>
      </w:r>
      <w:r>
        <w:rPr/>
        <w:t>at</w:t>
      </w:r>
      <w:r>
        <w:rPr>
          <w:spacing w:val="-26"/>
        </w:rPr>
        <w:t> </w:t>
      </w:r>
      <w:r>
        <w:rPr/>
        <w:t>a</w:t>
      </w:r>
      <w:r>
        <w:rPr>
          <w:spacing w:val="-26"/>
        </w:rPr>
        <w:t> </w:t>
      </w:r>
      <w:r>
        <w:rPr/>
        <w:t>total</w:t>
      </w:r>
      <w:r>
        <w:rPr>
          <w:spacing w:val="-26"/>
        </w:rPr>
        <w:t> </w:t>
      </w:r>
      <w:r>
        <w:rPr/>
        <w:t>value of $46.7 million, plus the development of new basketball</w:t>
      </w:r>
      <w:r>
        <w:rPr>
          <w:spacing w:val="-28"/>
        </w:rPr>
        <w:t> </w:t>
      </w:r>
      <w:r>
        <w:rPr/>
        <w:t>and</w:t>
      </w:r>
      <w:r>
        <w:rPr>
          <w:spacing w:val="-27"/>
        </w:rPr>
        <w:t> </w:t>
      </w:r>
      <w:r>
        <w:rPr/>
        <w:t>football</w:t>
      </w:r>
      <w:r>
        <w:rPr>
          <w:spacing w:val="-27"/>
        </w:rPr>
        <w:t> </w:t>
      </w:r>
      <w:r>
        <w:rPr/>
        <w:t>facilities</w:t>
      </w:r>
      <w:r>
        <w:rPr>
          <w:spacing w:val="-27"/>
        </w:rPr>
        <w:t> </w:t>
      </w:r>
      <w:r>
        <w:rPr/>
        <w:t>and</w:t>
      </w:r>
      <w:r>
        <w:rPr>
          <w:spacing w:val="-27"/>
        </w:rPr>
        <w:t> </w:t>
      </w:r>
      <w:r>
        <w:rPr>
          <w:spacing w:val="-3"/>
        </w:rPr>
        <w:t>infrastructure </w:t>
      </w:r>
      <w:r>
        <w:rPr/>
        <w:t>upgrade</w:t>
      </w:r>
      <w:r>
        <w:rPr>
          <w:spacing w:val="-14"/>
        </w:rPr>
        <w:t> </w:t>
      </w:r>
      <w:r>
        <w:rPr/>
        <w:t>at</w:t>
      </w:r>
      <w:r>
        <w:rPr>
          <w:spacing w:val="-13"/>
        </w:rPr>
        <w:t> </w:t>
      </w:r>
      <w:r>
        <w:rPr/>
        <w:t>HBF</w:t>
      </w:r>
      <w:r>
        <w:rPr>
          <w:spacing w:val="-13"/>
        </w:rPr>
        <w:t> </w:t>
      </w:r>
      <w:r>
        <w:rPr/>
        <w:t>Arena</w:t>
      </w:r>
      <w:r>
        <w:rPr>
          <w:spacing w:val="-13"/>
        </w:rPr>
        <w:t> </w:t>
      </w:r>
      <w:r>
        <w:rPr/>
        <w:t>valued</w:t>
      </w:r>
      <w:r>
        <w:rPr>
          <w:spacing w:val="-13"/>
        </w:rPr>
        <w:t> </w:t>
      </w:r>
      <w:r>
        <w:rPr/>
        <w:t>at</w:t>
      </w:r>
      <w:r>
        <w:rPr>
          <w:spacing w:val="-13"/>
        </w:rPr>
        <w:t> </w:t>
      </w:r>
      <w:r>
        <w:rPr/>
        <w:t>$23.1</w:t>
      </w:r>
      <w:r>
        <w:rPr>
          <w:spacing w:val="-13"/>
        </w:rPr>
        <w:t> </w:t>
      </w:r>
      <w:r>
        <w:rPr/>
        <w:t>million.</w:t>
      </w:r>
    </w:p>
    <w:p>
      <w:pPr>
        <w:spacing w:after="0" w:line="249" w:lineRule="auto"/>
        <w:sectPr>
          <w:type w:val="continuous"/>
          <w:pgSz w:w="16840" w:h="11910" w:orient="landscape"/>
          <w:pgMar w:top="1100" w:bottom="280" w:left="0" w:right="0"/>
          <w:cols w:num="3" w:equalWidth="0">
            <w:col w:w="5585" w:space="40"/>
            <w:col w:w="4806" w:space="57"/>
            <w:col w:w="6352"/>
          </w:cols>
        </w:sectPr>
      </w:pPr>
    </w:p>
    <w:p>
      <w:pPr>
        <w:pStyle w:val="BodyText"/>
        <w:spacing w:before="9"/>
        <w:rPr>
          <w:sz w:val="13"/>
        </w:rPr>
      </w:pPr>
    </w:p>
    <w:p>
      <w:pPr>
        <w:spacing w:line="249" w:lineRule="auto" w:before="108"/>
        <w:ind w:left="765" w:right="11499" w:firstLine="0"/>
        <w:jc w:val="left"/>
        <w:rPr>
          <w:sz w:val="22"/>
        </w:rPr>
      </w:pPr>
      <w:r>
        <w:rPr/>
        <w:pict>
          <v:group style="position:absolute;margin-left:300.768005pt;margin-top:-122.205132pt;width:502.9pt;height:185.7pt;mso-position-horizontal-relative:page;mso-position-vertical-relative:paragraph;z-index:6544" coordorigin="6015,-2444" coordsize="10058,3714">
            <v:shape style="position:absolute;left:6015;top:-2445;width:10058;height:3714" type="#_x0000_t75" stroked="false">
              <v:imagedata r:id="rId99" o:title=""/>
            </v:shape>
            <v:shape style="position:absolute;left:13283;top:742;width:2580;height:435" type="#_x0000_t202" filled="true" fillcolor="#000101" stroked="false">
              <v:textbox inset="0,0,0,0">
                <w:txbxContent>
                  <w:p>
                    <w:pPr>
                      <w:spacing w:before="77"/>
                      <w:ind w:left="116" w:right="0" w:firstLine="0"/>
                      <w:jc w:val="left"/>
                      <w:rPr>
                        <w:b/>
                        <w:sz w:val="20"/>
                      </w:rPr>
                    </w:pPr>
                    <w:r>
                      <w:rPr>
                        <w:b/>
                        <w:color w:val="FFFFFF"/>
                        <w:sz w:val="20"/>
                      </w:rPr>
                      <w:t>Kalgoorlie Police Station</w:t>
                    </w:r>
                  </w:p>
                </w:txbxContent>
              </v:textbox>
              <v:fill opacity="32768f" type="solid"/>
              <w10:wrap type="none"/>
            </v:shape>
            <w10:wrap type="none"/>
          </v:group>
        </w:pict>
      </w:r>
      <w:r>
        <w:rPr>
          <w:b/>
          <w:sz w:val="22"/>
        </w:rPr>
        <w:t>Building Management and Works </w:t>
      </w:r>
      <w:r>
        <w:rPr>
          <w:sz w:val="22"/>
        </w:rPr>
        <w:t>also continued the successful delivery of the</w:t>
      </w:r>
    </w:p>
    <w:p>
      <w:pPr>
        <w:pStyle w:val="BodyText"/>
        <w:spacing w:line="249" w:lineRule="auto" w:before="2"/>
        <w:ind w:left="765" w:right="11499"/>
      </w:pPr>
      <w:r>
        <w:rPr/>
        <w:pict>
          <v:group style="position:absolute;margin-left:817.839111pt;margin-top:33.369469pt;width:24.1pt;height:41.55pt;mso-position-horizontal-relative:page;mso-position-vertical-relative:paragraph;z-index:6568" coordorigin="16357,667" coordsize="482,831">
            <v:shape style="position:absolute;left:16356;top:667;width:482;height:831" coordorigin="16357,667" coordsize="482,831" path="m16772,667l16697,674,16627,693,16562,724,16504,765,16454,815,16413,873,16383,938,16363,1008,16357,1083,16363,1157,16383,1227,16413,1292,16454,1350,16504,1400,16562,1441,16627,1472,16697,1491,16772,1498,16789,1497,16805,1496,16822,1494,16838,1492,16838,673,16822,671,16805,669,16789,668,16772,667xe" filled="true" fillcolor="#ffffff" stroked="false">
              <v:path arrowok="t"/>
              <v:fill type="solid"/>
            </v:shape>
            <v:shape style="position:absolute;left:16356;top:667;width:482;height:831" coordorigin="16357,667" coordsize="482,831" path="m16772,667l16697,674,16627,693,16562,724,16504,765,16454,815,16413,873,16383,938,16363,1008,16357,1083,16363,1157,16383,1227,16413,1292,16454,1350,16504,1400,16562,1441,16627,1472,16697,1491,16772,1498,16789,1497,16805,1496,16822,1494,16838,1492,16838,673,16822,671,16805,669,16789,668,16772,667xe" filled="true" fillcolor="#aebd37" stroked="false">
              <v:path arrowok="t"/>
              <v:fill opacity="13107f" type="solid"/>
            </v:shape>
            <v:shape style="position:absolute;left:16571;top:996;width:93;height:171" coordorigin="16571,997" coordsize="93,171" path="m16590,997l16582,997,16571,1007,16571,1015,16638,1082,16638,1084,16571,1150,16571,1158,16579,1166,16582,1167,16589,1167,16592,1166,16655,1103,16662,1093,16664,1084,16664,1082,16662,1072,16655,1062,16590,997xe" filled="true" fillcolor="#000000" stroked="false">
              <v:path arrowok="t"/>
              <v:fill type="solid"/>
            </v:shape>
            <w10:wrap type="none"/>
          </v:group>
        </w:pict>
      </w:r>
      <w:r>
        <w:rPr/>
        <w:pict>
          <v:group style="position:absolute;margin-left:0pt;margin-top:33.369469pt;width:24.1pt;height:41.55pt;mso-position-horizontal-relative:page;mso-position-vertical-relative:paragraph;z-index:6592" coordorigin="0,667" coordsize="482,831">
            <v:shape style="position:absolute;left:0;top:667;width:482;height:831" coordorigin="0,667" coordsize="482,831" path="m66,667l49,668,33,669,16,671,0,673,0,1492,16,1494,33,1496,49,1497,66,1498,140,1491,211,1472,275,1441,333,1400,383,1350,424,1292,455,1227,474,1157,481,1083,474,1008,455,938,424,873,383,815,333,765,275,724,211,693,140,674,66,667xe" filled="true" fillcolor="#ffffff" stroked="false">
              <v:path arrowok="t"/>
              <v:fill type="solid"/>
            </v:shape>
            <v:shape style="position:absolute;left:0;top:667;width:482;height:831" coordorigin="0,667" coordsize="482,831" path="m66,667l49,668,33,669,16,671,0,673,0,1492,16,1494,33,1496,49,1497,66,1498,140,1491,211,1472,275,1441,333,1400,383,1350,424,1292,455,1227,474,1157,481,1083,474,1008,455,938,424,873,383,815,333,765,275,724,211,693,140,674,66,667xe" filled="true" fillcolor="#aebd37" stroked="false">
              <v:path arrowok="t"/>
              <v:fill opacity="13107f" type="solid"/>
            </v:shape>
            <v:shape style="position:absolute;left:174;top:996;width:93;height:171" coordorigin="174,997" coordsize="93,171" path="m256,997l248,997,182,1062,176,1072,174,1082,174,1084,176,1093,182,1103,245,1166,249,1167,256,1167,259,1166,267,1158,267,1150,200,1084,200,1082,267,1015,267,1007,256,997xe" filled="true" fillcolor="#000000" stroked="false">
              <v:path arrowok="t"/>
              <v:fill type="solid"/>
            </v:shape>
            <w10:wrap type="none"/>
          </v:group>
        </w:pict>
      </w:r>
      <w:r>
        <w:rPr/>
        <w:t>$330 million Southern Inland Health Initiative capital works program, in collaboration with </w:t>
      </w:r>
      <w:r>
        <w:rPr>
          <w:spacing w:val="-6"/>
        </w:rPr>
        <w:t>the </w:t>
      </w:r>
      <w:r>
        <w:rPr/>
        <w:t>WA Country Health Service.</w:t>
      </w:r>
    </w:p>
    <w:p>
      <w:pPr>
        <w:tabs>
          <w:tab w:pos="10886" w:val="left" w:leader="none"/>
          <w:tab w:pos="11199" w:val="left" w:leader="none"/>
          <w:tab w:pos="15849" w:val="left" w:leader="none"/>
        </w:tabs>
        <w:spacing w:before="173"/>
        <w:ind w:left="765" w:right="0" w:firstLine="0"/>
        <w:jc w:val="left"/>
        <w:rPr>
          <w:b/>
          <w:sz w:val="20"/>
        </w:rPr>
      </w:pP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23</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7"/>
        <w:rPr>
          <w:b/>
          <w:sz w:val="24"/>
        </w:rPr>
      </w:pPr>
    </w:p>
    <w:p>
      <w:pPr>
        <w:spacing w:before="116"/>
        <w:ind w:left="1074" w:right="0" w:firstLine="0"/>
        <w:jc w:val="left"/>
        <w:rPr>
          <w:b/>
          <w:sz w:val="43"/>
        </w:rPr>
      </w:pPr>
      <w:r>
        <w:rPr/>
        <w:pict>
          <v:group style="position:absolute;margin-left:38.268002pt;margin-top:-7.314259pt;width:765.4pt;height:481.9pt;mso-position-horizontal-relative:page;mso-position-vertical-relative:paragraph;z-index:-705712" coordorigin="765,-146" coordsize="15308,9638">
            <v:rect style="position:absolute;left:765;top:-147;width:15308;height:9638" filled="true" fillcolor="#f0eee8" stroked="false">
              <v:fill type="solid"/>
            </v:rect>
            <v:shape style="position:absolute;left:6049;top:4802;width:9620;height:4275" type="#_x0000_t75" stroked="false">
              <v:imagedata r:id="rId101" o:title=""/>
            </v:shape>
            <w10:wrap type="none"/>
          </v:group>
        </w:pict>
      </w:r>
      <w:r>
        <w:rPr/>
        <w:pict>
          <v:shape style="position:absolute;margin-left:601.348999pt;margin-top:-69.422256pt;width:120.3pt;height:42.55pt;mso-position-horizontal-relative:page;mso-position-vertical-relative:paragraph;z-index:680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9.422256pt;width:120.3pt;height:42.55pt;mso-position-horizontal-relative:page;mso-position-vertical-relative:paragraph;z-index:683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9.422256pt;width:120.3pt;height:42.55pt;mso-position-horizontal-relative:page;mso-position-vertical-relative:paragraph;z-index:685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43"/>
        </w:rPr>
        <w:t>Perth (Optus) Stadium – A ‘Fans First’ Venue</w:t>
      </w:r>
    </w:p>
    <w:p>
      <w:pPr>
        <w:pStyle w:val="BodyText"/>
        <w:rPr>
          <w:b/>
          <w:sz w:val="14"/>
        </w:rPr>
      </w:pPr>
    </w:p>
    <w:p>
      <w:pPr>
        <w:spacing w:after="0"/>
        <w:rPr>
          <w:sz w:val="14"/>
        </w:rPr>
        <w:sectPr>
          <w:footerReference w:type="default" r:id="rId100"/>
          <w:pgSz w:w="16840" w:h="11910" w:orient="landscape"/>
          <w:pgMar w:footer="746" w:header="0" w:top="0" w:bottom="940" w:left="0" w:right="0"/>
        </w:sectPr>
      </w:pPr>
    </w:p>
    <w:p>
      <w:pPr>
        <w:pStyle w:val="BodyText"/>
        <w:spacing w:line="249" w:lineRule="auto" w:before="106"/>
        <w:ind w:left="1074" w:right="124"/>
      </w:pPr>
      <w:r>
        <w:rPr/>
        <w:pict>
          <v:shape style="position:absolute;margin-left:683.697021pt;margin-top:491.040009pt;width:93.75pt;height:33pt;mso-position-horizontal-relative:page;mso-position-vertical-relative:page;z-index:6880" type="#_x0000_t202" filled="true" fillcolor="#000101" stroked="false">
            <v:textbox inset="0,0,0,0">
              <w:txbxContent>
                <w:p>
                  <w:pPr>
                    <w:spacing w:before="198"/>
                    <w:ind w:left="224" w:right="0" w:firstLine="0"/>
                    <w:jc w:val="left"/>
                    <w:rPr>
                      <w:b/>
                      <w:sz w:val="20"/>
                    </w:rPr>
                  </w:pPr>
                  <w:r>
                    <w:rPr>
                      <w:b/>
                      <w:color w:val="FFFFFF"/>
                      <w:sz w:val="20"/>
                    </w:rPr>
                    <w:t>Optus Stadium</w:t>
                  </w:r>
                </w:p>
              </w:txbxContent>
            </v:textbox>
            <v:fill opacity="49152f" type="solid"/>
            <w10:wrap type="none"/>
          </v:shape>
        </w:pict>
      </w:r>
      <w:r>
        <w:rPr/>
        <w:t>On 1 January 2018, the Department officially delivered the new Optus Stadium and its surrounding</w:t>
      </w:r>
      <w:r>
        <w:rPr>
          <w:spacing w:val="-33"/>
        </w:rPr>
        <w:t> </w:t>
      </w:r>
      <w:r>
        <w:rPr/>
        <w:t>Stadium</w:t>
      </w:r>
      <w:r>
        <w:rPr>
          <w:spacing w:val="-33"/>
        </w:rPr>
        <w:t> </w:t>
      </w:r>
      <w:r>
        <w:rPr/>
        <w:t>Park</w:t>
      </w:r>
      <w:r>
        <w:rPr>
          <w:spacing w:val="-33"/>
        </w:rPr>
        <w:t> </w:t>
      </w:r>
      <w:r>
        <w:rPr/>
        <w:t>allowing</w:t>
      </w:r>
      <w:r>
        <w:rPr>
          <w:spacing w:val="-33"/>
        </w:rPr>
        <w:t> </w:t>
      </w:r>
      <w:r>
        <w:rPr/>
        <w:t>operations to</w:t>
      </w:r>
      <w:r>
        <w:rPr>
          <w:spacing w:val="-14"/>
        </w:rPr>
        <w:t> </w:t>
      </w:r>
      <w:r>
        <w:rPr/>
        <w:t>commence</w:t>
      </w:r>
      <w:r>
        <w:rPr>
          <w:spacing w:val="-13"/>
        </w:rPr>
        <w:t> </w:t>
      </w:r>
      <w:r>
        <w:rPr/>
        <w:t>two</w:t>
      </w:r>
      <w:r>
        <w:rPr>
          <w:spacing w:val="-13"/>
        </w:rPr>
        <w:t> </w:t>
      </w:r>
      <w:r>
        <w:rPr/>
        <w:t>months</w:t>
      </w:r>
      <w:r>
        <w:rPr>
          <w:spacing w:val="-13"/>
        </w:rPr>
        <w:t> </w:t>
      </w:r>
      <w:r>
        <w:rPr/>
        <w:t>ahead</w:t>
      </w:r>
      <w:r>
        <w:rPr>
          <w:spacing w:val="-14"/>
        </w:rPr>
        <w:t> </w:t>
      </w:r>
      <w:r>
        <w:rPr/>
        <w:t>of</w:t>
      </w:r>
      <w:r>
        <w:rPr>
          <w:spacing w:val="-13"/>
        </w:rPr>
        <w:t> </w:t>
      </w:r>
      <w:r>
        <w:rPr/>
        <w:t>schedule.</w:t>
      </w:r>
    </w:p>
    <w:p>
      <w:pPr>
        <w:pStyle w:val="BodyText"/>
        <w:spacing w:before="3"/>
        <w:rPr>
          <w:sz w:val="23"/>
        </w:rPr>
      </w:pPr>
    </w:p>
    <w:p>
      <w:pPr>
        <w:pStyle w:val="BodyText"/>
        <w:spacing w:line="249" w:lineRule="auto"/>
        <w:ind w:left="1074" w:right="-7"/>
      </w:pPr>
      <w:r>
        <w:rPr/>
        <w:t>Early completion allowed the Stadium to start generating revenue sooner than expected through cricket matches held in January and February</w:t>
      </w:r>
      <w:r>
        <w:rPr>
          <w:spacing w:val="-24"/>
        </w:rPr>
        <w:t> </w:t>
      </w:r>
      <w:r>
        <w:rPr/>
        <w:t>2018</w:t>
      </w:r>
      <w:r>
        <w:rPr>
          <w:spacing w:val="-23"/>
        </w:rPr>
        <w:t> </w:t>
      </w:r>
      <w:r>
        <w:rPr/>
        <w:t>–</w:t>
      </w:r>
      <w:r>
        <w:rPr>
          <w:spacing w:val="-24"/>
        </w:rPr>
        <w:t> </w:t>
      </w:r>
      <w:r>
        <w:rPr/>
        <w:t>one</w:t>
      </w:r>
      <w:r>
        <w:rPr>
          <w:spacing w:val="-23"/>
        </w:rPr>
        <w:t> </w:t>
      </w:r>
      <w:r>
        <w:rPr/>
        <w:t>cricket</w:t>
      </w:r>
      <w:r>
        <w:rPr>
          <w:spacing w:val="-23"/>
        </w:rPr>
        <w:t> </w:t>
      </w:r>
      <w:r>
        <w:rPr/>
        <w:t>season</w:t>
      </w:r>
      <w:r>
        <w:rPr>
          <w:spacing w:val="-24"/>
        </w:rPr>
        <w:t> </w:t>
      </w:r>
      <w:r>
        <w:rPr/>
        <w:t>earlier</w:t>
      </w:r>
      <w:r>
        <w:rPr>
          <w:spacing w:val="-23"/>
        </w:rPr>
        <w:t> </w:t>
      </w:r>
      <w:r>
        <w:rPr>
          <w:spacing w:val="-5"/>
        </w:rPr>
        <w:t>than </w:t>
      </w:r>
      <w:r>
        <w:rPr/>
        <w:t>the</w:t>
      </w:r>
      <w:r>
        <w:rPr>
          <w:spacing w:val="-21"/>
        </w:rPr>
        <w:t> </w:t>
      </w:r>
      <w:r>
        <w:rPr/>
        <w:t>original</w:t>
      </w:r>
      <w:r>
        <w:rPr>
          <w:spacing w:val="-20"/>
        </w:rPr>
        <w:t> </w:t>
      </w:r>
      <w:r>
        <w:rPr/>
        <w:t>schedule,</w:t>
      </w:r>
      <w:r>
        <w:rPr>
          <w:spacing w:val="-21"/>
        </w:rPr>
        <w:t> </w:t>
      </w:r>
      <w:r>
        <w:rPr/>
        <w:t>two</w:t>
      </w:r>
      <w:r>
        <w:rPr>
          <w:spacing w:val="-20"/>
        </w:rPr>
        <w:t> </w:t>
      </w:r>
      <w:r>
        <w:rPr/>
        <w:t>Ed</w:t>
      </w:r>
      <w:r>
        <w:rPr>
          <w:spacing w:val="-21"/>
        </w:rPr>
        <w:t> </w:t>
      </w:r>
      <w:r>
        <w:rPr/>
        <w:t>Sheeran</w:t>
      </w:r>
      <w:r>
        <w:rPr>
          <w:spacing w:val="-20"/>
        </w:rPr>
        <w:t> </w:t>
      </w:r>
      <w:r>
        <w:rPr/>
        <w:t>concerts and a National Rugby League (NRL) Double Header</w:t>
      </w:r>
      <w:r>
        <w:rPr>
          <w:spacing w:val="-17"/>
        </w:rPr>
        <w:t> </w:t>
      </w:r>
      <w:r>
        <w:rPr/>
        <w:t>in</w:t>
      </w:r>
      <w:r>
        <w:rPr>
          <w:spacing w:val="-17"/>
        </w:rPr>
        <w:t> </w:t>
      </w:r>
      <w:r>
        <w:rPr/>
        <w:t>March</w:t>
      </w:r>
      <w:r>
        <w:rPr>
          <w:spacing w:val="-17"/>
        </w:rPr>
        <w:t> </w:t>
      </w:r>
      <w:r>
        <w:rPr/>
        <w:t>2018;</w:t>
      </w:r>
      <w:r>
        <w:rPr>
          <w:spacing w:val="-17"/>
        </w:rPr>
        <w:t> </w:t>
      </w:r>
      <w:r>
        <w:rPr/>
        <w:t>all</w:t>
      </w:r>
      <w:r>
        <w:rPr>
          <w:spacing w:val="-17"/>
        </w:rPr>
        <w:t> </w:t>
      </w:r>
      <w:r>
        <w:rPr/>
        <w:t>ahead</w:t>
      </w:r>
      <w:r>
        <w:rPr>
          <w:spacing w:val="-17"/>
        </w:rPr>
        <w:t> </w:t>
      </w:r>
      <w:r>
        <w:rPr/>
        <w:t>of</w:t>
      </w:r>
      <w:r>
        <w:rPr>
          <w:spacing w:val="-17"/>
        </w:rPr>
        <w:t> </w:t>
      </w:r>
      <w:r>
        <w:rPr/>
        <w:t>the</w:t>
      </w:r>
      <w:r>
        <w:rPr>
          <w:spacing w:val="-17"/>
        </w:rPr>
        <w:t> </w:t>
      </w:r>
      <w:r>
        <w:rPr/>
        <w:t>original opening</w:t>
      </w:r>
      <w:r>
        <w:rPr>
          <w:spacing w:val="-14"/>
        </w:rPr>
        <w:t> </w:t>
      </w:r>
      <w:r>
        <w:rPr/>
        <w:t>target,</w:t>
      </w:r>
      <w:r>
        <w:rPr>
          <w:spacing w:val="-14"/>
        </w:rPr>
        <w:t> </w:t>
      </w:r>
      <w:r>
        <w:rPr/>
        <w:t>the</w:t>
      </w:r>
      <w:r>
        <w:rPr>
          <w:spacing w:val="-13"/>
        </w:rPr>
        <w:t> </w:t>
      </w:r>
      <w:r>
        <w:rPr/>
        <w:t>start</w:t>
      </w:r>
      <w:r>
        <w:rPr>
          <w:spacing w:val="-14"/>
        </w:rPr>
        <w:t> </w:t>
      </w:r>
      <w:r>
        <w:rPr/>
        <w:t>of</w:t>
      </w:r>
      <w:r>
        <w:rPr>
          <w:spacing w:val="-14"/>
        </w:rPr>
        <w:t> </w:t>
      </w:r>
      <w:r>
        <w:rPr/>
        <w:t>the</w:t>
      </w:r>
      <w:r>
        <w:rPr>
          <w:spacing w:val="-13"/>
        </w:rPr>
        <w:t> </w:t>
      </w:r>
      <w:r>
        <w:rPr/>
        <w:t>2018</w:t>
      </w:r>
      <w:r>
        <w:rPr>
          <w:spacing w:val="-14"/>
        </w:rPr>
        <w:t> </w:t>
      </w:r>
      <w:r>
        <w:rPr/>
        <w:t>Australian Football League (AFL)</w:t>
      </w:r>
      <w:r>
        <w:rPr>
          <w:spacing w:val="-17"/>
        </w:rPr>
        <w:t> </w:t>
      </w:r>
      <w:r>
        <w:rPr/>
        <w:t>season.</w:t>
      </w:r>
    </w:p>
    <w:p>
      <w:pPr>
        <w:pStyle w:val="BodyText"/>
        <w:spacing w:before="8"/>
        <w:rPr>
          <w:sz w:val="23"/>
        </w:rPr>
      </w:pPr>
    </w:p>
    <w:p>
      <w:pPr>
        <w:pStyle w:val="BodyText"/>
        <w:spacing w:line="249" w:lineRule="auto"/>
        <w:ind w:left="1074" w:right="70"/>
      </w:pPr>
      <w:r>
        <w:rPr/>
        <w:t>Given the Stadium Project delivered scope elements</w:t>
      </w:r>
      <w:r>
        <w:rPr>
          <w:spacing w:val="-15"/>
        </w:rPr>
        <w:t> </w:t>
      </w:r>
      <w:r>
        <w:rPr/>
        <w:t>that</w:t>
      </w:r>
      <w:r>
        <w:rPr>
          <w:spacing w:val="-15"/>
        </w:rPr>
        <w:t> </w:t>
      </w:r>
      <w:r>
        <w:rPr/>
        <w:t>were</w:t>
      </w:r>
      <w:r>
        <w:rPr>
          <w:spacing w:val="-15"/>
        </w:rPr>
        <w:t> </w:t>
      </w:r>
      <w:r>
        <w:rPr/>
        <w:t>not</w:t>
      </w:r>
      <w:r>
        <w:rPr>
          <w:spacing w:val="-15"/>
        </w:rPr>
        <w:t> </w:t>
      </w:r>
      <w:r>
        <w:rPr/>
        <w:t>included</w:t>
      </w:r>
      <w:r>
        <w:rPr>
          <w:spacing w:val="-14"/>
        </w:rPr>
        <w:t> </w:t>
      </w:r>
      <w:r>
        <w:rPr/>
        <w:t>in</w:t>
      </w:r>
      <w:r>
        <w:rPr>
          <w:spacing w:val="-15"/>
        </w:rPr>
        <w:t> </w:t>
      </w:r>
      <w:r>
        <w:rPr/>
        <w:t>the</w:t>
      </w:r>
      <w:r>
        <w:rPr>
          <w:spacing w:val="-15"/>
        </w:rPr>
        <w:t> </w:t>
      </w:r>
      <w:r>
        <w:rPr/>
        <w:t>Project Definition</w:t>
      </w:r>
      <w:r>
        <w:rPr>
          <w:spacing w:val="-26"/>
        </w:rPr>
        <w:t> </w:t>
      </w:r>
      <w:r>
        <w:rPr/>
        <w:t>Plan</w:t>
      </w:r>
      <w:r>
        <w:rPr>
          <w:spacing w:val="-25"/>
        </w:rPr>
        <w:t> </w:t>
      </w:r>
      <w:r>
        <w:rPr/>
        <w:t>(including</w:t>
      </w:r>
      <w:r>
        <w:rPr>
          <w:spacing w:val="-25"/>
        </w:rPr>
        <w:t> </w:t>
      </w:r>
      <w:r>
        <w:rPr/>
        <w:t>those</w:t>
      </w:r>
      <w:r>
        <w:rPr>
          <w:spacing w:val="-25"/>
        </w:rPr>
        <w:t> </w:t>
      </w:r>
      <w:r>
        <w:rPr/>
        <w:t>that</w:t>
      </w:r>
      <w:r>
        <w:rPr>
          <w:spacing w:val="-25"/>
        </w:rPr>
        <w:t> </w:t>
      </w:r>
      <w:r>
        <w:rPr/>
        <w:t>increased the revenue potential of the Stadium), these time</w:t>
      </w:r>
      <w:r>
        <w:rPr>
          <w:spacing w:val="-21"/>
        </w:rPr>
        <w:t> </w:t>
      </w:r>
      <w:r>
        <w:rPr/>
        <w:t>and</w:t>
      </w:r>
      <w:r>
        <w:rPr>
          <w:spacing w:val="-21"/>
        </w:rPr>
        <w:t> </w:t>
      </w:r>
      <w:r>
        <w:rPr/>
        <w:t>cost</w:t>
      </w:r>
      <w:r>
        <w:rPr>
          <w:spacing w:val="-21"/>
        </w:rPr>
        <w:t> </w:t>
      </w:r>
      <w:r>
        <w:rPr/>
        <w:t>outcomes</w:t>
      </w:r>
      <w:r>
        <w:rPr>
          <w:spacing w:val="-21"/>
        </w:rPr>
        <w:t> </w:t>
      </w:r>
      <w:r>
        <w:rPr/>
        <w:t>represent</w:t>
      </w:r>
      <w:r>
        <w:rPr>
          <w:spacing w:val="-21"/>
        </w:rPr>
        <w:t> </w:t>
      </w:r>
      <w:r>
        <w:rPr/>
        <w:t>a</w:t>
      </w:r>
      <w:r>
        <w:rPr>
          <w:spacing w:val="-21"/>
        </w:rPr>
        <w:t> </w:t>
      </w:r>
      <w:r>
        <w:rPr/>
        <w:t>significant achievement, particularly for a project of this magnitude.</w:t>
      </w:r>
    </w:p>
    <w:p>
      <w:pPr>
        <w:pStyle w:val="BodyText"/>
        <w:spacing w:before="6"/>
        <w:rPr>
          <w:sz w:val="23"/>
        </w:rPr>
      </w:pPr>
    </w:p>
    <w:p>
      <w:pPr>
        <w:spacing w:before="0"/>
        <w:ind w:left="1074" w:right="0" w:firstLine="0"/>
        <w:jc w:val="left"/>
        <w:rPr>
          <w:b/>
          <w:sz w:val="22"/>
        </w:rPr>
      </w:pPr>
      <w:r>
        <w:rPr>
          <w:b/>
          <w:color w:val="6F2770"/>
          <w:sz w:val="22"/>
        </w:rPr>
        <w:t>Stakeholder Engagement</w:t>
      </w:r>
    </w:p>
    <w:p>
      <w:pPr>
        <w:pStyle w:val="BodyText"/>
        <w:spacing w:line="249" w:lineRule="auto" w:before="11"/>
        <w:ind w:left="1074" w:right="206"/>
      </w:pPr>
      <w:r>
        <w:rPr/>
        <w:t>The</w:t>
      </w:r>
      <w:r>
        <w:rPr>
          <w:spacing w:val="-38"/>
        </w:rPr>
        <w:t> </w:t>
      </w:r>
      <w:r>
        <w:rPr/>
        <w:t>overarching</w:t>
      </w:r>
      <w:r>
        <w:rPr>
          <w:spacing w:val="-38"/>
        </w:rPr>
        <w:t> </w:t>
      </w:r>
      <w:r>
        <w:rPr/>
        <w:t>Stakeholder</w:t>
      </w:r>
      <w:r>
        <w:rPr>
          <w:spacing w:val="-38"/>
        </w:rPr>
        <w:t> </w:t>
      </w:r>
      <w:r>
        <w:rPr/>
        <w:t>and</w:t>
      </w:r>
      <w:r>
        <w:rPr>
          <w:spacing w:val="-38"/>
        </w:rPr>
        <w:t> </w:t>
      </w:r>
      <w:r>
        <w:rPr/>
        <w:t>Community Engagement</w:t>
      </w:r>
      <w:r>
        <w:rPr>
          <w:spacing w:val="-28"/>
        </w:rPr>
        <w:t> </w:t>
      </w:r>
      <w:r>
        <w:rPr/>
        <w:t>Strategy</w:t>
      </w:r>
      <w:r>
        <w:rPr>
          <w:spacing w:val="-27"/>
        </w:rPr>
        <w:t> </w:t>
      </w:r>
      <w:r>
        <w:rPr/>
        <w:t>was</w:t>
      </w:r>
      <w:r>
        <w:rPr>
          <w:spacing w:val="-27"/>
        </w:rPr>
        <w:t> </w:t>
      </w:r>
      <w:r>
        <w:rPr/>
        <w:t>delivered</w:t>
      </w:r>
      <w:r>
        <w:rPr>
          <w:spacing w:val="-27"/>
        </w:rPr>
        <w:t> </w:t>
      </w:r>
      <w:r>
        <w:rPr/>
        <w:t>through open,</w:t>
      </w:r>
      <w:r>
        <w:rPr>
          <w:spacing w:val="-27"/>
        </w:rPr>
        <w:t> </w:t>
      </w:r>
      <w:r>
        <w:rPr/>
        <w:t>transparent</w:t>
      </w:r>
      <w:r>
        <w:rPr>
          <w:spacing w:val="-26"/>
        </w:rPr>
        <w:t> </w:t>
      </w:r>
      <w:r>
        <w:rPr/>
        <w:t>and</w:t>
      </w:r>
      <w:r>
        <w:rPr>
          <w:spacing w:val="-26"/>
        </w:rPr>
        <w:t> </w:t>
      </w:r>
      <w:r>
        <w:rPr/>
        <w:t>inclusive</w:t>
      </w:r>
      <w:r>
        <w:rPr>
          <w:spacing w:val="-27"/>
        </w:rPr>
        <w:t> </w:t>
      </w:r>
      <w:r>
        <w:rPr/>
        <w:t>engagement practices including a structured approach enabling</w:t>
      </w:r>
      <w:r>
        <w:rPr>
          <w:spacing w:val="-32"/>
        </w:rPr>
        <w:t> </w:t>
      </w:r>
      <w:r>
        <w:rPr/>
        <w:t>significant</w:t>
      </w:r>
      <w:r>
        <w:rPr>
          <w:spacing w:val="-31"/>
        </w:rPr>
        <w:t> </w:t>
      </w:r>
      <w:r>
        <w:rPr/>
        <w:t>stakeholder</w:t>
      </w:r>
      <w:r>
        <w:rPr>
          <w:spacing w:val="-31"/>
        </w:rPr>
        <w:t> </w:t>
      </w:r>
      <w:r>
        <w:rPr/>
        <w:t>involvement in planning, design and delivery of the Stadium</w:t>
      </w:r>
      <w:r>
        <w:rPr>
          <w:spacing w:val="-1"/>
        </w:rPr>
        <w:t> </w:t>
      </w:r>
      <w:r>
        <w:rPr/>
        <w:t>Project.</w:t>
      </w:r>
    </w:p>
    <w:p>
      <w:pPr>
        <w:pStyle w:val="BodyText"/>
        <w:spacing w:line="249" w:lineRule="auto" w:before="106"/>
        <w:ind w:left="435" w:right="-3"/>
      </w:pPr>
      <w:r>
        <w:rPr/>
        <w:br w:type="column"/>
      </w:r>
      <w:r>
        <w:rPr/>
        <w:t>Key</w:t>
      </w:r>
      <w:r>
        <w:rPr>
          <w:spacing w:val="-19"/>
        </w:rPr>
        <w:t> </w:t>
      </w:r>
      <w:r>
        <w:rPr/>
        <w:t>stakeholders</w:t>
      </w:r>
      <w:r>
        <w:rPr>
          <w:spacing w:val="-19"/>
        </w:rPr>
        <w:t> </w:t>
      </w:r>
      <w:r>
        <w:rPr/>
        <w:t>and</w:t>
      </w:r>
      <w:r>
        <w:rPr>
          <w:spacing w:val="-19"/>
        </w:rPr>
        <w:t> </w:t>
      </w:r>
      <w:r>
        <w:rPr/>
        <w:t>the</w:t>
      </w:r>
      <w:r>
        <w:rPr>
          <w:spacing w:val="-19"/>
        </w:rPr>
        <w:t> </w:t>
      </w:r>
      <w:r>
        <w:rPr/>
        <w:t>wider</w:t>
      </w:r>
      <w:r>
        <w:rPr>
          <w:spacing w:val="-18"/>
        </w:rPr>
        <w:t> </w:t>
      </w:r>
      <w:r>
        <w:rPr/>
        <w:t>community</w:t>
      </w:r>
      <w:r>
        <w:rPr>
          <w:spacing w:val="-19"/>
        </w:rPr>
        <w:t> </w:t>
      </w:r>
      <w:r>
        <w:rPr>
          <w:spacing w:val="-8"/>
        </w:rPr>
        <w:t>were </w:t>
      </w:r>
      <w:r>
        <w:rPr/>
        <w:t>actively engaged during the delivery phase of the</w:t>
      </w:r>
      <w:r>
        <w:rPr>
          <w:spacing w:val="-21"/>
        </w:rPr>
        <w:t> </w:t>
      </w:r>
      <w:r>
        <w:rPr/>
        <w:t>Stadium</w:t>
      </w:r>
      <w:r>
        <w:rPr>
          <w:spacing w:val="-20"/>
        </w:rPr>
        <w:t> </w:t>
      </w:r>
      <w:r>
        <w:rPr/>
        <w:t>Project.</w:t>
      </w:r>
      <w:r>
        <w:rPr>
          <w:spacing w:val="-20"/>
        </w:rPr>
        <w:t> </w:t>
      </w:r>
      <w:r>
        <w:rPr/>
        <w:t>Consultation</w:t>
      </w:r>
      <w:r>
        <w:rPr>
          <w:spacing w:val="-20"/>
        </w:rPr>
        <w:t> </w:t>
      </w:r>
      <w:r>
        <w:rPr/>
        <w:t>with</w:t>
      </w:r>
      <w:r>
        <w:rPr>
          <w:spacing w:val="-20"/>
        </w:rPr>
        <w:t> </w:t>
      </w:r>
      <w:r>
        <w:rPr/>
        <w:t>nine</w:t>
      </w:r>
      <w:r>
        <w:rPr>
          <w:spacing w:val="-20"/>
        </w:rPr>
        <w:t> </w:t>
      </w:r>
      <w:r>
        <w:rPr/>
        <w:t>user groups representing end users of the Stadium, including sporting codes, media, emergency services, as well as people with disabilities and WA</w:t>
      </w:r>
      <w:r>
        <w:rPr>
          <w:spacing w:val="-7"/>
        </w:rPr>
        <w:t> </w:t>
      </w:r>
      <w:r>
        <w:rPr/>
        <w:t>sports</w:t>
      </w:r>
      <w:r>
        <w:rPr>
          <w:spacing w:val="-7"/>
        </w:rPr>
        <w:t> </w:t>
      </w:r>
      <w:r>
        <w:rPr/>
        <w:t>fans,</w:t>
      </w:r>
      <w:r>
        <w:rPr>
          <w:spacing w:val="-7"/>
        </w:rPr>
        <w:t> </w:t>
      </w:r>
      <w:r>
        <w:rPr/>
        <w:t>was</w:t>
      </w:r>
      <w:r>
        <w:rPr>
          <w:spacing w:val="-7"/>
        </w:rPr>
        <w:t> </w:t>
      </w:r>
      <w:r>
        <w:rPr/>
        <w:t>integral</w:t>
      </w:r>
      <w:r>
        <w:rPr>
          <w:spacing w:val="-7"/>
        </w:rPr>
        <w:t> </w:t>
      </w:r>
      <w:r>
        <w:rPr/>
        <w:t>to</w:t>
      </w:r>
      <w:r>
        <w:rPr>
          <w:spacing w:val="-6"/>
        </w:rPr>
        <w:t> </w:t>
      </w:r>
      <w:r>
        <w:rPr/>
        <w:t>the</w:t>
      </w:r>
      <w:r>
        <w:rPr>
          <w:spacing w:val="-7"/>
        </w:rPr>
        <w:t> </w:t>
      </w:r>
      <w:r>
        <w:rPr/>
        <w:t>project.</w:t>
      </w:r>
    </w:p>
    <w:p>
      <w:pPr>
        <w:pStyle w:val="BodyText"/>
        <w:spacing w:line="249" w:lineRule="auto" w:before="177"/>
        <w:ind w:left="435" w:right="253"/>
      </w:pPr>
      <w:r>
        <w:rPr/>
        <w:t>Engagement</w:t>
      </w:r>
      <w:r>
        <w:rPr>
          <w:spacing w:val="-27"/>
        </w:rPr>
        <w:t> </w:t>
      </w:r>
      <w:r>
        <w:rPr/>
        <w:t>with</w:t>
      </w:r>
      <w:r>
        <w:rPr>
          <w:spacing w:val="-26"/>
        </w:rPr>
        <w:t> </w:t>
      </w:r>
      <w:r>
        <w:rPr/>
        <w:t>the</w:t>
      </w:r>
      <w:r>
        <w:rPr>
          <w:spacing w:val="-26"/>
        </w:rPr>
        <w:t> </w:t>
      </w:r>
      <w:r>
        <w:rPr/>
        <w:t>Whadjuk</w:t>
      </w:r>
      <w:r>
        <w:rPr>
          <w:spacing w:val="-27"/>
        </w:rPr>
        <w:t> </w:t>
      </w:r>
      <w:r>
        <w:rPr/>
        <w:t>Working</w:t>
      </w:r>
      <w:r>
        <w:rPr>
          <w:spacing w:val="-26"/>
        </w:rPr>
        <w:t> </w:t>
      </w:r>
      <w:r>
        <w:rPr>
          <w:spacing w:val="-4"/>
        </w:rPr>
        <w:t>Party, </w:t>
      </w:r>
      <w:r>
        <w:rPr/>
        <w:t>representing the Traditional Owners of the Burswood Peninsula site, was formalised through</w:t>
      </w:r>
      <w:r>
        <w:rPr>
          <w:spacing w:val="-33"/>
        </w:rPr>
        <w:t> </w:t>
      </w:r>
      <w:r>
        <w:rPr/>
        <w:t>the</w:t>
      </w:r>
      <w:r>
        <w:rPr>
          <w:spacing w:val="-33"/>
        </w:rPr>
        <w:t> </w:t>
      </w:r>
      <w:r>
        <w:rPr>
          <w:spacing w:val="-3"/>
        </w:rPr>
        <w:t>Stadium’s</w:t>
      </w:r>
      <w:r>
        <w:rPr>
          <w:spacing w:val="-33"/>
        </w:rPr>
        <w:t> </w:t>
      </w:r>
      <w:r>
        <w:rPr/>
        <w:t>Aboriginal</w:t>
      </w:r>
      <w:r>
        <w:rPr>
          <w:spacing w:val="-33"/>
        </w:rPr>
        <w:t> </w:t>
      </w:r>
      <w:r>
        <w:rPr/>
        <w:t>Engagement </w:t>
      </w:r>
      <w:r>
        <w:rPr>
          <w:spacing w:val="-3"/>
        </w:rPr>
        <w:t>Strategy, </w:t>
      </w:r>
      <w:r>
        <w:rPr/>
        <w:t>which recognised the</w:t>
      </w:r>
      <w:r>
        <w:rPr>
          <w:spacing w:val="-29"/>
        </w:rPr>
        <w:t> </w:t>
      </w:r>
      <w:r>
        <w:rPr/>
        <w:t>Whadjuk</w:t>
      </w:r>
    </w:p>
    <w:p>
      <w:pPr>
        <w:pStyle w:val="BodyText"/>
        <w:spacing w:line="249" w:lineRule="auto" w:before="106"/>
        <w:ind w:left="329" w:right="1354"/>
      </w:pPr>
      <w:r>
        <w:rPr/>
        <w:br w:type="column"/>
      </w:r>
      <w:r>
        <w:rPr>
          <w:spacing w:val="-4"/>
        </w:rPr>
        <w:t>people’s </w:t>
      </w:r>
      <w:r>
        <w:rPr/>
        <w:t>traditional ties to the land and identified</w:t>
      </w:r>
      <w:r>
        <w:rPr>
          <w:spacing w:val="-22"/>
        </w:rPr>
        <w:t> </w:t>
      </w:r>
      <w:r>
        <w:rPr/>
        <w:t>opportunities</w:t>
      </w:r>
      <w:r>
        <w:rPr>
          <w:spacing w:val="-22"/>
        </w:rPr>
        <w:t> </w:t>
      </w:r>
      <w:r>
        <w:rPr/>
        <w:t>to</w:t>
      </w:r>
      <w:r>
        <w:rPr>
          <w:spacing w:val="-22"/>
        </w:rPr>
        <w:t> </w:t>
      </w:r>
      <w:r>
        <w:rPr/>
        <w:t>encourage</w:t>
      </w:r>
      <w:r>
        <w:rPr>
          <w:spacing w:val="-22"/>
        </w:rPr>
        <w:t> </w:t>
      </w:r>
      <w:r>
        <w:rPr/>
        <w:t>business and</w:t>
      </w:r>
      <w:r>
        <w:rPr>
          <w:spacing w:val="-27"/>
        </w:rPr>
        <w:t> </w:t>
      </w:r>
      <w:r>
        <w:rPr/>
        <w:t>employment</w:t>
      </w:r>
      <w:r>
        <w:rPr>
          <w:spacing w:val="-26"/>
        </w:rPr>
        <w:t> </w:t>
      </w:r>
      <w:r>
        <w:rPr/>
        <w:t>participation</w:t>
      </w:r>
      <w:r>
        <w:rPr>
          <w:spacing w:val="-26"/>
        </w:rPr>
        <w:t> </w:t>
      </w:r>
      <w:r>
        <w:rPr/>
        <w:t>by</w:t>
      </w:r>
      <w:r>
        <w:rPr>
          <w:spacing w:val="-26"/>
        </w:rPr>
        <w:t> </w:t>
      </w:r>
      <w:r>
        <w:rPr/>
        <w:t>the</w:t>
      </w:r>
      <w:r>
        <w:rPr>
          <w:spacing w:val="-26"/>
        </w:rPr>
        <w:t> </w:t>
      </w:r>
      <w:r>
        <w:rPr/>
        <w:t>Aboriginal community during the planning, design and construction</w:t>
      </w:r>
      <w:r>
        <w:rPr>
          <w:spacing w:val="-10"/>
        </w:rPr>
        <w:t> </w:t>
      </w:r>
      <w:r>
        <w:rPr/>
        <w:t>phases</w:t>
      </w:r>
      <w:r>
        <w:rPr>
          <w:spacing w:val="-10"/>
        </w:rPr>
        <w:t> </w:t>
      </w:r>
      <w:r>
        <w:rPr/>
        <w:t>of</w:t>
      </w:r>
      <w:r>
        <w:rPr>
          <w:spacing w:val="-9"/>
        </w:rPr>
        <w:t> </w:t>
      </w:r>
      <w:r>
        <w:rPr/>
        <w:t>the</w:t>
      </w:r>
      <w:r>
        <w:rPr>
          <w:spacing w:val="-10"/>
        </w:rPr>
        <w:t> </w:t>
      </w:r>
      <w:r>
        <w:rPr/>
        <w:t>Stadium</w:t>
      </w:r>
      <w:r>
        <w:rPr>
          <w:spacing w:val="-9"/>
        </w:rPr>
        <w:t> </w:t>
      </w:r>
      <w:r>
        <w:rPr/>
        <w:t>Project.</w:t>
      </w:r>
    </w:p>
    <w:p>
      <w:pPr>
        <w:pStyle w:val="BodyText"/>
        <w:spacing w:line="249" w:lineRule="auto" w:before="232"/>
        <w:ind w:left="329" w:right="1284"/>
      </w:pPr>
      <w:r>
        <w:rPr/>
        <w:t>The Strategy was formally executed by representatives of the Whadjuk Working </w:t>
      </w:r>
      <w:r>
        <w:rPr>
          <w:spacing w:val="-4"/>
        </w:rPr>
        <w:t>Party, </w:t>
      </w:r>
      <w:r>
        <w:rPr/>
        <w:t>South West Aboriginal Land and Sea Council and</w:t>
      </w:r>
      <w:r>
        <w:rPr>
          <w:spacing w:val="-16"/>
        </w:rPr>
        <w:t> </w:t>
      </w:r>
      <w:r>
        <w:rPr/>
        <w:t>the</w:t>
      </w:r>
      <w:r>
        <w:rPr>
          <w:spacing w:val="-15"/>
        </w:rPr>
        <w:t> </w:t>
      </w:r>
      <w:r>
        <w:rPr/>
        <w:t>co-chairs</w:t>
      </w:r>
      <w:r>
        <w:rPr>
          <w:spacing w:val="-15"/>
        </w:rPr>
        <w:t> </w:t>
      </w:r>
      <w:r>
        <w:rPr/>
        <w:t>of</w:t>
      </w:r>
      <w:r>
        <w:rPr>
          <w:spacing w:val="-15"/>
        </w:rPr>
        <w:t> </w:t>
      </w:r>
      <w:r>
        <w:rPr/>
        <w:t>the</w:t>
      </w:r>
      <w:r>
        <w:rPr>
          <w:spacing w:val="-16"/>
        </w:rPr>
        <w:t> </w:t>
      </w:r>
      <w:r>
        <w:rPr/>
        <w:t>Perth</w:t>
      </w:r>
      <w:r>
        <w:rPr>
          <w:spacing w:val="-15"/>
        </w:rPr>
        <w:t> </w:t>
      </w:r>
      <w:r>
        <w:rPr/>
        <w:t>Stadium</w:t>
      </w:r>
      <w:r>
        <w:rPr>
          <w:spacing w:val="-15"/>
        </w:rPr>
        <w:t> </w:t>
      </w:r>
      <w:r>
        <w:rPr>
          <w:spacing w:val="-3"/>
        </w:rPr>
        <w:t>Steering </w:t>
      </w:r>
      <w:r>
        <w:rPr/>
        <w:t>Committee in June 2015. It has since been adopted</w:t>
      </w:r>
      <w:r>
        <w:rPr>
          <w:spacing w:val="-18"/>
        </w:rPr>
        <w:t> </w:t>
      </w:r>
      <w:r>
        <w:rPr/>
        <w:t>as</w:t>
      </w:r>
      <w:r>
        <w:rPr>
          <w:spacing w:val="-17"/>
        </w:rPr>
        <w:t> </w:t>
      </w:r>
      <w:r>
        <w:rPr/>
        <w:t>a</w:t>
      </w:r>
      <w:r>
        <w:rPr>
          <w:spacing w:val="-17"/>
        </w:rPr>
        <w:t> </w:t>
      </w:r>
      <w:r>
        <w:rPr/>
        <w:t>model</w:t>
      </w:r>
      <w:r>
        <w:rPr>
          <w:spacing w:val="-18"/>
        </w:rPr>
        <w:t> </w:t>
      </w:r>
      <w:r>
        <w:rPr/>
        <w:t>for</w:t>
      </w:r>
      <w:r>
        <w:rPr>
          <w:spacing w:val="-17"/>
        </w:rPr>
        <w:t> </w:t>
      </w:r>
      <w:r>
        <w:rPr/>
        <w:t>Aboriginal</w:t>
      </w:r>
      <w:r>
        <w:rPr>
          <w:spacing w:val="-17"/>
        </w:rPr>
        <w:t> </w:t>
      </w:r>
      <w:r>
        <w:rPr/>
        <w:t>engagement on other major infrastructure</w:t>
      </w:r>
      <w:r>
        <w:rPr>
          <w:spacing w:val="-21"/>
        </w:rPr>
        <w:t> </w:t>
      </w:r>
      <w:r>
        <w:rPr/>
        <w:t>projects.</w:t>
      </w:r>
    </w:p>
    <w:p>
      <w:pPr>
        <w:spacing w:after="0" w:line="249" w:lineRule="auto"/>
        <w:sectPr>
          <w:type w:val="continuous"/>
          <w:pgSz w:w="16840" w:h="11910" w:orient="landscape"/>
          <w:pgMar w:top="1100" w:bottom="280" w:left="0" w:right="0"/>
          <w:cols w:num="3" w:equalWidth="0">
            <w:col w:w="5575" w:space="40"/>
            <w:col w:w="5040" w:space="39"/>
            <w:col w:w="6146"/>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02"/>
          <w:pgSz w:w="16840" w:h="11910" w:orient="landscape"/>
          <w:pgMar w:footer="746" w:header="0" w:top="0" w:bottom="940" w:left="0" w:right="0"/>
        </w:sectPr>
      </w:pPr>
    </w:p>
    <w:p>
      <w:pPr>
        <w:pStyle w:val="BodyText"/>
        <w:spacing w:before="11"/>
        <w:rPr>
          <w:sz w:val="20"/>
        </w:rPr>
      </w:pPr>
    </w:p>
    <w:p>
      <w:pPr>
        <w:spacing w:before="0"/>
        <w:ind w:left="1119" w:right="0" w:firstLine="0"/>
        <w:jc w:val="left"/>
        <w:rPr>
          <w:b/>
          <w:sz w:val="22"/>
        </w:rPr>
      </w:pPr>
      <w:r>
        <w:rPr/>
        <w:pict>
          <v:group style="position:absolute;margin-left:38.268002pt;margin-top:-51.214233pt;width:765.4pt;height:481.9pt;mso-position-horizontal-relative:page;mso-position-vertical-relative:paragraph;z-index:-705472" coordorigin="765,-1024" coordsize="15308,9638">
            <v:rect style="position:absolute;left:765;top:-1025;width:15308;height:9638" filled="true" fillcolor="#f0eee8" stroked="false">
              <v:fill type="solid"/>
            </v:rect>
            <v:shape style="position:absolute;left:6109;top:3773;width:9620;height:4426" type="#_x0000_t75" stroked="false">
              <v:imagedata r:id="rId103" o:title=""/>
            </v:shape>
            <v:shape style="position:absolute;left:1119;top:556;width:199;height:199" type="#_x0000_t75" stroked="false">
              <v:imagedata r:id="rId104" o:title=""/>
            </v:shape>
            <v:shape style="position:absolute;left:6094;top:29;width:199;height:199" type="#_x0000_t75" stroked="false">
              <v:imagedata r:id="rId105" o:title=""/>
            </v:shape>
            <v:shape style="position:absolute;left:11069;top:29;width:199;height:199" type="#_x0000_t75" stroked="false">
              <v:imagedata r:id="rId105" o:title=""/>
            </v:shape>
            <v:shape style="position:absolute;left:11069;top:2138;width:199;height:199" type="#_x0000_t75" stroked="false">
              <v:imagedata r:id="rId105" o:title=""/>
            </v:shape>
            <v:shape style="position:absolute;left:6094;top:1084;width:199;height:199" type="#_x0000_t75" stroked="false">
              <v:imagedata r:id="rId106" o:title=""/>
            </v:shape>
            <v:shape style="position:absolute;left:6094;top:1877;width:199;height:199" type="#_x0000_t75" stroked="false">
              <v:imagedata r:id="rId107" o:title=""/>
            </v:shape>
            <v:shape style="position:absolute;left:1119;top:1026;width:199;height:199" type="#_x0000_t75" stroked="false">
              <v:imagedata r:id="rId108" o:title=""/>
            </v:shape>
            <v:shape style="position:absolute;left:1119;top:1797;width:199;height:199" type="#_x0000_t75" stroked="false">
              <v:imagedata r:id="rId90" o:title=""/>
            </v:shape>
            <v:shape style="position:absolute;left:1119;top:2832;width:199;height:199" type="#_x0000_t75" stroked="false">
              <v:imagedata r:id="rId96" o:title=""/>
            </v:shape>
            <v:shape style="position:absolute;left:1119;top:3566;width:199;height:199" type="#_x0000_t75" stroked="false">
              <v:imagedata r:id="rId109" o:title=""/>
            </v:shape>
            <v:shape style="position:absolute;left:1119;top:4053;width:199;height:199" type="#_x0000_t75" stroked="false">
              <v:imagedata r:id="rId90" o:title=""/>
            </v:shape>
            <v:shape style="position:absolute;left:1119;top:4560;width:199;height:199" type="#_x0000_t75" stroked="false">
              <v:imagedata r:id="rId110" o:title=""/>
            </v:shape>
            <v:shape style="position:absolute;left:1119;top:5308;width:199;height:199" type="#_x0000_t75" stroked="false">
              <v:imagedata r:id="rId110" o:title=""/>
            </v:shape>
            <v:shape style="position:absolute;left:1119;top:6342;width:199;height:199" type="#_x0000_t75" stroked="false">
              <v:imagedata r:id="rId96" o:title=""/>
            </v:shape>
            <v:shape style="position:absolute;left:1119;top:7362;width:199;height:199" type="#_x0000_t75" stroked="false">
              <v:imagedata r:id="rId90" o:title=""/>
            </v:shape>
            <w10:wrap type="none"/>
          </v:group>
        </w:pict>
      </w:r>
      <w:r>
        <w:rPr/>
        <w:pict>
          <v:shape style="position:absolute;margin-left:360.811798pt;margin-top:-113.322235pt;width:120.3pt;height:42.55pt;mso-position-horizontal-relative:page;mso-position-vertical-relative:paragraph;z-index:707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113.322235pt;width:120.3pt;height:42.55pt;mso-position-horizontal-relative:page;mso-position-vertical-relative:paragraph;z-index:709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22"/>
        </w:rPr>
        <w:t>Key Stadium Features</w:t>
      </w:r>
    </w:p>
    <w:p>
      <w:pPr>
        <w:pStyle w:val="BodyText"/>
        <w:spacing w:before="10"/>
        <w:rPr>
          <w:b/>
          <w:sz w:val="23"/>
        </w:rPr>
      </w:pPr>
    </w:p>
    <w:p>
      <w:pPr>
        <w:pStyle w:val="BodyText"/>
        <w:ind w:left="1425"/>
      </w:pPr>
      <w:r>
        <w:rPr/>
        <w:t>Five levels;</w:t>
      </w:r>
    </w:p>
    <w:p>
      <w:pPr>
        <w:pStyle w:val="BodyText"/>
        <w:spacing w:before="8"/>
        <w:rPr>
          <w:sz w:val="20"/>
        </w:rPr>
      </w:pPr>
    </w:p>
    <w:p>
      <w:pPr>
        <w:pStyle w:val="BodyText"/>
        <w:spacing w:line="249" w:lineRule="auto"/>
        <w:ind w:left="1425" w:right="113"/>
      </w:pPr>
      <w:r>
        <w:rPr>
          <w:spacing w:val="-3"/>
        </w:rPr>
        <w:t>60,000</w:t>
      </w:r>
      <w:r>
        <w:rPr>
          <w:spacing w:val="-22"/>
        </w:rPr>
        <w:t> </w:t>
      </w:r>
      <w:r>
        <w:rPr>
          <w:spacing w:val="-3"/>
        </w:rPr>
        <w:t>seats</w:t>
      </w:r>
      <w:r>
        <w:rPr>
          <w:spacing w:val="-21"/>
        </w:rPr>
        <w:t> </w:t>
      </w:r>
      <w:r>
        <w:rPr/>
        <w:t>in</w:t>
      </w:r>
      <w:r>
        <w:rPr>
          <w:spacing w:val="-21"/>
        </w:rPr>
        <w:t> </w:t>
      </w:r>
      <w:r>
        <w:rPr>
          <w:spacing w:val="-2"/>
        </w:rPr>
        <w:t>AFL</w:t>
      </w:r>
      <w:r>
        <w:rPr>
          <w:spacing w:val="-22"/>
        </w:rPr>
        <w:t> </w:t>
      </w:r>
      <w:r>
        <w:rPr/>
        <w:t>mode</w:t>
      </w:r>
      <w:r>
        <w:rPr>
          <w:spacing w:val="-21"/>
        </w:rPr>
        <w:t> </w:t>
      </w:r>
      <w:r>
        <w:rPr/>
        <w:t>with</w:t>
      </w:r>
      <w:r>
        <w:rPr>
          <w:spacing w:val="-21"/>
        </w:rPr>
        <w:t> </w:t>
      </w:r>
      <w:r>
        <w:rPr/>
        <w:t>an</w:t>
      </w:r>
      <w:r>
        <w:rPr>
          <w:spacing w:val="-22"/>
        </w:rPr>
        <w:t> </w:t>
      </w:r>
      <w:r>
        <w:rPr>
          <w:spacing w:val="-3"/>
        </w:rPr>
        <w:t>additional 5,000</w:t>
      </w:r>
      <w:r>
        <w:rPr>
          <w:spacing w:val="-14"/>
        </w:rPr>
        <w:t> </w:t>
      </w:r>
      <w:r>
        <w:rPr>
          <w:spacing w:val="-3"/>
        </w:rPr>
        <w:t>drop-in</w:t>
      </w:r>
      <w:r>
        <w:rPr>
          <w:spacing w:val="-14"/>
        </w:rPr>
        <w:t> </w:t>
      </w:r>
      <w:r>
        <w:rPr>
          <w:spacing w:val="-3"/>
        </w:rPr>
        <w:t>seats</w:t>
      </w:r>
      <w:r>
        <w:rPr>
          <w:spacing w:val="-14"/>
        </w:rPr>
        <w:t> </w:t>
      </w:r>
      <w:r>
        <w:rPr>
          <w:spacing w:val="-3"/>
        </w:rPr>
        <w:t>for</w:t>
      </w:r>
      <w:r>
        <w:rPr>
          <w:spacing w:val="-14"/>
        </w:rPr>
        <w:t> </w:t>
      </w:r>
      <w:r>
        <w:rPr/>
        <w:t>rectangular</w:t>
      </w:r>
      <w:r>
        <w:rPr>
          <w:spacing w:val="-13"/>
        </w:rPr>
        <w:t> </w:t>
      </w:r>
      <w:r>
        <w:rPr>
          <w:spacing w:val="-3"/>
        </w:rPr>
        <w:t>sports;</w:t>
      </w:r>
    </w:p>
    <w:p>
      <w:pPr>
        <w:pStyle w:val="BodyText"/>
        <w:spacing w:line="249" w:lineRule="auto" w:before="229"/>
        <w:ind w:left="1425" w:right="133"/>
      </w:pPr>
      <w:r>
        <w:rPr>
          <w:spacing w:val="-3"/>
        </w:rPr>
        <w:t>Provision</w:t>
      </w:r>
      <w:r>
        <w:rPr>
          <w:spacing w:val="-23"/>
        </w:rPr>
        <w:t> </w:t>
      </w:r>
      <w:r>
        <w:rPr>
          <w:spacing w:val="-3"/>
        </w:rPr>
        <w:t>for</w:t>
      </w:r>
      <w:r>
        <w:rPr>
          <w:spacing w:val="-23"/>
        </w:rPr>
        <w:t> </w:t>
      </w:r>
      <w:r>
        <w:rPr>
          <w:spacing w:val="-3"/>
        </w:rPr>
        <w:t>future</w:t>
      </w:r>
      <w:r>
        <w:rPr>
          <w:spacing w:val="-23"/>
        </w:rPr>
        <w:t> </w:t>
      </w:r>
      <w:r>
        <w:rPr>
          <w:spacing w:val="-3"/>
        </w:rPr>
        <w:t>expansion</w:t>
      </w:r>
      <w:r>
        <w:rPr>
          <w:spacing w:val="-23"/>
        </w:rPr>
        <w:t> </w:t>
      </w:r>
      <w:r>
        <w:rPr>
          <w:spacing w:val="-4"/>
        </w:rPr>
        <w:t>to</w:t>
      </w:r>
      <w:r>
        <w:rPr>
          <w:spacing w:val="-23"/>
        </w:rPr>
        <w:t> </w:t>
      </w:r>
      <w:r>
        <w:rPr>
          <w:spacing w:val="-5"/>
        </w:rPr>
        <w:t>70,000</w:t>
      </w:r>
      <w:r>
        <w:rPr>
          <w:spacing w:val="-23"/>
        </w:rPr>
        <w:t> </w:t>
      </w:r>
      <w:r>
        <w:rPr>
          <w:spacing w:val="-2"/>
        </w:rPr>
        <w:t>AFL </w:t>
      </w:r>
      <w:r>
        <w:rPr/>
        <w:t>mode </w:t>
      </w:r>
      <w:r>
        <w:rPr>
          <w:spacing w:val="-3"/>
        </w:rPr>
        <w:t>seats </w:t>
      </w:r>
      <w:r>
        <w:rPr/>
        <w:t>or more </w:t>
      </w:r>
      <w:r>
        <w:rPr>
          <w:spacing w:val="-3"/>
        </w:rPr>
        <w:t>(without removing </w:t>
      </w:r>
      <w:r>
        <w:rPr>
          <w:spacing w:val="-2"/>
        </w:rPr>
        <w:t>the </w:t>
      </w:r>
      <w:r>
        <w:rPr>
          <w:spacing w:val="-3"/>
        </w:rPr>
        <w:t>roof</w:t>
      </w:r>
      <w:r>
        <w:rPr>
          <w:spacing w:val="-6"/>
        </w:rPr>
        <w:t> </w:t>
      </w:r>
      <w:r>
        <w:rPr>
          <w:spacing w:val="-4"/>
        </w:rPr>
        <w:t>structure);</w:t>
      </w:r>
    </w:p>
    <w:p>
      <w:pPr>
        <w:pStyle w:val="BodyText"/>
        <w:spacing w:line="249" w:lineRule="auto" w:before="229"/>
        <w:ind w:left="1425" w:right="234"/>
      </w:pPr>
      <w:r>
        <w:rPr/>
        <w:t>Striking</w:t>
      </w:r>
      <w:r>
        <w:rPr>
          <w:spacing w:val="-32"/>
        </w:rPr>
        <w:t> </w:t>
      </w:r>
      <w:r>
        <w:rPr>
          <w:spacing w:val="-3"/>
        </w:rPr>
        <w:t>bronze</w:t>
      </w:r>
      <w:r>
        <w:rPr>
          <w:spacing w:val="-31"/>
        </w:rPr>
        <w:t> </w:t>
      </w:r>
      <w:r>
        <w:rPr/>
        <w:t>façade</w:t>
      </w:r>
      <w:r>
        <w:rPr>
          <w:spacing w:val="-32"/>
        </w:rPr>
        <w:t> </w:t>
      </w:r>
      <w:r>
        <w:rPr>
          <w:spacing w:val="-3"/>
        </w:rPr>
        <w:t>reflecting</w:t>
      </w:r>
      <w:r>
        <w:rPr>
          <w:spacing w:val="-31"/>
        </w:rPr>
        <w:t> </w:t>
      </w:r>
      <w:r>
        <w:rPr>
          <w:spacing w:val="-2"/>
        </w:rPr>
        <w:t>the</w:t>
      </w:r>
      <w:r>
        <w:rPr>
          <w:spacing w:val="-32"/>
        </w:rPr>
        <w:t> </w:t>
      </w:r>
      <w:r>
        <w:rPr>
          <w:spacing w:val="-6"/>
        </w:rPr>
        <w:t>State’s </w:t>
      </w:r>
      <w:r>
        <w:rPr/>
        <w:t>geology;</w:t>
      </w:r>
    </w:p>
    <w:p>
      <w:pPr>
        <w:pStyle w:val="BodyText"/>
        <w:spacing w:before="229"/>
        <w:ind w:left="1425"/>
      </w:pPr>
      <w:r>
        <w:rPr/>
        <w:t>A light weight ‘halo’ roof;</w:t>
      </w:r>
    </w:p>
    <w:p>
      <w:pPr>
        <w:pStyle w:val="BodyText"/>
        <w:spacing w:before="8"/>
        <w:rPr>
          <w:sz w:val="20"/>
        </w:rPr>
      </w:pPr>
    </w:p>
    <w:p>
      <w:pPr>
        <w:pStyle w:val="BodyText"/>
        <w:ind w:left="1425"/>
      </w:pPr>
      <w:r>
        <w:rPr/>
        <w:t>85</w:t>
      </w:r>
      <w:r>
        <w:rPr>
          <w:spacing w:val="-17"/>
        </w:rPr>
        <w:t> </w:t>
      </w:r>
      <w:r>
        <w:rPr/>
        <w:t>per</w:t>
      </w:r>
      <w:r>
        <w:rPr>
          <w:spacing w:val="-16"/>
        </w:rPr>
        <w:t> </w:t>
      </w:r>
      <w:r>
        <w:rPr/>
        <w:t>cent</w:t>
      </w:r>
      <w:r>
        <w:rPr>
          <w:spacing w:val="-17"/>
        </w:rPr>
        <w:t> </w:t>
      </w:r>
      <w:r>
        <w:rPr>
          <w:spacing w:val="-3"/>
        </w:rPr>
        <w:t>of</w:t>
      </w:r>
      <w:r>
        <w:rPr>
          <w:spacing w:val="-16"/>
        </w:rPr>
        <w:t> </w:t>
      </w:r>
      <w:r>
        <w:rPr>
          <w:spacing w:val="-3"/>
        </w:rPr>
        <w:t>seats</w:t>
      </w:r>
      <w:r>
        <w:rPr>
          <w:spacing w:val="-16"/>
        </w:rPr>
        <w:t> </w:t>
      </w:r>
      <w:r>
        <w:rPr/>
        <w:t>behind</w:t>
      </w:r>
      <w:r>
        <w:rPr>
          <w:spacing w:val="-17"/>
        </w:rPr>
        <w:t> </w:t>
      </w:r>
      <w:r>
        <w:rPr>
          <w:spacing w:val="-2"/>
        </w:rPr>
        <w:t>the</w:t>
      </w:r>
      <w:r>
        <w:rPr>
          <w:spacing w:val="-16"/>
        </w:rPr>
        <w:t> </w:t>
      </w:r>
      <w:r>
        <w:rPr>
          <w:spacing w:val="-3"/>
        </w:rPr>
        <w:t>roof</w:t>
      </w:r>
      <w:r>
        <w:rPr>
          <w:spacing w:val="-16"/>
        </w:rPr>
        <w:t> </w:t>
      </w:r>
      <w:r>
        <w:rPr/>
        <w:t>drip</w:t>
      </w:r>
      <w:r>
        <w:rPr>
          <w:spacing w:val="-17"/>
        </w:rPr>
        <w:t> </w:t>
      </w:r>
      <w:r>
        <w:rPr>
          <w:spacing w:val="-4"/>
        </w:rPr>
        <w:t>line;</w:t>
      </w:r>
    </w:p>
    <w:p>
      <w:pPr>
        <w:pStyle w:val="BodyText"/>
        <w:spacing w:before="7"/>
        <w:rPr>
          <w:sz w:val="20"/>
        </w:rPr>
      </w:pPr>
    </w:p>
    <w:p>
      <w:pPr>
        <w:pStyle w:val="BodyText"/>
        <w:spacing w:line="249" w:lineRule="auto" w:before="1"/>
        <w:ind w:left="1425" w:right="-8"/>
      </w:pPr>
      <w:r>
        <w:rPr>
          <w:spacing w:val="-3"/>
        </w:rPr>
        <w:t>State-of-the-art</w:t>
      </w:r>
      <w:r>
        <w:rPr>
          <w:spacing w:val="-21"/>
        </w:rPr>
        <w:t> </w:t>
      </w:r>
      <w:r>
        <w:rPr>
          <w:spacing w:val="-3"/>
        </w:rPr>
        <w:t>LED</w:t>
      </w:r>
      <w:r>
        <w:rPr>
          <w:spacing w:val="-21"/>
        </w:rPr>
        <w:t> </w:t>
      </w:r>
      <w:r>
        <w:rPr>
          <w:spacing w:val="-3"/>
        </w:rPr>
        <w:t>lights</w:t>
      </w:r>
      <w:r>
        <w:rPr>
          <w:spacing w:val="-21"/>
        </w:rPr>
        <w:t> </w:t>
      </w:r>
      <w:r>
        <w:rPr/>
        <w:t>able</w:t>
      </w:r>
      <w:r>
        <w:rPr>
          <w:spacing w:val="-21"/>
        </w:rPr>
        <w:t> </w:t>
      </w:r>
      <w:r>
        <w:rPr>
          <w:spacing w:val="-4"/>
        </w:rPr>
        <w:t>to</w:t>
      </w:r>
      <w:r>
        <w:rPr>
          <w:spacing w:val="-20"/>
        </w:rPr>
        <w:t> </w:t>
      </w:r>
      <w:r>
        <w:rPr>
          <w:spacing w:val="-3"/>
        </w:rPr>
        <w:t>show</w:t>
      </w:r>
      <w:r>
        <w:rPr>
          <w:spacing w:val="-21"/>
        </w:rPr>
        <w:t> </w:t>
      </w:r>
      <w:r>
        <w:rPr/>
        <w:t>home </w:t>
      </w:r>
      <w:r>
        <w:rPr>
          <w:spacing w:val="-3"/>
        </w:rPr>
        <w:t>team </w:t>
      </w:r>
      <w:r>
        <w:rPr/>
        <w:t>colours </w:t>
      </w:r>
      <w:r>
        <w:rPr>
          <w:spacing w:val="-3"/>
        </w:rPr>
        <w:t>by</w:t>
      </w:r>
      <w:r>
        <w:rPr>
          <w:spacing w:val="-16"/>
        </w:rPr>
        <w:t> </w:t>
      </w:r>
      <w:r>
        <w:rPr>
          <w:spacing w:val="-4"/>
        </w:rPr>
        <w:t>night;</w:t>
      </w:r>
    </w:p>
    <w:p>
      <w:pPr>
        <w:pStyle w:val="BodyText"/>
        <w:spacing w:line="249" w:lineRule="auto" w:before="228"/>
        <w:ind w:left="1425" w:right="63"/>
      </w:pPr>
      <w:r>
        <w:rPr/>
        <w:t>The two biggest </w:t>
      </w:r>
      <w:r>
        <w:rPr>
          <w:spacing w:val="-3"/>
        </w:rPr>
        <w:t>stadium </w:t>
      </w:r>
      <w:r>
        <w:rPr/>
        <w:t>screens in </w:t>
      </w:r>
      <w:r>
        <w:rPr>
          <w:spacing w:val="-2"/>
        </w:rPr>
        <w:t>the </w:t>
      </w:r>
      <w:r>
        <w:rPr/>
        <w:t>southern</w:t>
      </w:r>
      <w:r>
        <w:rPr>
          <w:spacing w:val="-42"/>
        </w:rPr>
        <w:t> </w:t>
      </w:r>
      <w:r>
        <w:rPr>
          <w:spacing w:val="-3"/>
        </w:rPr>
        <w:t>hemisphere,</w:t>
      </w:r>
      <w:r>
        <w:rPr>
          <w:spacing w:val="-42"/>
        </w:rPr>
        <w:t> </w:t>
      </w:r>
      <w:r>
        <w:rPr/>
        <w:t>measuring</w:t>
      </w:r>
      <w:r>
        <w:rPr>
          <w:spacing w:val="-42"/>
        </w:rPr>
        <w:t> </w:t>
      </w:r>
      <w:r>
        <w:rPr/>
        <w:t>340</w:t>
      </w:r>
      <w:r>
        <w:rPr>
          <w:spacing w:val="-41"/>
        </w:rPr>
        <w:t> </w:t>
      </w:r>
      <w:r>
        <w:rPr>
          <w:spacing w:val="-3"/>
        </w:rPr>
        <w:t>square metres</w:t>
      </w:r>
      <w:r>
        <w:rPr>
          <w:spacing w:val="-6"/>
        </w:rPr>
        <w:t> </w:t>
      </w:r>
      <w:r>
        <w:rPr>
          <w:spacing w:val="-5"/>
        </w:rPr>
        <w:t>each;</w:t>
      </w:r>
    </w:p>
    <w:p>
      <w:pPr>
        <w:pStyle w:val="BodyText"/>
        <w:spacing w:line="249" w:lineRule="auto" w:before="230"/>
        <w:ind w:left="1425" w:right="108"/>
      </w:pPr>
      <w:r>
        <w:rPr>
          <w:spacing w:val="-3"/>
        </w:rPr>
        <w:t>Five</w:t>
      </w:r>
      <w:r>
        <w:rPr>
          <w:spacing w:val="-22"/>
        </w:rPr>
        <w:t> </w:t>
      </w:r>
      <w:r>
        <w:rPr>
          <w:spacing w:val="-3"/>
        </w:rPr>
        <w:t>team</w:t>
      </w:r>
      <w:r>
        <w:rPr>
          <w:spacing w:val="-21"/>
        </w:rPr>
        <w:t> </w:t>
      </w:r>
      <w:r>
        <w:rPr/>
        <w:t>changing</w:t>
      </w:r>
      <w:r>
        <w:rPr>
          <w:spacing w:val="-21"/>
        </w:rPr>
        <w:t> </w:t>
      </w:r>
      <w:r>
        <w:rPr>
          <w:spacing w:val="-3"/>
        </w:rPr>
        <w:t>rooms</w:t>
      </w:r>
      <w:r>
        <w:rPr>
          <w:spacing w:val="-21"/>
        </w:rPr>
        <w:t> </w:t>
      </w:r>
      <w:r>
        <w:rPr>
          <w:spacing w:val="-3"/>
        </w:rPr>
        <w:t>(two</w:t>
      </w:r>
      <w:r>
        <w:rPr>
          <w:spacing w:val="-21"/>
        </w:rPr>
        <w:t> </w:t>
      </w:r>
      <w:r>
        <w:rPr>
          <w:spacing w:val="-3"/>
        </w:rPr>
        <w:t>dedicated</w:t>
      </w:r>
      <w:r>
        <w:rPr>
          <w:spacing w:val="-21"/>
        </w:rPr>
        <w:t> </w:t>
      </w:r>
      <w:r>
        <w:rPr>
          <w:spacing w:val="-4"/>
        </w:rPr>
        <w:t>to </w:t>
      </w:r>
      <w:r>
        <w:rPr/>
        <w:t>local </w:t>
      </w:r>
      <w:r>
        <w:rPr>
          <w:spacing w:val="-2"/>
        </w:rPr>
        <w:t>AFL </w:t>
      </w:r>
      <w:r>
        <w:rPr>
          <w:spacing w:val="-5"/>
        </w:rPr>
        <w:t>teams), </w:t>
      </w:r>
      <w:r>
        <w:rPr/>
        <w:t>plus </w:t>
      </w:r>
      <w:r>
        <w:rPr>
          <w:spacing w:val="-3"/>
        </w:rPr>
        <w:t>additional </w:t>
      </w:r>
      <w:r>
        <w:rPr/>
        <w:t>changing </w:t>
      </w:r>
      <w:r>
        <w:rPr>
          <w:spacing w:val="-3"/>
        </w:rPr>
        <w:t>rooms</w:t>
      </w:r>
      <w:r>
        <w:rPr>
          <w:spacing w:val="-22"/>
        </w:rPr>
        <w:t> </w:t>
      </w:r>
      <w:r>
        <w:rPr>
          <w:spacing w:val="-3"/>
        </w:rPr>
        <w:t>for</w:t>
      </w:r>
      <w:r>
        <w:rPr>
          <w:spacing w:val="-21"/>
        </w:rPr>
        <w:t> </w:t>
      </w:r>
      <w:r>
        <w:rPr/>
        <w:t>officials</w:t>
      </w:r>
      <w:r>
        <w:rPr>
          <w:spacing w:val="-21"/>
        </w:rPr>
        <w:t> </w:t>
      </w:r>
      <w:r>
        <w:rPr/>
        <w:t>and</w:t>
      </w:r>
      <w:r>
        <w:rPr>
          <w:spacing w:val="-21"/>
        </w:rPr>
        <w:t> </w:t>
      </w:r>
      <w:r>
        <w:rPr/>
        <w:t>concert</w:t>
      </w:r>
      <w:r>
        <w:rPr>
          <w:spacing w:val="-21"/>
        </w:rPr>
        <w:t> </w:t>
      </w:r>
      <w:r>
        <w:rPr/>
        <w:t>performers;</w:t>
      </w:r>
    </w:p>
    <w:p>
      <w:pPr>
        <w:pStyle w:val="BodyText"/>
        <w:spacing w:line="249" w:lineRule="auto" w:before="229"/>
        <w:ind w:left="1425" w:right="-11"/>
      </w:pPr>
      <w:r>
        <w:rPr>
          <w:spacing w:val="-3"/>
        </w:rPr>
        <w:t>Facilities for cricket including </w:t>
      </w:r>
      <w:r>
        <w:rPr/>
        <w:t>five </w:t>
      </w:r>
      <w:r>
        <w:rPr>
          <w:spacing w:val="-3"/>
        </w:rPr>
        <w:t>drop-in cricket </w:t>
      </w:r>
      <w:r>
        <w:rPr>
          <w:spacing w:val="-4"/>
        </w:rPr>
        <w:t>wickets to </w:t>
      </w:r>
      <w:r>
        <w:rPr>
          <w:spacing w:val="-3"/>
        </w:rPr>
        <w:t>accommodate International </w:t>
      </w:r>
      <w:r>
        <w:rPr>
          <w:spacing w:val="-7"/>
        </w:rPr>
        <w:t>Test </w:t>
      </w:r>
      <w:r>
        <w:rPr>
          <w:spacing w:val="-3"/>
        </w:rPr>
        <w:t>Cricket </w:t>
      </w:r>
      <w:r>
        <w:rPr>
          <w:spacing w:val="-4"/>
        </w:rPr>
        <w:t>matches;</w:t>
      </w:r>
    </w:p>
    <w:p>
      <w:pPr>
        <w:pStyle w:val="BodyText"/>
        <w:spacing w:before="11"/>
        <w:rPr>
          <w:sz w:val="20"/>
        </w:rPr>
      </w:pPr>
      <w:r>
        <w:rPr/>
        <w:br w:type="column"/>
      </w:r>
      <w:r>
        <w:rPr>
          <w:sz w:val="20"/>
        </w:rPr>
      </w:r>
    </w:p>
    <w:p>
      <w:pPr>
        <w:pStyle w:val="BodyText"/>
        <w:spacing w:line="249" w:lineRule="auto"/>
        <w:ind w:left="691" w:right="188"/>
      </w:pPr>
      <w:r>
        <w:rPr/>
        <w:t>Wide range </w:t>
      </w:r>
      <w:r>
        <w:rPr>
          <w:spacing w:val="-3"/>
        </w:rPr>
        <w:t>of </w:t>
      </w:r>
      <w:r>
        <w:rPr/>
        <w:t>premium </w:t>
      </w:r>
      <w:r>
        <w:rPr>
          <w:spacing w:val="-3"/>
        </w:rPr>
        <w:t>product facilities (that</w:t>
      </w:r>
      <w:r>
        <w:rPr>
          <w:spacing w:val="-21"/>
        </w:rPr>
        <w:t> </w:t>
      </w:r>
      <w:r>
        <w:rPr/>
        <w:t>can</w:t>
      </w:r>
      <w:r>
        <w:rPr>
          <w:spacing w:val="-21"/>
        </w:rPr>
        <w:t> </w:t>
      </w:r>
      <w:r>
        <w:rPr/>
        <w:t>be</w:t>
      </w:r>
      <w:r>
        <w:rPr>
          <w:spacing w:val="-20"/>
        </w:rPr>
        <w:t> </w:t>
      </w:r>
      <w:r>
        <w:rPr/>
        <w:t>used</w:t>
      </w:r>
      <w:r>
        <w:rPr>
          <w:spacing w:val="-21"/>
        </w:rPr>
        <w:t> </w:t>
      </w:r>
      <w:r>
        <w:rPr>
          <w:spacing w:val="-3"/>
        </w:rPr>
        <w:t>for</w:t>
      </w:r>
      <w:r>
        <w:rPr>
          <w:spacing w:val="-20"/>
        </w:rPr>
        <w:t> </w:t>
      </w:r>
      <w:r>
        <w:rPr>
          <w:spacing w:val="-3"/>
        </w:rPr>
        <w:t>functions</w:t>
      </w:r>
      <w:r>
        <w:rPr>
          <w:spacing w:val="-21"/>
        </w:rPr>
        <w:t> </w:t>
      </w:r>
      <w:r>
        <w:rPr/>
        <w:t>in</w:t>
      </w:r>
      <w:r>
        <w:rPr>
          <w:spacing w:val="-21"/>
        </w:rPr>
        <w:t> </w:t>
      </w:r>
      <w:r>
        <w:rPr>
          <w:spacing w:val="-3"/>
        </w:rPr>
        <w:t>non-event </w:t>
      </w:r>
      <w:r>
        <w:rPr>
          <w:spacing w:val="-5"/>
        </w:rPr>
        <w:t>mode);</w:t>
      </w:r>
    </w:p>
    <w:p>
      <w:pPr>
        <w:pStyle w:val="BodyText"/>
        <w:spacing w:before="2"/>
        <w:rPr>
          <w:sz w:val="23"/>
        </w:rPr>
      </w:pPr>
    </w:p>
    <w:p>
      <w:pPr>
        <w:pStyle w:val="BodyText"/>
        <w:spacing w:line="249" w:lineRule="auto"/>
        <w:ind w:left="691" w:right="273"/>
      </w:pPr>
      <w:r>
        <w:rPr/>
        <w:t>More</w:t>
      </w:r>
      <w:r>
        <w:rPr>
          <w:spacing w:val="-22"/>
        </w:rPr>
        <w:t> </w:t>
      </w:r>
      <w:r>
        <w:rPr/>
        <w:t>than</w:t>
      </w:r>
      <w:r>
        <w:rPr>
          <w:spacing w:val="-21"/>
        </w:rPr>
        <w:t> </w:t>
      </w:r>
      <w:r>
        <w:rPr/>
        <w:t>50</w:t>
      </w:r>
      <w:r>
        <w:rPr>
          <w:spacing w:val="-21"/>
        </w:rPr>
        <w:t> </w:t>
      </w:r>
      <w:r>
        <w:rPr>
          <w:spacing w:val="-3"/>
        </w:rPr>
        <w:t>food</w:t>
      </w:r>
      <w:r>
        <w:rPr>
          <w:spacing w:val="-21"/>
        </w:rPr>
        <w:t> </w:t>
      </w:r>
      <w:r>
        <w:rPr/>
        <w:t>and</w:t>
      </w:r>
      <w:r>
        <w:rPr>
          <w:spacing w:val="-21"/>
        </w:rPr>
        <w:t> </w:t>
      </w:r>
      <w:r>
        <w:rPr>
          <w:spacing w:val="-3"/>
        </w:rPr>
        <w:t>beverage</w:t>
      </w:r>
      <w:r>
        <w:rPr>
          <w:spacing w:val="-21"/>
        </w:rPr>
        <w:t> </w:t>
      </w:r>
      <w:r>
        <w:rPr>
          <w:spacing w:val="-3"/>
        </w:rPr>
        <w:t>outlets</w:t>
      </w:r>
      <w:r>
        <w:rPr>
          <w:spacing w:val="-21"/>
        </w:rPr>
        <w:t> </w:t>
      </w:r>
      <w:r>
        <w:rPr>
          <w:spacing w:val="-3"/>
        </w:rPr>
        <w:t>in event</w:t>
      </w:r>
      <w:r>
        <w:rPr>
          <w:spacing w:val="-6"/>
        </w:rPr>
        <w:t> </w:t>
      </w:r>
      <w:r>
        <w:rPr>
          <w:spacing w:val="-3"/>
        </w:rPr>
        <w:t>mode;</w:t>
      </w:r>
    </w:p>
    <w:p>
      <w:pPr>
        <w:pStyle w:val="BodyText"/>
        <w:spacing w:before="2"/>
        <w:rPr>
          <w:sz w:val="23"/>
        </w:rPr>
      </w:pPr>
    </w:p>
    <w:p>
      <w:pPr>
        <w:pStyle w:val="BodyText"/>
        <w:spacing w:line="249" w:lineRule="auto"/>
        <w:ind w:left="691" w:right="-8"/>
      </w:pPr>
      <w:r>
        <w:rPr/>
        <w:t>A 300 </w:t>
      </w:r>
      <w:r>
        <w:rPr>
          <w:spacing w:val="-3"/>
        </w:rPr>
        <w:t>metres </w:t>
      </w:r>
      <w:r>
        <w:rPr/>
        <w:t>long arbour </w:t>
      </w:r>
      <w:r>
        <w:rPr>
          <w:spacing w:val="-3"/>
        </w:rPr>
        <w:t>that reflects </w:t>
      </w:r>
      <w:r>
        <w:rPr/>
        <w:t>Aboriginal</w:t>
      </w:r>
      <w:r>
        <w:rPr>
          <w:spacing w:val="-27"/>
        </w:rPr>
        <w:t> </w:t>
      </w:r>
      <w:r>
        <w:rPr>
          <w:spacing w:val="-3"/>
        </w:rPr>
        <w:t>stories</w:t>
      </w:r>
      <w:r>
        <w:rPr>
          <w:spacing w:val="-26"/>
        </w:rPr>
        <w:t> </w:t>
      </w:r>
      <w:r>
        <w:rPr/>
        <w:t>in</w:t>
      </w:r>
      <w:r>
        <w:rPr>
          <w:spacing w:val="-26"/>
        </w:rPr>
        <w:t> </w:t>
      </w:r>
      <w:r>
        <w:rPr>
          <w:spacing w:val="-3"/>
        </w:rPr>
        <w:t>its</w:t>
      </w:r>
      <w:r>
        <w:rPr>
          <w:spacing w:val="-27"/>
        </w:rPr>
        <w:t> </w:t>
      </w:r>
      <w:r>
        <w:rPr/>
        <w:t>design</w:t>
      </w:r>
      <w:r>
        <w:rPr>
          <w:spacing w:val="-26"/>
        </w:rPr>
        <w:t> </w:t>
      </w:r>
      <w:r>
        <w:rPr/>
        <w:t>and</w:t>
      </w:r>
      <w:r>
        <w:rPr>
          <w:spacing w:val="-26"/>
        </w:rPr>
        <w:t> </w:t>
      </w:r>
      <w:r>
        <w:rPr>
          <w:spacing w:val="-3"/>
        </w:rPr>
        <w:t>provides</w:t>
      </w:r>
      <w:r>
        <w:rPr>
          <w:spacing w:val="-27"/>
        </w:rPr>
        <w:t> </w:t>
      </w:r>
      <w:r>
        <w:rPr/>
        <w:t>a partially </w:t>
      </w:r>
      <w:r>
        <w:rPr>
          <w:spacing w:val="-3"/>
        </w:rPr>
        <w:t>covered </w:t>
      </w:r>
      <w:r>
        <w:rPr/>
        <w:t>link from </w:t>
      </w:r>
      <w:r>
        <w:rPr>
          <w:spacing w:val="-2"/>
        </w:rPr>
        <w:t>the new </w:t>
      </w:r>
      <w:r>
        <w:rPr>
          <w:spacing w:val="-3"/>
        </w:rPr>
        <w:t>stadium train</w:t>
      </w:r>
      <w:r>
        <w:rPr>
          <w:spacing w:val="-22"/>
        </w:rPr>
        <w:t> </w:t>
      </w:r>
      <w:r>
        <w:rPr>
          <w:spacing w:val="-3"/>
        </w:rPr>
        <w:t>station</w:t>
      </w:r>
      <w:r>
        <w:rPr>
          <w:spacing w:val="-21"/>
        </w:rPr>
        <w:t> </w:t>
      </w:r>
      <w:r>
        <w:rPr/>
        <w:t>(in</w:t>
      </w:r>
      <w:r>
        <w:rPr>
          <w:spacing w:val="-21"/>
        </w:rPr>
        <w:t> </w:t>
      </w:r>
      <w:r>
        <w:rPr>
          <w:spacing w:val="-2"/>
        </w:rPr>
        <w:t>the</w:t>
      </w:r>
      <w:r>
        <w:rPr>
          <w:spacing w:val="-22"/>
        </w:rPr>
        <w:t> </w:t>
      </w:r>
      <w:r>
        <w:rPr>
          <w:spacing w:val="-3"/>
        </w:rPr>
        <w:t>east)</w:t>
      </w:r>
      <w:r>
        <w:rPr>
          <w:spacing w:val="-21"/>
        </w:rPr>
        <w:t> </w:t>
      </w:r>
      <w:r>
        <w:rPr>
          <w:spacing w:val="-4"/>
        </w:rPr>
        <w:t>to</w:t>
      </w:r>
      <w:r>
        <w:rPr>
          <w:spacing w:val="-21"/>
        </w:rPr>
        <w:t> </w:t>
      </w:r>
      <w:r>
        <w:rPr>
          <w:spacing w:val="-2"/>
        </w:rPr>
        <w:t>the</w:t>
      </w:r>
      <w:r>
        <w:rPr>
          <w:spacing w:val="-22"/>
        </w:rPr>
        <w:t> </w:t>
      </w:r>
      <w:r>
        <w:rPr>
          <w:spacing w:val="-3"/>
        </w:rPr>
        <w:t>entrance</w:t>
      </w:r>
      <w:r>
        <w:rPr>
          <w:spacing w:val="-21"/>
        </w:rPr>
        <w:t> </w:t>
      </w:r>
      <w:r>
        <w:rPr>
          <w:spacing w:val="-3"/>
        </w:rPr>
        <w:t>of</w:t>
      </w:r>
      <w:r>
        <w:rPr>
          <w:spacing w:val="-21"/>
        </w:rPr>
        <w:t> </w:t>
      </w:r>
      <w:r>
        <w:rPr>
          <w:spacing w:val="-2"/>
        </w:rPr>
        <w:t>the new Matagarup </w:t>
      </w:r>
      <w:r>
        <w:rPr/>
        <w:t>Bridge </w:t>
      </w:r>
      <w:r>
        <w:rPr>
          <w:spacing w:val="-3"/>
        </w:rPr>
        <w:t>over </w:t>
      </w:r>
      <w:r>
        <w:rPr>
          <w:spacing w:val="-2"/>
        </w:rPr>
        <w:t>the </w:t>
      </w:r>
      <w:r>
        <w:rPr/>
        <w:t>Swan River </w:t>
      </w:r>
      <w:r>
        <w:rPr>
          <w:spacing w:val="-5"/>
        </w:rPr>
        <w:t>(at</w:t>
      </w:r>
      <w:r>
        <w:rPr>
          <w:spacing w:val="-9"/>
        </w:rPr>
        <w:t> </w:t>
      </w:r>
      <w:r>
        <w:rPr>
          <w:spacing w:val="-2"/>
        </w:rPr>
        <w:t>the</w:t>
      </w:r>
      <w:r>
        <w:rPr>
          <w:spacing w:val="-9"/>
        </w:rPr>
        <w:t> </w:t>
      </w:r>
      <w:r>
        <w:rPr>
          <w:spacing w:val="-3"/>
        </w:rPr>
        <w:t>western</w:t>
      </w:r>
      <w:r>
        <w:rPr>
          <w:spacing w:val="-9"/>
        </w:rPr>
        <w:t> </w:t>
      </w:r>
      <w:r>
        <w:rPr/>
        <w:t>end</w:t>
      </w:r>
      <w:r>
        <w:rPr>
          <w:spacing w:val="-9"/>
        </w:rPr>
        <w:t> </w:t>
      </w:r>
      <w:r>
        <w:rPr>
          <w:spacing w:val="-3"/>
        </w:rPr>
        <w:t>of</w:t>
      </w:r>
      <w:r>
        <w:rPr>
          <w:spacing w:val="-8"/>
        </w:rPr>
        <w:t> </w:t>
      </w:r>
      <w:r>
        <w:rPr>
          <w:spacing w:val="-2"/>
        </w:rPr>
        <w:t>the</w:t>
      </w:r>
      <w:r>
        <w:rPr>
          <w:spacing w:val="-9"/>
        </w:rPr>
        <w:t> </w:t>
      </w:r>
      <w:r>
        <w:rPr/>
        <w:t>park)</w:t>
      </w:r>
      <w:r>
        <w:rPr>
          <w:spacing w:val="-9"/>
        </w:rPr>
        <w:t> </w:t>
      </w:r>
      <w:r>
        <w:rPr/>
        <w:t>;</w:t>
      </w:r>
    </w:p>
    <w:p>
      <w:pPr>
        <w:pStyle w:val="BodyText"/>
        <w:spacing w:before="11"/>
        <w:rPr>
          <w:sz w:val="20"/>
        </w:rPr>
      </w:pPr>
      <w:r>
        <w:rPr/>
        <w:br w:type="column"/>
      </w:r>
      <w:r>
        <w:rPr>
          <w:sz w:val="20"/>
        </w:rPr>
      </w:r>
    </w:p>
    <w:p>
      <w:pPr>
        <w:pStyle w:val="BodyText"/>
        <w:spacing w:line="249" w:lineRule="auto"/>
        <w:ind w:left="718" w:right="1334"/>
      </w:pPr>
      <w:r>
        <w:rPr/>
        <w:pict>
          <v:shape style="position:absolute;margin-left:601.348999pt;margin-top:-113.344238pt;width:120.3pt;height:42.55pt;mso-position-horizontal-relative:page;mso-position-vertical-relative:paragraph;z-index:704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t>A </w:t>
      </w:r>
      <w:r>
        <w:rPr>
          <w:spacing w:val="-3"/>
        </w:rPr>
        <w:t>distinctively landscaped, </w:t>
      </w:r>
      <w:r>
        <w:rPr/>
        <w:t>activity precinct </w:t>
      </w:r>
      <w:r>
        <w:rPr>
          <w:spacing w:val="-3"/>
        </w:rPr>
        <w:t>around </w:t>
      </w:r>
      <w:r>
        <w:rPr>
          <w:spacing w:val="-2"/>
        </w:rPr>
        <w:t>the </w:t>
      </w:r>
      <w:r>
        <w:rPr>
          <w:spacing w:val="-3"/>
        </w:rPr>
        <w:t>Stadium </w:t>
      </w:r>
      <w:r>
        <w:rPr/>
        <w:t>in </w:t>
      </w:r>
      <w:r>
        <w:rPr>
          <w:spacing w:val="-3"/>
        </w:rPr>
        <w:t>non-event mode, including</w:t>
      </w:r>
      <w:r>
        <w:rPr>
          <w:spacing w:val="-27"/>
        </w:rPr>
        <w:t> </w:t>
      </w:r>
      <w:r>
        <w:rPr/>
        <w:t>two</w:t>
      </w:r>
      <w:r>
        <w:rPr>
          <w:spacing w:val="-27"/>
        </w:rPr>
        <w:t> </w:t>
      </w:r>
      <w:r>
        <w:rPr>
          <w:spacing w:val="-3"/>
        </w:rPr>
        <w:t>restaurants,</w:t>
      </w:r>
      <w:r>
        <w:rPr>
          <w:spacing w:val="-27"/>
        </w:rPr>
        <w:t> </w:t>
      </w:r>
      <w:r>
        <w:rPr/>
        <w:t>a</w:t>
      </w:r>
      <w:r>
        <w:rPr>
          <w:spacing w:val="-27"/>
        </w:rPr>
        <w:t> </w:t>
      </w:r>
      <w:r>
        <w:rPr/>
        <w:t>community</w:t>
      </w:r>
      <w:r>
        <w:rPr>
          <w:spacing w:val="-26"/>
        </w:rPr>
        <w:t> </w:t>
      </w:r>
      <w:r>
        <w:rPr>
          <w:spacing w:val="-4"/>
        </w:rPr>
        <w:t>oval, </w:t>
      </w:r>
      <w:r>
        <w:rPr>
          <w:spacing w:val="-3"/>
        </w:rPr>
        <w:t>rehabilitated</w:t>
      </w:r>
      <w:r>
        <w:rPr>
          <w:spacing w:val="-16"/>
        </w:rPr>
        <w:t> </w:t>
      </w:r>
      <w:r>
        <w:rPr/>
        <w:t>parkland</w:t>
      </w:r>
      <w:r>
        <w:rPr>
          <w:spacing w:val="-16"/>
        </w:rPr>
        <w:t> </w:t>
      </w:r>
      <w:r>
        <w:rPr/>
        <w:t>and</w:t>
      </w:r>
      <w:r>
        <w:rPr>
          <w:spacing w:val="-15"/>
        </w:rPr>
        <w:t> </w:t>
      </w:r>
      <w:r>
        <w:rPr/>
        <w:t>picnic</w:t>
      </w:r>
      <w:r>
        <w:rPr>
          <w:spacing w:val="-16"/>
        </w:rPr>
        <w:t> </w:t>
      </w:r>
      <w:r>
        <w:rPr>
          <w:spacing w:val="-3"/>
        </w:rPr>
        <w:t>areas,</w:t>
      </w:r>
    </w:p>
    <w:p>
      <w:pPr>
        <w:pStyle w:val="BodyText"/>
        <w:spacing w:line="249" w:lineRule="auto" w:before="4"/>
        <w:ind w:left="718" w:right="1504"/>
      </w:pPr>
      <w:r>
        <w:rPr/>
        <w:t>a</w:t>
      </w:r>
      <w:r>
        <w:rPr>
          <w:spacing w:val="-29"/>
        </w:rPr>
        <w:t> </w:t>
      </w:r>
      <w:r>
        <w:rPr>
          <w:spacing w:val="-3"/>
        </w:rPr>
        <w:t>nature</w:t>
      </w:r>
      <w:r>
        <w:rPr>
          <w:spacing w:val="-28"/>
        </w:rPr>
        <w:t> </w:t>
      </w:r>
      <w:r>
        <w:rPr>
          <w:spacing w:val="-4"/>
        </w:rPr>
        <w:t>playground,</w:t>
      </w:r>
      <w:r>
        <w:rPr>
          <w:spacing w:val="-29"/>
        </w:rPr>
        <w:t> </w:t>
      </w:r>
      <w:r>
        <w:rPr/>
        <w:t>a</w:t>
      </w:r>
      <w:r>
        <w:rPr>
          <w:spacing w:val="-28"/>
        </w:rPr>
        <w:t> </w:t>
      </w:r>
      <w:r>
        <w:rPr/>
        <w:t>sensory</w:t>
      </w:r>
      <w:r>
        <w:rPr>
          <w:spacing w:val="-28"/>
        </w:rPr>
        <w:t> </w:t>
      </w:r>
      <w:r>
        <w:rPr>
          <w:spacing w:val="-3"/>
        </w:rPr>
        <w:t>playground </w:t>
      </w:r>
      <w:r>
        <w:rPr/>
        <w:t>design </w:t>
      </w:r>
      <w:r>
        <w:rPr>
          <w:spacing w:val="-3"/>
        </w:rPr>
        <w:t>for </w:t>
      </w:r>
      <w:r>
        <w:rPr/>
        <w:t>children with </w:t>
      </w:r>
      <w:r>
        <w:rPr>
          <w:spacing w:val="-3"/>
        </w:rPr>
        <w:t>disabilities, </w:t>
      </w:r>
      <w:r>
        <w:rPr/>
        <w:t>and a </w:t>
      </w:r>
      <w:r>
        <w:rPr>
          <w:spacing w:val="-3"/>
        </w:rPr>
        <w:t>grass-sloped amphitheatre;</w:t>
      </w:r>
      <w:r>
        <w:rPr>
          <w:spacing w:val="-14"/>
        </w:rPr>
        <w:t> </w:t>
      </w:r>
      <w:r>
        <w:rPr/>
        <w:t>and</w:t>
      </w:r>
    </w:p>
    <w:p>
      <w:pPr>
        <w:pStyle w:val="BodyText"/>
        <w:spacing w:before="2"/>
        <w:rPr>
          <w:sz w:val="23"/>
        </w:rPr>
      </w:pPr>
    </w:p>
    <w:p>
      <w:pPr>
        <w:pStyle w:val="BodyText"/>
        <w:spacing w:line="249" w:lineRule="auto"/>
        <w:ind w:left="718" w:right="2015"/>
        <w:jc w:val="both"/>
      </w:pPr>
      <w:r>
        <w:rPr/>
        <w:t>A</w:t>
      </w:r>
      <w:r>
        <w:rPr>
          <w:spacing w:val="-24"/>
        </w:rPr>
        <w:t> </w:t>
      </w:r>
      <w:r>
        <w:rPr>
          <w:spacing w:val="-3"/>
        </w:rPr>
        <w:t>comprehensive</w:t>
      </w:r>
      <w:r>
        <w:rPr>
          <w:spacing w:val="-24"/>
        </w:rPr>
        <w:t> </w:t>
      </w:r>
      <w:r>
        <w:rPr/>
        <w:t>public</w:t>
      </w:r>
      <w:r>
        <w:rPr>
          <w:spacing w:val="-24"/>
        </w:rPr>
        <w:t> </w:t>
      </w:r>
      <w:r>
        <w:rPr/>
        <w:t>art</w:t>
      </w:r>
      <w:r>
        <w:rPr>
          <w:spacing w:val="-24"/>
        </w:rPr>
        <w:t> </w:t>
      </w:r>
      <w:r>
        <w:rPr>
          <w:spacing w:val="-3"/>
        </w:rPr>
        <w:t>program, implemented</w:t>
      </w:r>
      <w:r>
        <w:rPr>
          <w:spacing w:val="-19"/>
        </w:rPr>
        <w:t> </w:t>
      </w:r>
      <w:r>
        <w:rPr>
          <w:spacing w:val="-3"/>
        </w:rPr>
        <w:t>through</w:t>
      </w:r>
      <w:r>
        <w:rPr>
          <w:spacing w:val="-19"/>
        </w:rPr>
        <w:t> </w:t>
      </w:r>
      <w:r>
        <w:rPr>
          <w:spacing w:val="-2"/>
        </w:rPr>
        <w:t>the</w:t>
      </w:r>
      <w:r>
        <w:rPr>
          <w:spacing w:val="-19"/>
        </w:rPr>
        <w:t> </w:t>
      </w:r>
      <w:r>
        <w:rPr>
          <w:spacing w:val="-3"/>
        </w:rPr>
        <w:t>Percent</w:t>
      </w:r>
      <w:r>
        <w:rPr>
          <w:spacing w:val="-19"/>
        </w:rPr>
        <w:t> </w:t>
      </w:r>
      <w:r>
        <w:rPr>
          <w:spacing w:val="-3"/>
        </w:rPr>
        <w:t>for </w:t>
      </w:r>
      <w:r>
        <w:rPr/>
        <w:t>Art</w:t>
      </w:r>
      <w:r>
        <w:rPr>
          <w:spacing w:val="-6"/>
        </w:rPr>
        <w:t> </w:t>
      </w:r>
      <w:r>
        <w:rPr>
          <w:spacing w:val="-3"/>
        </w:rPr>
        <w:t>Scheme.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pict>
          <v:shape style="position:absolute;margin-left:620.979004pt;margin-top:8.698686pt;width:157.5pt;height:21.75pt;mso-position-horizontal-relative:page;mso-position-vertical-relative:paragraph;z-index:4952;mso-wrap-distance-left:0;mso-wrap-distance-right:0" type="#_x0000_t202" filled="true" fillcolor="#000101" stroked="false">
            <v:textbox inset="0,0,0,0">
              <w:txbxContent>
                <w:p>
                  <w:pPr>
                    <w:spacing w:before="77"/>
                    <w:ind w:left="107" w:right="0" w:firstLine="0"/>
                    <w:jc w:val="left"/>
                    <w:rPr>
                      <w:b/>
                      <w:sz w:val="20"/>
                    </w:rPr>
                  </w:pPr>
                  <w:r>
                    <w:rPr>
                      <w:b/>
                      <w:color w:val="FFFFFF"/>
                      <w:sz w:val="20"/>
                    </w:rPr>
                    <w:t>Photo courtesy of Gatecrasher</w:t>
                  </w:r>
                </w:p>
              </w:txbxContent>
            </v:textbox>
            <v:fill opacity="49152f" type="solid"/>
            <w10:wrap type="topAndBottom"/>
          </v:shape>
        </w:pict>
      </w:r>
    </w:p>
    <w:p>
      <w:pPr>
        <w:spacing w:after="0"/>
        <w:rPr>
          <w:sz w:val="13"/>
        </w:rPr>
        <w:sectPr>
          <w:type w:val="continuous"/>
          <w:pgSz w:w="16840" w:h="11910" w:orient="landscape"/>
          <w:pgMar w:top="1100" w:bottom="280" w:left="0" w:right="0"/>
          <w:cols w:num="3" w:equalWidth="0">
            <w:col w:w="5669" w:space="40"/>
            <w:col w:w="4908" w:space="39"/>
            <w:col w:w="6184"/>
          </w:cols>
        </w:sectPr>
      </w:pPr>
    </w:p>
    <w:p>
      <w:pPr>
        <w:tabs>
          <w:tab w:pos="4810" w:val="left" w:leader="none"/>
          <w:tab w:pos="9621" w:val="left" w:leader="none"/>
          <w:tab w:pos="14432" w:val="left" w:leader="none"/>
        </w:tabs>
        <w:spacing w:line="240" w:lineRule="auto"/>
        <w:ind w:left="0" w:right="-58" w:firstLine="0"/>
        <w:rPr>
          <w:sz w:val="20"/>
        </w:rPr>
      </w:pPr>
      <w:bookmarkStart w:name="_bookmark12" w:id="13"/>
      <w:bookmarkEnd w:id="13"/>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Heading1"/>
        <w:spacing w:before="254"/>
      </w:pPr>
      <w:r>
        <w:rPr/>
        <w:pict>
          <v:group style="position:absolute;margin-left:240.539398pt;margin-top:-55.27351pt;width:601.4pt;height:484.65pt;mso-position-horizontal-relative:page;mso-position-vertical-relative:paragraph;z-index:-705280" coordorigin="4811,-1105" coordsize="12028,9693">
            <v:shape style="position:absolute;left:5611;top:-1106;width:11227;height:9693" type="#_x0000_t75" stroked="false">
              <v:imagedata r:id="rId34" o:title=""/>
            </v:shape>
            <v:rect style="position:absolute;left:4810;top:-1106;width:2406;height:851" filled="true" fillcolor="#d4d896" stroked="false">
              <v:fill type="solid"/>
            </v:rect>
            <w10:wrap type="none"/>
          </v:group>
        </w:pict>
      </w:r>
      <w:r>
        <w:rPr/>
        <w:pict>
          <v:shape style="position:absolute;margin-left:601.348999pt;margin-top:-55.274212pt;width:120.3pt;height:42.55pt;mso-position-horizontal-relative:page;mso-position-vertical-relative:paragraph;z-index:7240"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726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5.274212pt;width:120.3pt;height:42.55pt;mso-position-horizontal-relative:page;mso-position-vertical-relative:paragraph;z-index:7288"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Our People and Organisation</w:t>
      </w:r>
    </w:p>
    <w:p>
      <w:pPr>
        <w:pStyle w:val="Heading4"/>
        <w:spacing w:line="249" w:lineRule="auto" w:before="271"/>
        <w:ind w:right="747"/>
      </w:pPr>
      <w:r>
        <w:rPr>
          <w:color w:val="6F2770"/>
        </w:rPr>
        <w:t>Our people are our most important asset and we strive to create an environment where they can achieve their best.</w:t>
      </w:r>
    </w:p>
    <w:p>
      <w:pPr>
        <w:pStyle w:val="BodyText"/>
        <w:rPr>
          <w:sz w:val="20"/>
        </w:rPr>
      </w:pPr>
    </w:p>
    <w:p>
      <w:pPr>
        <w:spacing w:after="0"/>
        <w:rPr>
          <w:sz w:val="20"/>
        </w:rPr>
        <w:sectPr>
          <w:footerReference w:type="default" r:id="rId111"/>
          <w:pgSz w:w="16840" w:h="11910" w:orient="landscape"/>
          <w:pgMar w:footer="774" w:header="0" w:top="0" w:bottom="960" w:left="0" w:right="0"/>
        </w:sectPr>
      </w:pPr>
    </w:p>
    <w:p>
      <w:pPr>
        <w:pStyle w:val="BodyText"/>
        <w:spacing w:line="249" w:lineRule="auto" w:before="231"/>
        <w:ind w:left="765" w:right="143"/>
      </w:pPr>
      <w:r>
        <w:rPr/>
        <w:t>On</w:t>
      </w:r>
      <w:r>
        <w:rPr>
          <w:spacing w:val="-17"/>
        </w:rPr>
        <w:t> </w:t>
      </w:r>
      <w:r>
        <w:rPr>
          <w:spacing w:val="-3"/>
        </w:rPr>
        <w:t>28</w:t>
      </w:r>
      <w:r>
        <w:rPr>
          <w:spacing w:val="-16"/>
        </w:rPr>
        <w:t> </w:t>
      </w:r>
      <w:r>
        <w:rPr/>
        <w:t>April</w:t>
      </w:r>
      <w:r>
        <w:rPr>
          <w:spacing w:val="-16"/>
        </w:rPr>
        <w:t> </w:t>
      </w:r>
      <w:r>
        <w:rPr>
          <w:spacing w:val="-13"/>
        </w:rPr>
        <w:t>2017,</w:t>
      </w:r>
      <w:r>
        <w:rPr>
          <w:spacing w:val="-17"/>
        </w:rPr>
        <w:t> </w:t>
      </w:r>
      <w:r>
        <w:rPr/>
        <w:t>the</w:t>
      </w:r>
      <w:r>
        <w:rPr>
          <w:spacing w:val="-16"/>
        </w:rPr>
        <w:t> </w:t>
      </w:r>
      <w:r>
        <w:rPr/>
        <w:t>Premier</w:t>
      </w:r>
      <w:r>
        <w:rPr>
          <w:spacing w:val="-16"/>
        </w:rPr>
        <w:t> </w:t>
      </w:r>
      <w:r>
        <w:rPr/>
        <w:t>announced</w:t>
      </w:r>
      <w:r>
        <w:rPr>
          <w:spacing w:val="-16"/>
        </w:rPr>
        <w:t> </w:t>
      </w:r>
      <w:r>
        <w:rPr/>
        <w:t>the</w:t>
      </w:r>
      <w:r>
        <w:rPr>
          <w:spacing w:val="-17"/>
        </w:rPr>
        <w:t> </w:t>
      </w:r>
      <w:r>
        <w:rPr/>
        <w:t>first round of Machinery of Government changes </w:t>
      </w:r>
      <w:r>
        <w:rPr>
          <w:spacing w:val="-3"/>
        </w:rPr>
        <w:t>to </w:t>
      </w:r>
      <w:r>
        <w:rPr/>
        <w:t>the Public </w:t>
      </w:r>
      <w:r>
        <w:rPr>
          <w:spacing w:val="-4"/>
        </w:rPr>
        <w:t>Sector. </w:t>
      </w:r>
      <w:r>
        <w:rPr/>
        <w:t>As part of this Public Sector Renewal</w:t>
      </w:r>
      <w:r>
        <w:rPr>
          <w:spacing w:val="-21"/>
        </w:rPr>
        <w:t> </w:t>
      </w:r>
      <w:r>
        <w:rPr/>
        <w:t>initiative,</w:t>
      </w:r>
      <w:r>
        <w:rPr>
          <w:spacing w:val="-21"/>
        </w:rPr>
        <w:t> </w:t>
      </w:r>
      <w:r>
        <w:rPr/>
        <w:t>the</w:t>
      </w:r>
      <w:r>
        <w:rPr>
          <w:spacing w:val="-20"/>
        </w:rPr>
        <w:t> </w:t>
      </w:r>
      <w:r>
        <w:rPr/>
        <w:t>Department</w:t>
      </w:r>
      <w:r>
        <w:rPr>
          <w:spacing w:val="-21"/>
        </w:rPr>
        <w:t> </w:t>
      </w:r>
      <w:r>
        <w:rPr/>
        <w:t>of</w:t>
      </w:r>
      <w:r>
        <w:rPr>
          <w:spacing w:val="-20"/>
        </w:rPr>
        <w:t> </w:t>
      </w:r>
      <w:r>
        <w:rPr/>
        <w:t>Treasury</w:t>
      </w:r>
    </w:p>
    <w:p>
      <w:pPr>
        <w:pStyle w:val="BodyText"/>
        <w:spacing w:line="249" w:lineRule="auto" w:before="4"/>
        <w:ind w:left="765" w:right="-11"/>
      </w:pPr>
      <w:r>
        <w:rPr/>
        <w:t>formally</w:t>
      </w:r>
      <w:r>
        <w:rPr>
          <w:spacing w:val="-37"/>
        </w:rPr>
        <w:t> </w:t>
      </w:r>
      <w:r>
        <w:rPr/>
        <w:t>transferred</w:t>
      </w:r>
      <w:r>
        <w:rPr>
          <w:spacing w:val="-36"/>
        </w:rPr>
        <w:t> </w:t>
      </w:r>
      <w:r>
        <w:rPr/>
        <w:t>the</w:t>
      </w:r>
      <w:r>
        <w:rPr>
          <w:spacing w:val="-37"/>
        </w:rPr>
        <w:t> </w:t>
      </w:r>
      <w:r>
        <w:rPr/>
        <w:t>Strategic</w:t>
      </w:r>
      <w:r>
        <w:rPr>
          <w:spacing w:val="-36"/>
        </w:rPr>
        <w:t> </w:t>
      </w:r>
      <w:r>
        <w:rPr/>
        <w:t>Projects</w:t>
      </w:r>
      <w:r>
        <w:rPr>
          <w:spacing w:val="-36"/>
        </w:rPr>
        <w:t> </w:t>
      </w:r>
      <w:r>
        <w:rPr/>
        <w:t>business unit (excluding the Asset Sales function) </w:t>
      </w:r>
      <w:r>
        <w:rPr>
          <w:spacing w:val="-3"/>
        </w:rPr>
        <w:t>to </w:t>
      </w:r>
      <w:r>
        <w:rPr/>
        <w:t>the Department of Finance on 1 July </w:t>
      </w:r>
      <w:r>
        <w:rPr>
          <w:spacing w:val="-13"/>
        </w:rPr>
        <w:t>2017. </w:t>
      </w:r>
      <w:r>
        <w:rPr/>
        <w:t>Functions from the Office of the Government Architect transferred from Finance </w:t>
      </w:r>
      <w:r>
        <w:rPr>
          <w:spacing w:val="-3"/>
        </w:rPr>
        <w:t>to </w:t>
      </w:r>
      <w:r>
        <w:rPr/>
        <w:t>the Department of Planning,</w:t>
      </w:r>
      <w:r>
        <w:rPr>
          <w:spacing w:val="-9"/>
        </w:rPr>
        <w:t> </w:t>
      </w:r>
      <w:r>
        <w:rPr/>
        <w:t>Lands</w:t>
      </w:r>
      <w:r>
        <w:rPr>
          <w:spacing w:val="-8"/>
        </w:rPr>
        <w:t> </w:t>
      </w:r>
      <w:r>
        <w:rPr/>
        <w:t>and</w:t>
      </w:r>
      <w:r>
        <w:rPr>
          <w:spacing w:val="-9"/>
        </w:rPr>
        <w:t> </w:t>
      </w:r>
      <w:r>
        <w:rPr/>
        <w:t>Heritage</w:t>
      </w:r>
      <w:r>
        <w:rPr>
          <w:spacing w:val="-8"/>
        </w:rPr>
        <w:t> </w:t>
      </w:r>
      <w:r>
        <w:rPr/>
        <w:t>early</w:t>
      </w:r>
      <w:r>
        <w:rPr>
          <w:spacing w:val="-9"/>
        </w:rPr>
        <w:t> </w:t>
      </w:r>
      <w:r>
        <w:rPr/>
        <w:t>in</w:t>
      </w:r>
      <w:r>
        <w:rPr>
          <w:spacing w:val="-8"/>
        </w:rPr>
        <w:t> </w:t>
      </w:r>
      <w:r>
        <w:rPr>
          <w:spacing w:val="-7"/>
        </w:rPr>
        <w:t>2018.</w:t>
      </w:r>
    </w:p>
    <w:p>
      <w:pPr>
        <w:pStyle w:val="BodyText"/>
        <w:spacing w:before="5"/>
        <w:rPr>
          <w:sz w:val="23"/>
        </w:rPr>
      </w:pPr>
    </w:p>
    <w:p>
      <w:pPr>
        <w:spacing w:line="249" w:lineRule="auto" w:before="0"/>
        <w:ind w:left="765" w:right="450" w:firstLine="0"/>
        <w:jc w:val="left"/>
        <w:rPr>
          <w:sz w:val="22"/>
        </w:rPr>
      </w:pPr>
      <w:r>
        <w:rPr>
          <w:sz w:val="22"/>
        </w:rPr>
        <w:t>Having </w:t>
      </w:r>
      <w:r>
        <w:rPr>
          <w:b/>
          <w:sz w:val="22"/>
        </w:rPr>
        <w:t>Building Management </w:t>
      </w:r>
      <w:r>
        <w:rPr>
          <w:sz w:val="22"/>
        </w:rPr>
        <w:t>and </w:t>
      </w:r>
      <w:r>
        <w:rPr>
          <w:b/>
          <w:sz w:val="22"/>
        </w:rPr>
        <w:t>Works </w:t>
      </w:r>
      <w:r>
        <w:rPr>
          <w:sz w:val="22"/>
        </w:rPr>
        <w:t>and </w:t>
      </w:r>
      <w:r>
        <w:rPr>
          <w:b/>
          <w:sz w:val="22"/>
        </w:rPr>
        <w:t>Strategic Projects </w:t>
      </w:r>
      <w:r>
        <w:rPr>
          <w:sz w:val="22"/>
        </w:rPr>
        <w:t>business units in one department has provided opportunities for</w:t>
      </w:r>
      <w:r>
        <w:rPr>
          <w:spacing w:val="-25"/>
          <w:sz w:val="22"/>
        </w:rPr>
        <w:t> </w:t>
      </w:r>
      <w:r>
        <w:rPr>
          <w:sz w:val="22"/>
        </w:rPr>
        <w:t>improved</w:t>
      </w:r>
      <w:r>
        <w:rPr>
          <w:spacing w:val="-24"/>
          <w:sz w:val="22"/>
        </w:rPr>
        <w:t> </w:t>
      </w:r>
      <w:r>
        <w:rPr>
          <w:sz w:val="22"/>
        </w:rPr>
        <w:t>resource</w:t>
      </w:r>
      <w:r>
        <w:rPr>
          <w:spacing w:val="-25"/>
          <w:sz w:val="22"/>
        </w:rPr>
        <w:t> </w:t>
      </w:r>
      <w:r>
        <w:rPr>
          <w:sz w:val="22"/>
        </w:rPr>
        <w:t>and</w:t>
      </w:r>
      <w:r>
        <w:rPr>
          <w:spacing w:val="-24"/>
          <w:sz w:val="22"/>
        </w:rPr>
        <w:t> </w:t>
      </w:r>
      <w:r>
        <w:rPr>
          <w:sz w:val="22"/>
        </w:rPr>
        <w:t>knowledge</w:t>
      </w:r>
      <w:r>
        <w:rPr>
          <w:spacing w:val="-25"/>
          <w:sz w:val="22"/>
        </w:rPr>
        <w:t> </w:t>
      </w:r>
      <w:r>
        <w:rPr>
          <w:sz w:val="22"/>
        </w:rPr>
        <w:t>sharing on</w:t>
      </w:r>
      <w:r>
        <w:rPr>
          <w:spacing w:val="-21"/>
          <w:sz w:val="22"/>
        </w:rPr>
        <w:t> </w:t>
      </w:r>
      <w:r>
        <w:rPr>
          <w:sz w:val="22"/>
        </w:rPr>
        <w:t>building</w:t>
      </w:r>
      <w:r>
        <w:rPr>
          <w:spacing w:val="-20"/>
          <w:sz w:val="22"/>
        </w:rPr>
        <w:t> </w:t>
      </w:r>
      <w:r>
        <w:rPr>
          <w:sz w:val="22"/>
        </w:rPr>
        <w:t>projects</w:t>
      </w:r>
      <w:r>
        <w:rPr>
          <w:spacing w:val="-21"/>
          <w:sz w:val="22"/>
        </w:rPr>
        <w:t> </w:t>
      </w:r>
      <w:r>
        <w:rPr>
          <w:sz w:val="22"/>
        </w:rPr>
        <w:t>and</w:t>
      </w:r>
      <w:r>
        <w:rPr>
          <w:spacing w:val="-20"/>
          <w:sz w:val="22"/>
        </w:rPr>
        <w:t> </w:t>
      </w:r>
      <w:r>
        <w:rPr>
          <w:sz w:val="22"/>
        </w:rPr>
        <w:t>more</w:t>
      </w:r>
      <w:r>
        <w:rPr>
          <w:spacing w:val="-20"/>
          <w:sz w:val="22"/>
        </w:rPr>
        <w:t> </w:t>
      </w:r>
      <w:r>
        <w:rPr>
          <w:sz w:val="22"/>
        </w:rPr>
        <w:t>efficient</w:t>
      </w:r>
      <w:r>
        <w:rPr>
          <w:spacing w:val="-21"/>
          <w:sz w:val="22"/>
        </w:rPr>
        <w:t> </w:t>
      </w:r>
      <w:r>
        <w:rPr>
          <w:sz w:val="22"/>
        </w:rPr>
        <w:t>service</w:t>
      </w:r>
    </w:p>
    <w:p>
      <w:pPr>
        <w:pStyle w:val="BodyText"/>
        <w:spacing w:line="249" w:lineRule="auto" w:before="4"/>
        <w:ind w:left="765" w:right="89"/>
      </w:pPr>
      <w:r>
        <w:rPr/>
        <w:t>delivery</w:t>
      </w:r>
      <w:r>
        <w:rPr>
          <w:spacing w:val="-33"/>
        </w:rPr>
        <w:t> </w:t>
      </w:r>
      <w:r>
        <w:rPr/>
        <w:t>through</w:t>
      </w:r>
      <w:r>
        <w:rPr>
          <w:spacing w:val="-32"/>
        </w:rPr>
        <w:t> </w:t>
      </w:r>
      <w:r>
        <w:rPr/>
        <w:t>pooling</w:t>
      </w:r>
      <w:r>
        <w:rPr>
          <w:spacing w:val="-32"/>
        </w:rPr>
        <w:t> </w:t>
      </w:r>
      <w:r>
        <w:rPr/>
        <w:t>capability</w:t>
      </w:r>
      <w:r>
        <w:rPr>
          <w:spacing w:val="-32"/>
        </w:rPr>
        <w:t> </w:t>
      </w:r>
      <w:r>
        <w:rPr/>
        <w:t>and</w:t>
      </w:r>
      <w:r>
        <w:rPr>
          <w:spacing w:val="-32"/>
        </w:rPr>
        <w:t> </w:t>
      </w:r>
      <w:r>
        <w:rPr/>
        <w:t>eliminating duplication.</w:t>
      </w:r>
    </w:p>
    <w:p>
      <w:pPr>
        <w:pStyle w:val="BodyText"/>
        <w:spacing w:before="1"/>
        <w:rPr>
          <w:sz w:val="23"/>
        </w:rPr>
      </w:pPr>
    </w:p>
    <w:p>
      <w:pPr>
        <w:pStyle w:val="BodyText"/>
        <w:spacing w:line="249" w:lineRule="auto" w:before="1"/>
        <w:ind w:left="765" w:right="142"/>
      </w:pPr>
      <w:r>
        <w:rPr/>
        <w:t>This is reflected in the consolidation of the resources</w:t>
      </w:r>
      <w:r>
        <w:rPr>
          <w:spacing w:val="-20"/>
        </w:rPr>
        <w:t> </w:t>
      </w:r>
      <w:r>
        <w:rPr/>
        <w:t>dedicated</w:t>
      </w:r>
      <w:r>
        <w:rPr>
          <w:spacing w:val="-20"/>
        </w:rPr>
        <w:t> </w:t>
      </w:r>
      <w:r>
        <w:rPr>
          <w:spacing w:val="-3"/>
        </w:rPr>
        <w:t>to</w:t>
      </w:r>
      <w:r>
        <w:rPr>
          <w:spacing w:val="-20"/>
        </w:rPr>
        <w:t> </w:t>
      </w:r>
      <w:r>
        <w:rPr/>
        <w:t>Statutory</w:t>
      </w:r>
      <w:r>
        <w:rPr>
          <w:spacing w:val="-20"/>
        </w:rPr>
        <w:t> </w:t>
      </w:r>
      <w:r>
        <w:rPr/>
        <w:t>Planning,</w:t>
      </w:r>
      <w:r>
        <w:rPr>
          <w:spacing w:val="-20"/>
        </w:rPr>
        <w:t> </w:t>
      </w:r>
      <w:r>
        <w:rPr/>
        <w:t>Land Services</w:t>
      </w:r>
      <w:r>
        <w:rPr>
          <w:spacing w:val="-23"/>
        </w:rPr>
        <w:t> </w:t>
      </w:r>
      <w:r>
        <w:rPr/>
        <w:t>and</w:t>
      </w:r>
      <w:r>
        <w:rPr>
          <w:spacing w:val="-22"/>
        </w:rPr>
        <w:t> </w:t>
      </w:r>
      <w:r>
        <w:rPr/>
        <w:t>Asset</w:t>
      </w:r>
      <w:r>
        <w:rPr>
          <w:spacing w:val="-22"/>
        </w:rPr>
        <w:t> </w:t>
      </w:r>
      <w:r>
        <w:rPr/>
        <w:t>Planning</w:t>
      </w:r>
      <w:r>
        <w:rPr>
          <w:spacing w:val="-22"/>
        </w:rPr>
        <w:t> </w:t>
      </w:r>
      <w:r>
        <w:rPr/>
        <w:t>within</w:t>
      </w:r>
      <w:r>
        <w:rPr>
          <w:spacing w:val="-23"/>
        </w:rPr>
        <w:t> </w:t>
      </w:r>
      <w:r>
        <w:rPr/>
        <w:t>the</w:t>
      </w:r>
      <w:r>
        <w:rPr>
          <w:spacing w:val="-22"/>
        </w:rPr>
        <w:t> </w:t>
      </w:r>
      <w:r>
        <w:rPr/>
        <w:t>Strategic Projects</w:t>
      </w:r>
      <w:r>
        <w:rPr>
          <w:spacing w:val="-27"/>
        </w:rPr>
        <w:t> </w:t>
      </w:r>
      <w:r>
        <w:rPr/>
        <w:t>business</w:t>
      </w:r>
      <w:r>
        <w:rPr>
          <w:spacing w:val="-26"/>
        </w:rPr>
        <w:t> </w:t>
      </w:r>
      <w:r>
        <w:rPr/>
        <w:t>unit,</w:t>
      </w:r>
      <w:r>
        <w:rPr>
          <w:spacing w:val="-27"/>
        </w:rPr>
        <w:t> </w:t>
      </w:r>
      <w:r>
        <w:rPr/>
        <w:t>enabling</w:t>
      </w:r>
      <w:r>
        <w:rPr>
          <w:spacing w:val="-26"/>
        </w:rPr>
        <w:t> </w:t>
      </w:r>
      <w:r>
        <w:rPr/>
        <w:t>Finance</w:t>
      </w:r>
      <w:r>
        <w:rPr>
          <w:spacing w:val="-27"/>
        </w:rPr>
        <w:t> </w:t>
      </w:r>
      <w:r>
        <w:rPr>
          <w:spacing w:val="-3"/>
        </w:rPr>
        <w:t>to</w:t>
      </w:r>
      <w:r>
        <w:rPr>
          <w:spacing w:val="-26"/>
        </w:rPr>
        <w:t> </w:t>
      </w:r>
      <w:r>
        <w:rPr/>
        <w:t>better support</w:t>
      </w:r>
      <w:r>
        <w:rPr>
          <w:spacing w:val="-17"/>
        </w:rPr>
        <w:t> </w:t>
      </w:r>
      <w:r>
        <w:rPr/>
        <w:t>its</w:t>
      </w:r>
      <w:r>
        <w:rPr>
          <w:spacing w:val="-17"/>
        </w:rPr>
        <w:t> </w:t>
      </w:r>
      <w:r>
        <w:rPr/>
        <w:t>client</w:t>
      </w:r>
      <w:r>
        <w:rPr>
          <w:spacing w:val="-17"/>
        </w:rPr>
        <w:t> </w:t>
      </w:r>
      <w:r>
        <w:rPr/>
        <w:t>agencies</w:t>
      </w:r>
      <w:r>
        <w:rPr>
          <w:spacing w:val="-17"/>
        </w:rPr>
        <w:t> </w:t>
      </w:r>
      <w:r>
        <w:rPr/>
        <w:t>in</w:t>
      </w:r>
      <w:r>
        <w:rPr>
          <w:spacing w:val="-17"/>
        </w:rPr>
        <w:t> </w:t>
      </w:r>
      <w:r>
        <w:rPr/>
        <w:t>the</w:t>
      </w:r>
      <w:r>
        <w:rPr>
          <w:spacing w:val="-16"/>
        </w:rPr>
        <w:t> </w:t>
      </w:r>
      <w:r>
        <w:rPr/>
        <w:t>critical</w:t>
      </w:r>
      <w:r>
        <w:rPr>
          <w:spacing w:val="-17"/>
        </w:rPr>
        <w:t> </w:t>
      </w:r>
      <w:r>
        <w:rPr/>
        <w:t>planning phase of their infrastructure</w:t>
      </w:r>
      <w:r>
        <w:rPr>
          <w:spacing w:val="-21"/>
        </w:rPr>
        <w:t> </w:t>
      </w:r>
      <w:r>
        <w:rPr/>
        <w:t>projects.</w:t>
      </w:r>
    </w:p>
    <w:p>
      <w:pPr>
        <w:pStyle w:val="BodyText"/>
        <w:spacing w:line="249" w:lineRule="auto" w:before="231"/>
        <w:ind w:left="401" w:right="89"/>
      </w:pPr>
      <w:r>
        <w:rPr/>
        <w:br w:type="column"/>
      </w:r>
      <w:r>
        <w:rPr/>
        <w:t>As a result, Finance is well-placed </w:t>
      </w:r>
      <w:r>
        <w:rPr>
          <w:spacing w:val="-3"/>
        </w:rPr>
        <w:t>to </w:t>
      </w:r>
      <w:r>
        <w:rPr/>
        <w:t>function as a centralised lead advisor in statutory planning and</w:t>
      </w:r>
      <w:r>
        <w:rPr>
          <w:spacing w:val="-29"/>
        </w:rPr>
        <w:t> </w:t>
      </w:r>
      <w:r>
        <w:rPr/>
        <w:t>approvals,</w:t>
      </w:r>
      <w:r>
        <w:rPr>
          <w:spacing w:val="-28"/>
        </w:rPr>
        <w:t> </w:t>
      </w:r>
      <w:r>
        <w:rPr/>
        <w:t>land</w:t>
      </w:r>
      <w:r>
        <w:rPr>
          <w:spacing w:val="-29"/>
        </w:rPr>
        <w:t> </w:t>
      </w:r>
      <w:r>
        <w:rPr/>
        <w:t>assembly,</w:t>
      </w:r>
      <w:r>
        <w:rPr>
          <w:spacing w:val="-28"/>
        </w:rPr>
        <w:t> </w:t>
      </w:r>
      <w:r>
        <w:rPr/>
        <w:t>asset</w:t>
      </w:r>
      <w:r>
        <w:rPr>
          <w:spacing w:val="-29"/>
        </w:rPr>
        <w:t> </w:t>
      </w:r>
      <w:r>
        <w:rPr/>
        <w:t>planning</w:t>
      </w:r>
      <w:r>
        <w:rPr>
          <w:spacing w:val="-28"/>
        </w:rPr>
        <w:t> </w:t>
      </w:r>
      <w:r>
        <w:rPr/>
        <w:t>and related project management and project delivery activities.</w:t>
      </w:r>
    </w:p>
    <w:p>
      <w:pPr>
        <w:pStyle w:val="BodyText"/>
        <w:spacing w:before="4"/>
        <w:rPr>
          <w:sz w:val="23"/>
        </w:rPr>
      </w:pPr>
    </w:p>
    <w:p>
      <w:pPr>
        <w:pStyle w:val="BodyText"/>
        <w:spacing w:line="249" w:lineRule="auto"/>
        <w:ind w:left="401" w:right="-9"/>
      </w:pPr>
      <w:r>
        <w:rPr/>
        <w:t>Building</w:t>
      </w:r>
      <w:r>
        <w:rPr>
          <w:spacing w:val="-21"/>
        </w:rPr>
        <w:t> </w:t>
      </w:r>
      <w:r>
        <w:rPr/>
        <w:t>on</w:t>
      </w:r>
      <w:r>
        <w:rPr>
          <w:spacing w:val="-21"/>
        </w:rPr>
        <w:t> </w:t>
      </w:r>
      <w:r>
        <w:rPr/>
        <w:t>the</w:t>
      </w:r>
      <w:r>
        <w:rPr>
          <w:spacing w:val="-21"/>
        </w:rPr>
        <w:t> </w:t>
      </w:r>
      <w:r>
        <w:rPr/>
        <w:t>consolidation</w:t>
      </w:r>
      <w:r>
        <w:rPr>
          <w:spacing w:val="-21"/>
        </w:rPr>
        <w:t> </w:t>
      </w:r>
      <w:r>
        <w:rPr/>
        <w:t>of</w:t>
      </w:r>
      <w:r>
        <w:rPr>
          <w:spacing w:val="-21"/>
        </w:rPr>
        <w:t> </w:t>
      </w:r>
      <w:r>
        <w:rPr/>
        <w:t>asset</w:t>
      </w:r>
      <w:r>
        <w:rPr>
          <w:spacing w:val="-21"/>
        </w:rPr>
        <w:t> </w:t>
      </w:r>
      <w:r>
        <w:rPr/>
        <w:t>planning</w:t>
      </w:r>
      <w:r>
        <w:rPr>
          <w:spacing w:val="-21"/>
        </w:rPr>
        <w:t> </w:t>
      </w:r>
      <w:r>
        <w:rPr/>
        <w:t>and land assembly, and recognising an opportunity </w:t>
      </w:r>
      <w:r>
        <w:rPr>
          <w:spacing w:val="-3"/>
        </w:rPr>
        <w:t>to </w:t>
      </w:r>
      <w:r>
        <w:rPr/>
        <w:t>deliver</w:t>
      </w:r>
      <w:r>
        <w:rPr>
          <w:spacing w:val="-33"/>
        </w:rPr>
        <w:t> </w:t>
      </w:r>
      <w:r>
        <w:rPr/>
        <w:t>better</w:t>
      </w:r>
      <w:r>
        <w:rPr>
          <w:spacing w:val="-32"/>
        </w:rPr>
        <w:t> </w:t>
      </w:r>
      <w:r>
        <w:rPr/>
        <w:t>client</w:t>
      </w:r>
      <w:r>
        <w:rPr>
          <w:spacing w:val="-32"/>
        </w:rPr>
        <w:t> </w:t>
      </w:r>
      <w:r>
        <w:rPr/>
        <w:t>services,</w:t>
      </w:r>
      <w:r>
        <w:rPr>
          <w:spacing w:val="-32"/>
        </w:rPr>
        <w:t> </w:t>
      </w:r>
      <w:r>
        <w:rPr/>
        <w:t>Building</w:t>
      </w:r>
      <w:r>
        <w:rPr>
          <w:spacing w:val="-32"/>
        </w:rPr>
        <w:t> </w:t>
      </w:r>
      <w:r>
        <w:rPr/>
        <w:t>Management and</w:t>
      </w:r>
      <w:r>
        <w:rPr>
          <w:spacing w:val="-18"/>
        </w:rPr>
        <w:t> </w:t>
      </w:r>
      <w:r>
        <w:rPr/>
        <w:t>Works</w:t>
      </w:r>
      <w:r>
        <w:rPr>
          <w:spacing w:val="-18"/>
        </w:rPr>
        <w:t> </w:t>
      </w:r>
      <w:r>
        <w:rPr/>
        <w:t>has</w:t>
      </w:r>
      <w:r>
        <w:rPr>
          <w:spacing w:val="-18"/>
        </w:rPr>
        <w:t> </w:t>
      </w:r>
      <w:r>
        <w:rPr/>
        <w:t>realigned</w:t>
      </w:r>
      <w:r>
        <w:rPr>
          <w:spacing w:val="-18"/>
        </w:rPr>
        <w:t> </w:t>
      </w:r>
      <w:r>
        <w:rPr/>
        <w:t>functions</w:t>
      </w:r>
      <w:r>
        <w:rPr>
          <w:spacing w:val="-17"/>
        </w:rPr>
        <w:t> </w:t>
      </w:r>
      <w:r>
        <w:rPr/>
        <w:t>into</w:t>
      </w:r>
      <w:r>
        <w:rPr>
          <w:spacing w:val="-18"/>
        </w:rPr>
        <w:t> </w:t>
      </w:r>
      <w:r>
        <w:rPr/>
        <w:t>three</w:t>
      </w:r>
      <w:r>
        <w:rPr>
          <w:spacing w:val="-18"/>
        </w:rPr>
        <w:t> </w:t>
      </w:r>
      <w:r>
        <w:rPr/>
        <w:t>core areas </w:t>
      </w:r>
      <w:r>
        <w:rPr>
          <w:spacing w:val="-3"/>
        </w:rPr>
        <w:t>to </w:t>
      </w:r>
      <w:r>
        <w:rPr/>
        <w:t>provide a single point of accountability and contact for clients and</w:t>
      </w:r>
      <w:r>
        <w:rPr>
          <w:spacing w:val="-25"/>
        </w:rPr>
        <w:t> </w:t>
      </w:r>
      <w:r>
        <w:rPr/>
        <w:t>stakeholders.</w:t>
      </w:r>
    </w:p>
    <w:p>
      <w:pPr>
        <w:pStyle w:val="BodyText"/>
        <w:spacing w:before="5"/>
        <w:rPr>
          <w:sz w:val="23"/>
        </w:rPr>
      </w:pPr>
    </w:p>
    <w:p>
      <w:pPr>
        <w:pStyle w:val="BodyText"/>
        <w:spacing w:line="249" w:lineRule="auto"/>
        <w:ind w:left="401" w:right="396"/>
      </w:pPr>
      <w:r>
        <w:rPr/>
        <w:t>The</w:t>
      </w:r>
      <w:r>
        <w:rPr>
          <w:spacing w:val="-21"/>
        </w:rPr>
        <w:t> </w:t>
      </w:r>
      <w:r>
        <w:rPr/>
        <w:t>Department</w:t>
      </w:r>
      <w:r>
        <w:rPr>
          <w:spacing w:val="-21"/>
        </w:rPr>
        <w:t> </w:t>
      </w:r>
      <w:r>
        <w:rPr/>
        <w:t>continues</w:t>
      </w:r>
      <w:r>
        <w:rPr>
          <w:spacing w:val="-21"/>
        </w:rPr>
        <w:t> </w:t>
      </w:r>
      <w:r>
        <w:rPr>
          <w:spacing w:val="-3"/>
        </w:rPr>
        <w:t>to</w:t>
      </w:r>
      <w:r>
        <w:rPr>
          <w:spacing w:val="-21"/>
        </w:rPr>
        <w:t> </w:t>
      </w:r>
      <w:r>
        <w:rPr/>
        <w:t>examine</w:t>
      </w:r>
      <w:r>
        <w:rPr>
          <w:spacing w:val="-20"/>
        </w:rPr>
        <w:t> </w:t>
      </w:r>
      <w:r>
        <w:rPr/>
        <w:t>ways</w:t>
      </w:r>
      <w:r>
        <w:rPr>
          <w:spacing w:val="-21"/>
        </w:rPr>
        <w:t> </w:t>
      </w:r>
      <w:r>
        <w:rPr>
          <w:spacing w:val="-3"/>
        </w:rPr>
        <w:t>to </w:t>
      </w:r>
      <w:r>
        <w:rPr/>
        <w:t>leverage</w:t>
      </w:r>
      <w:r>
        <w:rPr>
          <w:spacing w:val="-30"/>
        </w:rPr>
        <w:t> </w:t>
      </w:r>
      <w:r>
        <w:rPr/>
        <w:t>leadership,</w:t>
      </w:r>
      <w:r>
        <w:rPr>
          <w:spacing w:val="-29"/>
        </w:rPr>
        <w:t> </w:t>
      </w:r>
      <w:r>
        <w:rPr/>
        <w:t>technical</w:t>
      </w:r>
      <w:r>
        <w:rPr>
          <w:spacing w:val="-29"/>
        </w:rPr>
        <w:t> </w:t>
      </w:r>
      <w:r>
        <w:rPr/>
        <w:t>and</w:t>
      </w:r>
      <w:r>
        <w:rPr>
          <w:spacing w:val="-29"/>
        </w:rPr>
        <w:t> </w:t>
      </w:r>
      <w:r>
        <w:rPr/>
        <w:t>policy</w:t>
      </w:r>
      <w:r>
        <w:rPr>
          <w:spacing w:val="-29"/>
        </w:rPr>
        <w:t> </w:t>
      </w:r>
      <w:r>
        <w:rPr/>
        <w:t>skills across</w:t>
      </w:r>
      <w:r>
        <w:rPr>
          <w:spacing w:val="-24"/>
        </w:rPr>
        <w:t> </w:t>
      </w:r>
      <w:r>
        <w:rPr/>
        <w:t>business</w:t>
      </w:r>
      <w:r>
        <w:rPr>
          <w:spacing w:val="-23"/>
        </w:rPr>
        <w:t> </w:t>
      </w:r>
      <w:r>
        <w:rPr/>
        <w:t>units</w:t>
      </w:r>
      <w:r>
        <w:rPr>
          <w:spacing w:val="-24"/>
        </w:rPr>
        <w:t> </w:t>
      </w:r>
      <w:r>
        <w:rPr>
          <w:spacing w:val="-3"/>
        </w:rPr>
        <w:t>to</w:t>
      </w:r>
      <w:r>
        <w:rPr>
          <w:spacing w:val="-23"/>
        </w:rPr>
        <w:t> </w:t>
      </w:r>
      <w:r>
        <w:rPr/>
        <w:t>deliver</w:t>
      </w:r>
      <w:r>
        <w:rPr>
          <w:spacing w:val="-23"/>
        </w:rPr>
        <w:t> </w:t>
      </w:r>
      <w:r>
        <w:rPr/>
        <w:t>better</w:t>
      </w:r>
      <w:r>
        <w:rPr>
          <w:spacing w:val="-24"/>
        </w:rPr>
        <w:t> </w:t>
      </w:r>
      <w:r>
        <w:rPr/>
        <w:t>services </w:t>
      </w:r>
      <w:r>
        <w:rPr>
          <w:spacing w:val="-3"/>
        </w:rPr>
        <w:t>to</w:t>
      </w:r>
      <w:r>
        <w:rPr>
          <w:spacing w:val="-1"/>
        </w:rPr>
        <w:t> </w:t>
      </w:r>
      <w:r>
        <w:rPr/>
        <w:t>clients.</w:t>
      </w:r>
    </w:p>
    <w:p>
      <w:pPr>
        <w:pStyle w:val="BodyText"/>
        <w:spacing w:before="3"/>
        <w:rPr>
          <w:sz w:val="23"/>
        </w:rPr>
      </w:pPr>
    </w:p>
    <w:p>
      <w:pPr>
        <w:pStyle w:val="BodyText"/>
        <w:spacing w:line="249" w:lineRule="auto"/>
        <w:ind w:left="401" w:right="161"/>
      </w:pPr>
      <w:r>
        <w:rPr/>
        <w:t>Finance has a strong commitment </w:t>
      </w:r>
      <w:r>
        <w:rPr>
          <w:spacing w:val="-3"/>
        </w:rPr>
        <w:t>to </w:t>
      </w:r>
      <w:r>
        <w:rPr/>
        <w:t>innovation and</w:t>
      </w:r>
      <w:r>
        <w:rPr>
          <w:spacing w:val="-16"/>
        </w:rPr>
        <w:t> </w:t>
      </w:r>
      <w:r>
        <w:rPr/>
        <w:t>seeks</w:t>
      </w:r>
      <w:r>
        <w:rPr>
          <w:spacing w:val="-16"/>
        </w:rPr>
        <w:t> </w:t>
      </w:r>
      <w:r>
        <w:rPr>
          <w:spacing w:val="-3"/>
        </w:rPr>
        <w:t>to</w:t>
      </w:r>
      <w:r>
        <w:rPr>
          <w:spacing w:val="-16"/>
        </w:rPr>
        <w:t> </w:t>
      </w:r>
      <w:r>
        <w:rPr/>
        <w:t>embrace</w:t>
      </w:r>
      <w:r>
        <w:rPr>
          <w:spacing w:val="-15"/>
        </w:rPr>
        <w:t> </w:t>
      </w:r>
      <w:r>
        <w:rPr/>
        <w:t>technology</w:t>
      </w:r>
      <w:r>
        <w:rPr>
          <w:spacing w:val="-16"/>
        </w:rPr>
        <w:t> </w:t>
      </w:r>
      <w:r>
        <w:rPr/>
        <w:t>that</w:t>
      </w:r>
      <w:r>
        <w:rPr>
          <w:spacing w:val="-16"/>
        </w:rPr>
        <w:t> </w:t>
      </w:r>
      <w:r>
        <w:rPr/>
        <w:t>improves how</w:t>
      </w:r>
      <w:r>
        <w:rPr>
          <w:spacing w:val="-22"/>
        </w:rPr>
        <w:t> </w:t>
      </w:r>
      <w:r>
        <w:rPr/>
        <w:t>people</w:t>
      </w:r>
      <w:r>
        <w:rPr>
          <w:spacing w:val="-22"/>
        </w:rPr>
        <w:t> </w:t>
      </w:r>
      <w:r>
        <w:rPr/>
        <w:t>work,</w:t>
      </w:r>
      <w:r>
        <w:rPr>
          <w:spacing w:val="-22"/>
        </w:rPr>
        <w:t> </w:t>
      </w:r>
      <w:r>
        <w:rPr/>
        <w:t>which</w:t>
      </w:r>
      <w:r>
        <w:rPr>
          <w:spacing w:val="-22"/>
        </w:rPr>
        <w:t> </w:t>
      </w:r>
      <w:r>
        <w:rPr/>
        <w:t>ultimately</w:t>
      </w:r>
      <w:r>
        <w:rPr>
          <w:spacing w:val="-22"/>
        </w:rPr>
        <w:t> </w:t>
      </w:r>
      <w:r>
        <w:rPr/>
        <w:t>delivers</w:t>
      </w:r>
      <w:r>
        <w:rPr>
          <w:spacing w:val="-22"/>
        </w:rPr>
        <w:t> </w:t>
      </w:r>
      <w:r>
        <w:rPr/>
        <w:t>better outcomes for</w:t>
      </w:r>
      <w:r>
        <w:rPr>
          <w:spacing w:val="-3"/>
        </w:rPr>
        <w:t> </w:t>
      </w:r>
      <w:r>
        <w:rPr/>
        <w:t>customers.</w:t>
      </w:r>
    </w:p>
    <w:p>
      <w:pPr>
        <w:pStyle w:val="BodyText"/>
        <w:spacing w:before="3"/>
        <w:rPr>
          <w:sz w:val="23"/>
        </w:rPr>
      </w:pPr>
    </w:p>
    <w:p>
      <w:pPr>
        <w:spacing w:before="0"/>
        <w:ind w:left="401" w:right="0" w:firstLine="0"/>
        <w:jc w:val="left"/>
        <w:rPr>
          <w:b/>
          <w:sz w:val="22"/>
        </w:rPr>
      </w:pPr>
      <w:r>
        <w:rPr>
          <w:sz w:val="22"/>
        </w:rPr>
        <w:t>During the year, </w:t>
      </w:r>
      <w:r>
        <w:rPr>
          <w:b/>
          <w:sz w:val="22"/>
        </w:rPr>
        <w:t>Corporate Services</w:t>
      </w:r>
    </w:p>
    <w:p>
      <w:pPr>
        <w:pStyle w:val="BodyText"/>
        <w:spacing w:before="11"/>
        <w:ind w:left="401"/>
      </w:pPr>
      <w:r>
        <w:rPr/>
        <w:t>implemented a new business intelligence and</w:t>
      </w:r>
    </w:p>
    <w:p>
      <w:pPr>
        <w:pStyle w:val="BodyText"/>
        <w:spacing w:line="249" w:lineRule="auto" w:before="231"/>
        <w:ind w:left="386" w:right="1342"/>
      </w:pPr>
      <w:r>
        <w:rPr/>
        <w:br w:type="column"/>
      </w:r>
      <w:r>
        <w:rPr/>
        <w:t>analytics platform using Microsoft PowerBI and</w:t>
      </w:r>
      <w:r>
        <w:rPr>
          <w:spacing w:val="-21"/>
        </w:rPr>
        <w:t> </w:t>
      </w:r>
      <w:r>
        <w:rPr/>
        <w:t>supporting</w:t>
      </w:r>
      <w:r>
        <w:rPr>
          <w:spacing w:val="-21"/>
        </w:rPr>
        <w:t> </w:t>
      </w:r>
      <w:r>
        <w:rPr/>
        <w:t>Azure</w:t>
      </w:r>
      <w:r>
        <w:rPr>
          <w:spacing w:val="-21"/>
        </w:rPr>
        <w:t> </w:t>
      </w:r>
      <w:r>
        <w:rPr/>
        <w:t>tools,</w:t>
      </w:r>
      <w:r>
        <w:rPr>
          <w:spacing w:val="-21"/>
        </w:rPr>
        <w:t> </w:t>
      </w:r>
      <w:r>
        <w:rPr/>
        <w:t>enabled</w:t>
      </w:r>
      <w:r>
        <w:rPr>
          <w:spacing w:val="-21"/>
        </w:rPr>
        <w:t> </w:t>
      </w:r>
      <w:r>
        <w:rPr/>
        <w:t>mobility</w:t>
      </w:r>
    </w:p>
    <w:p>
      <w:pPr>
        <w:pStyle w:val="BodyText"/>
        <w:spacing w:line="249" w:lineRule="auto" w:before="2"/>
        <w:ind w:left="386" w:right="842"/>
      </w:pPr>
      <w:r>
        <w:rPr/>
        <w:t>through deployment of Windows </w:t>
      </w:r>
      <w:r>
        <w:rPr>
          <w:spacing w:val="-7"/>
        </w:rPr>
        <w:t>10 </w:t>
      </w:r>
      <w:r>
        <w:rPr/>
        <w:t>built laptops, commenced migration </w:t>
      </w:r>
      <w:r>
        <w:rPr>
          <w:spacing w:val="-3"/>
        </w:rPr>
        <w:t>to </w:t>
      </w:r>
      <w:r>
        <w:rPr/>
        <w:t>Office 365 and implemented follow-me-printing </w:t>
      </w:r>
      <w:r>
        <w:rPr>
          <w:spacing w:val="-3"/>
        </w:rPr>
        <w:t>to </w:t>
      </w:r>
      <w:r>
        <w:rPr/>
        <w:t>reduce print costs and increase security.</w:t>
      </w:r>
    </w:p>
    <w:p>
      <w:pPr>
        <w:pStyle w:val="BodyText"/>
        <w:spacing w:before="3"/>
        <w:rPr>
          <w:sz w:val="23"/>
        </w:rPr>
      </w:pPr>
    </w:p>
    <w:p>
      <w:pPr>
        <w:pStyle w:val="BodyText"/>
        <w:spacing w:line="249" w:lineRule="auto"/>
        <w:ind w:left="386" w:right="924"/>
      </w:pPr>
      <w:r>
        <w:rPr/>
        <w:t>The</w:t>
      </w:r>
      <w:r>
        <w:rPr>
          <w:spacing w:val="-23"/>
        </w:rPr>
        <w:t> </w:t>
      </w:r>
      <w:r>
        <w:rPr/>
        <w:t>deployment</w:t>
      </w:r>
      <w:r>
        <w:rPr>
          <w:spacing w:val="-23"/>
        </w:rPr>
        <w:t> </w:t>
      </w:r>
      <w:r>
        <w:rPr/>
        <w:t>of</w:t>
      </w:r>
      <w:r>
        <w:rPr>
          <w:spacing w:val="-23"/>
        </w:rPr>
        <w:t> </w:t>
      </w:r>
      <w:r>
        <w:rPr/>
        <w:t>this</w:t>
      </w:r>
      <w:r>
        <w:rPr>
          <w:spacing w:val="-23"/>
        </w:rPr>
        <w:t> </w:t>
      </w:r>
      <w:r>
        <w:rPr/>
        <w:t>contemporary</w:t>
      </w:r>
      <w:r>
        <w:rPr>
          <w:spacing w:val="-23"/>
        </w:rPr>
        <w:t> </w:t>
      </w:r>
      <w:r>
        <w:rPr/>
        <w:t>technology supports the Department’s adoption</w:t>
      </w:r>
      <w:r>
        <w:rPr>
          <w:spacing w:val="-13"/>
        </w:rPr>
        <w:t> </w:t>
      </w:r>
      <w:r>
        <w:rPr/>
        <w:t>of</w:t>
      </w:r>
    </w:p>
    <w:p>
      <w:pPr>
        <w:pStyle w:val="BodyText"/>
        <w:spacing w:line="249" w:lineRule="auto" w:before="2"/>
        <w:ind w:left="386" w:right="1210"/>
      </w:pPr>
      <w:r>
        <w:rPr/>
        <w:t>activity-based working and efforts </w:t>
      </w:r>
      <w:r>
        <w:rPr>
          <w:spacing w:val="-3"/>
        </w:rPr>
        <w:t>to </w:t>
      </w:r>
      <w:r>
        <w:rPr/>
        <w:t>create a bold and innovative culture.</w:t>
      </w:r>
    </w:p>
    <w:p>
      <w:pPr>
        <w:pStyle w:val="BodyText"/>
        <w:spacing w:before="1"/>
        <w:rPr>
          <w:sz w:val="23"/>
        </w:rPr>
      </w:pPr>
    </w:p>
    <w:p>
      <w:pPr>
        <w:pStyle w:val="BodyText"/>
        <w:spacing w:line="249" w:lineRule="auto"/>
        <w:ind w:left="386" w:right="822"/>
      </w:pPr>
      <w:r>
        <w:rPr/>
        <w:t>Developing</w:t>
      </w:r>
      <w:r>
        <w:rPr>
          <w:spacing w:val="-17"/>
        </w:rPr>
        <w:t> </w:t>
      </w:r>
      <w:r>
        <w:rPr/>
        <w:t>our</w:t>
      </w:r>
      <w:r>
        <w:rPr>
          <w:spacing w:val="-17"/>
        </w:rPr>
        <w:t> </w:t>
      </w:r>
      <w:r>
        <w:rPr/>
        <w:t>people</w:t>
      </w:r>
      <w:r>
        <w:rPr>
          <w:spacing w:val="-17"/>
        </w:rPr>
        <w:t> </w:t>
      </w:r>
      <w:r>
        <w:rPr/>
        <w:t>is</w:t>
      </w:r>
      <w:r>
        <w:rPr>
          <w:spacing w:val="-17"/>
        </w:rPr>
        <w:t> </w:t>
      </w:r>
      <w:r>
        <w:rPr/>
        <w:t>core</w:t>
      </w:r>
      <w:r>
        <w:rPr>
          <w:spacing w:val="-16"/>
        </w:rPr>
        <w:t> </w:t>
      </w:r>
      <w:r>
        <w:rPr>
          <w:spacing w:val="-3"/>
        </w:rPr>
        <w:t>to</w:t>
      </w:r>
      <w:r>
        <w:rPr>
          <w:spacing w:val="-17"/>
        </w:rPr>
        <w:t> </w:t>
      </w:r>
      <w:r>
        <w:rPr/>
        <w:t>our</w:t>
      </w:r>
      <w:r>
        <w:rPr>
          <w:spacing w:val="-17"/>
        </w:rPr>
        <w:t> </w:t>
      </w:r>
      <w:r>
        <w:rPr/>
        <w:t>success.</w:t>
      </w:r>
      <w:r>
        <w:rPr>
          <w:spacing w:val="-17"/>
        </w:rPr>
        <w:t> </w:t>
      </w:r>
      <w:r>
        <w:rPr>
          <w:spacing w:val="-2"/>
        </w:rPr>
        <w:t>Key </w:t>
      </w:r>
      <w:r>
        <w:rPr/>
        <w:t>programs contributing </w:t>
      </w:r>
      <w:r>
        <w:rPr>
          <w:spacing w:val="-3"/>
        </w:rPr>
        <w:t>to </w:t>
      </w:r>
      <w:r>
        <w:rPr/>
        <w:t>this are the Graduate and Traineeship Programs, and the Interagency Mentoring</w:t>
      </w:r>
      <w:r>
        <w:rPr>
          <w:spacing w:val="-2"/>
        </w:rPr>
        <w:t> </w:t>
      </w:r>
      <w:r>
        <w:rPr/>
        <w:t>Program.</w:t>
      </w:r>
    </w:p>
    <w:p>
      <w:pPr>
        <w:pStyle w:val="BodyText"/>
        <w:spacing w:before="3"/>
        <w:rPr>
          <w:sz w:val="23"/>
        </w:rPr>
      </w:pPr>
    </w:p>
    <w:p>
      <w:pPr>
        <w:pStyle w:val="BodyText"/>
        <w:spacing w:line="249" w:lineRule="auto"/>
        <w:ind w:left="386" w:right="737"/>
      </w:pPr>
      <w:r>
        <w:rPr/>
        <w:t>The Department of Finance participated in the </w:t>
      </w:r>
      <w:r>
        <w:rPr>
          <w:w w:val="95"/>
        </w:rPr>
        <w:t>Public Sector Commission’s Traineeship Programs </w:t>
      </w:r>
      <w:r>
        <w:rPr/>
        <w:t>by accommodating three trainees: two with a disability (vision and hearing impaired), as well as an Aboriginal trainee. With support and guidance from supervisors, two of the trainees have successfully completed their Certificate III in Government.</w:t>
      </w:r>
    </w:p>
    <w:p>
      <w:pPr>
        <w:spacing w:after="0" w:line="249" w:lineRule="auto"/>
        <w:sectPr>
          <w:type w:val="continuous"/>
          <w:pgSz w:w="16840" w:h="11910" w:orient="landscape"/>
          <w:pgMar w:top="1100" w:bottom="280" w:left="0" w:right="0"/>
          <w:cols w:num="3" w:equalWidth="0">
            <w:col w:w="5569" w:space="40"/>
            <w:col w:w="5219" w:space="39"/>
            <w:col w:w="5973"/>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after="0"/>
        <w:rPr>
          <w:sz w:val="21"/>
        </w:rPr>
        <w:sectPr>
          <w:footerReference w:type="default" r:id="rId112"/>
          <w:pgSz w:w="16840" w:h="11910" w:orient="landscape"/>
          <w:pgMar w:footer="0" w:header="0" w:top="0" w:bottom="0" w:left="0" w:right="0"/>
        </w:sectPr>
      </w:pPr>
    </w:p>
    <w:p>
      <w:pPr>
        <w:spacing w:line="249" w:lineRule="auto" w:before="111"/>
        <w:ind w:left="765" w:right="-1" w:firstLine="0"/>
        <w:jc w:val="left"/>
        <w:rPr>
          <w:sz w:val="22"/>
        </w:rPr>
      </w:pPr>
      <w:r>
        <w:rPr/>
        <w:pict>
          <v:group style="position:absolute;margin-left:0pt;margin-top:-101.120224pt;width:120.3pt;height:239.35pt;mso-position-horizontal-relative:page;mso-position-vertical-relative:paragraph;z-index:-705088" coordorigin="0,-2022" coordsize="2406,4787">
            <v:shape style="position:absolute;left:0;top:-2023;width:1948;height:4787" type="#_x0000_t75" stroked="false">
              <v:imagedata r:id="rId37" o:title=""/>
            </v:shape>
            <v:rect style="position:absolute;left:0;top:-2023;width:2406;height:851" filled="true" fillcolor="#bba1bc" stroked="false">
              <v:fill type="solid"/>
            </v:rect>
            <v:line style="position:absolute" from="0,-2022" to="0,-1172" stroked="true" strokeweight="0pt" strokecolor="#bba1bc">
              <v:stroke dashstyle="solid"/>
            </v:line>
            <w10:wrap type="none"/>
          </v:group>
        </w:pict>
      </w:r>
      <w:r>
        <w:rPr/>
        <w:pict>
          <v:shape style="position:absolute;margin-left:601.348999pt;margin-top:-101.120224pt;width:120.3pt;height:42.55pt;mso-position-horizontal-relative:page;mso-position-vertical-relative:paragraph;z-index:748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101.120224pt;width:120.3pt;height:42.55pt;mso-position-horizontal-relative:page;mso-position-vertical-relative:paragraph;z-index:7504"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101.120224pt;width:120.3pt;height:42.55pt;mso-position-horizontal-relative:page;mso-position-vertical-relative:paragraph;z-index:752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sz w:val="22"/>
        </w:rPr>
        <w:t>One trainee secured a permanent position within </w:t>
      </w:r>
      <w:r>
        <w:rPr>
          <w:b/>
          <w:sz w:val="22"/>
        </w:rPr>
        <w:t>Building Management and Works </w:t>
      </w:r>
      <w:r>
        <w:rPr>
          <w:sz w:val="22"/>
        </w:rPr>
        <w:t>and the</w:t>
      </w:r>
      <w:r>
        <w:rPr>
          <w:spacing w:val="-29"/>
          <w:sz w:val="22"/>
        </w:rPr>
        <w:t> </w:t>
      </w:r>
      <w:r>
        <w:rPr>
          <w:spacing w:val="-4"/>
          <w:sz w:val="22"/>
        </w:rPr>
        <w:t>other </w:t>
      </w:r>
      <w:r>
        <w:rPr>
          <w:sz w:val="22"/>
        </w:rPr>
        <w:t>trainee is on a 12-month contract in </w:t>
      </w:r>
      <w:r>
        <w:rPr>
          <w:b/>
          <w:sz w:val="22"/>
        </w:rPr>
        <w:t>Corporate Services</w:t>
      </w:r>
      <w:r>
        <w:rPr>
          <w:sz w:val="22"/>
        </w:rPr>
        <w:t>. One Aboriginal trainee commenced in </w:t>
      </w:r>
      <w:r>
        <w:rPr>
          <w:b/>
          <w:sz w:val="22"/>
        </w:rPr>
        <w:t>Government Procurement </w:t>
      </w:r>
      <w:r>
        <w:rPr>
          <w:sz w:val="22"/>
        </w:rPr>
        <w:t>in May 2018 and is also</w:t>
      </w:r>
      <w:r>
        <w:rPr>
          <w:spacing w:val="-17"/>
          <w:sz w:val="22"/>
        </w:rPr>
        <w:t> </w:t>
      </w:r>
      <w:r>
        <w:rPr>
          <w:sz w:val="22"/>
        </w:rPr>
        <w:t>undertaking</w:t>
      </w:r>
      <w:r>
        <w:rPr>
          <w:spacing w:val="-17"/>
          <w:sz w:val="22"/>
        </w:rPr>
        <w:t> </w:t>
      </w:r>
      <w:r>
        <w:rPr>
          <w:sz w:val="22"/>
        </w:rPr>
        <w:t>a</w:t>
      </w:r>
      <w:r>
        <w:rPr>
          <w:spacing w:val="-16"/>
          <w:sz w:val="22"/>
        </w:rPr>
        <w:t> </w:t>
      </w:r>
      <w:r>
        <w:rPr>
          <w:sz w:val="22"/>
        </w:rPr>
        <w:t>Certificate</w:t>
      </w:r>
      <w:r>
        <w:rPr>
          <w:spacing w:val="-17"/>
          <w:sz w:val="22"/>
        </w:rPr>
        <w:t> </w:t>
      </w:r>
      <w:r>
        <w:rPr>
          <w:sz w:val="22"/>
        </w:rPr>
        <w:t>III</w:t>
      </w:r>
      <w:r>
        <w:rPr>
          <w:spacing w:val="-17"/>
          <w:sz w:val="22"/>
        </w:rPr>
        <w:t> </w:t>
      </w:r>
      <w:r>
        <w:rPr>
          <w:sz w:val="22"/>
        </w:rPr>
        <w:t>in</w:t>
      </w:r>
      <w:r>
        <w:rPr>
          <w:spacing w:val="-16"/>
          <w:sz w:val="22"/>
        </w:rPr>
        <w:t> </w:t>
      </w:r>
      <w:r>
        <w:rPr>
          <w:sz w:val="22"/>
        </w:rPr>
        <w:t>Government.</w:t>
      </w:r>
    </w:p>
    <w:p>
      <w:pPr>
        <w:pStyle w:val="BodyText"/>
        <w:spacing w:before="5"/>
        <w:rPr>
          <w:sz w:val="23"/>
        </w:rPr>
      </w:pPr>
    </w:p>
    <w:p>
      <w:pPr>
        <w:pStyle w:val="BodyText"/>
        <w:spacing w:line="249" w:lineRule="auto"/>
        <w:ind w:left="765" w:right="231"/>
      </w:pPr>
      <w:r>
        <w:rPr/>
        <w:t>The</w:t>
      </w:r>
      <w:r>
        <w:rPr>
          <w:spacing w:val="-29"/>
        </w:rPr>
        <w:t> </w:t>
      </w:r>
      <w:r>
        <w:rPr/>
        <w:t>Department</w:t>
      </w:r>
      <w:r>
        <w:rPr>
          <w:spacing w:val="-29"/>
        </w:rPr>
        <w:t> </w:t>
      </w:r>
      <w:r>
        <w:rPr/>
        <w:t>of</w:t>
      </w:r>
      <w:r>
        <w:rPr>
          <w:spacing w:val="-28"/>
        </w:rPr>
        <w:t> </w:t>
      </w:r>
      <w:r>
        <w:rPr/>
        <w:t>Finance</w:t>
      </w:r>
      <w:r>
        <w:rPr>
          <w:spacing w:val="-29"/>
        </w:rPr>
        <w:t> </w:t>
      </w:r>
      <w:r>
        <w:rPr/>
        <w:t>strives</w:t>
      </w:r>
      <w:r>
        <w:rPr>
          <w:spacing w:val="-28"/>
        </w:rPr>
        <w:t> </w:t>
      </w:r>
      <w:r>
        <w:rPr/>
        <w:t>to</w:t>
      </w:r>
      <w:r>
        <w:rPr>
          <w:spacing w:val="-29"/>
        </w:rPr>
        <w:t> </w:t>
      </w:r>
      <w:r>
        <w:rPr/>
        <w:t>encourage diversity in the workplace. The Graduate and Traineeship</w:t>
      </w:r>
      <w:r>
        <w:rPr>
          <w:spacing w:val="-39"/>
        </w:rPr>
        <w:t> </w:t>
      </w:r>
      <w:r>
        <w:rPr/>
        <w:t>Programs</w:t>
      </w:r>
      <w:r>
        <w:rPr>
          <w:spacing w:val="-38"/>
        </w:rPr>
        <w:t> </w:t>
      </w:r>
      <w:r>
        <w:rPr/>
        <w:t>facilitate</w:t>
      </w:r>
      <w:r>
        <w:rPr>
          <w:spacing w:val="-39"/>
        </w:rPr>
        <w:t> </w:t>
      </w:r>
      <w:r>
        <w:rPr/>
        <w:t>this</w:t>
      </w:r>
      <w:r>
        <w:rPr>
          <w:spacing w:val="-38"/>
        </w:rPr>
        <w:t> </w:t>
      </w:r>
      <w:r>
        <w:rPr/>
        <w:t>involvement through careful consideration of how we can assist our people feel comfortable in their working environment, enabling them to reach their potential, achieve their own personal and professional goals and inevitably add value across the</w:t>
      </w:r>
      <w:r>
        <w:rPr>
          <w:spacing w:val="-3"/>
        </w:rPr>
        <w:t> </w:t>
      </w:r>
      <w:r>
        <w:rPr/>
        <w:t>Department.</w:t>
      </w:r>
    </w:p>
    <w:p>
      <w:pPr>
        <w:pStyle w:val="BodyText"/>
        <w:spacing w:line="249" w:lineRule="auto" w:before="111"/>
        <w:ind w:left="405" w:right="-6"/>
      </w:pPr>
      <w:r>
        <w:rPr/>
        <w:br w:type="column"/>
      </w:r>
      <w:r>
        <w:rPr>
          <w:b/>
        </w:rPr>
        <w:t>State Revenue’s </w:t>
      </w:r>
      <w:r>
        <w:rPr/>
        <w:t>Succession Management Program demonstrates the </w:t>
      </w:r>
      <w:r>
        <w:rPr>
          <w:spacing w:val="-3"/>
        </w:rPr>
        <w:t>Department’s </w:t>
      </w:r>
      <w:r>
        <w:rPr/>
        <w:t>commitment to invest in our people and build capability. The program identifies employees who</w:t>
      </w:r>
      <w:r>
        <w:rPr>
          <w:spacing w:val="-16"/>
        </w:rPr>
        <w:t> </w:t>
      </w:r>
      <w:r>
        <w:rPr/>
        <w:t>have</w:t>
      </w:r>
      <w:r>
        <w:rPr>
          <w:spacing w:val="-15"/>
        </w:rPr>
        <w:t> </w:t>
      </w:r>
      <w:r>
        <w:rPr/>
        <w:t>the</w:t>
      </w:r>
      <w:r>
        <w:rPr>
          <w:spacing w:val="-16"/>
        </w:rPr>
        <w:t> </w:t>
      </w:r>
      <w:r>
        <w:rPr/>
        <w:t>potential</w:t>
      </w:r>
      <w:r>
        <w:rPr>
          <w:spacing w:val="-15"/>
        </w:rPr>
        <w:t> </w:t>
      </w:r>
      <w:r>
        <w:rPr/>
        <w:t>to</w:t>
      </w:r>
      <w:r>
        <w:rPr>
          <w:spacing w:val="-16"/>
        </w:rPr>
        <w:t> </w:t>
      </w:r>
      <w:r>
        <w:rPr/>
        <w:t>develop</w:t>
      </w:r>
      <w:r>
        <w:rPr>
          <w:spacing w:val="-15"/>
        </w:rPr>
        <w:t> </w:t>
      </w:r>
      <w:r>
        <w:rPr/>
        <w:t>specific</w:t>
      </w:r>
      <w:r>
        <w:rPr>
          <w:spacing w:val="-16"/>
        </w:rPr>
        <w:t> </w:t>
      </w:r>
      <w:r>
        <w:rPr/>
        <w:t>skills and</w:t>
      </w:r>
      <w:r>
        <w:rPr>
          <w:spacing w:val="-19"/>
        </w:rPr>
        <w:t> </w:t>
      </w:r>
      <w:r>
        <w:rPr/>
        <w:t>knowledge</w:t>
      </w:r>
      <w:r>
        <w:rPr>
          <w:spacing w:val="-19"/>
        </w:rPr>
        <w:t> </w:t>
      </w:r>
      <w:r>
        <w:rPr/>
        <w:t>to</w:t>
      </w:r>
      <w:r>
        <w:rPr>
          <w:spacing w:val="-19"/>
        </w:rPr>
        <w:t> </w:t>
      </w:r>
      <w:r>
        <w:rPr/>
        <w:t>fill</w:t>
      </w:r>
      <w:r>
        <w:rPr>
          <w:spacing w:val="-18"/>
        </w:rPr>
        <w:t> </w:t>
      </w:r>
      <w:r>
        <w:rPr/>
        <w:t>critical</w:t>
      </w:r>
      <w:r>
        <w:rPr>
          <w:spacing w:val="-19"/>
        </w:rPr>
        <w:t> </w:t>
      </w:r>
      <w:r>
        <w:rPr/>
        <w:t>roles</w:t>
      </w:r>
      <w:r>
        <w:rPr>
          <w:spacing w:val="-19"/>
        </w:rPr>
        <w:t> </w:t>
      </w:r>
      <w:r>
        <w:rPr/>
        <w:t>in</w:t>
      </w:r>
      <w:r>
        <w:rPr>
          <w:spacing w:val="-19"/>
        </w:rPr>
        <w:t> </w:t>
      </w:r>
      <w:r>
        <w:rPr/>
        <w:t>the</w:t>
      </w:r>
      <w:r>
        <w:rPr>
          <w:spacing w:val="-18"/>
        </w:rPr>
        <w:t> </w:t>
      </w:r>
      <w:r>
        <w:rPr>
          <w:spacing w:val="-3"/>
        </w:rPr>
        <w:t>business </w:t>
      </w:r>
      <w:r>
        <w:rPr/>
        <w:t>that may become vacant through</w:t>
      </w:r>
      <w:r>
        <w:rPr>
          <w:spacing w:val="-46"/>
        </w:rPr>
        <w:t> </w:t>
      </w:r>
      <w:r>
        <w:rPr/>
        <w:t>retirement</w:t>
      </w:r>
    </w:p>
    <w:p>
      <w:pPr>
        <w:pStyle w:val="BodyText"/>
        <w:spacing w:before="6"/>
        <w:ind w:left="405"/>
      </w:pPr>
      <w:r>
        <w:rPr/>
        <w:t>or natural attrition.</w:t>
      </w:r>
    </w:p>
    <w:p>
      <w:pPr>
        <w:pStyle w:val="BodyText"/>
        <w:spacing w:line="249" w:lineRule="auto" w:before="182"/>
        <w:ind w:left="405" w:right="264"/>
      </w:pPr>
      <w:r>
        <w:rPr>
          <w:spacing w:val="-3"/>
        </w:rPr>
        <w:t>Twenty-eight</w:t>
      </w:r>
      <w:r>
        <w:rPr>
          <w:spacing w:val="-21"/>
        </w:rPr>
        <w:t> </w:t>
      </w:r>
      <w:r>
        <w:rPr/>
        <w:t>employees</w:t>
      </w:r>
      <w:r>
        <w:rPr>
          <w:spacing w:val="-21"/>
        </w:rPr>
        <w:t> </w:t>
      </w:r>
      <w:r>
        <w:rPr/>
        <w:t>have</w:t>
      </w:r>
      <w:r>
        <w:rPr>
          <w:spacing w:val="-21"/>
        </w:rPr>
        <w:t> </w:t>
      </w:r>
      <w:r>
        <w:rPr/>
        <w:t>participated</w:t>
      </w:r>
      <w:r>
        <w:rPr>
          <w:spacing w:val="-21"/>
        </w:rPr>
        <w:t> </w:t>
      </w:r>
      <w:r>
        <w:rPr/>
        <w:t>in the</w:t>
      </w:r>
      <w:r>
        <w:rPr>
          <w:spacing w:val="-15"/>
        </w:rPr>
        <w:t> </w:t>
      </w:r>
      <w:r>
        <w:rPr/>
        <w:t>Program</w:t>
      </w:r>
      <w:r>
        <w:rPr>
          <w:spacing w:val="-15"/>
        </w:rPr>
        <w:t> </w:t>
      </w:r>
      <w:r>
        <w:rPr/>
        <w:t>since</w:t>
      </w:r>
      <w:r>
        <w:rPr>
          <w:spacing w:val="-15"/>
        </w:rPr>
        <w:t> </w:t>
      </w:r>
      <w:r>
        <w:rPr/>
        <w:t>it</w:t>
      </w:r>
      <w:r>
        <w:rPr>
          <w:spacing w:val="-15"/>
        </w:rPr>
        <w:t> </w:t>
      </w:r>
      <w:r>
        <w:rPr/>
        <w:t>began</w:t>
      </w:r>
      <w:r>
        <w:rPr>
          <w:spacing w:val="-15"/>
        </w:rPr>
        <w:t> </w:t>
      </w:r>
      <w:r>
        <w:rPr/>
        <w:t>in</w:t>
      </w:r>
      <w:r>
        <w:rPr>
          <w:spacing w:val="-15"/>
        </w:rPr>
        <w:t> </w:t>
      </w:r>
      <w:r>
        <w:rPr/>
        <w:t>2008,</w:t>
      </w:r>
      <w:r>
        <w:rPr>
          <w:spacing w:val="-15"/>
        </w:rPr>
        <w:t> </w:t>
      </w:r>
      <w:r>
        <w:rPr/>
        <w:t>and</w:t>
      </w:r>
      <w:r>
        <w:rPr>
          <w:spacing w:val="-15"/>
        </w:rPr>
        <w:t> </w:t>
      </w:r>
      <w:r>
        <w:rPr>
          <w:spacing w:val="-5"/>
        </w:rPr>
        <w:t>have </w:t>
      </w:r>
      <w:r>
        <w:rPr/>
        <w:t>been</w:t>
      </w:r>
      <w:r>
        <w:rPr>
          <w:spacing w:val="-15"/>
        </w:rPr>
        <w:t> </w:t>
      </w:r>
      <w:r>
        <w:rPr/>
        <w:t>exposed</w:t>
      </w:r>
      <w:r>
        <w:rPr>
          <w:spacing w:val="-14"/>
        </w:rPr>
        <w:t> </w:t>
      </w:r>
      <w:r>
        <w:rPr/>
        <w:t>to</w:t>
      </w:r>
      <w:r>
        <w:rPr>
          <w:spacing w:val="-15"/>
        </w:rPr>
        <w:t> </w:t>
      </w:r>
      <w:r>
        <w:rPr/>
        <w:t>other</w:t>
      </w:r>
      <w:r>
        <w:rPr>
          <w:spacing w:val="-14"/>
        </w:rPr>
        <w:t> </w:t>
      </w:r>
      <w:r>
        <w:rPr/>
        <w:t>areas</w:t>
      </w:r>
      <w:r>
        <w:rPr>
          <w:spacing w:val="-15"/>
        </w:rPr>
        <w:t> </w:t>
      </w:r>
      <w:r>
        <w:rPr/>
        <w:t>of</w:t>
      </w:r>
      <w:r>
        <w:rPr>
          <w:spacing w:val="-14"/>
        </w:rPr>
        <w:t> </w:t>
      </w:r>
      <w:r>
        <w:rPr/>
        <w:t>the</w:t>
      </w:r>
      <w:r>
        <w:rPr>
          <w:spacing w:val="-15"/>
        </w:rPr>
        <w:t> </w:t>
      </w:r>
      <w:r>
        <w:rPr/>
        <w:t>business to develop a holistic understanding of the organisation. After completing the Program, employees</w:t>
      </w:r>
      <w:r>
        <w:rPr>
          <w:spacing w:val="-26"/>
        </w:rPr>
        <w:t> </w:t>
      </w:r>
      <w:r>
        <w:rPr/>
        <w:t>are</w:t>
      </w:r>
      <w:r>
        <w:rPr>
          <w:spacing w:val="-25"/>
        </w:rPr>
        <w:t> </w:t>
      </w:r>
      <w:r>
        <w:rPr/>
        <w:t>included</w:t>
      </w:r>
      <w:r>
        <w:rPr>
          <w:spacing w:val="-25"/>
        </w:rPr>
        <w:t> </w:t>
      </w:r>
      <w:r>
        <w:rPr/>
        <w:t>in</w:t>
      </w:r>
      <w:r>
        <w:rPr>
          <w:spacing w:val="-25"/>
        </w:rPr>
        <w:t> </w:t>
      </w:r>
      <w:r>
        <w:rPr/>
        <w:t>an</w:t>
      </w:r>
      <w:r>
        <w:rPr>
          <w:spacing w:val="-25"/>
        </w:rPr>
        <w:t> </w:t>
      </w:r>
      <w:r>
        <w:rPr/>
        <w:t>alumni</w:t>
      </w:r>
      <w:r>
        <w:rPr>
          <w:spacing w:val="-25"/>
        </w:rPr>
        <w:t> </w:t>
      </w:r>
      <w:r>
        <w:rPr/>
        <w:t>program for continual professional development and higher</w:t>
      </w:r>
      <w:r>
        <w:rPr>
          <w:spacing w:val="-15"/>
        </w:rPr>
        <w:t> </w:t>
      </w:r>
      <w:r>
        <w:rPr/>
        <w:t>duties</w:t>
      </w:r>
      <w:r>
        <w:rPr>
          <w:spacing w:val="-14"/>
        </w:rPr>
        <w:t> </w:t>
      </w:r>
      <w:r>
        <w:rPr/>
        <w:t>opportunities</w:t>
      </w:r>
      <w:r>
        <w:rPr>
          <w:spacing w:val="-14"/>
        </w:rPr>
        <w:t> </w:t>
      </w:r>
      <w:r>
        <w:rPr/>
        <w:t>where</w:t>
      </w:r>
      <w:r>
        <w:rPr>
          <w:spacing w:val="-15"/>
        </w:rPr>
        <w:t> </w:t>
      </w:r>
      <w:r>
        <w:rPr/>
        <w:t>practical.</w:t>
      </w:r>
    </w:p>
    <w:p>
      <w:pPr>
        <w:pStyle w:val="BodyText"/>
        <w:spacing w:line="249" w:lineRule="auto" w:before="108"/>
        <w:ind w:left="620" w:right="1162"/>
      </w:pPr>
      <w:r>
        <w:rPr/>
        <w:br w:type="column"/>
      </w:r>
      <w:r>
        <w:rPr/>
        <w:t>The </w:t>
      </w:r>
      <w:r>
        <w:rPr>
          <w:b/>
        </w:rPr>
        <w:t>Interagency Mentoring Program </w:t>
      </w:r>
      <w:r>
        <w:rPr/>
        <w:t>is led and supported by the Department of </w:t>
      </w:r>
      <w:r>
        <w:rPr>
          <w:spacing w:val="-3"/>
        </w:rPr>
        <w:t>Finance. </w:t>
      </w:r>
      <w:r>
        <w:rPr/>
        <w:t>Seven agencies across the public sector participate, where mentors and mentees are paired from different agencies, providing opportunities to grow employee networks</w:t>
      </w:r>
    </w:p>
    <w:p>
      <w:pPr>
        <w:pStyle w:val="BodyText"/>
        <w:spacing w:line="249" w:lineRule="auto" w:before="6"/>
        <w:ind w:left="620" w:right="1144"/>
        <w:jc w:val="both"/>
      </w:pPr>
      <w:r>
        <w:rPr/>
        <w:t>and</w:t>
      </w:r>
      <w:r>
        <w:rPr>
          <w:spacing w:val="-22"/>
        </w:rPr>
        <w:t> </w:t>
      </w:r>
      <w:r>
        <w:rPr/>
        <w:t>facilitate</w:t>
      </w:r>
      <w:r>
        <w:rPr>
          <w:spacing w:val="-22"/>
        </w:rPr>
        <w:t> </w:t>
      </w:r>
      <w:r>
        <w:rPr/>
        <w:t>future</w:t>
      </w:r>
      <w:r>
        <w:rPr>
          <w:spacing w:val="-21"/>
        </w:rPr>
        <w:t> </w:t>
      </w:r>
      <w:r>
        <w:rPr/>
        <w:t>collaboration.</w:t>
      </w:r>
      <w:r>
        <w:rPr>
          <w:spacing w:val="-22"/>
        </w:rPr>
        <w:t> </w:t>
      </w:r>
      <w:r>
        <w:rPr/>
        <w:t>In</w:t>
      </w:r>
      <w:r>
        <w:rPr>
          <w:spacing w:val="-21"/>
        </w:rPr>
        <w:t> </w:t>
      </w:r>
      <w:r>
        <w:rPr/>
        <w:t>addition</w:t>
      </w:r>
      <w:r>
        <w:rPr>
          <w:spacing w:val="-22"/>
        </w:rPr>
        <w:t> </w:t>
      </w:r>
      <w:r>
        <w:rPr/>
        <w:t>to facilitating</w:t>
      </w:r>
      <w:r>
        <w:rPr>
          <w:spacing w:val="-27"/>
        </w:rPr>
        <w:t> </w:t>
      </w:r>
      <w:r>
        <w:rPr/>
        <w:t>the</w:t>
      </w:r>
      <w:r>
        <w:rPr>
          <w:spacing w:val="-27"/>
        </w:rPr>
        <w:t> </w:t>
      </w:r>
      <w:r>
        <w:rPr/>
        <w:t>program,</w:t>
      </w:r>
      <w:r>
        <w:rPr>
          <w:spacing w:val="-27"/>
        </w:rPr>
        <w:t> </w:t>
      </w:r>
      <w:r>
        <w:rPr/>
        <w:t>Department</w:t>
      </w:r>
      <w:r>
        <w:rPr>
          <w:spacing w:val="-27"/>
        </w:rPr>
        <w:t> </w:t>
      </w:r>
      <w:r>
        <w:rPr/>
        <w:t>of</w:t>
      </w:r>
      <w:r>
        <w:rPr>
          <w:spacing w:val="-27"/>
        </w:rPr>
        <w:t> </w:t>
      </w:r>
      <w:r>
        <w:rPr>
          <w:spacing w:val="-3"/>
        </w:rPr>
        <w:t>Finance </w:t>
      </w:r>
      <w:r>
        <w:rPr/>
        <w:t>participated in the</w:t>
      </w:r>
      <w:r>
        <w:rPr>
          <w:spacing w:val="-7"/>
        </w:rPr>
        <w:t> </w:t>
      </w:r>
      <w:r>
        <w:rPr/>
        <w:t>Program.</w:t>
      </w:r>
    </w:p>
    <w:p>
      <w:pPr>
        <w:pStyle w:val="BodyText"/>
        <w:spacing w:before="2"/>
        <w:rPr>
          <w:sz w:val="23"/>
        </w:rPr>
      </w:pPr>
    </w:p>
    <w:p>
      <w:pPr>
        <w:pStyle w:val="BodyText"/>
        <w:spacing w:line="249" w:lineRule="auto"/>
        <w:ind w:left="620" w:right="931"/>
      </w:pPr>
      <w:r>
        <w:rPr/>
        <w:t>An additional communications stream is being piloted for 2018, with 13 agencies participating with 20 mentors and 20 mentees contributing to the Program.</w:t>
      </w:r>
    </w:p>
    <w:p>
      <w:pPr>
        <w:spacing w:after="0" w:line="249" w:lineRule="auto"/>
        <w:sectPr>
          <w:type w:val="continuous"/>
          <w:pgSz w:w="16840" w:h="11910" w:orient="landscape"/>
          <w:pgMar w:top="1100" w:bottom="280" w:left="0" w:right="0"/>
          <w:cols w:num="3" w:equalWidth="0">
            <w:col w:w="5565" w:space="40"/>
            <w:col w:w="4990" w:space="39"/>
            <w:col w:w="6206"/>
          </w:cols>
        </w:sectPr>
      </w:pPr>
    </w:p>
    <w:p>
      <w:pPr>
        <w:pStyle w:val="BodyText"/>
        <w:rPr>
          <w:sz w:val="20"/>
        </w:rPr>
      </w:pPr>
      <w:r>
        <w:rPr/>
        <w:pict>
          <v:group style="position:absolute;margin-left:38.227001pt;margin-top:.000001pt;width:803.7pt;height:595.3pt;mso-position-horizontal-relative:page;mso-position-vertical-relative:page;z-index:-705064" coordorigin="765,0" coordsize="16074,11906">
            <v:shape style="position:absolute;left:6434;top:164;width:10404;height:11741" type="#_x0000_t75" stroked="false">
              <v:imagedata r:id="rId113" o:title=""/>
            </v:shape>
            <v:shape style="position:absolute;left:2304;top:19131;width:2675;height:2675" coordorigin="2304,19131" coordsize="2675,2675" path="m14168,6647l14594,7073m13988,6553l14688,7253m13853,6503l14738,7388m13737,6473l14768,7504m13634,6456l14785,7607m13539,6447l14794,7702m13452,6444l14797,7789m13369,6447l14794,7872m13291,6455l14786,7950m13217,6466l14775,8024m13146,6481l14760,8095m13079,6499l14742,8162m13014,6520l14721,8227m12952,6544l14697,8289m12893,6570l14671,8348m12836,6598l14643,8405m12781,6629l14612,8460m12728,6662l14579,8513m12678,6697l14544,8563m12629,6733l14508,8612m12582,6772l14469,8659m12537,6813l14428,8704m12494,6855l14386,8747m12454,6900l14341,8787m12415,6947l14294,8826m12378,6995l14246,8863m12342,7046l14195,8899m12309,7098l14143,8932m12278,7153l14088,8963m12250,7209l14032,8991m12224,7269l13972,9017m12200,7330l13911,9041m12179,7395l13846,9062m12160,7462l13779,9081m12145,7532l13709,9096m12133,7606l13635,9108m12125,7684l13557,9116m12122,7766l13475,9119m12123,7853l13388,9118m12132,7947l13294,9109m12148,8049l13192,9093m12177,8162l13079,9064m12223,8295l12946,9018m12310,8467l12774,8931e" filled="false" stroked="true" strokeweight=".194pt" strokecolor="#aebd37">
              <v:path arrowok="t"/>
              <v:stroke dashstyle="solid"/>
            </v:shape>
            <v:shape style="position:absolute;left:15;top:4751;width:1380;height:1366" coordorigin="16,4751" coordsize="1380,1366" path="m11604,8358l11349,8102m11753,8420l11286,7954m11861,8443l11263,7845m11952,8449l11257,7754m12032,8443l11263,7674m12105,8430l11276,7601m12171,8411l11295,7535m12233,8387l11319,7473m12289,8358l11348,7417m12342,8325l11381,7365m12390,8288l11419,7317m12434,8247l11459,7272m12475,8202l11504,7231m12512,8154l11552,7194m12546,8102l11604,7160m12575,8045l11661,7131m12600,7984l11722,7107m12619,7918l11788,7088m12632,7846l11870,7084m12637,7766l11955,7084m12632,7675l12041,7084m12610,7567l12139,7097m12547,7419l12287,7159e" filled="false" stroked="true" strokeweight=".194pt" strokecolor="#6f2770">
              <v:path arrowok="t"/>
              <v:stroke dashstyle="solid"/>
            </v:shape>
            <v:rect style="position:absolute;left:4810;top:0;width:2406;height:851" filled="true" fillcolor="#d4d896"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c3acc4" stroked="false">
              <v:fill type="solid"/>
            </v:rect>
            <v:rect style="position:absolute;left:14432;top:0;width:2406;height:851" filled="true" fillcolor="#bba1bc" stroked="false">
              <v:fill type="solid"/>
            </v:rect>
            <v:shape style="position:absolute;left:764;top:6827;width:9904;height:4269" type="#_x0000_t75" stroked="false">
              <v:imagedata r:id="rId114" o:title=""/>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10886" w:val="left" w:leader="none"/>
          <w:tab w:pos="11199" w:val="left" w:leader="none"/>
          <w:tab w:pos="15849" w:val="left" w:leader="none"/>
        </w:tabs>
        <w:spacing w:before="107"/>
        <w:ind w:left="765" w:right="0" w:firstLine="0"/>
        <w:jc w:val="left"/>
        <w:rPr>
          <w:b/>
          <w:sz w:val="20"/>
        </w:rPr>
      </w:pPr>
      <w:r>
        <w:rPr/>
        <w:pict>
          <v:group style="position:absolute;margin-left:0pt;margin-top:-9.505017pt;width:24.1pt;height:41.55pt;mso-position-horizontal-relative:page;mso-position-vertical-relative:paragraph;z-index:7456"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ffffff" stroked="false">
              <v:path arrowok="t"/>
              <v:fill type="solid"/>
            </v:shape>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FFFFFF"/>
          <w:w w:val="100"/>
          <w:sz w:val="20"/>
          <w:u w:val="single" w:color="939598"/>
        </w:rPr>
        <w:t> </w:t>
      </w:r>
      <w:r>
        <w:rPr>
          <w:b/>
          <w:color w:val="FFFFFF"/>
          <w:sz w:val="20"/>
          <w:u w:val="single" w:color="939598"/>
        </w:rPr>
        <w:tab/>
      </w:r>
      <w:r>
        <w:rPr>
          <w:b/>
          <w:color w:val="FFFFFF"/>
          <w:sz w:val="20"/>
        </w:rPr>
        <w:tab/>
        <w:t>Department of Finance Annual</w:t>
      </w:r>
      <w:r>
        <w:rPr>
          <w:b/>
          <w:color w:val="FFFFFF"/>
          <w:spacing w:val="12"/>
          <w:sz w:val="20"/>
        </w:rPr>
        <w:t> </w:t>
      </w:r>
      <w:r>
        <w:rPr>
          <w:b/>
          <w:color w:val="FFFFFF"/>
          <w:sz w:val="20"/>
        </w:rPr>
        <w:t>Report</w:t>
      </w:r>
      <w:r>
        <w:rPr>
          <w:b/>
          <w:color w:val="FFFFFF"/>
          <w:spacing w:val="3"/>
          <w:sz w:val="20"/>
        </w:rPr>
        <w:t> </w:t>
      </w:r>
      <w:r>
        <w:rPr>
          <w:b/>
          <w:color w:val="FFFFFF"/>
          <w:sz w:val="20"/>
        </w:rPr>
        <w:t>2017-18</w:t>
        <w:tab/>
        <w:t>27</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7"/>
        <w:rPr>
          <w:b/>
          <w:sz w:val="24"/>
        </w:rPr>
      </w:pPr>
    </w:p>
    <w:p>
      <w:pPr>
        <w:spacing w:after="0"/>
        <w:rPr>
          <w:sz w:val="24"/>
        </w:rPr>
        <w:sectPr>
          <w:footerReference w:type="default" r:id="rId115"/>
          <w:pgSz w:w="16840" w:h="11910" w:orient="landscape"/>
          <w:pgMar w:footer="0" w:header="0" w:top="0" w:bottom="0" w:left="0" w:right="0"/>
        </w:sectPr>
      </w:pPr>
    </w:p>
    <w:p>
      <w:pPr>
        <w:spacing w:before="116"/>
        <w:ind w:left="1119" w:right="0" w:firstLine="0"/>
        <w:jc w:val="left"/>
        <w:rPr>
          <w:b/>
          <w:sz w:val="43"/>
        </w:rPr>
      </w:pPr>
      <w:r>
        <w:rPr/>
        <w:pict>
          <v:group style="position:absolute;margin-left:38.268002pt;margin-top:-7.314259pt;width:765.4pt;height:482.15pt;mso-position-horizontal-relative:page;mso-position-vertical-relative:paragraph;z-index:-704848" coordorigin="765,-146" coordsize="15308,9643">
            <v:rect style="position:absolute;left:765;top:-147;width:15308;height:9638" filled="true" fillcolor="#f0eee8" stroked="false">
              <v:fill type="solid"/>
            </v:rect>
            <v:shape style="position:absolute;left:-1345;top:18759;width:869;height:869" coordorigin="-1344,18760" coordsize="869,869" path="m8941,7904l9233,8195m8812,7884l9252,8325m8715,7898l9239,8422m8633,7926l9210,8503m8564,7967l9169,8573m8505,8019l9118,8632m8455,8080l9057,8681m8417,8151l8985,8720m8390,8236l8901,8746m8384,8339l8797,8753m8413,8478l8658,8724e" filled="false" stroked="true" strokeweight=".25pt" strokecolor="#6f2770">
              <v:path arrowok="t"/>
              <v:stroke dashstyle="solid"/>
            </v:shape>
            <v:shape style="position:absolute;left:-5624;top:-1128;width:2109;height:957" coordorigin="-5623,-1127" coordsize="2109,957" path="m6097,9492l6086,9480m6208,9492l6101,9385m6318,9492l6123,9297m6428,9492l6151,9214m6539,9492l6185,9137m6649,9492l6223,9065m6760,9492l6266,8998m6870,9492l6313,8935m6980,9492l6364,8875m7091,9492l6419,8820m7201,9492l6479,8769m7311,9492l6542,8722m7422,9492l6609,8679m7532,9492l6681,8641m7642,9492l6758,8607m7753,9492l6840,8579m7863,9492l6928,8557m7973,9492l7024,8542m8084,9492l7127,8535m8194,9492l7242,8539m8187,9374l7371,8558m8140,9217l7529,8606m8007,8974l7771,8737e" filled="false" stroked="true" strokeweight=".5pt" strokecolor="#aebd37">
              <v:path arrowok="t"/>
              <v:stroke dashstyle="solid"/>
            </v:shape>
            <v:shape style="position:absolute;left:-5677;top:-330;width:1417;height:1405" coordorigin="-5677,-330" coordsize="1417,1405" path="m5895,9400l5661,9166m6088,9482l5580,8975m6208,9492l5559,8843m6318,9492l5560,8733m6424,9488l5574,8638m6509,9462l5600,8553m6586,9429l5633,8476m6656,9388l5674,8406m6720,9342l5721,8343m6777,9289l5774,8285m6828,9229l5833,8234m6873,9164l5898,8189m6912,9092l5970,8150m6943,9013l6049,8120m6964,8924l6138,8098m6975,8825l6237,8087m6972,8711l6352,8091m6940,8568l6494,8123e" filled="false" stroked="true" strokeweight=".5pt" strokecolor="#bbbcbb">
              <v:path arrowok="t"/>
              <v:stroke dashstyle="solid"/>
            </v:shape>
            <v:shape style="position:absolute;left:10767;top:4201;width:5305;height:5291" type="#_x0000_t75" stroked="false">
              <v:imagedata r:id="rId116" o:title=""/>
            </v:shape>
            <v:shape style="position:absolute;left:10982;top:4416;width:5090;height:5076" type="#_x0000_t75" stroked="false">
              <v:imagedata r:id="rId117" o:title=""/>
            </v:shape>
            <w10:wrap type="none"/>
          </v:group>
        </w:pict>
      </w:r>
      <w:r>
        <w:rPr/>
        <w:pict>
          <v:shape style="position:absolute;margin-left:360.811798pt;margin-top:-69.422256pt;width:120.3pt;height:42.55pt;mso-position-horizontal-relative:page;mso-position-vertical-relative:paragraph;z-index:774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9.422256pt;width:120.3pt;height:42.55pt;mso-position-horizontal-relative:page;mso-position-vertical-relative:paragraph;z-index:776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b/>
          <w:color w:val="6F2770"/>
          <w:sz w:val="43"/>
        </w:rPr>
        <w:t>Graduate Program</w:t>
      </w:r>
    </w:p>
    <w:p>
      <w:pPr>
        <w:pStyle w:val="BodyText"/>
        <w:spacing w:line="249" w:lineRule="auto" w:before="267"/>
        <w:ind w:left="1119" w:right="-11"/>
      </w:pPr>
      <w:r>
        <w:rPr/>
        <w:t>In</w:t>
      </w:r>
      <w:r>
        <w:rPr>
          <w:spacing w:val="-16"/>
        </w:rPr>
        <w:t> </w:t>
      </w:r>
      <w:r>
        <w:rPr>
          <w:spacing w:val="-7"/>
        </w:rPr>
        <w:t>2018,</w:t>
      </w:r>
      <w:r>
        <w:rPr>
          <w:spacing w:val="-16"/>
        </w:rPr>
        <w:t> </w:t>
      </w:r>
      <w:r>
        <w:rPr/>
        <w:t>the</w:t>
      </w:r>
      <w:r>
        <w:rPr>
          <w:spacing w:val="-16"/>
        </w:rPr>
        <w:t> </w:t>
      </w:r>
      <w:r>
        <w:rPr/>
        <w:t>Department</w:t>
      </w:r>
      <w:r>
        <w:rPr>
          <w:spacing w:val="-16"/>
        </w:rPr>
        <w:t> </w:t>
      </w:r>
      <w:r>
        <w:rPr/>
        <w:t>of</w:t>
      </w:r>
      <w:r>
        <w:rPr>
          <w:spacing w:val="-16"/>
        </w:rPr>
        <w:t> </w:t>
      </w:r>
      <w:r>
        <w:rPr>
          <w:spacing w:val="-3"/>
        </w:rPr>
        <w:t>Finance’s</w:t>
      </w:r>
      <w:r>
        <w:rPr>
          <w:spacing w:val="-16"/>
        </w:rPr>
        <w:t> </w:t>
      </w:r>
      <w:r>
        <w:rPr/>
        <w:t>Graduate Program was recognised by the Australian Association</w:t>
      </w:r>
      <w:r>
        <w:rPr>
          <w:spacing w:val="-31"/>
        </w:rPr>
        <w:t> </w:t>
      </w:r>
      <w:r>
        <w:rPr/>
        <w:t>of</w:t>
      </w:r>
      <w:r>
        <w:rPr>
          <w:spacing w:val="-31"/>
        </w:rPr>
        <w:t> </w:t>
      </w:r>
      <w:r>
        <w:rPr/>
        <w:t>Graduate</w:t>
      </w:r>
      <w:r>
        <w:rPr>
          <w:spacing w:val="-31"/>
        </w:rPr>
        <w:t> </w:t>
      </w:r>
      <w:r>
        <w:rPr/>
        <w:t>Employers</w:t>
      </w:r>
      <w:r>
        <w:rPr>
          <w:spacing w:val="-30"/>
        </w:rPr>
        <w:t> </w:t>
      </w:r>
      <w:r>
        <w:rPr/>
        <w:t>as</w:t>
      </w:r>
      <w:r>
        <w:rPr>
          <w:spacing w:val="-31"/>
        </w:rPr>
        <w:t> </w:t>
      </w:r>
      <w:r>
        <w:rPr/>
        <w:t>a</w:t>
      </w:r>
      <w:r>
        <w:rPr>
          <w:spacing w:val="-31"/>
        </w:rPr>
        <w:t> </w:t>
      </w:r>
      <w:r>
        <w:rPr/>
        <w:t>leading national Graduate Program, being</w:t>
      </w:r>
      <w:r>
        <w:rPr>
          <w:spacing w:val="-44"/>
        </w:rPr>
        <w:t> </w:t>
      </w:r>
      <w:r>
        <w:rPr/>
        <w:t>ranked</w:t>
      </w:r>
    </w:p>
    <w:p>
      <w:pPr>
        <w:pStyle w:val="BodyText"/>
        <w:spacing w:line="249" w:lineRule="auto" w:before="4"/>
        <w:ind w:left="1119" w:right="347"/>
      </w:pPr>
      <w:r>
        <w:rPr>
          <w:spacing w:val="-5"/>
        </w:rPr>
        <w:t>13th </w:t>
      </w:r>
      <w:r>
        <w:rPr/>
        <w:t>out of </w:t>
      </w:r>
      <w:r>
        <w:rPr>
          <w:spacing w:val="-5"/>
        </w:rPr>
        <w:t>75 </w:t>
      </w:r>
      <w:r>
        <w:rPr/>
        <w:t>organisations in Australia. This ranking was determined by graduates who</w:t>
      </w:r>
      <w:r>
        <w:rPr>
          <w:spacing w:val="-18"/>
        </w:rPr>
        <w:t> </w:t>
      </w:r>
      <w:r>
        <w:rPr/>
        <w:t>provided</w:t>
      </w:r>
      <w:r>
        <w:rPr>
          <w:spacing w:val="-17"/>
        </w:rPr>
        <w:t> </w:t>
      </w:r>
      <w:r>
        <w:rPr/>
        <w:t>feedback</w:t>
      </w:r>
      <w:r>
        <w:rPr>
          <w:spacing w:val="-17"/>
        </w:rPr>
        <w:t> </w:t>
      </w:r>
      <w:r>
        <w:rPr/>
        <w:t>on</w:t>
      </w:r>
      <w:r>
        <w:rPr>
          <w:spacing w:val="-17"/>
        </w:rPr>
        <w:t> </w:t>
      </w:r>
      <w:r>
        <w:rPr/>
        <w:t>their</w:t>
      </w:r>
      <w:r>
        <w:rPr>
          <w:spacing w:val="-17"/>
        </w:rPr>
        <w:t> </w:t>
      </w:r>
      <w:r>
        <w:rPr/>
        <w:t>experience working</w:t>
      </w:r>
      <w:r>
        <w:rPr>
          <w:spacing w:val="-18"/>
        </w:rPr>
        <w:t> </w:t>
      </w:r>
      <w:r>
        <w:rPr/>
        <w:t>with</w:t>
      </w:r>
      <w:r>
        <w:rPr>
          <w:spacing w:val="-17"/>
        </w:rPr>
        <w:t> </w:t>
      </w:r>
      <w:r>
        <w:rPr/>
        <w:t>these</w:t>
      </w:r>
      <w:r>
        <w:rPr>
          <w:spacing w:val="-17"/>
        </w:rPr>
        <w:t> </w:t>
      </w:r>
      <w:r>
        <w:rPr/>
        <w:t>private</w:t>
      </w:r>
      <w:r>
        <w:rPr>
          <w:spacing w:val="-17"/>
        </w:rPr>
        <w:t> </w:t>
      </w:r>
      <w:r>
        <w:rPr/>
        <w:t>and</w:t>
      </w:r>
      <w:r>
        <w:rPr>
          <w:spacing w:val="-17"/>
        </w:rPr>
        <w:t> </w:t>
      </w:r>
      <w:r>
        <w:rPr/>
        <w:t>public</w:t>
      </w:r>
      <w:r>
        <w:rPr>
          <w:spacing w:val="-17"/>
        </w:rPr>
        <w:t> </w:t>
      </w:r>
      <w:r>
        <w:rPr/>
        <w:t>sector organisations.</w:t>
      </w:r>
    </w:p>
    <w:p>
      <w:pPr>
        <w:pStyle w:val="BodyText"/>
        <w:spacing w:before="4"/>
        <w:rPr>
          <w:sz w:val="23"/>
        </w:rPr>
      </w:pPr>
    </w:p>
    <w:p>
      <w:pPr>
        <w:pStyle w:val="BodyText"/>
        <w:spacing w:line="249" w:lineRule="auto"/>
        <w:ind w:left="1119" w:right="69"/>
      </w:pPr>
      <w:r>
        <w:rPr>
          <w:spacing w:val="-3"/>
        </w:rPr>
        <w:t>Finance’s</w:t>
      </w:r>
      <w:r>
        <w:rPr>
          <w:spacing w:val="-22"/>
        </w:rPr>
        <w:t> </w:t>
      </w:r>
      <w:r>
        <w:rPr/>
        <w:t>Graduate</w:t>
      </w:r>
      <w:r>
        <w:rPr>
          <w:spacing w:val="-21"/>
        </w:rPr>
        <w:t> </w:t>
      </w:r>
      <w:r>
        <w:rPr/>
        <w:t>Program</w:t>
      </w:r>
      <w:r>
        <w:rPr>
          <w:spacing w:val="-21"/>
        </w:rPr>
        <w:t> </w:t>
      </w:r>
      <w:r>
        <w:rPr/>
        <w:t>stands</w:t>
      </w:r>
      <w:r>
        <w:rPr>
          <w:spacing w:val="-21"/>
        </w:rPr>
        <w:t> </w:t>
      </w:r>
      <w:r>
        <w:rPr/>
        <w:t>out</w:t>
      </w:r>
      <w:r>
        <w:rPr>
          <w:spacing w:val="-22"/>
        </w:rPr>
        <w:t> </w:t>
      </w:r>
      <w:r>
        <w:rPr/>
        <w:t>for</w:t>
      </w:r>
      <w:r>
        <w:rPr>
          <w:spacing w:val="-21"/>
        </w:rPr>
        <w:t> </w:t>
      </w:r>
      <w:r>
        <w:rPr/>
        <w:t>the inclusive way in which it considers graduates from all disciplines. Over </w:t>
      </w:r>
      <w:r>
        <w:rPr>
          <w:spacing w:val="-9"/>
        </w:rPr>
        <w:t>2017 </w:t>
      </w:r>
      <w:r>
        <w:rPr/>
        <w:t>and</w:t>
      </w:r>
      <w:r>
        <w:rPr>
          <w:spacing w:val="-32"/>
        </w:rPr>
        <w:t> </w:t>
      </w:r>
      <w:r>
        <w:rPr>
          <w:spacing w:val="-7"/>
        </w:rPr>
        <w:t>2018,</w:t>
      </w:r>
    </w:p>
    <w:p>
      <w:pPr>
        <w:pStyle w:val="BodyText"/>
        <w:spacing w:line="249" w:lineRule="auto" w:before="3"/>
        <w:ind w:left="1119" w:right="128"/>
      </w:pPr>
      <w:r>
        <w:rPr/>
        <w:t>the Department employed </w:t>
      </w:r>
      <w:r>
        <w:rPr>
          <w:spacing w:val="-8"/>
        </w:rPr>
        <w:t>15 </w:t>
      </w:r>
      <w:r>
        <w:rPr/>
        <w:t>graduates from a variety of tertiary backgrounds including Engineering, Pharmacology, </w:t>
      </w:r>
      <w:r>
        <w:rPr>
          <w:spacing w:val="-4"/>
        </w:rPr>
        <w:t>Law, </w:t>
      </w:r>
      <w:r>
        <w:rPr/>
        <w:t>Actuarial Science, </w:t>
      </w:r>
      <w:r>
        <w:rPr>
          <w:spacing w:val="-3"/>
        </w:rPr>
        <w:t>History, </w:t>
      </w:r>
      <w:r>
        <w:rPr/>
        <w:t>Architecture and German. Recruiting</w:t>
      </w:r>
      <w:r>
        <w:rPr>
          <w:spacing w:val="-24"/>
        </w:rPr>
        <w:t> </w:t>
      </w:r>
      <w:r>
        <w:rPr/>
        <w:t>from</w:t>
      </w:r>
      <w:r>
        <w:rPr>
          <w:spacing w:val="-24"/>
        </w:rPr>
        <w:t> </w:t>
      </w:r>
      <w:r>
        <w:rPr/>
        <w:t>a</w:t>
      </w:r>
      <w:r>
        <w:rPr>
          <w:spacing w:val="-23"/>
        </w:rPr>
        <w:t> </w:t>
      </w:r>
      <w:r>
        <w:rPr/>
        <w:t>diverse</w:t>
      </w:r>
      <w:r>
        <w:rPr>
          <w:spacing w:val="-24"/>
        </w:rPr>
        <w:t> </w:t>
      </w:r>
      <w:r>
        <w:rPr/>
        <w:t>set</w:t>
      </w:r>
      <w:r>
        <w:rPr>
          <w:spacing w:val="-23"/>
        </w:rPr>
        <w:t> </w:t>
      </w:r>
      <w:r>
        <w:rPr/>
        <w:t>of</w:t>
      </w:r>
      <w:r>
        <w:rPr>
          <w:spacing w:val="-24"/>
        </w:rPr>
        <w:t> </w:t>
      </w:r>
      <w:r>
        <w:rPr/>
        <w:t>disciplines</w:t>
      </w:r>
      <w:r>
        <w:rPr>
          <w:spacing w:val="-23"/>
        </w:rPr>
        <w:t> </w:t>
      </w:r>
      <w:r>
        <w:rPr/>
        <w:t>has many</w:t>
      </w:r>
      <w:r>
        <w:rPr>
          <w:spacing w:val="-33"/>
        </w:rPr>
        <w:t> </w:t>
      </w:r>
      <w:r>
        <w:rPr/>
        <w:t>benefits,</w:t>
      </w:r>
      <w:r>
        <w:rPr>
          <w:spacing w:val="-32"/>
        </w:rPr>
        <w:t> </w:t>
      </w:r>
      <w:r>
        <w:rPr/>
        <w:t>including</w:t>
      </w:r>
      <w:r>
        <w:rPr>
          <w:spacing w:val="-33"/>
        </w:rPr>
        <w:t> </w:t>
      </w:r>
      <w:r>
        <w:rPr/>
        <w:t>broadening</w:t>
      </w:r>
      <w:r>
        <w:rPr>
          <w:spacing w:val="-32"/>
        </w:rPr>
        <w:t> </w:t>
      </w:r>
      <w:r>
        <w:rPr>
          <w:spacing w:val="-3"/>
        </w:rPr>
        <w:t>Finance’s </w:t>
      </w:r>
      <w:r>
        <w:rPr/>
        <w:t>capabilities through harnessing</w:t>
      </w:r>
      <w:r>
        <w:rPr>
          <w:spacing w:val="-30"/>
        </w:rPr>
        <w:t> </w:t>
      </w:r>
      <w:r>
        <w:rPr/>
        <w:t>diverse</w:t>
      </w:r>
    </w:p>
    <w:p>
      <w:pPr>
        <w:pStyle w:val="BodyText"/>
        <w:spacing w:line="249" w:lineRule="auto" w:before="6"/>
        <w:ind w:left="1119" w:right="26"/>
      </w:pPr>
      <w:r>
        <w:rPr/>
        <w:t>perspectives</w:t>
      </w:r>
      <w:r>
        <w:rPr>
          <w:spacing w:val="-41"/>
        </w:rPr>
        <w:t> </w:t>
      </w:r>
      <w:r>
        <w:rPr/>
        <w:t>that</w:t>
      </w:r>
      <w:r>
        <w:rPr>
          <w:spacing w:val="-40"/>
        </w:rPr>
        <w:t> </w:t>
      </w:r>
      <w:r>
        <w:rPr/>
        <w:t>inspire</w:t>
      </w:r>
      <w:r>
        <w:rPr>
          <w:spacing w:val="-40"/>
        </w:rPr>
        <w:t> </w:t>
      </w:r>
      <w:r>
        <w:rPr/>
        <w:t>innovative</w:t>
      </w:r>
      <w:r>
        <w:rPr>
          <w:spacing w:val="-40"/>
        </w:rPr>
        <w:t> </w:t>
      </w:r>
      <w:r>
        <w:rPr/>
        <w:t>approaches </w:t>
      </w:r>
      <w:r>
        <w:rPr>
          <w:spacing w:val="-3"/>
        </w:rPr>
        <w:t>to </w:t>
      </w:r>
      <w:r>
        <w:rPr/>
        <w:t>the way we do</w:t>
      </w:r>
      <w:r>
        <w:rPr>
          <w:spacing w:val="-6"/>
        </w:rPr>
        <w:t> </w:t>
      </w:r>
      <w:r>
        <w:rPr/>
        <w:t>business.</w:t>
      </w:r>
    </w:p>
    <w:p>
      <w:pPr>
        <w:pStyle w:val="BodyText"/>
        <w:spacing w:before="1"/>
        <w:rPr>
          <w:sz w:val="23"/>
        </w:rPr>
      </w:pPr>
    </w:p>
    <w:p>
      <w:pPr>
        <w:pStyle w:val="BodyText"/>
        <w:spacing w:line="249" w:lineRule="auto"/>
        <w:ind w:left="1119" w:right="266"/>
      </w:pPr>
      <w:r>
        <w:rPr/>
        <w:t>Throughout the </w:t>
      </w:r>
      <w:r>
        <w:rPr>
          <w:spacing w:val="-4"/>
        </w:rPr>
        <w:t>year, </w:t>
      </w:r>
      <w:r>
        <w:rPr/>
        <w:t>each graduate rotates through</w:t>
      </w:r>
      <w:r>
        <w:rPr>
          <w:spacing w:val="-25"/>
        </w:rPr>
        <w:t> </w:t>
      </w:r>
      <w:r>
        <w:rPr/>
        <w:t>three</w:t>
      </w:r>
      <w:r>
        <w:rPr>
          <w:spacing w:val="-24"/>
        </w:rPr>
        <w:t> </w:t>
      </w:r>
      <w:r>
        <w:rPr/>
        <w:t>business</w:t>
      </w:r>
      <w:r>
        <w:rPr>
          <w:spacing w:val="-24"/>
        </w:rPr>
        <w:t> </w:t>
      </w:r>
      <w:r>
        <w:rPr/>
        <w:t>units</w:t>
      </w:r>
      <w:r>
        <w:rPr>
          <w:spacing w:val="-24"/>
        </w:rPr>
        <w:t> </w:t>
      </w:r>
      <w:r>
        <w:rPr/>
        <w:t>where</w:t>
      </w:r>
      <w:r>
        <w:rPr>
          <w:spacing w:val="-24"/>
        </w:rPr>
        <w:t> </w:t>
      </w:r>
      <w:r>
        <w:rPr/>
        <w:t>they</w:t>
      </w:r>
      <w:r>
        <w:rPr>
          <w:spacing w:val="-24"/>
        </w:rPr>
        <w:t> </w:t>
      </w:r>
      <w:r>
        <w:rPr/>
        <w:t>gain knowledge</w:t>
      </w:r>
      <w:r>
        <w:rPr>
          <w:spacing w:val="-12"/>
        </w:rPr>
        <w:t> </w:t>
      </w:r>
      <w:r>
        <w:rPr/>
        <w:t>and</w:t>
      </w:r>
      <w:r>
        <w:rPr>
          <w:spacing w:val="-11"/>
        </w:rPr>
        <w:t> </w:t>
      </w:r>
      <w:r>
        <w:rPr/>
        <w:t>experience</w:t>
      </w:r>
      <w:r>
        <w:rPr>
          <w:spacing w:val="-11"/>
        </w:rPr>
        <w:t> </w:t>
      </w:r>
      <w:r>
        <w:rPr/>
        <w:t>in</w:t>
      </w:r>
      <w:r>
        <w:rPr>
          <w:spacing w:val="-11"/>
        </w:rPr>
        <w:t> </w:t>
      </w:r>
      <w:r>
        <w:rPr/>
        <w:t>areas</w:t>
      </w:r>
      <w:r>
        <w:rPr>
          <w:spacing w:val="-11"/>
        </w:rPr>
        <w:t> </w:t>
      </w:r>
      <w:r>
        <w:rPr/>
        <w:t>such</w:t>
      </w:r>
    </w:p>
    <w:p>
      <w:pPr>
        <w:pStyle w:val="BodyText"/>
        <w:spacing w:line="249" w:lineRule="auto" w:before="3"/>
        <w:ind w:left="1119" w:right="635"/>
      </w:pPr>
      <w:r>
        <w:rPr/>
        <w:t>as </w:t>
      </w:r>
      <w:r>
        <w:rPr>
          <w:spacing w:val="-3"/>
        </w:rPr>
        <w:t>policy, </w:t>
      </w:r>
      <w:r>
        <w:rPr/>
        <w:t>procurement, taxation, project management and data analysis.</w:t>
      </w:r>
    </w:p>
    <w:p>
      <w:pPr>
        <w:pStyle w:val="BodyText"/>
        <w:rPr>
          <w:sz w:val="26"/>
        </w:rPr>
      </w:pPr>
      <w:r>
        <w:rPr/>
        <w:br w:type="column"/>
      </w:r>
      <w:r>
        <w:rPr>
          <w:sz w:val="26"/>
        </w:rPr>
      </w:r>
    </w:p>
    <w:p>
      <w:pPr>
        <w:pStyle w:val="BodyText"/>
        <w:rPr>
          <w:sz w:val="26"/>
        </w:rPr>
      </w:pPr>
    </w:p>
    <w:p>
      <w:pPr>
        <w:pStyle w:val="BodyText"/>
        <w:spacing w:before="4"/>
        <w:rPr>
          <w:sz w:val="24"/>
        </w:rPr>
      </w:pPr>
    </w:p>
    <w:p>
      <w:pPr>
        <w:pStyle w:val="BodyText"/>
        <w:spacing w:line="249" w:lineRule="auto"/>
        <w:ind w:left="373"/>
      </w:pPr>
      <w:r>
        <w:rPr/>
        <w:t>Graduates also participate in the Public Sector Commission’s</w:t>
      </w:r>
      <w:r>
        <w:rPr>
          <w:spacing w:val="-32"/>
        </w:rPr>
        <w:t> </w:t>
      </w:r>
      <w:r>
        <w:rPr/>
        <w:t>Graduate</w:t>
      </w:r>
      <w:r>
        <w:rPr>
          <w:spacing w:val="-31"/>
        </w:rPr>
        <w:t> </w:t>
      </w:r>
      <w:r>
        <w:rPr/>
        <w:t>Development</w:t>
      </w:r>
      <w:r>
        <w:rPr>
          <w:spacing w:val="-31"/>
        </w:rPr>
        <w:t> </w:t>
      </w:r>
      <w:r>
        <w:rPr/>
        <w:t>Program. This Program exposes participants </w:t>
      </w:r>
      <w:r>
        <w:rPr>
          <w:spacing w:val="-3"/>
        </w:rPr>
        <w:t>to </w:t>
      </w:r>
      <w:r>
        <w:rPr/>
        <w:t>a broad range of high-profile, </w:t>
      </w:r>
      <w:r>
        <w:rPr>
          <w:spacing w:val="-3"/>
        </w:rPr>
        <w:t>sector-wide </w:t>
      </w:r>
      <w:r>
        <w:rPr/>
        <w:t>projects and agency-specific functions through presentations by agencies and site visits. This cross-sector collaboration</w:t>
      </w:r>
      <w:r>
        <w:rPr>
          <w:spacing w:val="-28"/>
        </w:rPr>
        <w:t> </w:t>
      </w:r>
      <w:r>
        <w:rPr/>
        <w:t>and</w:t>
      </w:r>
      <w:r>
        <w:rPr>
          <w:spacing w:val="-27"/>
        </w:rPr>
        <w:t> </w:t>
      </w:r>
      <w:r>
        <w:rPr/>
        <w:t>networking</w:t>
      </w:r>
      <w:r>
        <w:rPr>
          <w:spacing w:val="-27"/>
        </w:rPr>
        <w:t> </w:t>
      </w:r>
      <w:r>
        <w:rPr/>
        <w:t>supports</w:t>
      </w:r>
      <w:r>
        <w:rPr>
          <w:spacing w:val="-27"/>
        </w:rPr>
        <w:t> </w:t>
      </w:r>
      <w:r>
        <w:rPr/>
        <w:t>graduates </w:t>
      </w:r>
      <w:r>
        <w:rPr>
          <w:spacing w:val="-3"/>
        </w:rPr>
        <w:t>to</w:t>
      </w:r>
      <w:r>
        <w:rPr>
          <w:spacing w:val="-8"/>
        </w:rPr>
        <w:t> </w:t>
      </w:r>
      <w:r>
        <w:rPr/>
        <w:t>gain</w:t>
      </w:r>
      <w:r>
        <w:rPr>
          <w:spacing w:val="-8"/>
        </w:rPr>
        <w:t> </w:t>
      </w:r>
      <w:r>
        <w:rPr/>
        <w:t>a</w:t>
      </w:r>
      <w:r>
        <w:rPr>
          <w:spacing w:val="-7"/>
        </w:rPr>
        <w:t> </w:t>
      </w:r>
      <w:r>
        <w:rPr/>
        <w:t>better</w:t>
      </w:r>
      <w:r>
        <w:rPr>
          <w:spacing w:val="-8"/>
        </w:rPr>
        <w:t> </w:t>
      </w:r>
      <w:r>
        <w:rPr/>
        <w:t>understanding</w:t>
      </w:r>
      <w:r>
        <w:rPr>
          <w:spacing w:val="-8"/>
        </w:rPr>
        <w:t> </w:t>
      </w:r>
      <w:r>
        <w:rPr/>
        <w:t>of</w:t>
      </w:r>
      <w:r>
        <w:rPr>
          <w:spacing w:val="-7"/>
        </w:rPr>
        <w:t> </w:t>
      </w:r>
      <w:r>
        <w:rPr/>
        <w:t>the</w:t>
      </w:r>
      <w:r>
        <w:rPr>
          <w:spacing w:val="-8"/>
        </w:rPr>
        <w:t> </w:t>
      </w:r>
      <w:r>
        <w:rPr/>
        <w:t>breadth</w:t>
      </w:r>
    </w:p>
    <w:p>
      <w:pPr>
        <w:pStyle w:val="BodyText"/>
        <w:spacing w:line="249" w:lineRule="auto" w:before="7"/>
        <w:ind w:left="373" w:right="242"/>
      </w:pPr>
      <w:r>
        <w:rPr/>
        <w:t>of</w:t>
      </w:r>
      <w:r>
        <w:rPr>
          <w:spacing w:val="-18"/>
        </w:rPr>
        <w:t> </w:t>
      </w:r>
      <w:r>
        <w:rPr/>
        <w:t>public</w:t>
      </w:r>
      <w:r>
        <w:rPr>
          <w:spacing w:val="-18"/>
        </w:rPr>
        <w:t> </w:t>
      </w:r>
      <w:r>
        <w:rPr/>
        <w:t>sector</w:t>
      </w:r>
      <w:r>
        <w:rPr>
          <w:spacing w:val="-18"/>
        </w:rPr>
        <w:t> </w:t>
      </w:r>
      <w:r>
        <w:rPr/>
        <w:t>operations</w:t>
      </w:r>
      <w:r>
        <w:rPr>
          <w:spacing w:val="-18"/>
        </w:rPr>
        <w:t> </w:t>
      </w:r>
      <w:r>
        <w:rPr/>
        <w:t>and</w:t>
      </w:r>
      <w:r>
        <w:rPr>
          <w:spacing w:val="-17"/>
        </w:rPr>
        <w:t> </w:t>
      </w:r>
      <w:r>
        <w:rPr/>
        <w:t>the</w:t>
      </w:r>
      <w:r>
        <w:rPr>
          <w:spacing w:val="-18"/>
        </w:rPr>
        <w:t> </w:t>
      </w:r>
      <w:r>
        <w:rPr/>
        <w:t>unique</w:t>
      </w:r>
      <w:r>
        <w:rPr>
          <w:spacing w:val="-18"/>
        </w:rPr>
        <w:t> </w:t>
      </w:r>
      <w:r>
        <w:rPr/>
        <w:t>role played</w:t>
      </w:r>
      <w:r>
        <w:rPr>
          <w:spacing w:val="-17"/>
        </w:rPr>
        <w:t> </w:t>
      </w:r>
      <w:r>
        <w:rPr/>
        <w:t>by</w:t>
      </w:r>
      <w:r>
        <w:rPr>
          <w:spacing w:val="-17"/>
        </w:rPr>
        <w:t> </w:t>
      </w:r>
      <w:r>
        <w:rPr/>
        <w:t>central</w:t>
      </w:r>
      <w:r>
        <w:rPr>
          <w:spacing w:val="-17"/>
        </w:rPr>
        <w:t> </w:t>
      </w:r>
      <w:r>
        <w:rPr/>
        <w:t>agencies</w:t>
      </w:r>
      <w:r>
        <w:rPr>
          <w:spacing w:val="-17"/>
        </w:rPr>
        <w:t> </w:t>
      </w:r>
      <w:r>
        <w:rPr/>
        <w:t>such</w:t>
      </w:r>
      <w:r>
        <w:rPr>
          <w:spacing w:val="-17"/>
        </w:rPr>
        <w:t> </w:t>
      </w:r>
      <w:r>
        <w:rPr/>
        <w:t>as</w:t>
      </w:r>
      <w:r>
        <w:rPr>
          <w:spacing w:val="-17"/>
        </w:rPr>
        <w:t> </w:t>
      </w:r>
      <w:r>
        <w:rPr/>
        <w:t>Finance.</w:t>
      </w:r>
    </w:p>
    <w:p>
      <w:pPr>
        <w:pStyle w:val="BodyText"/>
        <w:spacing w:before="1"/>
        <w:rPr>
          <w:sz w:val="23"/>
        </w:rPr>
      </w:pPr>
    </w:p>
    <w:p>
      <w:pPr>
        <w:pStyle w:val="BodyText"/>
        <w:spacing w:line="249" w:lineRule="auto"/>
        <w:ind w:left="373" w:right="-8"/>
      </w:pPr>
      <w:r>
        <w:rPr/>
        <w:t>The</w:t>
      </w:r>
      <w:r>
        <w:rPr>
          <w:spacing w:val="-27"/>
        </w:rPr>
        <w:t> </w:t>
      </w:r>
      <w:r>
        <w:rPr/>
        <w:t>Finance</w:t>
      </w:r>
      <w:r>
        <w:rPr>
          <w:spacing w:val="-27"/>
        </w:rPr>
        <w:t> </w:t>
      </w:r>
      <w:r>
        <w:rPr/>
        <w:t>Graduate</w:t>
      </w:r>
      <w:r>
        <w:rPr>
          <w:spacing w:val="-27"/>
        </w:rPr>
        <w:t> </w:t>
      </w:r>
      <w:r>
        <w:rPr/>
        <w:t>Program</w:t>
      </w:r>
      <w:r>
        <w:rPr>
          <w:spacing w:val="-27"/>
        </w:rPr>
        <w:t> </w:t>
      </w:r>
      <w:r>
        <w:rPr/>
        <w:t>is</w:t>
      </w:r>
      <w:r>
        <w:rPr>
          <w:spacing w:val="-27"/>
        </w:rPr>
        <w:t> </w:t>
      </w:r>
      <w:r>
        <w:rPr/>
        <w:t>an</w:t>
      </w:r>
      <w:r>
        <w:rPr>
          <w:spacing w:val="-27"/>
        </w:rPr>
        <w:t> </w:t>
      </w:r>
      <w:r>
        <w:rPr/>
        <w:t>investment in the future leaders of the Department and graduates are encouraged </w:t>
      </w:r>
      <w:r>
        <w:rPr>
          <w:spacing w:val="-3"/>
        </w:rPr>
        <w:t>to </w:t>
      </w:r>
      <w:r>
        <w:rPr/>
        <w:t>be proactive and open</w:t>
      </w:r>
      <w:r>
        <w:rPr>
          <w:spacing w:val="-28"/>
        </w:rPr>
        <w:t> </w:t>
      </w:r>
      <w:r>
        <w:rPr>
          <w:spacing w:val="-3"/>
        </w:rPr>
        <w:t>to</w:t>
      </w:r>
      <w:r>
        <w:rPr>
          <w:spacing w:val="-27"/>
        </w:rPr>
        <w:t> </w:t>
      </w:r>
      <w:r>
        <w:rPr/>
        <w:t>the</w:t>
      </w:r>
      <w:r>
        <w:rPr>
          <w:spacing w:val="-27"/>
        </w:rPr>
        <w:t> </w:t>
      </w:r>
      <w:r>
        <w:rPr/>
        <w:t>diverse</w:t>
      </w:r>
      <w:r>
        <w:rPr>
          <w:spacing w:val="-27"/>
        </w:rPr>
        <w:t> </w:t>
      </w:r>
      <w:r>
        <w:rPr/>
        <w:t>career</w:t>
      </w:r>
      <w:r>
        <w:rPr>
          <w:spacing w:val="-27"/>
        </w:rPr>
        <w:t> </w:t>
      </w:r>
      <w:r>
        <w:rPr/>
        <w:t>opportunities</w:t>
      </w:r>
      <w:r>
        <w:rPr>
          <w:spacing w:val="-27"/>
        </w:rPr>
        <w:t> </w:t>
      </w:r>
      <w:r>
        <w:rPr/>
        <w:t>available </w:t>
      </w:r>
      <w:r>
        <w:rPr>
          <w:spacing w:val="-3"/>
        </w:rPr>
        <w:t>to </w:t>
      </w:r>
      <w:r>
        <w:rPr/>
        <w:t>them. At the completion of the graduate program, Finance graduates experience a high rate</w:t>
      </w:r>
      <w:r>
        <w:rPr>
          <w:spacing w:val="-10"/>
        </w:rPr>
        <w:t> </w:t>
      </w:r>
      <w:r>
        <w:rPr/>
        <w:t>of</w:t>
      </w:r>
      <w:r>
        <w:rPr>
          <w:spacing w:val="-9"/>
        </w:rPr>
        <w:t> </w:t>
      </w:r>
      <w:r>
        <w:rPr/>
        <w:t>success</w:t>
      </w:r>
      <w:r>
        <w:rPr>
          <w:spacing w:val="-10"/>
        </w:rPr>
        <w:t> </w:t>
      </w:r>
      <w:r>
        <w:rPr/>
        <w:t>in</w:t>
      </w:r>
      <w:r>
        <w:rPr>
          <w:spacing w:val="-9"/>
        </w:rPr>
        <w:t> </w:t>
      </w:r>
      <w:r>
        <w:rPr/>
        <w:t>obtaining</w:t>
      </w:r>
      <w:r>
        <w:rPr>
          <w:spacing w:val="-9"/>
        </w:rPr>
        <w:t> </w:t>
      </w:r>
      <w:r>
        <w:rPr/>
        <w:t>positions</w:t>
      </w:r>
      <w:r>
        <w:rPr>
          <w:spacing w:val="-10"/>
        </w:rPr>
        <w:t> </w:t>
      </w:r>
      <w:r>
        <w:rPr/>
        <w:t>across</w:t>
      </w:r>
    </w:p>
    <w:p>
      <w:pPr>
        <w:pStyle w:val="BodyText"/>
        <w:spacing w:line="249" w:lineRule="auto" w:before="7"/>
        <w:ind w:left="373" w:right="421"/>
      </w:pPr>
      <w:r>
        <w:rPr/>
        <w:t>the Department and the entire </w:t>
      </w:r>
      <w:r>
        <w:rPr>
          <w:spacing w:val="-9"/>
        </w:rPr>
        <w:t>2017 </w:t>
      </w:r>
      <w:r>
        <w:rPr/>
        <w:t>cohort secured</w:t>
      </w:r>
      <w:r>
        <w:rPr>
          <w:spacing w:val="-30"/>
        </w:rPr>
        <w:t> </w:t>
      </w:r>
      <w:r>
        <w:rPr/>
        <w:t>permanent</w:t>
      </w:r>
      <w:r>
        <w:rPr>
          <w:spacing w:val="-30"/>
        </w:rPr>
        <w:t> </w:t>
      </w:r>
      <w:r>
        <w:rPr/>
        <w:t>positions</w:t>
      </w:r>
      <w:r>
        <w:rPr>
          <w:spacing w:val="-30"/>
        </w:rPr>
        <w:t> </w:t>
      </w:r>
      <w:r>
        <w:rPr/>
        <w:t>in</w:t>
      </w:r>
      <w:r>
        <w:rPr>
          <w:spacing w:val="-30"/>
        </w:rPr>
        <w:t> </w:t>
      </w:r>
      <w:r>
        <w:rPr/>
        <w:t>Government Procurement, State Revenue or Building Management</w:t>
      </w:r>
      <w:r>
        <w:rPr>
          <w:spacing w:val="-33"/>
        </w:rPr>
        <w:t> </w:t>
      </w:r>
      <w:r>
        <w:rPr/>
        <w:t>and</w:t>
      </w:r>
      <w:r>
        <w:rPr>
          <w:spacing w:val="-33"/>
        </w:rPr>
        <w:t> </w:t>
      </w:r>
      <w:r>
        <w:rPr/>
        <w:t>Works.</w:t>
      </w:r>
      <w:r>
        <w:rPr>
          <w:spacing w:val="-32"/>
        </w:rPr>
        <w:t> </w:t>
      </w:r>
      <w:r>
        <w:rPr/>
        <w:t>Over</w:t>
      </w:r>
      <w:r>
        <w:rPr>
          <w:spacing w:val="-33"/>
        </w:rPr>
        <w:t> </w:t>
      </w:r>
      <w:r>
        <w:rPr/>
        <w:t>several</w:t>
      </w:r>
      <w:r>
        <w:rPr>
          <w:spacing w:val="-33"/>
        </w:rPr>
        <w:t> </w:t>
      </w:r>
      <w:r>
        <w:rPr/>
        <w:t>years of the graduate program, many graduates have also gone on </w:t>
      </w:r>
      <w:r>
        <w:rPr>
          <w:spacing w:val="-3"/>
        </w:rPr>
        <w:t>to </w:t>
      </w:r>
      <w:r>
        <w:rPr/>
        <w:t>secure higher duties opportunities and</w:t>
      </w:r>
      <w:r>
        <w:rPr>
          <w:spacing w:val="-5"/>
        </w:rPr>
        <w:t> </w:t>
      </w:r>
      <w:r>
        <w:rPr/>
        <w:t>promotions.</w:t>
      </w:r>
    </w:p>
    <w:p>
      <w:pPr>
        <w:pStyle w:val="BodyText"/>
        <w:rPr>
          <w:sz w:val="26"/>
        </w:rPr>
      </w:pPr>
      <w:r>
        <w:rPr/>
        <w:br w:type="column"/>
      </w:r>
      <w:r>
        <w:rPr>
          <w:sz w:val="26"/>
        </w:rPr>
      </w:r>
    </w:p>
    <w:p>
      <w:pPr>
        <w:pStyle w:val="BodyText"/>
        <w:rPr>
          <w:sz w:val="26"/>
        </w:rPr>
      </w:pPr>
    </w:p>
    <w:p>
      <w:pPr>
        <w:pStyle w:val="BodyText"/>
        <w:spacing w:before="4"/>
        <w:rPr>
          <w:sz w:val="24"/>
        </w:rPr>
      </w:pPr>
    </w:p>
    <w:p>
      <w:pPr>
        <w:pStyle w:val="BodyText"/>
        <w:spacing w:line="249" w:lineRule="auto"/>
        <w:ind w:left="327" w:right="1157"/>
      </w:pPr>
      <w:r>
        <w:rPr/>
        <w:pict>
          <v:shape style="position:absolute;margin-left:601.348999pt;margin-top:-113.322235pt;width:120.3pt;height:42.55pt;mso-position-horizontal-relative:page;mso-position-vertical-relative:paragraph;z-index:772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t>The</w:t>
      </w:r>
      <w:r>
        <w:rPr>
          <w:spacing w:val="-18"/>
        </w:rPr>
        <w:t> </w:t>
      </w:r>
      <w:r>
        <w:rPr>
          <w:spacing w:val="-7"/>
        </w:rPr>
        <w:t>2018</w:t>
      </w:r>
      <w:r>
        <w:rPr>
          <w:spacing w:val="-18"/>
        </w:rPr>
        <w:t> </w:t>
      </w:r>
      <w:r>
        <w:rPr/>
        <w:t>graduate</w:t>
      </w:r>
      <w:r>
        <w:rPr>
          <w:spacing w:val="-18"/>
        </w:rPr>
        <w:t> </w:t>
      </w:r>
      <w:r>
        <w:rPr/>
        <w:t>cohort</w:t>
      </w:r>
      <w:r>
        <w:rPr>
          <w:spacing w:val="-18"/>
        </w:rPr>
        <w:t> </w:t>
      </w:r>
      <w:r>
        <w:rPr/>
        <w:t>of</w:t>
      </w:r>
      <w:r>
        <w:rPr>
          <w:spacing w:val="-18"/>
        </w:rPr>
        <w:t> </w:t>
      </w:r>
      <w:r>
        <w:rPr/>
        <w:t>seven</w:t>
      </w:r>
      <w:r>
        <w:rPr>
          <w:spacing w:val="-18"/>
        </w:rPr>
        <w:t> </w:t>
      </w:r>
      <w:r>
        <w:rPr/>
        <w:t>are</w:t>
      </w:r>
      <w:r>
        <w:rPr>
          <w:spacing w:val="-18"/>
        </w:rPr>
        <w:t> </w:t>
      </w:r>
      <w:r>
        <w:rPr/>
        <w:t>enjoying their rotations and are eagerly approaching the beginning of their last rotation. The Program equips participants with the training and skills required</w:t>
      </w:r>
      <w:r>
        <w:rPr>
          <w:spacing w:val="-19"/>
        </w:rPr>
        <w:t> </w:t>
      </w:r>
      <w:r>
        <w:rPr>
          <w:spacing w:val="-3"/>
        </w:rPr>
        <w:t>to</w:t>
      </w:r>
      <w:r>
        <w:rPr>
          <w:spacing w:val="-19"/>
        </w:rPr>
        <w:t> </w:t>
      </w:r>
      <w:r>
        <w:rPr/>
        <w:t>build</w:t>
      </w:r>
      <w:r>
        <w:rPr>
          <w:spacing w:val="-19"/>
        </w:rPr>
        <w:t> </w:t>
      </w:r>
      <w:r>
        <w:rPr/>
        <w:t>a</w:t>
      </w:r>
      <w:r>
        <w:rPr>
          <w:spacing w:val="-19"/>
        </w:rPr>
        <w:t> </w:t>
      </w:r>
      <w:r>
        <w:rPr/>
        <w:t>career</w:t>
      </w:r>
      <w:r>
        <w:rPr>
          <w:spacing w:val="-18"/>
        </w:rPr>
        <w:t> </w:t>
      </w:r>
      <w:r>
        <w:rPr/>
        <w:t>in</w:t>
      </w:r>
      <w:r>
        <w:rPr>
          <w:spacing w:val="-19"/>
        </w:rPr>
        <w:t> </w:t>
      </w:r>
      <w:r>
        <w:rPr/>
        <w:t>and</w:t>
      </w:r>
      <w:r>
        <w:rPr>
          <w:spacing w:val="-19"/>
        </w:rPr>
        <w:t> </w:t>
      </w:r>
      <w:r>
        <w:rPr/>
        <w:t>make</w:t>
      </w:r>
      <w:r>
        <w:rPr>
          <w:spacing w:val="-19"/>
        </w:rPr>
        <w:t> </w:t>
      </w:r>
      <w:r>
        <w:rPr/>
        <w:t>a</w:t>
      </w:r>
      <w:r>
        <w:rPr>
          <w:spacing w:val="-18"/>
        </w:rPr>
        <w:t> </w:t>
      </w:r>
      <w:r>
        <w:rPr/>
        <w:t>valuable contribution </w:t>
      </w:r>
      <w:r>
        <w:rPr>
          <w:spacing w:val="-3"/>
        </w:rPr>
        <w:t>to </w:t>
      </w:r>
      <w:r>
        <w:rPr/>
        <w:t>the public </w:t>
      </w:r>
      <w:r>
        <w:rPr>
          <w:spacing w:val="-4"/>
        </w:rPr>
        <w:t>sector. </w:t>
      </w:r>
      <w:r>
        <w:rPr/>
        <w:t>The graduates’ experience</w:t>
      </w:r>
      <w:r>
        <w:rPr>
          <w:spacing w:val="-29"/>
        </w:rPr>
        <w:t> </w:t>
      </w:r>
      <w:r>
        <w:rPr/>
        <w:t>across</w:t>
      </w:r>
      <w:r>
        <w:rPr>
          <w:spacing w:val="-29"/>
        </w:rPr>
        <w:t> </w:t>
      </w:r>
      <w:r>
        <w:rPr/>
        <w:t>different</w:t>
      </w:r>
      <w:r>
        <w:rPr>
          <w:spacing w:val="-29"/>
        </w:rPr>
        <w:t> </w:t>
      </w:r>
      <w:r>
        <w:rPr/>
        <w:t>business</w:t>
      </w:r>
      <w:r>
        <w:rPr>
          <w:spacing w:val="-28"/>
        </w:rPr>
        <w:t> </w:t>
      </w:r>
      <w:r>
        <w:rPr/>
        <w:t>units</w:t>
      </w:r>
      <w:r>
        <w:rPr>
          <w:spacing w:val="-29"/>
        </w:rPr>
        <w:t> </w:t>
      </w:r>
      <w:r>
        <w:rPr/>
        <w:t>builds diverse skills and knowledge, and supports </w:t>
      </w:r>
      <w:r>
        <w:rPr>
          <w:spacing w:val="-3"/>
        </w:rPr>
        <w:t>Finance’s</w:t>
      </w:r>
      <w:r>
        <w:rPr>
          <w:spacing w:val="-21"/>
        </w:rPr>
        <w:t> </w:t>
      </w:r>
      <w:r>
        <w:rPr/>
        <w:t>ability</w:t>
      </w:r>
      <w:r>
        <w:rPr>
          <w:spacing w:val="-20"/>
        </w:rPr>
        <w:t> </w:t>
      </w:r>
      <w:r>
        <w:rPr>
          <w:spacing w:val="-3"/>
        </w:rPr>
        <w:t>to</w:t>
      </w:r>
      <w:r>
        <w:rPr>
          <w:spacing w:val="-20"/>
        </w:rPr>
        <w:t> </w:t>
      </w:r>
      <w:r>
        <w:rPr/>
        <w:t>drive</w:t>
      </w:r>
      <w:r>
        <w:rPr>
          <w:spacing w:val="-20"/>
        </w:rPr>
        <w:t> </w:t>
      </w:r>
      <w:r>
        <w:rPr/>
        <w:t>practical,</w:t>
      </w:r>
      <w:r>
        <w:rPr>
          <w:spacing w:val="-20"/>
        </w:rPr>
        <w:t> </w:t>
      </w:r>
      <w:r>
        <w:rPr/>
        <w:t>cost-effective and quality outcomes across government </w:t>
      </w:r>
      <w:r>
        <w:rPr>
          <w:spacing w:val="-3"/>
        </w:rPr>
        <w:t>to </w:t>
      </w:r>
      <w:r>
        <w:rPr/>
        <w:t>benefit Western</w:t>
      </w:r>
      <w:r>
        <w:rPr>
          <w:spacing w:val="-8"/>
        </w:rPr>
        <w:t> </w:t>
      </w:r>
      <w:r>
        <w:rPr/>
        <w:t>Australians.</w:t>
      </w:r>
    </w:p>
    <w:p>
      <w:pPr>
        <w:spacing w:after="0" w:line="249" w:lineRule="auto"/>
        <w:sectPr>
          <w:type w:val="continuous"/>
          <w:pgSz w:w="16840" w:h="11910" w:orient="landscape"/>
          <w:pgMar w:top="1100" w:bottom="280" w:left="0" w:right="0"/>
          <w:cols w:num="3" w:equalWidth="0">
            <w:col w:w="5639" w:space="40"/>
            <w:col w:w="5023" w:space="39"/>
            <w:col w:w="60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tabs>
          <w:tab w:pos="1227" w:val="left" w:leader="none"/>
          <w:tab w:pos="5951" w:val="left" w:leader="none"/>
          <w:tab w:pos="16072"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7672"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769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28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13" w:id="14"/>
      <w:bookmarkEnd w:id="14"/>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Heading1"/>
        <w:spacing w:before="254"/>
      </w:pPr>
      <w:r>
        <w:rPr/>
        <w:pict>
          <v:group style="position:absolute;margin-left:360.811798pt;margin-top:-55.27351pt;width:481.1pt;height:371.15pt;mso-position-horizontal-relative:page;mso-position-vertical-relative:paragraph;z-index:-704608" coordorigin="7216,-1105" coordsize="9622,7423">
            <v:shape style="position:absolute;left:8861;top:-1106;width:7977;height:7423" type="#_x0000_t75" stroked="false">
              <v:imagedata r:id="rId23" o:title=""/>
            </v:shape>
            <v:rect style="position:absolute;left:7216;top:-1106;width:2406;height:851" filled="true" fillcolor="#d4c4d4" stroked="false">
              <v:fill type="solid"/>
            </v:rect>
            <w10:wrap type="none"/>
          </v:group>
        </w:pict>
      </w:r>
      <w:r>
        <w:rPr/>
        <w:pict>
          <v:shape style="position:absolute;margin-left:601.348999pt;margin-top:-55.274212pt;width:120.3pt;height:42.55pt;mso-position-horizontal-relative:page;mso-position-vertical-relative:paragraph;z-index:798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5.274212pt;width:120.3pt;height:42.55pt;mso-position-horizontal-relative:page;mso-position-vertical-relative:paragraph;z-index:8008"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5.274212pt;width:120.3pt;height:42.55pt;mso-position-horizontal-relative:page;mso-position-vertical-relative:paragraph;z-index:803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Significant Issues and Future</w:t>
      </w:r>
      <w:r>
        <w:rPr>
          <w:color w:val="6F2770"/>
          <w:spacing w:val="-124"/>
        </w:rPr>
        <w:t> </w:t>
      </w:r>
      <w:r>
        <w:rPr>
          <w:color w:val="6F2770"/>
        </w:rPr>
        <w:t>Outlook</w:t>
      </w:r>
    </w:p>
    <w:p>
      <w:pPr>
        <w:pStyle w:val="BodyText"/>
        <w:spacing w:before="7"/>
        <w:rPr>
          <w:sz w:val="15"/>
        </w:rPr>
      </w:pPr>
    </w:p>
    <w:p>
      <w:pPr>
        <w:spacing w:after="0"/>
        <w:rPr>
          <w:sz w:val="15"/>
        </w:rPr>
        <w:sectPr>
          <w:footerReference w:type="default" r:id="rId118"/>
          <w:pgSz w:w="16840" w:h="11910" w:orient="landscape"/>
          <w:pgMar w:footer="0" w:header="0" w:top="0" w:bottom="0" w:left="0" w:right="0"/>
        </w:sectPr>
      </w:pPr>
    </w:p>
    <w:p>
      <w:pPr>
        <w:pStyle w:val="BodyText"/>
        <w:spacing w:line="249" w:lineRule="auto" w:before="106"/>
        <w:ind w:left="765" w:right="81"/>
      </w:pPr>
      <w:r>
        <w:rPr/>
        <w:t>Further</w:t>
      </w:r>
      <w:r>
        <w:rPr>
          <w:spacing w:val="-25"/>
        </w:rPr>
        <w:t> </w:t>
      </w:r>
      <w:r>
        <w:rPr/>
        <w:t>opportunities</w:t>
      </w:r>
      <w:r>
        <w:rPr>
          <w:spacing w:val="-25"/>
        </w:rPr>
        <w:t> </w:t>
      </w:r>
      <w:r>
        <w:rPr/>
        <w:t>exist</w:t>
      </w:r>
      <w:r>
        <w:rPr>
          <w:spacing w:val="-25"/>
        </w:rPr>
        <w:t> </w:t>
      </w:r>
      <w:r>
        <w:rPr/>
        <w:t>for</w:t>
      </w:r>
      <w:r>
        <w:rPr>
          <w:spacing w:val="-25"/>
        </w:rPr>
        <w:t> </w:t>
      </w:r>
      <w:r>
        <w:rPr/>
        <w:t>Finance</w:t>
      </w:r>
      <w:r>
        <w:rPr>
          <w:spacing w:val="-25"/>
        </w:rPr>
        <w:t> </w:t>
      </w:r>
      <w:r>
        <w:rPr/>
        <w:t>to</w:t>
      </w:r>
      <w:r>
        <w:rPr>
          <w:spacing w:val="-25"/>
        </w:rPr>
        <w:t> </w:t>
      </w:r>
      <w:r>
        <w:rPr>
          <w:spacing w:val="-4"/>
        </w:rPr>
        <w:t>reshape </w:t>
      </w:r>
      <w:r>
        <w:rPr/>
        <w:t>its role, lead by example and become known as a</w:t>
      </w:r>
      <w:r>
        <w:rPr>
          <w:spacing w:val="-18"/>
        </w:rPr>
        <w:t> </w:t>
      </w:r>
      <w:r>
        <w:rPr/>
        <w:t>functional</w:t>
      </w:r>
      <w:r>
        <w:rPr>
          <w:spacing w:val="-17"/>
        </w:rPr>
        <w:t> </w:t>
      </w:r>
      <w:r>
        <w:rPr/>
        <w:t>leader</w:t>
      </w:r>
      <w:r>
        <w:rPr>
          <w:spacing w:val="-17"/>
        </w:rPr>
        <w:t> </w:t>
      </w:r>
      <w:r>
        <w:rPr/>
        <w:t>that</w:t>
      </w:r>
      <w:r>
        <w:rPr>
          <w:spacing w:val="-17"/>
        </w:rPr>
        <w:t> </w:t>
      </w:r>
      <w:r>
        <w:rPr/>
        <w:t>is</w:t>
      </w:r>
      <w:r>
        <w:rPr>
          <w:spacing w:val="-18"/>
        </w:rPr>
        <w:t> </w:t>
      </w:r>
      <w:r>
        <w:rPr/>
        <w:t>sought</w:t>
      </w:r>
      <w:r>
        <w:rPr>
          <w:spacing w:val="-17"/>
        </w:rPr>
        <w:t> </w:t>
      </w:r>
      <w:r>
        <w:rPr/>
        <w:t>out</w:t>
      </w:r>
      <w:r>
        <w:rPr>
          <w:spacing w:val="-17"/>
        </w:rPr>
        <w:t> </w:t>
      </w:r>
      <w:r>
        <w:rPr/>
        <w:t>by</w:t>
      </w:r>
      <w:r>
        <w:rPr>
          <w:spacing w:val="-17"/>
        </w:rPr>
        <w:t> </w:t>
      </w:r>
      <w:r>
        <w:rPr/>
        <w:t>agencies</w:t>
      </w:r>
    </w:p>
    <w:p>
      <w:pPr>
        <w:pStyle w:val="BodyText"/>
        <w:spacing w:line="249" w:lineRule="auto" w:before="3"/>
        <w:ind w:left="765" w:right="-3"/>
      </w:pPr>
      <w:r>
        <w:rPr/>
        <w:t>for</w:t>
      </w:r>
      <w:r>
        <w:rPr>
          <w:spacing w:val="-10"/>
        </w:rPr>
        <w:t> </w:t>
      </w:r>
      <w:r>
        <w:rPr/>
        <w:t>its</w:t>
      </w:r>
      <w:r>
        <w:rPr>
          <w:spacing w:val="-10"/>
        </w:rPr>
        <w:t> </w:t>
      </w:r>
      <w:r>
        <w:rPr/>
        <w:t>practical</w:t>
      </w:r>
      <w:r>
        <w:rPr>
          <w:spacing w:val="-9"/>
        </w:rPr>
        <w:t> </w:t>
      </w:r>
      <w:r>
        <w:rPr/>
        <w:t>support</w:t>
      </w:r>
      <w:r>
        <w:rPr>
          <w:spacing w:val="-10"/>
        </w:rPr>
        <w:t> </w:t>
      </w:r>
      <w:r>
        <w:rPr/>
        <w:t>and</w:t>
      </w:r>
      <w:r>
        <w:rPr>
          <w:spacing w:val="-10"/>
        </w:rPr>
        <w:t> </w:t>
      </w:r>
      <w:r>
        <w:rPr/>
        <w:t>advice</w:t>
      </w:r>
      <w:r>
        <w:rPr>
          <w:spacing w:val="-9"/>
        </w:rPr>
        <w:t> </w:t>
      </w:r>
      <w:r>
        <w:rPr/>
        <w:t>on</w:t>
      </w:r>
      <w:r>
        <w:rPr>
          <w:spacing w:val="-10"/>
        </w:rPr>
        <w:t> </w:t>
      </w:r>
      <w:r>
        <w:rPr>
          <w:spacing w:val="-4"/>
        </w:rPr>
        <w:t>sector-wide </w:t>
      </w:r>
      <w:r>
        <w:rPr/>
        <w:t>functions.</w:t>
      </w:r>
    </w:p>
    <w:p>
      <w:pPr>
        <w:pStyle w:val="BodyText"/>
        <w:spacing w:before="1"/>
        <w:rPr>
          <w:sz w:val="23"/>
        </w:rPr>
      </w:pPr>
    </w:p>
    <w:p>
      <w:pPr>
        <w:pStyle w:val="BodyText"/>
        <w:spacing w:line="249" w:lineRule="auto"/>
        <w:ind w:left="765" w:right="123"/>
      </w:pPr>
      <w:r>
        <w:rPr/>
        <w:t>The future outlook will be heavily focused on enabling government reform through Finance leading and contributing to priority initiatives. Finance</w:t>
      </w:r>
      <w:r>
        <w:rPr>
          <w:spacing w:val="-27"/>
        </w:rPr>
        <w:t> </w:t>
      </w:r>
      <w:r>
        <w:rPr/>
        <w:t>will</w:t>
      </w:r>
      <w:r>
        <w:rPr>
          <w:spacing w:val="-26"/>
        </w:rPr>
        <w:t> </w:t>
      </w:r>
      <w:r>
        <w:rPr/>
        <w:t>also</w:t>
      </w:r>
      <w:r>
        <w:rPr>
          <w:spacing w:val="-26"/>
        </w:rPr>
        <w:t> </w:t>
      </w:r>
      <w:r>
        <w:rPr/>
        <w:t>invest</w:t>
      </w:r>
      <w:r>
        <w:rPr>
          <w:spacing w:val="-26"/>
        </w:rPr>
        <w:t> </w:t>
      </w:r>
      <w:r>
        <w:rPr/>
        <w:t>in</w:t>
      </w:r>
      <w:r>
        <w:rPr>
          <w:spacing w:val="-26"/>
        </w:rPr>
        <w:t> </w:t>
      </w:r>
      <w:r>
        <w:rPr/>
        <w:t>workforce</w:t>
      </w:r>
      <w:r>
        <w:rPr>
          <w:spacing w:val="-26"/>
        </w:rPr>
        <w:t> </w:t>
      </w:r>
      <w:r>
        <w:rPr/>
        <w:t>diversity</w:t>
      </w:r>
      <w:r>
        <w:rPr>
          <w:spacing w:val="-26"/>
        </w:rPr>
        <w:t> </w:t>
      </w:r>
      <w:r>
        <w:rPr>
          <w:spacing w:val="-6"/>
        </w:rPr>
        <w:t>and </w:t>
      </w:r>
      <w:r>
        <w:rPr/>
        <w:t>lead</w:t>
      </w:r>
      <w:r>
        <w:rPr>
          <w:spacing w:val="-21"/>
        </w:rPr>
        <w:t> </w:t>
      </w:r>
      <w:r>
        <w:rPr/>
        <w:t>the</w:t>
      </w:r>
      <w:r>
        <w:rPr>
          <w:spacing w:val="-20"/>
        </w:rPr>
        <w:t> </w:t>
      </w:r>
      <w:r>
        <w:rPr/>
        <w:t>way</w:t>
      </w:r>
      <w:r>
        <w:rPr>
          <w:spacing w:val="-21"/>
        </w:rPr>
        <w:t> </w:t>
      </w:r>
      <w:r>
        <w:rPr/>
        <w:t>in</w:t>
      </w:r>
      <w:r>
        <w:rPr>
          <w:spacing w:val="-20"/>
        </w:rPr>
        <w:t> </w:t>
      </w:r>
      <w:r>
        <w:rPr/>
        <w:t>implementing</w:t>
      </w:r>
      <w:r>
        <w:rPr>
          <w:spacing w:val="-21"/>
        </w:rPr>
        <w:t> </w:t>
      </w:r>
      <w:r>
        <w:rPr/>
        <w:t>innovative</w:t>
      </w:r>
      <w:r>
        <w:rPr>
          <w:spacing w:val="-20"/>
        </w:rPr>
        <w:t> </w:t>
      </w:r>
      <w:r>
        <w:rPr/>
        <w:t>ways</w:t>
      </w:r>
      <w:r>
        <w:rPr>
          <w:spacing w:val="-21"/>
        </w:rPr>
        <w:t> </w:t>
      </w:r>
      <w:r>
        <w:rPr/>
        <w:t>of working which will reduce its accommodation footprint and deliver significant savings to government.</w:t>
      </w:r>
    </w:p>
    <w:p>
      <w:pPr>
        <w:pStyle w:val="BodyText"/>
        <w:spacing w:before="9"/>
        <w:rPr>
          <w:sz w:val="26"/>
        </w:rPr>
      </w:pPr>
    </w:p>
    <w:p>
      <w:pPr>
        <w:pStyle w:val="Heading4"/>
        <w:spacing w:before="0"/>
      </w:pPr>
      <w:r>
        <w:rPr>
          <w:color w:val="6F2770"/>
        </w:rPr>
        <w:t>Enabling</w:t>
      </w:r>
      <w:r>
        <w:rPr>
          <w:color w:val="6F2770"/>
          <w:spacing w:val="-52"/>
        </w:rPr>
        <w:t> </w:t>
      </w:r>
      <w:r>
        <w:rPr>
          <w:color w:val="6F2770"/>
        </w:rPr>
        <w:t>Government</w:t>
      </w:r>
      <w:r>
        <w:rPr>
          <w:color w:val="6F2770"/>
          <w:spacing w:val="-51"/>
        </w:rPr>
        <w:t> </w:t>
      </w:r>
      <w:r>
        <w:rPr>
          <w:color w:val="6F2770"/>
        </w:rPr>
        <w:t>Reform</w:t>
      </w:r>
    </w:p>
    <w:p>
      <w:pPr>
        <w:pStyle w:val="BodyText"/>
        <w:spacing w:line="249" w:lineRule="auto" w:before="246"/>
        <w:ind w:left="765" w:right="6"/>
      </w:pPr>
      <w:r>
        <w:rPr/>
        <w:t>The</w:t>
      </w:r>
      <w:r>
        <w:rPr>
          <w:spacing w:val="-24"/>
        </w:rPr>
        <w:t> </w:t>
      </w:r>
      <w:r>
        <w:rPr/>
        <w:t>State</w:t>
      </w:r>
      <w:r>
        <w:rPr>
          <w:spacing w:val="-23"/>
        </w:rPr>
        <w:t> </w:t>
      </w:r>
      <w:r>
        <w:rPr/>
        <w:t>Government’s</w:t>
      </w:r>
      <w:r>
        <w:rPr>
          <w:spacing w:val="-23"/>
        </w:rPr>
        <w:t> </w:t>
      </w:r>
      <w:r>
        <w:rPr/>
        <w:t>program</w:t>
      </w:r>
      <w:r>
        <w:rPr>
          <w:spacing w:val="-23"/>
        </w:rPr>
        <w:t> </w:t>
      </w:r>
      <w:r>
        <w:rPr/>
        <w:t>of</w:t>
      </w:r>
      <w:r>
        <w:rPr>
          <w:spacing w:val="-23"/>
        </w:rPr>
        <w:t> </w:t>
      </w:r>
      <w:r>
        <w:rPr/>
        <w:t>Public</w:t>
      </w:r>
      <w:r>
        <w:rPr>
          <w:spacing w:val="-23"/>
        </w:rPr>
        <w:t> </w:t>
      </w:r>
      <w:r>
        <w:rPr>
          <w:spacing w:val="-3"/>
        </w:rPr>
        <w:t>Sector </w:t>
      </w:r>
      <w:r>
        <w:rPr/>
        <w:t>Reform seeks to drive significant reform and cultural</w:t>
      </w:r>
      <w:r>
        <w:rPr>
          <w:spacing w:val="-15"/>
        </w:rPr>
        <w:t> </w:t>
      </w:r>
      <w:r>
        <w:rPr/>
        <w:t>change</w:t>
      </w:r>
      <w:r>
        <w:rPr>
          <w:spacing w:val="-15"/>
        </w:rPr>
        <w:t> </w:t>
      </w:r>
      <w:r>
        <w:rPr/>
        <w:t>across</w:t>
      </w:r>
      <w:r>
        <w:rPr>
          <w:spacing w:val="-14"/>
        </w:rPr>
        <w:t> </w:t>
      </w:r>
      <w:r>
        <w:rPr/>
        <w:t>the</w:t>
      </w:r>
      <w:r>
        <w:rPr>
          <w:spacing w:val="-15"/>
        </w:rPr>
        <w:t> </w:t>
      </w:r>
      <w:r>
        <w:rPr/>
        <w:t>public</w:t>
      </w:r>
      <w:r>
        <w:rPr>
          <w:spacing w:val="-14"/>
        </w:rPr>
        <w:t> </w:t>
      </w:r>
      <w:r>
        <w:rPr/>
        <w:t>sector</w:t>
      </w:r>
      <w:r>
        <w:rPr>
          <w:spacing w:val="-15"/>
        </w:rPr>
        <w:t> </w:t>
      </w:r>
      <w:r>
        <w:rPr/>
        <w:t>to</w:t>
      </w:r>
      <w:r>
        <w:rPr>
          <w:spacing w:val="-14"/>
        </w:rPr>
        <w:t> </w:t>
      </w:r>
      <w:r>
        <w:rPr/>
        <w:t>create a high-performing and collaborative sector that delivers</w:t>
      </w:r>
      <w:r>
        <w:rPr>
          <w:spacing w:val="-29"/>
        </w:rPr>
        <w:t> </w:t>
      </w:r>
      <w:r>
        <w:rPr/>
        <w:t>quality</w:t>
      </w:r>
      <w:r>
        <w:rPr>
          <w:spacing w:val="-29"/>
        </w:rPr>
        <w:t> </w:t>
      </w:r>
      <w:r>
        <w:rPr/>
        <w:t>services</w:t>
      </w:r>
      <w:r>
        <w:rPr>
          <w:spacing w:val="-28"/>
        </w:rPr>
        <w:t> </w:t>
      </w:r>
      <w:r>
        <w:rPr/>
        <w:t>to</w:t>
      </w:r>
      <w:r>
        <w:rPr>
          <w:spacing w:val="-29"/>
        </w:rPr>
        <w:t> </w:t>
      </w:r>
      <w:r>
        <w:rPr/>
        <w:t>the</w:t>
      </w:r>
      <w:r>
        <w:rPr>
          <w:spacing w:val="-28"/>
        </w:rPr>
        <w:t> </w:t>
      </w:r>
      <w:r>
        <w:rPr/>
        <w:t>Western</w:t>
      </w:r>
      <w:r>
        <w:rPr>
          <w:spacing w:val="-29"/>
        </w:rPr>
        <w:t> </w:t>
      </w:r>
      <w:r>
        <w:rPr/>
        <w:t>Australian </w:t>
      </w:r>
      <w:r>
        <w:rPr>
          <w:spacing w:val="-3"/>
        </w:rPr>
        <w:t>community.</w:t>
      </w:r>
    </w:p>
    <w:p>
      <w:pPr>
        <w:pStyle w:val="BodyText"/>
        <w:spacing w:before="4"/>
        <w:rPr>
          <w:sz w:val="23"/>
        </w:rPr>
      </w:pPr>
    </w:p>
    <w:p>
      <w:pPr>
        <w:pStyle w:val="BodyText"/>
        <w:spacing w:line="249" w:lineRule="auto" w:before="1"/>
        <w:ind w:left="765" w:right="174"/>
      </w:pPr>
      <w:r>
        <w:rPr/>
        <w:t>The Public Sector Reform program is informed by the outcomes of various reviews, inquiries and working groups conducted during the </w:t>
      </w:r>
      <w:r>
        <w:rPr>
          <w:spacing w:val="-9"/>
        </w:rPr>
        <w:t>year, </w:t>
      </w:r>
      <w:r>
        <w:rPr/>
        <w:t>which have culminated in a substantial suite of recommendations for reform.</w:t>
      </w:r>
    </w:p>
    <w:p>
      <w:pPr>
        <w:pStyle w:val="BodyText"/>
        <w:spacing w:line="249" w:lineRule="auto" w:before="106"/>
        <w:ind w:left="468" w:right="175"/>
      </w:pPr>
      <w:r>
        <w:rPr/>
        <w:br w:type="column"/>
      </w:r>
      <w:r>
        <w:rPr/>
        <w:t>Governance</w:t>
      </w:r>
      <w:r>
        <w:rPr>
          <w:spacing w:val="-21"/>
        </w:rPr>
        <w:t> </w:t>
      </w:r>
      <w:r>
        <w:rPr/>
        <w:t>arrangements</w:t>
      </w:r>
      <w:r>
        <w:rPr>
          <w:spacing w:val="-21"/>
        </w:rPr>
        <w:t> </w:t>
      </w:r>
      <w:r>
        <w:rPr/>
        <w:t>for</w:t>
      </w:r>
      <w:r>
        <w:rPr>
          <w:spacing w:val="-21"/>
        </w:rPr>
        <w:t> </w:t>
      </w:r>
      <w:r>
        <w:rPr/>
        <w:t>the</w:t>
      </w:r>
      <w:r>
        <w:rPr>
          <w:spacing w:val="-20"/>
        </w:rPr>
        <w:t> </w:t>
      </w:r>
      <w:r>
        <w:rPr/>
        <w:t>Public</w:t>
      </w:r>
      <w:r>
        <w:rPr>
          <w:spacing w:val="-21"/>
        </w:rPr>
        <w:t> </w:t>
      </w:r>
      <w:r>
        <w:rPr/>
        <w:t>Sector Reform</w:t>
      </w:r>
      <w:r>
        <w:rPr>
          <w:spacing w:val="-19"/>
        </w:rPr>
        <w:t> </w:t>
      </w:r>
      <w:r>
        <w:rPr/>
        <w:t>program</w:t>
      </w:r>
      <w:r>
        <w:rPr>
          <w:spacing w:val="-19"/>
        </w:rPr>
        <w:t> </w:t>
      </w:r>
      <w:r>
        <w:rPr/>
        <w:t>include</w:t>
      </w:r>
      <w:r>
        <w:rPr>
          <w:spacing w:val="-18"/>
        </w:rPr>
        <w:t> </w:t>
      </w:r>
      <w:r>
        <w:rPr/>
        <w:t>a</w:t>
      </w:r>
      <w:r>
        <w:rPr>
          <w:spacing w:val="-19"/>
        </w:rPr>
        <w:t> </w:t>
      </w:r>
      <w:r>
        <w:rPr/>
        <w:t>Public</w:t>
      </w:r>
      <w:r>
        <w:rPr>
          <w:spacing w:val="-18"/>
        </w:rPr>
        <w:t> </w:t>
      </w:r>
      <w:r>
        <w:rPr/>
        <w:t>Sector</w:t>
      </w:r>
      <w:r>
        <w:rPr>
          <w:spacing w:val="-19"/>
        </w:rPr>
        <w:t> </w:t>
      </w:r>
      <w:r>
        <w:rPr/>
        <w:t>Reform Steering</w:t>
      </w:r>
      <w:r>
        <w:rPr>
          <w:spacing w:val="-19"/>
        </w:rPr>
        <w:t> </w:t>
      </w:r>
      <w:r>
        <w:rPr/>
        <w:t>Committee</w:t>
      </w:r>
      <w:r>
        <w:rPr>
          <w:spacing w:val="-19"/>
        </w:rPr>
        <w:t> </w:t>
      </w:r>
      <w:r>
        <w:rPr/>
        <w:t>and</w:t>
      </w:r>
      <w:r>
        <w:rPr>
          <w:spacing w:val="-19"/>
        </w:rPr>
        <w:t> </w:t>
      </w:r>
      <w:r>
        <w:rPr/>
        <w:t>a</w:t>
      </w:r>
      <w:r>
        <w:rPr>
          <w:spacing w:val="-18"/>
        </w:rPr>
        <w:t> </w:t>
      </w:r>
      <w:r>
        <w:rPr/>
        <w:t>Public</w:t>
      </w:r>
      <w:r>
        <w:rPr>
          <w:spacing w:val="-19"/>
        </w:rPr>
        <w:t> </w:t>
      </w:r>
      <w:r>
        <w:rPr/>
        <w:t>Sector</w:t>
      </w:r>
      <w:r>
        <w:rPr>
          <w:spacing w:val="-19"/>
        </w:rPr>
        <w:t> </w:t>
      </w:r>
      <w:r>
        <w:rPr/>
        <w:t>Reform Working Group, both of which Finance is a standing</w:t>
      </w:r>
      <w:r>
        <w:rPr>
          <w:spacing w:val="-22"/>
        </w:rPr>
        <w:t> </w:t>
      </w:r>
      <w:r>
        <w:rPr>
          <w:spacing w:val="-3"/>
        </w:rPr>
        <w:t>member.</w:t>
      </w:r>
      <w:r>
        <w:rPr>
          <w:spacing w:val="-22"/>
        </w:rPr>
        <w:t> </w:t>
      </w:r>
      <w:r>
        <w:rPr/>
        <w:t>The</w:t>
      </w:r>
      <w:r>
        <w:rPr>
          <w:spacing w:val="-21"/>
        </w:rPr>
        <w:t> </w:t>
      </w:r>
      <w:r>
        <w:rPr/>
        <w:t>Public</w:t>
      </w:r>
      <w:r>
        <w:rPr>
          <w:spacing w:val="-22"/>
        </w:rPr>
        <w:t> </w:t>
      </w:r>
      <w:r>
        <w:rPr/>
        <w:t>Sector</w:t>
      </w:r>
      <w:r>
        <w:rPr>
          <w:spacing w:val="-21"/>
        </w:rPr>
        <w:t> </w:t>
      </w:r>
      <w:r>
        <w:rPr/>
        <w:t>Reform</w:t>
      </w:r>
      <w:r>
        <w:rPr>
          <w:spacing w:val="-22"/>
        </w:rPr>
        <w:t> </w:t>
      </w:r>
      <w:r>
        <w:rPr>
          <w:spacing w:val="-5"/>
        </w:rPr>
        <w:t>Unit </w:t>
      </w:r>
      <w:r>
        <w:rPr/>
        <w:t>has also been established in the Department of the</w:t>
      </w:r>
      <w:r>
        <w:rPr>
          <w:spacing w:val="-20"/>
        </w:rPr>
        <w:t> </w:t>
      </w:r>
      <w:r>
        <w:rPr/>
        <w:t>Premier</w:t>
      </w:r>
      <w:r>
        <w:rPr>
          <w:spacing w:val="-19"/>
        </w:rPr>
        <w:t> </w:t>
      </w:r>
      <w:r>
        <w:rPr/>
        <w:t>and</w:t>
      </w:r>
      <w:r>
        <w:rPr>
          <w:spacing w:val="-19"/>
        </w:rPr>
        <w:t> </w:t>
      </w:r>
      <w:r>
        <w:rPr/>
        <w:t>Cabinet</w:t>
      </w:r>
      <w:r>
        <w:rPr>
          <w:spacing w:val="-19"/>
        </w:rPr>
        <w:t> </w:t>
      </w:r>
      <w:r>
        <w:rPr/>
        <w:t>and</w:t>
      </w:r>
      <w:r>
        <w:rPr>
          <w:spacing w:val="-19"/>
        </w:rPr>
        <w:t> </w:t>
      </w:r>
      <w:r>
        <w:rPr/>
        <w:t>this</w:t>
      </w:r>
      <w:r>
        <w:rPr>
          <w:spacing w:val="-19"/>
        </w:rPr>
        <w:t> </w:t>
      </w:r>
      <w:r>
        <w:rPr/>
        <w:t>will</w:t>
      </w:r>
      <w:r>
        <w:rPr>
          <w:spacing w:val="-19"/>
        </w:rPr>
        <w:t> </w:t>
      </w:r>
      <w:r>
        <w:rPr/>
        <w:t>co-ordinate agency</w:t>
      </w:r>
      <w:r>
        <w:rPr>
          <w:spacing w:val="-18"/>
        </w:rPr>
        <w:t> </w:t>
      </w:r>
      <w:r>
        <w:rPr/>
        <w:t>contributions</w:t>
      </w:r>
      <w:r>
        <w:rPr>
          <w:spacing w:val="-18"/>
        </w:rPr>
        <w:t> </w:t>
      </w:r>
      <w:r>
        <w:rPr/>
        <w:t>to</w:t>
      </w:r>
      <w:r>
        <w:rPr>
          <w:spacing w:val="-17"/>
        </w:rPr>
        <w:t> </w:t>
      </w:r>
      <w:r>
        <w:rPr/>
        <w:t>the</w:t>
      </w:r>
      <w:r>
        <w:rPr>
          <w:spacing w:val="-18"/>
        </w:rPr>
        <w:t> </w:t>
      </w:r>
      <w:r>
        <w:rPr/>
        <w:t>overall</w:t>
      </w:r>
      <w:r>
        <w:rPr>
          <w:spacing w:val="-18"/>
        </w:rPr>
        <w:t> </w:t>
      </w:r>
      <w:r>
        <w:rPr/>
        <w:t>reform</w:t>
      </w:r>
      <w:r>
        <w:rPr>
          <w:spacing w:val="-17"/>
        </w:rPr>
        <w:t> </w:t>
      </w:r>
      <w:r>
        <w:rPr/>
        <w:t>effort.</w:t>
      </w:r>
    </w:p>
    <w:p>
      <w:pPr>
        <w:pStyle w:val="BodyText"/>
        <w:spacing w:before="7"/>
        <w:rPr>
          <w:sz w:val="23"/>
        </w:rPr>
      </w:pPr>
    </w:p>
    <w:p>
      <w:pPr>
        <w:pStyle w:val="BodyText"/>
        <w:spacing w:line="249" w:lineRule="auto"/>
        <w:ind w:left="468" w:right="103"/>
      </w:pPr>
      <w:r>
        <w:rPr/>
        <w:t>Finance will establish an internal project management function to oversee delivery of recommendations assigned to the Department and</w:t>
      </w:r>
      <w:r>
        <w:rPr>
          <w:spacing w:val="-12"/>
        </w:rPr>
        <w:t> </w:t>
      </w:r>
      <w:r>
        <w:rPr/>
        <w:t>to</w:t>
      </w:r>
      <w:r>
        <w:rPr>
          <w:spacing w:val="-12"/>
        </w:rPr>
        <w:t> </w:t>
      </w:r>
      <w:r>
        <w:rPr/>
        <w:t>liaise</w:t>
      </w:r>
      <w:r>
        <w:rPr>
          <w:spacing w:val="-12"/>
        </w:rPr>
        <w:t> </w:t>
      </w:r>
      <w:r>
        <w:rPr/>
        <w:t>with,</w:t>
      </w:r>
      <w:r>
        <w:rPr>
          <w:spacing w:val="-12"/>
        </w:rPr>
        <w:t> </w:t>
      </w:r>
      <w:r>
        <w:rPr/>
        <w:t>and</w:t>
      </w:r>
      <w:r>
        <w:rPr>
          <w:spacing w:val="-12"/>
        </w:rPr>
        <w:t> </w:t>
      </w:r>
      <w:r>
        <w:rPr/>
        <w:t>report</w:t>
      </w:r>
      <w:r>
        <w:rPr>
          <w:spacing w:val="-12"/>
        </w:rPr>
        <w:t> </w:t>
      </w:r>
      <w:r>
        <w:rPr/>
        <w:t>to</w:t>
      </w:r>
      <w:r>
        <w:rPr>
          <w:spacing w:val="-12"/>
        </w:rPr>
        <w:t> </w:t>
      </w:r>
      <w:r>
        <w:rPr/>
        <w:t>the</w:t>
      </w:r>
      <w:r>
        <w:rPr>
          <w:spacing w:val="-12"/>
        </w:rPr>
        <w:t> </w:t>
      </w:r>
      <w:r>
        <w:rPr/>
        <w:t>Department</w:t>
      </w:r>
      <w:r>
        <w:rPr>
          <w:spacing w:val="-12"/>
        </w:rPr>
        <w:t> </w:t>
      </w:r>
      <w:r>
        <w:rPr>
          <w:spacing w:val="-8"/>
        </w:rPr>
        <w:t>of </w:t>
      </w:r>
      <w:r>
        <w:rPr/>
        <w:t>the Premier and</w:t>
      </w:r>
      <w:r>
        <w:rPr>
          <w:spacing w:val="-7"/>
        </w:rPr>
        <w:t> </w:t>
      </w:r>
      <w:r>
        <w:rPr/>
        <w:t>Cabinet.</w:t>
      </w:r>
    </w:p>
    <w:p>
      <w:pPr>
        <w:pStyle w:val="BodyText"/>
        <w:spacing w:before="4"/>
        <w:rPr>
          <w:sz w:val="23"/>
        </w:rPr>
      </w:pPr>
    </w:p>
    <w:p>
      <w:pPr>
        <w:pStyle w:val="BodyText"/>
        <w:spacing w:line="249" w:lineRule="auto"/>
        <w:ind w:left="468" w:right="143"/>
      </w:pPr>
      <w:r>
        <w:rPr/>
        <w:t>A total of 20 sector-wide priority initiatives have been</w:t>
      </w:r>
      <w:r>
        <w:rPr>
          <w:spacing w:val="-30"/>
        </w:rPr>
        <w:t> </w:t>
      </w:r>
      <w:r>
        <w:rPr/>
        <w:t>identified</w:t>
      </w:r>
      <w:r>
        <w:rPr>
          <w:spacing w:val="-30"/>
        </w:rPr>
        <w:t> </w:t>
      </w:r>
      <w:r>
        <w:rPr/>
        <w:t>by</w:t>
      </w:r>
      <w:r>
        <w:rPr>
          <w:spacing w:val="-29"/>
        </w:rPr>
        <w:t> </w:t>
      </w:r>
      <w:r>
        <w:rPr/>
        <w:t>government.</w:t>
      </w:r>
      <w:r>
        <w:rPr>
          <w:spacing w:val="-30"/>
        </w:rPr>
        <w:t> </w:t>
      </w:r>
      <w:r>
        <w:rPr/>
        <w:t>Internal</w:t>
      </w:r>
      <w:r>
        <w:rPr>
          <w:spacing w:val="-30"/>
        </w:rPr>
        <w:t> </w:t>
      </w:r>
      <w:r>
        <w:rPr>
          <w:spacing w:val="-3"/>
        </w:rPr>
        <w:t>resources </w:t>
      </w:r>
      <w:r>
        <w:rPr/>
        <w:t>and expert technical leads will be assigned to reform initiatives as</w:t>
      </w:r>
      <w:r>
        <w:rPr>
          <w:spacing w:val="-12"/>
        </w:rPr>
        <w:t> </w:t>
      </w:r>
      <w:r>
        <w:rPr/>
        <w:t>required.</w:t>
      </w:r>
    </w:p>
    <w:p>
      <w:pPr>
        <w:pStyle w:val="BodyText"/>
        <w:spacing w:before="3"/>
        <w:rPr>
          <w:sz w:val="23"/>
        </w:rPr>
      </w:pPr>
    </w:p>
    <w:p>
      <w:pPr>
        <w:pStyle w:val="BodyText"/>
        <w:spacing w:line="249" w:lineRule="auto"/>
        <w:ind w:left="468" w:right="-4"/>
      </w:pPr>
      <w:r>
        <w:rPr/>
        <w:t>Enhancing procurement policy and practice for goods, services and works is a priority initiative and</w:t>
      </w:r>
      <w:r>
        <w:rPr>
          <w:spacing w:val="-15"/>
        </w:rPr>
        <w:t> </w:t>
      </w:r>
      <w:r>
        <w:rPr/>
        <w:t>the</w:t>
      </w:r>
      <w:r>
        <w:rPr>
          <w:spacing w:val="-14"/>
        </w:rPr>
        <w:t> </w:t>
      </w:r>
      <w:r>
        <w:rPr/>
        <w:t>Department</w:t>
      </w:r>
      <w:r>
        <w:rPr>
          <w:spacing w:val="-14"/>
        </w:rPr>
        <w:t> </w:t>
      </w:r>
      <w:r>
        <w:rPr/>
        <w:t>is</w:t>
      </w:r>
      <w:r>
        <w:rPr>
          <w:spacing w:val="-15"/>
        </w:rPr>
        <w:t> </w:t>
      </w:r>
      <w:r>
        <w:rPr/>
        <w:t>expected</w:t>
      </w:r>
      <w:r>
        <w:rPr>
          <w:spacing w:val="-14"/>
        </w:rPr>
        <w:t> </w:t>
      </w:r>
      <w:r>
        <w:rPr/>
        <w:t>to</w:t>
      </w:r>
      <w:r>
        <w:rPr>
          <w:spacing w:val="-14"/>
        </w:rPr>
        <w:t> </w:t>
      </w:r>
      <w:r>
        <w:rPr/>
        <w:t>lead</w:t>
      </w:r>
      <w:r>
        <w:rPr>
          <w:spacing w:val="-14"/>
        </w:rPr>
        <w:t> </w:t>
      </w:r>
      <w:r>
        <w:rPr/>
        <w:t>this</w:t>
      </w:r>
      <w:r>
        <w:rPr>
          <w:spacing w:val="-15"/>
        </w:rPr>
        <w:t> </w:t>
      </w:r>
      <w:r>
        <w:rPr>
          <w:spacing w:val="-4"/>
        </w:rPr>
        <w:t>reform </w:t>
      </w:r>
      <w:r>
        <w:rPr/>
        <w:t>across the</w:t>
      </w:r>
      <w:r>
        <w:rPr>
          <w:spacing w:val="-2"/>
        </w:rPr>
        <w:t> </w:t>
      </w:r>
      <w:r>
        <w:rPr>
          <w:spacing w:val="-3"/>
        </w:rPr>
        <w:t>sector.</w:t>
      </w:r>
    </w:p>
    <w:p>
      <w:pPr>
        <w:pStyle w:val="BodyText"/>
        <w:spacing w:before="3"/>
        <w:rPr>
          <w:sz w:val="23"/>
        </w:rPr>
      </w:pPr>
    </w:p>
    <w:p>
      <w:pPr>
        <w:pStyle w:val="BodyText"/>
        <w:spacing w:line="249" w:lineRule="auto"/>
        <w:ind w:left="468" w:right="331"/>
      </w:pPr>
      <w:r>
        <w:rPr/>
        <w:t>The</w:t>
      </w:r>
      <w:r>
        <w:rPr>
          <w:spacing w:val="-18"/>
        </w:rPr>
        <w:t> </w:t>
      </w:r>
      <w:r>
        <w:rPr/>
        <w:t>Department</w:t>
      </w:r>
      <w:r>
        <w:rPr>
          <w:spacing w:val="-17"/>
        </w:rPr>
        <w:t> </w:t>
      </w:r>
      <w:r>
        <w:rPr/>
        <w:t>is</w:t>
      </w:r>
      <w:r>
        <w:rPr>
          <w:spacing w:val="-18"/>
        </w:rPr>
        <w:t> </w:t>
      </w:r>
      <w:r>
        <w:rPr/>
        <w:t>also</w:t>
      </w:r>
      <w:r>
        <w:rPr>
          <w:spacing w:val="-17"/>
        </w:rPr>
        <w:t> </w:t>
      </w:r>
      <w:r>
        <w:rPr/>
        <w:t>expecting</w:t>
      </w:r>
      <w:r>
        <w:rPr>
          <w:spacing w:val="-17"/>
        </w:rPr>
        <w:t> </w:t>
      </w:r>
      <w:r>
        <w:rPr/>
        <w:t>to</w:t>
      </w:r>
      <w:r>
        <w:rPr>
          <w:spacing w:val="-18"/>
        </w:rPr>
        <w:t> </w:t>
      </w:r>
      <w:r>
        <w:rPr/>
        <w:t>contribute to</w:t>
      </w:r>
      <w:r>
        <w:rPr>
          <w:spacing w:val="-30"/>
        </w:rPr>
        <w:t> </w:t>
      </w:r>
      <w:r>
        <w:rPr/>
        <w:t>other</w:t>
      </w:r>
      <w:r>
        <w:rPr>
          <w:spacing w:val="-29"/>
        </w:rPr>
        <w:t> </w:t>
      </w:r>
      <w:r>
        <w:rPr/>
        <w:t>sector-wide</w:t>
      </w:r>
      <w:r>
        <w:rPr>
          <w:spacing w:val="-29"/>
        </w:rPr>
        <w:t> </w:t>
      </w:r>
      <w:r>
        <w:rPr/>
        <w:t>priority</w:t>
      </w:r>
      <w:r>
        <w:rPr>
          <w:spacing w:val="-30"/>
        </w:rPr>
        <w:t> </w:t>
      </w:r>
      <w:r>
        <w:rPr/>
        <w:t>initiatives,</w:t>
      </w:r>
      <w:r>
        <w:rPr>
          <w:spacing w:val="-29"/>
        </w:rPr>
        <w:t> </w:t>
      </w:r>
      <w:r>
        <w:rPr/>
        <w:t>including the</w:t>
      </w:r>
      <w:r>
        <w:rPr>
          <w:spacing w:val="-26"/>
        </w:rPr>
        <w:t> </w:t>
      </w:r>
      <w:r>
        <w:rPr/>
        <w:t>review</w:t>
      </w:r>
      <w:r>
        <w:rPr>
          <w:spacing w:val="-26"/>
        </w:rPr>
        <w:t> </w:t>
      </w:r>
      <w:r>
        <w:rPr/>
        <w:t>of</w:t>
      </w:r>
      <w:r>
        <w:rPr>
          <w:spacing w:val="-26"/>
        </w:rPr>
        <w:t> </w:t>
      </w:r>
      <w:r>
        <w:rPr/>
        <w:t>temporary</w:t>
      </w:r>
      <w:r>
        <w:rPr>
          <w:spacing w:val="-26"/>
        </w:rPr>
        <w:t> </w:t>
      </w:r>
      <w:r>
        <w:rPr/>
        <w:t>personnel</w:t>
      </w:r>
      <w:r>
        <w:rPr>
          <w:spacing w:val="-26"/>
        </w:rPr>
        <w:t> </w:t>
      </w:r>
      <w:r>
        <w:rPr/>
        <w:t>services</w:t>
      </w:r>
      <w:r>
        <w:rPr>
          <w:spacing w:val="-26"/>
        </w:rPr>
        <w:t> </w:t>
      </w:r>
      <w:r>
        <w:rPr/>
        <w:t>and the development of the functional leadership framework.</w:t>
      </w:r>
    </w:p>
    <w:p>
      <w:pPr>
        <w:pStyle w:val="BodyText"/>
        <w:spacing w:line="249" w:lineRule="auto" w:before="106"/>
        <w:ind w:left="387" w:right="1433"/>
      </w:pPr>
      <w:r>
        <w:rPr/>
        <w:br w:type="column"/>
      </w:r>
      <w:r>
        <w:rPr/>
        <w:t>The coming year represents a significant opportunity for the Department to provide sector-wide</w:t>
      </w:r>
      <w:r>
        <w:rPr>
          <w:spacing w:val="-28"/>
        </w:rPr>
        <w:t> </w:t>
      </w:r>
      <w:r>
        <w:rPr/>
        <w:t>leadership,</w:t>
      </w:r>
      <w:r>
        <w:rPr>
          <w:spacing w:val="-27"/>
        </w:rPr>
        <w:t> </w:t>
      </w:r>
      <w:r>
        <w:rPr/>
        <w:t>practical</w:t>
      </w:r>
      <w:r>
        <w:rPr>
          <w:spacing w:val="-27"/>
        </w:rPr>
        <w:t> </w:t>
      </w:r>
      <w:r>
        <w:rPr/>
        <w:t>advice</w:t>
      </w:r>
      <w:r>
        <w:rPr>
          <w:spacing w:val="-27"/>
        </w:rPr>
        <w:t> </w:t>
      </w:r>
      <w:r>
        <w:rPr>
          <w:spacing w:val="-6"/>
        </w:rPr>
        <w:t>and </w:t>
      </w:r>
      <w:r>
        <w:rPr/>
        <w:t>continued collaboration with other central agencies on priority reform</w:t>
      </w:r>
      <w:r>
        <w:rPr>
          <w:spacing w:val="-40"/>
        </w:rPr>
        <w:t> </w:t>
      </w:r>
      <w:r>
        <w:rPr/>
        <w:t>initiatives.</w:t>
      </w:r>
    </w:p>
    <w:p>
      <w:pPr>
        <w:pStyle w:val="BodyText"/>
        <w:spacing w:before="4"/>
        <w:rPr>
          <w:sz w:val="23"/>
        </w:rPr>
      </w:pPr>
    </w:p>
    <w:p>
      <w:pPr>
        <w:pStyle w:val="BodyText"/>
        <w:spacing w:line="249" w:lineRule="auto"/>
        <w:ind w:left="387" w:right="822"/>
      </w:pPr>
      <w:r>
        <w:rPr/>
        <w:t>Work is already underway in </w:t>
      </w:r>
      <w:r>
        <w:rPr>
          <w:b/>
        </w:rPr>
        <w:t>Government Procurement </w:t>
      </w:r>
      <w:r>
        <w:rPr/>
        <w:t>to address recommendations made by the Service Priority Review and Special Inquiry</w:t>
      </w:r>
      <w:r>
        <w:rPr>
          <w:spacing w:val="-24"/>
        </w:rPr>
        <w:t> </w:t>
      </w:r>
      <w:r>
        <w:rPr/>
        <w:t>into</w:t>
      </w:r>
      <w:r>
        <w:rPr>
          <w:spacing w:val="-23"/>
        </w:rPr>
        <w:t> </w:t>
      </w:r>
      <w:r>
        <w:rPr/>
        <w:t>Government</w:t>
      </w:r>
      <w:r>
        <w:rPr>
          <w:spacing w:val="-23"/>
        </w:rPr>
        <w:t> </w:t>
      </w:r>
      <w:r>
        <w:rPr/>
        <w:t>Programs</w:t>
      </w:r>
      <w:r>
        <w:rPr>
          <w:spacing w:val="-24"/>
        </w:rPr>
        <w:t> </w:t>
      </w:r>
      <w:r>
        <w:rPr/>
        <w:t>and</w:t>
      </w:r>
      <w:r>
        <w:rPr>
          <w:spacing w:val="-23"/>
        </w:rPr>
        <w:t> </w:t>
      </w:r>
      <w:r>
        <w:rPr/>
        <w:t>Projects</w:t>
      </w:r>
      <w:r>
        <w:rPr>
          <w:spacing w:val="-23"/>
        </w:rPr>
        <w:t> </w:t>
      </w:r>
      <w:r>
        <w:rPr>
          <w:spacing w:val="-8"/>
        </w:rPr>
        <w:t>to </w:t>
      </w:r>
      <w:r>
        <w:rPr/>
        <w:t>develop the commercial acumen and negotiation capability</w:t>
      </w:r>
      <w:r>
        <w:rPr>
          <w:spacing w:val="-10"/>
        </w:rPr>
        <w:t> </w:t>
      </w:r>
      <w:r>
        <w:rPr/>
        <w:t>of</w:t>
      </w:r>
      <w:r>
        <w:rPr>
          <w:spacing w:val="-9"/>
        </w:rPr>
        <w:t> </w:t>
      </w:r>
      <w:r>
        <w:rPr/>
        <w:t>the</w:t>
      </w:r>
      <w:r>
        <w:rPr>
          <w:spacing w:val="-9"/>
        </w:rPr>
        <w:t> </w:t>
      </w:r>
      <w:r>
        <w:rPr>
          <w:spacing w:val="-3"/>
        </w:rPr>
        <w:t>sector.</w:t>
      </w:r>
      <w:r>
        <w:rPr>
          <w:spacing w:val="-10"/>
        </w:rPr>
        <w:t> </w:t>
      </w:r>
      <w:r>
        <w:rPr/>
        <w:t>The</w:t>
      </w:r>
      <w:r>
        <w:rPr>
          <w:spacing w:val="-9"/>
        </w:rPr>
        <w:t> </w:t>
      </w:r>
      <w:r>
        <w:rPr/>
        <w:t>strategy</w:t>
      </w:r>
      <w:r>
        <w:rPr>
          <w:spacing w:val="-9"/>
        </w:rPr>
        <w:t> </w:t>
      </w:r>
      <w:r>
        <w:rPr/>
        <w:t>includes</w:t>
      </w:r>
    </w:p>
    <w:p>
      <w:pPr>
        <w:pStyle w:val="BodyText"/>
        <w:spacing w:line="249" w:lineRule="auto" w:before="6"/>
        <w:ind w:left="387" w:right="1270"/>
      </w:pPr>
      <w:r>
        <w:rPr/>
        <w:t>a combination of centre-led approaches </w:t>
      </w:r>
      <w:r>
        <w:rPr>
          <w:spacing w:val="-5"/>
        </w:rPr>
        <w:t>with </w:t>
      </w:r>
      <w:r>
        <w:rPr/>
        <w:t>decentralised responsibility.</w:t>
      </w:r>
    </w:p>
    <w:p>
      <w:pPr>
        <w:pStyle w:val="BodyText"/>
        <w:spacing w:before="1"/>
        <w:rPr>
          <w:sz w:val="23"/>
        </w:rPr>
      </w:pPr>
    </w:p>
    <w:p>
      <w:pPr>
        <w:pStyle w:val="BodyText"/>
        <w:spacing w:line="249" w:lineRule="auto"/>
        <w:ind w:left="387" w:right="790"/>
      </w:pPr>
      <w:r>
        <w:rPr/>
        <w:t>The</w:t>
      </w:r>
      <w:r>
        <w:rPr>
          <w:spacing w:val="-26"/>
        </w:rPr>
        <w:t> </w:t>
      </w:r>
      <w:r>
        <w:rPr/>
        <w:t>Department</w:t>
      </w:r>
      <w:r>
        <w:rPr>
          <w:spacing w:val="-25"/>
        </w:rPr>
        <w:t> </w:t>
      </w:r>
      <w:r>
        <w:rPr/>
        <w:t>will</w:t>
      </w:r>
      <w:r>
        <w:rPr>
          <w:spacing w:val="-25"/>
        </w:rPr>
        <w:t> </w:t>
      </w:r>
      <w:r>
        <w:rPr/>
        <w:t>also</w:t>
      </w:r>
      <w:r>
        <w:rPr>
          <w:spacing w:val="-25"/>
        </w:rPr>
        <w:t> </w:t>
      </w:r>
      <w:r>
        <w:rPr/>
        <w:t>collaborate</w:t>
      </w:r>
      <w:r>
        <w:rPr>
          <w:spacing w:val="-26"/>
        </w:rPr>
        <w:t> </w:t>
      </w:r>
      <w:r>
        <w:rPr/>
        <w:t>with</w:t>
      </w:r>
      <w:r>
        <w:rPr>
          <w:spacing w:val="-25"/>
        </w:rPr>
        <w:t> </w:t>
      </w:r>
      <w:r>
        <w:rPr>
          <w:spacing w:val="-3"/>
        </w:rPr>
        <w:t>agencies </w:t>
      </w:r>
      <w:r>
        <w:rPr/>
        <w:t>that undertake their own works</w:t>
      </w:r>
      <w:r>
        <w:rPr>
          <w:spacing w:val="-30"/>
        </w:rPr>
        <w:t> </w:t>
      </w:r>
      <w:r>
        <w:rPr/>
        <w:t>procurement</w:t>
      </w:r>
    </w:p>
    <w:p>
      <w:pPr>
        <w:pStyle w:val="BodyText"/>
        <w:spacing w:line="249" w:lineRule="auto" w:before="2"/>
        <w:ind w:left="387" w:right="1348"/>
      </w:pPr>
      <w:r>
        <w:rPr/>
        <w:t>to</w:t>
      </w:r>
      <w:r>
        <w:rPr>
          <w:spacing w:val="-23"/>
        </w:rPr>
        <w:t> </w:t>
      </w:r>
      <w:r>
        <w:rPr/>
        <w:t>identify</w:t>
      </w:r>
      <w:r>
        <w:rPr>
          <w:spacing w:val="-23"/>
        </w:rPr>
        <w:t> </w:t>
      </w:r>
      <w:r>
        <w:rPr/>
        <w:t>challenges</w:t>
      </w:r>
      <w:r>
        <w:rPr>
          <w:spacing w:val="-23"/>
        </w:rPr>
        <w:t> </w:t>
      </w:r>
      <w:r>
        <w:rPr/>
        <w:t>arising</w:t>
      </w:r>
      <w:r>
        <w:rPr>
          <w:spacing w:val="-23"/>
        </w:rPr>
        <w:t> </w:t>
      </w:r>
      <w:r>
        <w:rPr/>
        <w:t>from</w:t>
      </w:r>
      <w:r>
        <w:rPr>
          <w:spacing w:val="-22"/>
        </w:rPr>
        <w:t> </w:t>
      </w:r>
      <w:r>
        <w:rPr/>
        <w:t>the</w:t>
      </w:r>
      <w:r>
        <w:rPr>
          <w:spacing w:val="-23"/>
        </w:rPr>
        <w:t> </w:t>
      </w:r>
      <w:r>
        <w:rPr>
          <w:spacing w:val="-4"/>
        </w:rPr>
        <w:t>current </w:t>
      </w:r>
      <w:r>
        <w:rPr/>
        <w:t>fragmented legislative structure, and assist in developing a more effective procurement framework for the</w:t>
      </w:r>
      <w:r>
        <w:rPr>
          <w:spacing w:val="-5"/>
        </w:rPr>
        <w:t> </w:t>
      </w:r>
      <w:r>
        <w:rPr/>
        <w:t>State.</w:t>
      </w:r>
    </w:p>
    <w:p>
      <w:pPr>
        <w:pStyle w:val="BodyText"/>
        <w:spacing w:before="3"/>
        <w:rPr>
          <w:sz w:val="23"/>
        </w:rPr>
      </w:pPr>
    </w:p>
    <w:p>
      <w:pPr>
        <w:pStyle w:val="BodyText"/>
        <w:spacing w:line="249" w:lineRule="auto"/>
        <w:ind w:left="387" w:right="756"/>
      </w:pPr>
      <w:r>
        <w:rPr/>
        <w:t>As well as delivering better value-for-money procurement outcomes, a more consistent and simplified</w:t>
      </w:r>
      <w:r>
        <w:rPr>
          <w:spacing w:val="-27"/>
        </w:rPr>
        <w:t> </w:t>
      </w:r>
      <w:r>
        <w:rPr/>
        <w:t>procurement</w:t>
      </w:r>
      <w:r>
        <w:rPr>
          <w:spacing w:val="-27"/>
        </w:rPr>
        <w:t> </w:t>
      </w:r>
      <w:r>
        <w:rPr/>
        <w:t>approach</w:t>
      </w:r>
      <w:r>
        <w:rPr>
          <w:spacing w:val="-26"/>
        </w:rPr>
        <w:t> </w:t>
      </w:r>
      <w:r>
        <w:rPr/>
        <w:t>will</w:t>
      </w:r>
      <w:r>
        <w:rPr>
          <w:spacing w:val="-27"/>
        </w:rPr>
        <w:t> </w:t>
      </w:r>
      <w:r>
        <w:rPr/>
        <w:t>make</w:t>
      </w:r>
      <w:r>
        <w:rPr>
          <w:spacing w:val="-26"/>
        </w:rPr>
        <w:t> </w:t>
      </w:r>
      <w:r>
        <w:rPr/>
        <w:t>it</w:t>
      </w:r>
      <w:r>
        <w:rPr>
          <w:spacing w:val="-27"/>
        </w:rPr>
        <w:t> </w:t>
      </w:r>
      <w:r>
        <w:rPr>
          <w:spacing w:val="-3"/>
        </w:rPr>
        <w:t>easier </w:t>
      </w:r>
      <w:r>
        <w:rPr/>
        <w:t>for</w:t>
      </w:r>
      <w:r>
        <w:rPr>
          <w:spacing w:val="-13"/>
        </w:rPr>
        <w:t> </w:t>
      </w:r>
      <w:r>
        <w:rPr>
          <w:spacing w:val="-3"/>
        </w:rPr>
        <w:t>industry,</w:t>
      </w:r>
      <w:r>
        <w:rPr>
          <w:spacing w:val="-13"/>
        </w:rPr>
        <w:t> </w:t>
      </w:r>
      <w:r>
        <w:rPr/>
        <w:t>especially</w:t>
      </w:r>
      <w:r>
        <w:rPr>
          <w:spacing w:val="-13"/>
        </w:rPr>
        <w:t> </w:t>
      </w:r>
      <w:r>
        <w:rPr/>
        <w:t>local</w:t>
      </w:r>
      <w:r>
        <w:rPr>
          <w:spacing w:val="-12"/>
        </w:rPr>
        <w:t> </w:t>
      </w:r>
      <w:r>
        <w:rPr/>
        <w:t>small</w:t>
      </w:r>
      <w:r>
        <w:rPr>
          <w:spacing w:val="-13"/>
        </w:rPr>
        <w:t> </w:t>
      </w:r>
      <w:r>
        <w:rPr/>
        <w:t>businesses,</w:t>
      </w:r>
    </w:p>
    <w:p>
      <w:pPr>
        <w:pStyle w:val="BodyText"/>
        <w:spacing w:before="4"/>
        <w:ind w:left="387"/>
      </w:pPr>
      <w:r>
        <w:rPr/>
        <w:pict>
          <v:group style="position:absolute;margin-left:551.730469pt;margin-top:7.944575pt;width:228.6pt;height:120.8pt;mso-position-horizontal-relative:page;mso-position-vertical-relative:paragraph;z-index:-704584" coordorigin="11035,159" coordsize="4572,2416">
            <v:shape style="position:absolute;left:2973;top:11895;width:3452;height:2411" coordorigin="2973,11896" coordsize="3452,2411" path="m14791,422l15343,974m14560,302l15464,1205m14385,237l15528,1380m14237,199l15567,1529m14103,176l15590,1662m13982,165l15601,1784m13868,161l15604,1897m13762,165l15600,2003m13661,175l15590,2104m13565,190l15576,2200m13474,209l15556,2291m13387,232l15533,2378m13304,259l15506,2461m13224,289l15476,2542m13147,323l15396,2572m13074,360l15286,2572m13003,400l15175,2572m12935,442l15065,2572m12869,487l14955,2572m12807,534l14844,2572m12746,584l14734,2572m12688,637l14624,2572m12633,692l14513,2572m12580,749l14403,2572m12530,809l14293,2572m12482,872l14182,2572m12437,937l14072,2572m12395,1005l13962,2572m12355,1075l13851,2572m12318,1149l13741,2572m12284,1225l13631,2572m12253,1305l13520,2572m12226,1388l13410,2572m12202,1474l13300,2572m12182,1565l13189,2572m12167,1660l13079,2572m12157,1760l12968,2572m12152,1866l12858,2572m12154,1979l12748,2572m12165,2100l12637,2572m12187,2231l12527,2572m12223,2378l12417,2572m12283,2549l12306,2572e" filled="false" stroked="true" strokeweight=".25pt" strokecolor="#aebd37">
              <v:path arrowok="t"/>
              <v:stroke dashstyle="solid"/>
            </v:shape>
            <v:shape style="position:absolute;left:20;top:-6660;width:1781;height:1586" coordorigin="20,-6659" coordsize="1781,1586" path="m11427,2572l11155,2301m11537,2572l11073,2108m11647,2572l11045,1969m11758,2572l11037,1851m11868,2572l11044,1748m11978,2572l11061,1655m12089,2572l11085,1569m12199,2572l11117,1489m12309,2572l11154,1416m12420,2572l11197,1349m12498,2540l11245,1286m12556,2488l11297,1229m12609,2430l11355,1176m12657,2368l11417,1128m12700,2301l11485,1085m12737,2228l11558,1048m12769,2149l11637,1016m12793,2063l11722,991m12811,1970l11827,986m12818,1866l11937,986m12811,1750l12048,986m12783,1611l12174,1002m12703,1421l12364,1082e" filled="false" stroked="true" strokeweight=".25pt" strokecolor="#6f2770">
              <v:path arrowok="t"/>
              <v:stroke dashstyle="solid"/>
            </v:shape>
            <w10:wrap type="none"/>
          </v:group>
        </w:pict>
      </w:r>
      <w:r>
        <w:rPr/>
        <w:t>to participate.</w:t>
      </w:r>
    </w:p>
    <w:p>
      <w:pPr>
        <w:spacing w:after="0"/>
        <w:sectPr>
          <w:type w:val="continuous"/>
          <w:pgSz w:w="16840" w:h="11910" w:orient="landscape"/>
          <w:pgMar w:top="1100" w:bottom="280" w:left="0" w:right="0"/>
          <w:cols w:num="3" w:equalWidth="0">
            <w:col w:w="5501" w:space="40"/>
            <w:col w:w="5286" w:space="39"/>
            <w:col w:w="5974"/>
          </w:cols>
        </w:sectPr>
      </w:pPr>
    </w:p>
    <w:p>
      <w:pPr>
        <w:pStyle w:val="BodyText"/>
        <w:rPr>
          <w:sz w:val="20"/>
        </w:rPr>
      </w:pPr>
    </w:p>
    <w:p>
      <w:pPr>
        <w:pStyle w:val="BodyText"/>
        <w:rPr>
          <w:sz w:val="20"/>
        </w:rPr>
      </w:pPr>
    </w:p>
    <w:p>
      <w:pPr>
        <w:pStyle w:val="BodyText"/>
        <w:spacing w:before="8"/>
        <w:rPr>
          <w:sz w:val="23"/>
        </w:rPr>
      </w:pPr>
    </w:p>
    <w:p>
      <w:pPr>
        <w:tabs>
          <w:tab w:pos="10886" w:val="left" w:leader="none"/>
          <w:tab w:pos="11199" w:val="left" w:leader="none"/>
          <w:tab w:pos="15849"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7936"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ffffff" stroked="false">
              <v:path arrowok="t"/>
              <v:fill typ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7960"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29</w:t>
      </w:r>
    </w:p>
    <w:p>
      <w:pPr>
        <w:spacing w:after="0"/>
        <w:jc w:val="left"/>
        <w:rPr>
          <w:sz w:val="20"/>
        </w:rPr>
        <w:sectPr>
          <w:type w:val="continuous"/>
          <w:pgSz w:w="16840" w:h="11910" w:orient="landscape"/>
          <w:pgMar w:top="1100" w:bottom="280" w:left="0" w:right="0"/>
        </w:sectPr>
      </w:pPr>
    </w:p>
    <w:p>
      <w:pPr>
        <w:tabs>
          <w:tab w:pos="9621" w:val="left" w:leader="none"/>
          <w:tab w:pos="14432" w:val="left" w:leader="none"/>
        </w:tabs>
        <w:spacing w:line="240" w:lineRule="auto"/>
        <w:ind w:left="0" w:right="-58" w:firstLine="0"/>
        <w:rPr>
          <w:sz w:val="20"/>
        </w:rPr>
      </w:pPr>
      <w:r>
        <w:rPr>
          <w:sz w:val="20"/>
        </w:rPr>
        <w:pict>
          <v:group style="width:360.85pt;height:83.05pt;mso-position-horizontal-relative:char;mso-position-vertical-relative:line" coordorigin="0,0" coordsize="7217,1661">
            <v:line style="position:absolute" from="6176,1543" to="6023,1389" stroked="true" strokeweight=".25pt" strokecolor="#6f2770">
              <v:stroke dashstyle="solid"/>
            </v:line>
            <v:line style="position:absolute" from="6382,1639" to="5927,1183" stroked="true" strokeweight=".25pt" strokecolor="#6f2770">
              <v:stroke dashstyle="solid"/>
            </v:line>
            <v:line style="position:absolute" from="6512,1658" to="5908,1054" stroked="true" strokeweight=".25pt" strokecolor="#6f2770">
              <v:stroke dashstyle="solid"/>
            </v:line>
            <v:line style="position:absolute" from="6619,1655" to="5911,947" stroked="true" strokeweight=".25pt" strokecolor="#6f2770">
              <v:stroke dashstyle="solid"/>
            </v:line>
            <v:line style="position:absolute" from="6711,1636" to="5930,855" stroked="true" strokeweight=".25pt" strokecolor="#6f2770">
              <v:stroke dashstyle="solid"/>
            </v:line>
            <v:line style="position:absolute" from="6792,1607" to="5959,773" stroked="true" strokeweight=".25pt" strokecolor="#6f2770">
              <v:stroke dashstyle="solid"/>
            </v:line>
            <v:line style="position:absolute" from="6865,1570" to="5996,700" stroked="true" strokeweight=".25pt" strokecolor="#6f2770">
              <v:stroke dashstyle="solid"/>
            </v:line>
            <v:line style="position:absolute" from="6931,1525" to="6040,634" stroked="true" strokeweight=".25pt" strokecolor="#6f2770">
              <v:stroke dashstyle="solid"/>
            </v:line>
            <v:line style="position:absolute" from="6990,1474" to="6092,575" stroked="true" strokeweight=".25pt" strokecolor="#6f2770">
              <v:stroke dashstyle="solid"/>
            </v:line>
            <v:line style="position:absolute" from="7042,1415" to="6150,524" stroked="true" strokeweight=".25pt" strokecolor="#6f2770">
              <v:stroke dashstyle="solid"/>
            </v:line>
            <v:line style="position:absolute" from="7087,1350" to="6216,479" stroked="true" strokeweight=".25pt" strokecolor="#6f2770">
              <v:stroke dashstyle="solid"/>
            </v:line>
            <v:line style="position:absolute" from="7124,1277" to="6289,442" stroked="true" strokeweight=".25pt" strokecolor="#6f2770">
              <v:stroke dashstyle="solid"/>
            </v:line>
            <v:line style="position:absolute" from="7153,1195" to="6370,413" stroked="true" strokeweight=".25pt" strokecolor="#6f2770">
              <v:stroke dashstyle="solid"/>
            </v:line>
            <v:line style="position:absolute" from="7172,1104" to="6462,394" stroked="true" strokeweight=".25pt" strokecolor="#6f2770">
              <v:stroke dashstyle="solid"/>
            </v:line>
            <v:line style="position:absolute" from="7176,997" to="6568,390" stroked="true" strokeweight=".25pt" strokecolor="#6f2770">
              <v:stroke dashstyle="solid"/>
            </v:line>
            <v:line style="position:absolute" from="7158,869" to="6697,408" stroked="true" strokeweight=".25pt" strokecolor="#6f2770">
              <v:stroke dashstyle="solid"/>
            </v:line>
            <v:line style="position:absolute" from="7068,669" to="6897,498" stroked="true" strokeweight=".25pt" strokecolor="#6f2770">
              <v:stroke dashstyle="solid"/>
            </v:line>
            <v:rect style="position:absolute;left:4810;top:0;width:2406;height:851" filled="true" fillcolor="#d4d896" stroked="false">
              <v:fill type="solid"/>
            </v:rect>
            <v:shape style="position:absolute;left:4810;top:0;width:2406;height:851" type="#_x0000_t202" filled="false"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w10:wrap type="none"/>
            </v:shape>
            <v:shape style="position:absolute;left:2405;top:0;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v:shape style="position:absolute;left:0;top:0;width:2406;height:851" type="#_x0000_t202" filled="true" fillcolor="#bba1bc"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v:fill type="solid"/>
              <w10:wrap type="none"/>
            </v:shape>
          </v:group>
        </w:pict>
      </w:r>
      <w:r>
        <w:rPr>
          <w:sz w:val="20"/>
        </w:rPr>
      </w:r>
      <w:r>
        <w:rPr>
          <w:sz w:val="20"/>
        </w:rPr>
        <w:tab/>
      </w:r>
      <w:r>
        <w:rPr>
          <w:position w:val="81"/>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position w:val="81"/>
          <w:sz w:val="20"/>
        </w:rPr>
      </w:r>
      <w:r>
        <w:rPr>
          <w:position w:val="81"/>
          <w:sz w:val="20"/>
        </w:rPr>
        <w:tab/>
      </w:r>
      <w:r>
        <w:rPr>
          <w:position w:val="81"/>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position w:val="81"/>
          <w:sz w:val="20"/>
        </w:rPr>
      </w:r>
    </w:p>
    <w:p>
      <w:pPr>
        <w:pStyle w:val="BodyText"/>
        <w:rPr>
          <w:b/>
          <w:sz w:val="20"/>
        </w:rPr>
      </w:pPr>
    </w:p>
    <w:p>
      <w:pPr>
        <w:pStyle w:val="BodyText"/>
        <w:rPr>
          <w:b/>
          <w:sz w:val="20"/>
        </w:rPr>
      </w:pPr>
    </w:p>
    <w:p>
      <w:pPr>
        <w:spacing w:after="0"/>
        <w:rPr>
          <w:sz w:val="20"/>
        </w:rPr>
        <w:sectPr>
          <w:footerReference w:type="default" r:id="rId119"/>
          <w:pgSz w:w="16840" w:h="11910" w:orient="landscape"/>
          <w:pgMar w:footer="0" w:header="0" w:top="0" w:bottom="0" w:left="0" w:right="0"/>
        </w:sectPr>
      </w:pPr>
    </w:p>
    <w:p>
      <w:pPr>
        <w:pStyle w:val="Heading4"/>
        <w:spacing w:before="281"/>
      </w:pPr>
      <w:r>
        <w:rPr/>
        <w:pict>
          <v:shape style="position:absolute;margin-left:601.348999pt;margin-top:-108.060196pt;width:120.3pt;height:42.55pt;mso-position-horizontal-relative:page;mso-position-vertical-relative:paragraph;z-index:8248"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108.060196pt;width:120.3pt;height:42.55pt;mso-position-horizontal-relative:page;mso-position-vertical-relative:paragraph;z-index:827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color w:val="6F2770"/>
          <w:w w:val="95"/>
        </w:rPr>
        <w:t>Enhancing Workforce Diversity</w:t>
      </w:r>
    </w:p>
    <w:p>
      <w:pPr>
        <w:pStyle w:val="BodyText"/>
        <w:spacing w:line="249" w:lineRule="auto" w:before="246"/>
        <w:ind w:left="765" w:right="185"/>
      </w:pPr>
      <w:r>
        <w:rPr/>
        <w:t>In 2017, the </w:t>
      </w:r>
      <w:r>
        <w:rPr>
          <w:spacing w:val="-3"/>
        </w:rPr>
        <w:t>Department’s </w:t>
      </w:r>
      <w:r>
        <w:rPr/>
        <w:t>Corporate Executive commissioned</w:t>
      </w:r>
      <w:r>
        <w:rPr>
          <w:spacing w:val="-22"/>
        </w:rPr>
        <w:t> </w:t>
      </w:r>
      <w:r>
        <w:rPr/>
        <w:t>an</w:t>
      </w:r>
      <w:r>
        <w:rPr>
          <w:spacing w:val="-21"/>
        </w:rPr>
        <w:t> </w:t>
      </w:r>
      <w:r>
        <w:rPr/>
        <w:t>evidence-based</w:t>
      </w:r>
      <w:r>
        <w:rPr>
          <w:spacing w:val="-21"/>
        </w:rPr>
        <w:t> </w:t>
      </w:r>
      <w:r>
        <w:rPr/>
        <w:t>review</w:t>
      </w:r>
      <w:r>
        <w:rPr>
          <w:spacing w:val="-21"/>
        </w:rPr>
        <w:t> </w:t>
      </w:r>
      <w:r>
        <w:rPr/>
        <w:t>by</w:t>
      </w:r>
      <w:r>
        <w:rPr>
          <w:spacing w:val="-21"/>
        </w:rPr>
        <w:t> </w:t>
      </w:r>
      <w:r>
        <w:rPr/>
        <w:t>the </w:t>
      </w:r>
      <w:r>
        <w:rPr>
          <w:b/>
        </w:rPr>
        <w:t>Strategy and Coordination </w:t>
      </w:r>
      <w:r>
        <w:rPr/>
        <w:t>business unit on the</w:t>
      </w:r>
      <w:r>
        <w:rPr>
          <w:spacing w:val="-18"/>
        </w:rPr>
        <w:t> </w:t>
      </w:r>
      <w:r>
        <w:rPr/>
        <w:t>nature</w:t>
      </w:r>
      <w:r>
        <w:rPr>
          <w:spacing w:val="-18"/>
        </w:rPr>
        <w:t> </w:t>
      </w:r>
      <w:r>
        <w:rPr/>
        <w:t>and</w:t>
      </w:r>
      <w:r>
        <w:rPr>
          <w:spacing w:val="-18"/>
        </w:rPr>
        <w:t> </w:t>
      </w:r>
      <w:r>
        <w:rPr/>
        <w:t>cause</w:t>
      </w:r>
      <w:r>
        <w:rPr>
          <w:spacing w:val="-18"/>
        </w:rPr>
        <w:t> </w:t>
      </w:r>
      <w:r>
        <w:rPr/>
        <w:t>of</w:t>
      </w:r>
      <w:r>
        <w:rPr>
          <w:spacing w:val="-18"/>
        </w:rPr>
        <w:t> </w:t>
      </w:r>
      <w:r>
        <w:rPr/>
        <w:t>the</w:t>
      </w:r>
      <w:r>
        <w:rPr>
          <w:spacing w:val="-18"/>
        </w:rPr>
        <w:t> </w:t>
      </w:r>
      <w:r>
        <w:rPr>
          <w:spacing w:val="-3"/>
        </w:rPr>
        <w:t>under-representation </w:t>
      </w:r>
      <w:r>
        <w:rPr/>
        <w:t>of</w:t>
      </w:r>
      <w:r>
        <w:rPr>
          <w:spacing w:val="-21"/>
        </w:rPr>
        <w:t> </w:t>
      </w:r>
      <w:r>
        <w:rPr/>
        <w:t>women</w:t>
      </w:r>
      <w:r>
        <w:rPr>
          <w:spacing w:val="-20"/>
        </w:rPr>
        <w:t> </w:t>
      </w:r>
      <w:r>
        <w:rPr/>
        <w:t>in</w:t>
      </w:r>
      <w:r>
        <w:rPr>
          <w:spacing w:val="-20"/>
        </w:rPr>
        <w:t> </w:t>
      </w:r>
      <w:r>
        <w:rPr/>
        <w:t>management</w:t>
      </w:r>
      <w:r>
        <w:rPr>
          <w:spacing w:val="-20"/>
        </w:rPr>
        <w:t> </w:t>
      </w:r>
      <w:r>
        <w:rPr/>
        <w:t>positions.</w:t>
      </w:r>
      <w:r>
        <w:rPr>
          <w:spacing w:val="-20"/>
        </w:rPr>
        <w:t> </w:t>
      </w:r>
      <w:r>
        <w:rPr/>
        <w:t>This</w:t>
      </w:r>
      <w:r>
        <w:rPr>
          <w:spacing w:val="-21"/>
        </w:rPr>
        <w:t> </w:t>
      </w:r>
      <w:r>
        <w:rPr/>
        <w:t>review led to the identification of barriers to </w:t>
      </w:r>
      <w:r>
        <w:rPr>
          <w:spacing w:val="-4"/>
        </w:rPr>
        <w:t>women’s </w:t>
      </w:r>
      <w:r>
        <w:rPr/>
        <w:t>progression and the development of a suite of recommendations to improve the situation and achieve the </w:t>
      </w:r>
      <w:r>
        <w:rPr>
          <w:spacing w:val="-3"/>
        </w:rPr>
        <w:t>Department’s </w:t>
      </w:r>
      <w:r>
        <w:rPr/>
        <w:t>target of 50 per cent women in management</w:t>
      </w:r>
      <w:r>
        <w:rPr>
          <w:spacing w:val="-8"/>
        </w:rPr>
        <w:t> </w:t>
      </w:r>
      <w:r>
        <w:rPr/>
        <w:t>roles.</w:t>
      </w:r>
    </w:p>
    <w:p>
      <w:pPr>
        <w:pStyle w:val="BodyText"/>
        <w:spacing w:before="8"/>
        <w:rPr>
          <w:sz w:val="23"/>
        </w:rPr>
      </w:pPr>
    </w:p>
    <w:p>
      <w:pPr>
        <w:pStyle w:val="BodyText"/>
        <w:spacing w:line="249" w:lineRule="auto"/>
        <w:ind w:left="765" w:right="41"/>
      </w:pPr>
      <w:r>
        <w:rPr/>
        <w:t>The Government’s Service Priority Review noted the underrepresentation of women in the senior echelons of the public sector and recommended this</w:t>
      </w:r>
      <w:r>
        <w:rPr>
          <w:spacing w:val="-16"/>
        </w:rPr>
        <w:t> </w:t>
      </w:r>
      <w:r>
        <w:rPr/>
        <w:t>be</w:t>
      </w:r>
      <w:r>
        <w:rPr>
          <w:spacing w:val="-15"/>
        </w:rPr>
        <w:t> </w:t>
      </w:r>
      <w:r>
        <w:rPr/>
        <w:t>addressed</w:t>
      </w:r>
      <w:r>
        <w:rPr>
          <w:spacing w:val="-16"/>
        </w:rPr>
        <w:t> </w:t>
      </w:r>
      <w:r>
        <w:rPr/>
        <w:t>in</w:t>
      </w:r>
      <w:r>
        <w:rPr>
          <w:spacing w:val="-15"/>
        </w:rPr>
        <w:t> </w:t>
      </w:r>
      <w:r>
        <w:rPr/>
        <w:t>the</w:t>
      </w:r>
      <w:r>
        <w:rPr>
          <w:spacing w:val="-16"/>
        </w:rPr>
        <w:t> </w:t>
      </w:r>
      <w:r>
        <w:rPr/>
        <w:t>interests</w:t>
      </w:r>
      <w:r>
        <w:rPr>
          <w:spacing w:val="-15"/>
        </w:rPr>
        <w:t> </w:t>
      </w:r>
      <w:r>
        <w:rPr/>
        <w:t>of</w:t>
      </w:r>
      <w:r>
        <w:rPr>
          <w:spacing w:val="-16"/>
        </w:rPr>
        <w:t> </w:t>
      </w:r>
      <w:r>
        <w:rPr/>
        <w:t>a</w:t>
      </w:r>
      <w:r>
        <w:rPr>
          <w:spacing w:val="-15"/>
        </w:rPr>
        <w:t> </w:t>
      </w:r>
      <w:r>
        <w:rPr/>
        <w:t>capable</w:t>
      </w:r>
      <w:r>
        <w:rPr>
          <w:spacing w:val="-16"/>
        </w:rPr>
        <w:t> </w:t>
      </w:r>
      <w:r>
        <w:rPr>
          <w:spacing w:val="-6"/>
        </w:rPr>
        <w:t>and </w:t>
      </w:r>
      <w:r>
        <w:rPr/>
        <w:t>well performing</w:t>
      </w:r>
      <w:r>
        <w:rPr>
          <w:spacing w:val="-3"/>
        </w:rPr>
        <w:t> sector.</w:t>
      </w:r>
    </w:p>
    <w:p>
      <w:pPr>
        <w:pStyle w:val="BodyText"/>
        <w:spacing w:before="4"/>
        <w:rPr>
          <w:sz w:val="23"/>
        </w:rPr>
      </w:pPr>
    </w:p>
    <w:p>
      <w:pPr>
        <w:pStyle w:val="BodyText"/>
        <w:spacing w:line="249" w:lineRule="auto"/>
        <w:ind w:left="765" w:right="30"/>
      </w:pPr>
      <w:r>
        <w:rPr/>
        <w:t>The</w:t>
      </w:r>
      <w:r>
        <w:rPr>
          <w:spacing w:val="-20"/>
        </w:rPr>
        <w:t> </w:t>
      </w:r>
      <w:r>
        <w:rPr/>
        <w:t>Corporate</w:t>
      </w:r>
      <w:r>
        <w:rPr>
          <w:spacing w:val="-20"/>
        </w:rPr>
        <w:t> </w:t>
      </w:r>
      <w:r>
        <w:rPr/>
        <w:t>Executive</w:t>
      </w:r>
      <w:r>
        <w:rPr>
          <w:spacing w:val="-19"/>
        </w:rPr>
        <w:t> </w:t>
      </w:r>
      <w:r>
        <w:rPr/>
        <w:t>is</w:t>
      </w:r>
      <w:r>
        <w:rPr>
          <w:spacing w:val="-20"/>
        </w:rPr>
        <w:t> </w:t>
      </w:r>
      <w:r>
        <w:rPr/>
        <w:t>committed</w:t>
      </w:r>
      <w:r>
        <w:rPr>
          <w:spacing w:val="-19"/>
        </w:rPr>
        <w:t> </w:t>
      </w:r>
      <w:r>
        <w:rPr/>
        <w:t>to</w:t>
      </w:r>
      <w:r>
        <w:rPr>
          <w:spacing w:val="-20"/>
        </w:rPr>
        <w:t> </w:t>
      </w:r>
      <w:r>
        <w:rPr/>
        <w:t>a</w:t>
      </w:r>
      <w:r>
        <w:rPr>
          <w:spacing w:val="-19"/>
        </w:rPr>
        <w:t> </w:t>
      </w:r>
      <w:r>
        <w:rPr>
          <w:spacing w:val="-3"/>
        </w:rPr>
        <w:t>diverse </w:t>
      </w:r>
      <w:r>
        <w:rPr/>
        <w:t>organisation and the coming year will see the implementation</w:t>
      </w:r>
      <w:r>
        <w:rPr>
          <w:spacing w:val="-17"/>
        </w:rPr>
        <w:t> </w:t>
      </w:r>
      <w:r>
        <w:rPr/>
        <w:t>of</w:t>
      </w:r>
      <w:r>
        <w:rPr>
          <w:spacing w:val="-17"/>
        </w:rPr>
        <w:t> </w:t>
      </w:r>
      <w:r>
        <w:rPr/>
        <w:t>a</w:t>
      </w:r>
      <w:r>
        <w:rPr>
          <w:spacing w:val="-17"/>
        </w:rPr>
        <w:t> </w:t>
      </w:r>
      <w:r>
        <w:rPr/>
        <w:t>Gender</w:t>
      </w:r>
      <w:r>
        <w:rPr>
          <w:spacing w:val="-16"/>
        </w:rPr>
        <w:t> </w:t>
      </w:r>
      <w:r>
        <w:rPr/>
        <w:t>Equity</w:t>
      </w:r>
      <w:r>
        <w:rPr>
          <w:spacing w:val="-17"/>
        </w:rPr>
        <w:t> </w:t>
      </w:r>
      <w:r>
        <w:rPr/>
        <w:t>Action</w:t>
      </w:r>
      <w:r>
        <w:rPr>
          <w:spacing w:val="-17"/>
        </w:rPr>
        <w:t> </w:t>
      </w:r>
      <w:r>
        <w:rPr/>
        <w:t>Plan</w:t>
      </w:r>
      <w:r>
        <w:rPr>
          <w:spacing w:val="-16"/>
        </w:rPr>
        <w:t> </w:t>
      </w:r>
      <w:r>
        <w:rPr/>
        <w:t>to break down the barriers that make it difficult for women to progress. This will require innovative approaches to address behaviours,</w:t>
      </w:r>
      <w:r>
        <w:rPr>
          <w:spacing w:val="-36"/>
        </w:rPr>
        <w:t> </w:t>
      </w:r>
      <w:r>
        <w:rPr/>
        <w:t>practices</w:t>
      </w:r>
    </w:p>
    <w:p>
      <w:pPr>
        <w:pStyle w:val="BodyText"/>
        <w:spacing w:line="249" w:lineRule="auto" w:before="6"/>
        <w:ind w:left="765" w:right="-8"/>
      </w:pPr>
      <w:r>
        <w:rPr/>
        <w:t>and processes, and includes initiatives such as flexible working arrangements for management roles</w:t>
      </w:r>
      <w:r>
        <w:rPr>
          <w:spacing w:val="-24"/>
        </w:rPr>
        <w:t> </w:t>
      </w:r>
      <w:r>
        <w:rPr/>
        <w:t>including</w:t>
      </w:r>
      <w:r>
        <w:rPr>
          <w:spacing w:val="-24"/>
        </w:rPr>
        <w:t> </w:t>
      </w:r>
      <w:r>
        <w:rPr/>
        <w:t>part-time</w:t>
      </w:r>
      <w:r>
        <w:rPr>
          <w:spacing w:val="-24"/>
        </w:rPr>
        <w:t> </w:t>
      </w:r>
      <w:r>
        <w:rPr/>
        <w:t>arrangements,</w:t>
      </w:r>
      <w:r>
        <w:rPr>
          <w:spacing w:val="-23"/>
        </w:rPr>
        <w:t> </w:t>
      </w:r>
      <w:r>
        <w:rPr/>
        <w:t>improving recruitment</w:t>
      </w:r>
      <w:r>
        <w:rPr>
          <w:spacing w:val="-26"/>
        </w:rPr>
        <w:t> </w:t>
      </w:r>
      <w:r>
        <w:rPr/>
        <w:t>practices,</w:t>
      </w:r>
      <w:r>
        <w:rPr>
          <w:spacing w:val="-25"/>
        </w:rPr>
        <w:t> </w:t>
      </w:r>
      <w:r>
        <w:rPr/>
        <w:t>unconscious</w:t>
      </w:r>
      <w:r>
        <w:rPr>
          <w:spacing w:val="-25"/>
        </w:rPr>
        <w:t> </w:t>
      </w:r>
      <w:r>
        <w:rPr/>
        <w:t>bias</w:t>
      </w:r>
      <w:r>
        <w:rPr>
          <w:spacing w:val="-26"/>
        </w:rPr>
        <w:t> </w:t>
      </w:r>
      <w:r>
        <w:rPr/>
        <w:t>training</w:t>
      </w:r>
      <w:r>
        <w:rPr>
          <w:spacing w:val="-25"/>
        </w:rPr>
        <w:t> </w:t>
      </w:r>
      <w:r>
        <w:rPr>
          <w:spacing w:val="-6"/>
        </w:rPr>
        <w:t>for</w:t>
      </w:r>
    </w:p>
    <w:p>
      <w:pPr>
        <w:pStyle w:val="BodyText"/>
        <w:spacing w:before="2"/>
        <w:rPr>
          <w:sz w:val="27"/>
        </w:rPr>
      </w:pPr>
      <w:r>
        <w:rPr/>
        <w:br w:type="column"/>
      </w:r>
      <w:r>
        <w:rPr>
          <w:sz w:val="27"/>
        </w:rPr>
      </w:r>
    </w:p>
    <w:p>
      <w:pPr>
        <w:pStyle w:val="BodyText"/>
        <w:spacing w:line="249" w:lineRule="auto"/>
        <w:ind w:left="385" w:right="136"/>
      </w:pPr>
      <w:r>
        <w:rPr/>
        <w:t>decision-makers,</w:t>
      </w:r>
      <w:r>
        <w:rPr>
          <w:spacing w:val="-22"/>
        </w:rPr>
        <w:t> </w:t>
      </w:r>
      <w:r>
        <w:rPr/>
        <w:t>and</w:t>
      </w:r>
      <w:r>
        <w:rPr>
          <w:spacing w:val="-22"/>
        </w:rPr>
        <w:t> </w:t>
      </w:r>
      <w:r>
        <w:rPr/>
        <w:t>more</w:t>
      </w:r>
      <w:r>
        <w:rPr>
          <w:spacing w:val="-22"/>
        </w:rPr>
        <w:t> </w:t>
      </w:r>
      <w:r>
        <w:rPr/>
        <w:t>rigorous</w:t>
      </w:r>
      <w:r>
        <w:rPr>
          <w:spacing w:val="-22"/>
        </w:rPr>
        <w:t> </w:t>
      </w:r>
      <w:r>
        <w:rPr/>
        <w:t>and</w:t>
      </w:r>
      <w:r>
        <w:rPr>
          <w:spacing w:val="-22"/>
        </w:rPr>
        <w:t> </w:t>
      </w:r>
      <w:r>
        <w:rPr>
          <w:spacing w:val="-4"/>
        </w:rPr>
        <w:t>frequent </w:t>
      </w:r>
      <w:r>
        <w:rPr/>
        <w:t>reporting on gender</w:t>
      </w:r>
      <w:r>
        <w:rPr>
          <w:spacing w:val="-6"/>
        </w:rPr>
        <w:t> </w:t>
      </w:r>
      <w:r>
        <w:rPr/>
        <w:t>metrics.</w:t>
      </w:r>
    </w:p>
    <w:p>
      <w:pPr>
        <w:pStyle w:val="BodyText"/>
        <w:spacing w:before="2"/>
        <w:rPr>
          <w:sz w:val="23"/>
        </w:rPr>
      </w:pPr>
    </w:p>
    <w:p>
      <w:pPr>
        <w:pStyle w:val="BodyText"/>
        <w:spacing w:line="249" w:lineRule="auto"/>
        <w:ind w:left="385" w:right="156"/>
      </w:pPr>
      <w:r>
        <w:rPr/>
        <w:pict>
          <v:group style="position:absolute;margin-left:280.589264pt;margin-top:-52.525826pt;width:561.35pt;height:484.55pt;mso-position-horizontal-relative:page;mso-position-vertical-relative:paragraph;z-index:-704296" coordorigin="5612,-1051" coordsize="11227,9691">
            <v:shape style="position:absolute;left:5611;top:-1051;width:11227;height:9691" type="#_x0000_t75" stroked="false">
              <v:imagedata r:id="rId40" o:title=""/>
            </v:shape>
            <v:shape style="position:absolute;left:20;top:-592;width:1781;height:1762" coordorigin="21,-591" coordsize="1781,1762" path="m12693,6247l12364,5918m12885,6329l12282,5726m13024,6358l12253,5587m13142,6365l12246,5469m13245,6358l12253,5366m13339,6342l12269,5272m13425,6317l12294,5186m13504,6286l12325,5107m13577,6248l12362,5034m13644,6205l12405,4966m13707,6158l12453,4904m13765,6105l12506,4846m13818,6047l12563,4793m13866,5985l12626,4746m13909,5918l12693,4703m13946,5845l12766,4665m13977,5766l12845,4634m14002,5680l12931,4609m14019,5587l13036,4604m14026,5484l13146,4604m14020,5367l13256,4604m13992,5229l13382,4619m13912,5038l13573,4699e" filled="false" stroked="true" strokeweight=".25pt" strokecolor="#bbbcbb">
              <v:path arrowok="t"/>
              <v:stroke dashstyle="solid"/>
            </v:shape>
            <v:shape style="position:absolute;left:175;top:-159;width:895;height:895" coordorigin="176,-158" coordsize="895,895" path="m12116,5119l11877,4880m12260,5153l11843,4736m12366,5149l11847,4629m12452,5124l11871,4544m12526,5088l11908,4470m12589,5041l11955,4407m12643,4984l12012,4353m12687,4918l12078,4309m12720,4840l12156,4276m12737,4747l12248,4258m12735,4635l12361,4261m12660,4449l12546,4336e" filled="false" stroked="true" strokeweight=".25pt" strokecolor="#aebd37">
              <v:path arrowok="t"/>
              <v:stroke dashstyle="solid"/>
            </v:shape>
            <v:shape style="position:absolute;left:16356;top:7666;width:482;height:831" coordorigin="16357,7666" coordsize="482,831" path="m16772,7666l16697,7673,16627,7692,16562,7723,16504,7764,16454,7814,16413,7872,16383,7936,16363,8007,16357,8081,16363,8156,16383,8226,16413,8291,16454,8349,16504,8399,16562,8440,16627,8470,16697,8490,16772,8496,16789,8496,16805,8495,16822,8493,16838,8491,16838,7672,16822,7669,16805,7668,16789,7666,16772,7666xe" filled="true" fillcolor="#ffffff" stroked="false">
              <v:path arrowok="t"/>
              <v:fill type="solid"/>
            </v:shape>
            <v:shape style="position:absolute;left:16356;top:7666;width:482;height:831" coordorigin="16357,7666" coordsize="482,831" path="m16772,7666l16697,7673,16627,7692,16562,7723,16504,7764,16454,7814,16413,7872,16383,7936,16363,8007,16357,8081,16363,8156,16383,8226,16413,8291,16454,8349,16504,8399,16562,8440,16627,8470,16697,8490,16772,8496,16789,8496,16805,8495,16822,8493,16838,8491,16838,7672,16822,7669,16805,7668,16789,7666,16772,7666xe" filled="true" fillcolor="#aebd37" stroked="false">
              <v:path arrowok="t"/>
              <v:fill opacity="13107f" type="solid"/>
            </v:shape>
            <v:shape style="position:absolute;left:16571;top:7995;width:93;height:171" coordorigin="16571,7995" coordsize="93,171" path="m16590,7995l16582,7995,16571,8005,16571,8014,16638,8080,16638,8082,16571,8149,16571,8157,16579,8165,16582,8166,16589,8166,16592,8165,16655,8102,16662,8092,16664,8082,16664,8080,16662,8070,16655,8061,16590,7995xe" filled="true" fillcolor="#000000" stroked="false">
              <v:path arrowok="t"/>
              <v:fill type="solid"/>
            </v:shape>
            <w10:wrap type="none"/>
          </v:group>
        </w:pict>
      </w:r>
      <w:r>
        <w:rPr/>
        <w:t>The</w:t>
      </w:r>
      <w:r>
        <w:rPr>
          <w:spacing w:val="-24"/>
        </w:rPr>
        <w:t> </w:t>
      </w:r>
      <w:r>
        <w:rPr/>
        <w:t>review</w:t>
      </w:r>
      <w:r>
        <w:rPr>
          <w:spacing w:val="-23"/>
        </w:rPr>
        <w:t> </w:t>
      </w:r>
      <w:r>
        <w:rPr/>
        <w:t>provides</w:t>
      </w:r>
      <w:r>
        <w:rPr>
          <w:spacing w:val="-23"/>
        </w:rPr>
        <w:t> </w:t>
      </w:r>
      <w:r>
        <w:rPr/>
        <w:t>opportunities</w:t>
      </w:r>
      <w:r>
        <w:rPr>
          <w:spacing w:val="-23"/>
        </w:rPr>
        <w:t> </w:t>
      </w:r>
      <w:r>
        <w:rPr/>
        <w:t>for</w:t>
      </w:r>
      <w:r>
        <w:rPr>
          <w:spacing w:val="-23"/>
        </w:rPr>
        <w:t> </w:t>
      </w:r>
      <w:r>
        <w:rPr/>
        <w:t>leadership in the public sector with Finance presenting its findings to the Directors General Leadership Council and receiving subsequent requests for briefings</w:t>
      </w:r>
      <w:r>
        <w:rPr>
          <w:spacing w:val="-25"/>
        </w:rPr>
        <w:t> </w:t>
      </w:r>
      <w:r>
        <w:rPr/>
        <w:t>to</w:t>
      </w:r>
      <w:r>
        <w:rPr>
          <w:spacing w:val="-25"/>
        </w:rPr>
        <w:t> </w:t>
      </w:r>
      <w:r>
        <w:rPr/>
        <w:t>other</w:t>
      </w:r>
      <w:r>
        <w:rPr>
          <w:spacing w:val="-25"/>
        </w:rPr>
        <w:t> </w:t>
      </w:r>
      <w:r>
        <w:rPr/>
        <w:t>departments</w:t>
      </w:r>
      <w:r>
        <w:rPr>
          <w:spacing w:val="-25"/>
        </w:rPr>
        <w:t> </w:t>
      </w:r>
      <w:r>
        <w:rPr/>
        <w:t>to</w:t>
      </w:r>
      <w:r>
        <w:rPr>
          <w:spacing w:val="-25"/>
        </w:rPr>
        <w:t> </w:t>
      </w:r>
      <w:r>
        <w:rPr/>
        <w:t>share</w:t>
      </w:r>
      <w:r>
        <w:rPr>
          <w:spacing w:val="-25"/>
        </w:rPr>
        <w:t> </w:t>
      </w:r>
      <w:r>
        <w:rPr/>
        <w:t>learnings.</w:t>
      </w:r>
    </w:p>
    <w:p>
      <w:pPr>
        <w:pStyle w:val="BodyText"/>
        <w:spacing w:before="6"/>
        <w:rPr>
          <w:sz w:val="26"/>
        </w:rPr>
      </w:pPr>
    </w:p>
    <w:p>
      <w:pPr>
        <w:pStyle w:val="Heading4"/>
        <w:spacing w:before="0"/>
        <w:ind w:left="385"/>
      </w:pPr>
      <w:r>
        <w:rPr>
          <w:color w:val="6F2770"/>
        </w:rPr>
        <w:t>Innovative </w:t>
      </w:r>
      <w:r>
        <w:rPr>
          <w:color w:val="6F2770"/>
          <w:spacing w:val="-4"/>
        </w:rPr>
        <w:t>Ways </w:t>
      </w:r>
      <w:r>
        <w:rPr>
          <w:color w:val="6F2770"/>
        </w:rPr>
        <w:t>of</w:t>
      </w:r>
      <w:r>
        <w:rPr>
          <w:color w:val="6F2770"/>
          <w:spacing w:val="-63"/>
        </w:rPr>
        <w:t> </w:t>
      </w:r>
      <w:r>
        <w:rPr>
          <w:color w:val="6F2770"/>
        </w:rPr>
        <w:t>Working</w:t>
      </w:r>
    </w:p>
    <w:p>
      <w:pPr>
        <w:pStyle w:val="BodyText"/>
        <w:spacing w:line="249" w:lineRule="auto" w:before="245"/>
        <w:ind w:left="385" w:right="-8"/>
      </w:pPr>
      <w:r>
        <w:rPr/>
        <w:t>As</w:t>
      </w:r>
      <w:r>
        <w:rPr>
          <w:spacing w:val="-16"/>
        </w:rPr>
        <w:t> </w:t>
      </w:r>
      <w:r>
        <w:rPr/>
        <w:t>part</w:t>
      </w:r>
      <w:r>
        <w:rPr>
          <w:spacing w:val="-15"/>
        </w:rPr>
        <w:t> </w:t>
      </w:r>
      <w:r>
        <w:rPr/>
        <w:t>of</w:t>
      </w:r>
      <w:r>
        <w:rPr>
          <w:spacing w:val="-16"/>
        </w:rPr>
        <w:t> </w:t>
      </w:r>
      <w:r>
        <w:rPr/>
        <w:t>the</w:t>
      </w:r>
      <w:r>
        <w:rPr>
          <w:spacing w:val="-15"/>
        </w:rPr>
        <w:t> </w:t>
      </w:r>
      <w:r>
        <w:rPr/>
        <w:t>Government</w:t>
      </w:r>
      <w:r>
        <w:rPr>
          <w:spacing w:val="-16"/>
        </w:rPr>
        <w:t> </w:t>
      </w:r>
      <w:r>
        <w:rPr/>
        <w:t>Office</w:t>
      </w:r>
      <w:r>
        <w:rPr>
          <w:spacing w:val="-15"/>
        </w:rPr>
        <w:t> </w:t>
      </w:r>
      <w:r>
        <w:rPr/>
        <w:t>Accommodation Reform</w:t>
      </w:r>
      <w:r>
        <w:rPr>
          <w:spacing w:val="-27"/>
        </w:rPr>
        <w:t> </w:t>
      </w:r>
      <w:r>
        <w:rPr/>
        <w:t>Program,</w:t>
      </w:r>
      <w:r>
        <w:rPr>
          <w:spacing w:val="-26"/>
        </w:rPr>
        <w:t> </w:t>
      </w:r>
      <w:r>
        <w:rPr/>
        <w:t>the</w:t>
      </w:r>
      <w:r>
        <w:rPr>
          <w:spacing w:val="-27"/>
        </w:rPr>
        <w:t> </w:t>
      </w:r>
      <w:r>
        <w:rPr/>
        <w:t>Department</w:t>
      </w:r>
      <w:r>
        <w:rPr>
          <w:spacing w:val="-26"/>
        </w:rPr>
        <w:t> </w:t>
      </w:r>
      <w:r>
        <w:rPr/>
        <w:t>has</w:t>
      </w:r>
      <w:r>
        <w:rPr>
          <w:spacing w:val="-26"/>
        </w:rPr>
        <w:t> </w:t>
      </w:r>
      <w:r>
        <w:rPr/>
        <w:t>commenced internal implementation of an activity-based workplace over three floors of the Optima Centre in Osborne Park, with the fit-out scheduled for completion in November</w:t>
      </w:r>
      <w:r>
        <w:rPr>
          <w:spacing w:val="-6"/>
        </w:rPr>
        <w:t> </w:t>
      </w:r>
      <w:r>
        <w:rPr/>
        <w:t>2018.</w:t>
      </w:r>
    </w:p>
    <w:p>
      <w:pPr>
        <w:pStyle w:val="BodyText"/>
        <w:spacing w:before="5"/>
        <w:rPr>
          <w:sz w:val="23"/>
        </w:rPr>
      </w:pPr>
    </w:p>
    <w:p>
      <w:pPr>
        <w:pStyle w:val="BodyText"/>
        <w:spacing w:line="249" w:lineRule="auto"/>
        <w:ind w:left="385" w:right="203"/>
      </w:pPr>
      <w:r>
        <w:rPr/>
        <w:t>This follows a successful trial of a simulated activity-based</w:t>
      </w:r>
      <w:r>
        <w:rPr>
          <w:spacing w:val="-21"/>
        </w:rPr>
        <w:t> </w:t>
      </w:r>
      <w:r>
        <w:rPr/>
        <w:t>working</w:t>
      </w:r>
      <w:r>
        <w:rPr>
          <w:spacing w:val="-21"/>
        </w:rPr>
        <w:t> </w:t>
      </w:r>
      <w:r>
        <w:rPr/>
        <w:t>area</w:t>
      </w:r>
      <w:r>
        <w:rPr>
          <w:spacing w:val="-21"/>
        </w:rPr>
        <w:t> </w:t>
      </w:r>
      <w:r>
        <w:rPr/>
        <w:t>in</w:t>
      </w:r>
      <w:r>
        <w:rPr>
          <w:spacing w:val="-21"/>
        </w:rPr>
        <w:t> </w:t>
      </w:r>
      <w:r>
        <w:rPr/>
        <w:t>the</w:t>
      </w:r>
      <w:r>
        <w:rPr>
          <w:spacing w:val="-21"/>
        </w:rPr>
        <w:t> </w:t>
      </w:r>
      <w:r>
        <w:rPr/>
        <w:t>Optima</w:t>
      </w:r>
      <w:r>
        <w:rPr>
          <w:spacing w:val="-21"/>
        </w:rPr>
        <w:t> </w:t>
      </w:r>
      <w:r>
        <w:rPr>
          <w:spacing w:val="-5"/>
        </w:rPr>
        <w:t>Centre </w:t>
      </w:r>
      <w:r>
        <w:rPr/>
        <w:t>in</w:t>
      </w:r>
      <w:r>
        <w:rPr>
          <w:spacing w:val="-13"/>
        </w:rPr>
        <w:t> </w:t>
      </w:r>
      <w:r>
        <w:rPr/>
        <w:t>2017</w:t>
      </w:r>
      <w:r>
        <w:rPr>
          <w:spacing w:val="-12"/>
        </w:rPr>
        <w:t> </w:t>
      </w:r>
      <w:r>
        <w:rPr/>
        <w:t>and</w:t>
      </w:r>
      <w:r>
        <w:rPr>
          <w:spacing w:val="-12"/>
        </w:rPr>
        <w:t> </w:t>
      </w:r>
      <w:r>
        <w:rPr/>
        <w:t>will</w:t>
      </w:r>
      <w:r>
        <w:rPr>
          <w:spacing w:val="-12"/>
        </w:rPr>
        <w:t> </w:t>
      </w:r>
      <w:r>
        <w:rPr/>
        <w:t>be</w:t>
      </w:r>
      <w:r>
        <w:rPr>
          <w:spacing w:val="-12"/>
        </w:rPr>
        <w:t> </w:t>
      </w:r>
      <w:r>
        <w:rPr/>
        <w:t>the</w:t>
      </w:r>
      <w:r>
        <w:rPr>
          <w:spacing w:val="-12"/>
        </w:rPr>
        <w:t> </w:t>
      </w:r>
      <w:r>
        <w:rPr/>
        <w:t>first</w:t>
      </w:r>
      <w:r>
        <w:rPr>
          <w:spacing w:val="-12"/>
        </w:rPr>
        <w:t> </w:t>
      </w:r>
      <w:r>
        <w:rPr/>
        <w:t>time</w:t>
      </w:r>
      <w:r>
        <w:rPr>
          <w:spacing w:val="-13"/>
        </w:rPr>
        <w:t> </w:t>
      </w:r>
      <w:r>
        <w:rPr/>
        <w:t>a</w:t>
      </w:r>
      <w:r>
        <w:rPr>
          <w:spacing w:val="-12"/>
        </w:rPr>
        <w:t> </w:t>
      </w:r>
      <w:r>
        <w:rPr/>
        <w:t>fit-for-purpose fit-out</w:t>
      </w:r>
      <w:r>
        <w:rPr>
          <w:spacing w:val="-13"/>
        </w:rPr>
        <w:t> </w:t>
      </w:r>
      <w:r>
        <w:rPr/>
        <w:t>of</w:t>
      </w:r>
      <w:r>
        <w:rPr>
          <w:spacing w:val="-12"/>
        </w:rPr>
        <w:t> </w:t>
      </w:r>
      <w:r>
        <w:rPr/>
        <w:t>this</w:t>
      </w:r>
      <w:r>
        <w:rPr>
          <w:spacing w:val="-13"/>
        </w:rPr>
        <w:t> </w:t>
      </w:r>
      <w:r>
        <w:rPr/>
        <w:t>type</w:t>
      </w:r>
      <w:r>
        <w:rPr>
          <w:spacing w:val="-12"/>
        </w:rPr>
        <w:t> </w:t>
      </w:r>
      <w:r>
        <w:rPr/>
        <w:t>will</w:t>
      </w:r>
      <w:r>
        <w:rPr>
          <w:spacing w:val="-13"/>
        </w:rPr>
        <w:t> </w:t>
      </w:r>
      <w:r>
        <w:rPr/>
        <w:t>be</w:t>
      </w:r>
      <w:r>
        <w:rPr>
          <w:spacing w:val="-12"/>
        </w:rPr>
        <w:t> </w:t>
      </w:r>
      <w:r>
        <w:rPr/>
        <w:t>employed</w:t>
      </w:r>
      <w:r>
        <w:rPr>
          <w:spacing w:val="-12"/>
        </w:rPr>
        <w:t> </w:t>
      </w:r>
      <w:r>
        <w:rPr/>
        <w:t>in</w:t>
      </w:r>
      <w:r>
        <w:rPr>
          <w:spacing w:val="-13"/>
        </w:rPr>
        <w:t> </w:t>
      </w:r>
      <w:r>
        <w:rPr/>
        <w:t>a</w:t>
      </w:r>
      <w:r>
        <w:rPr>
          <w:spacing w:val="-12"/>
        </w:rPr>
        <w:t> </w:t>
      </w:r>
      <w:r>
        <w:rPr/>
        <w:t>Western Australian government</w:t>
      </w:r>
      <w:r>
        <w:rPr>
          <w:spacing w:val="-8"/>
        </w:rPr>
        <w:t> </w:t>
      </w:r>
      <w:r>
        <w:rPr>
          <w:spacing w:val="-3"/>
        </w:rPr>
        <w:t>agency.</w:t>
      </w:r>
    </w:p>
    <w:p>
      <w:pPr>
        <w:pStyle w:val="BodyText"/>
        <w:spacing w:before="4"/>
        <w:rPr>
          <w:sz w:val="23"/>
        </w:rPr>
      </w:pPr>
    </w:p>
    <w:p>
      <w:pPr>
        <w:pStyle w:val="BodyText"/>
        <w:spacing w:line="249" w:lineRule="auto"/>
        <w:ind w:left="385" w:right="395"/>
        <w:jc w:val="both"/>
      </w:pPr>
      <w:r>
        <w:rPr/>
        <w:t>It</w:t>
      </w:r>
      <w:r>
        <w:rPr>
          <w:spacing w:val="-23"/>
        </w:rPr>
        <w:t> </w:t>
      </w:r>
      <w:r>
        <w:rPr/>
        <w:t>is</w:t>
      </w:r>
      <w:r>
        <w:rPr>
          <w:spacing w:val="-22"/>
        </w:rPr>
        <w:t> </w:t>
      </w:r>
      <w:r>
        <w:rPr/>
        <w:t>expected</w:t>
      </w:r>
      <w:r>
        <w:rPr>
          <w:spacing w:val="-22"/>
        </w:rPr>
        <w:t> </w:t>
      </w:r>
      <w:r>
        <w:rPr/>
        <w:t>this</w:t>
      </w:r>
      <w:r>
        <w:rPr>
          <w:spacing w:val="-22"/>
        </w:rPr>
        <w:t> </w:t>
      </w:r>
      <w:r>
        <w:rPr/>
        <w:t>initiative</w:t>
      </w:r>
      <w:r>
        <w:rPr>
          <w:spacing w:val="-22"/>
        </w:rPr>
        <w:t> </w:t>
      </w:r>
      <w:r>
        <w:rPr/>
        <w:t>will</w:t>
      </w:r>
      <w:r>
        <w:rPr>
          <w:spacing w:val="-22"/>
        </w:rPr>
        <w:t> </w:t>
      </w:r>
      <w:r>
        <w:rPr/>
        <w:t>encourage</w:t>
      </w:r>
      <w:r>
        <w:rPr>
          <w:spacing w:val="-22"/>
        </w:rPr>
        <w:t> </w:t>
      </w:r>
      <w:r>
        <w:rPr>
          <w:spacing w:val="-4"/>
        </w:rPr>
        <w:t>other </w:t>
      </w:r>
      <w:r>
        <w:rPr/>
        <w:t>agencies</w:t>
      </w:r>
      <w:r>
        <w:rPr>
          <w:spacing w:val="-20"/>
        </w:rPr>
        <w:t> </w:t>
      </w:r>
      <w:r>
        <w:rPr/>
        <w:t>to</w:t>
      </w:r>
      <w:r>
        <w:rPr>
          <w:spacing w:val="-20"/>
        </w:rPr>
        <w:t> </w:t>
      </w:r>
      <w:r>
        <w:rPr/>
        <w:t>follow</w:t>
      </w:r>
      <w:r>
        <w:rPr>
          <w:spacing w:val="-20"/>
        </w:rPr>
        <w:t> </w:t>
      </w:r>
      <w:r>
        <w:rPr/>
        <w:t>the</w:t>
      </w:r>
      <w:r>
        <w:rPr>
          <w:spacing w:val="-20"/>
        </w:rPr>
        <w:t> </w:t>
      </w:r>
      <w:r>
        <w:rPr/>
        <w:t>Department</w:t>
      </w:r>
      <w:r>
        <w:rPr>
          <w:spacing w:val="-20"/>
        </w:rPr>
        <w:t> </w:t>
      </w:r>
      <w:r>
        <w:rPr/>
        <w:t>of</w:t>
      </w:r>
      <w:r>
        <w:rPr>
          <w:spacing w:val="-20"/>
        </w:rPr>
        <w:t> </w:t>
      </w:r>
      <w:r>
        <w:rPr>
          <w:spacing w:val="-5"/>
        </w:rPr>
        <w:t>Finance’s </w:t>
      </w:r>
      <w:r>
        <w:rPr/>
        <w:t>lead</w:t>
      </w:r>
      <w:r>
        <w:rPr>
          <w:spacing w:val="-15"/>
        </w:rPr>
        <w:t> </w:t>
      </w:r>
      <w:r>
        <w:rPr/>
        <w:t>in</w:t>
      </w:r>
      <w:r>
        <w:rPr>
          <w:spacing w:val="-14"/>
        </w:rPr>
        <w:t> </w:t>
      </w:r>
      <w:r>
        <w:rPr/>
        <w:t>developing</w:t>
      </w:r>
      <w:r>
        <w:rPr>
          <w:spacing w:val="-15"/>
        </w:rPr>
        <w:t> </w:t>
      </w:r>
      <w:r>
        <w:rPr/>
        <w:t>new</w:t>
      </w:r>
      <w:r>
        <w:rPr>
          <w:spacing w:val="-14"/>
        </w:rPr>
        <w:t> </w:t>
      </w:r>
      <w:r>
        <w:rPr/>
        <w:t>and</w:t>
      </w:r>
      <w:r>
        <w:rPr>
          <w:spacing w:val="-14"/>
        </w:rPr>
        <w:t> </w:t>
      </w:r>
      <w:r>
        <w:rPr/>
        <w:t>innovative</w:t>
      </w:r>
      <w:r>
        <w:rPr>
          <w:spacing w:val="-15"/>
        </w:rPr>
        <w:t> </w:t>
      </w:r>
      <w:r>
        <w:rPr/>
        <w:t>ways</w:t>
      </w:r>
    </w:p>
    <w:p>
      <w:pPr>
        <w:pStyle w:val="BodyText"/>
        <w:spacing w:line="249" w:lineRule="auto" w:before="3"/>
        <w:ind w:left="385" w:right="136"/>
      </w:pPr>
      <w:r>
        <w:rPr/>
        <w:t>to work while reducing </w:t>
      </w:r>
      <w:r>
        <w:rPr>
          <w:spacing w:val="-4"/>
        </w:rPr>
        <w:t>government’s </w:t>
      </w:r>
      <w:r>
        <w:rPr/>
        <w:t>accommodation footprint.</w:t>
      </w:r>
    </w:p>
    <w:p>
      <w:pPr>
        <w:pStyle w:val="BodyText"/>
        <w:spacing w:before="2"/>
        <w:rPr>
          <w:sz w:val="27"/>
        </w:rPr>
      </w:pPr>
      <w:r>
        <w:rPr/>
        <w:br w:type="column"/>
      </w:r>
      <w:r>
        <w:rPr>
          <w:sz w:val="27"/>
        </w:rPr>
      </w:r>
    </w:p>
    <w:p>
      <w:pPr>
        <w:pStyle w:val="BodyText"/>
        <w:spacing w:line="249" w:lineRule="auto"/>
        <w:ind w:left="385" w:right="1225"/>
      </w:pPr>
      <w:r>
        <w:rPr/>
        <w:t>In addition to space and cost savings, anticipated</w:t>
      </w:r>
      <w:r>
        <w:rPr>
          <w:spacing w:val="-22"/>
        </w:rPr>
        <w:t> </w:t>
      </w:r>
      <w:r>
        <w:rPr/>
        <w:t>benefits</w:t>
      </w:r>
      <w:r>
        <w:rPr>
          <w:spacing w:val="-21"/>
        </w:rPr>
        <w:t> </w:t>
      </w:r>
      <w:r>
        <w:rPr/>
        <w:t>include</w:t>
      </w:r>
      <w:r>
        <w:rPr>
          <w:spacing w:val="-21"/>
        </w:rPr>
        <w:t> </w:t>
      </w:r>
      <w:r>
        <w:rPr/>
        <w:t>a</w:t>
      </w:r>
      <w:r>
        <w:rPr>
          <w:spacing w:val="-21"/>
        </w:rPr>
        <w:t> </w:t>
      </w:r>
      <w:r>
        <w:rPr/>
        <w:t>more</w:t>
      </w:r>
      <w:r>
        <w:rPr>
          <w:spacing w:val="-21"/>
        </w:rPr>
        <w:t> </w:t>
      </w:r>
      <w:r>
        <w:rPr>
          <w:spacing w:val="-3"/>
        </w:rPr>
        <w:t>productive </w:t>
      </w:r>
      <w:r>
        <w:rPr/>
        <w:t>and</w:t>
      </w:r>
      <w:r>
        <w:rPr>
          <w:spacing w:val="-14"/>
        </w:rPr>
        <w:t> </w:t>
      </w:r>
      <w:r>
        <w:rPr/>
        <w:t>satisfying</w:t>
      </w:r>
      <w:r>
        <w:rPr>
          <w:spacing w:val="-13"/>
        </w:rPr>
        <w:t> </w:t>
      </w:r>
      <w:r>
        <w:rPr/>
        <w:t>workplace</w:t>
      </w:r>
      <w:r>
        <w:rPr>
          <w:spacing w:val="-14"/>
        </w:rPr>
        <w:t> </w:t>
      </w:r>
      <w:r>
        <w:rPr/>
        <w:t>for</w:t>
      </w:r>
      <w:r>
        <w:rPr>
          <w:spacing w:val="-13"/>
        </w:rPr>
        <w:t> </w:t>
      </w:r>
      <w:r>
        <w:rPr/>
        <w:t>staff,</w:t>
      </w:r>
      <w:r>
        <w:rPr>
          <w:spacing w:val="-13"/>
        </w:rPr>
        <w:t> </w:t>
      </w:r>
      <w:r>
        <w:rPr/>
        <w:t>improved</w:t>
      </w:r>
    </w:p>
    <w:p>
      <w:pPr>
        <w:pStyle w:val="BodyText"/>
        <w:spacing w:line="249" w:lineRule="auto" w:before="3"/>
        <w:ind w:left="385" w:right="831"/>
      </w:pPr>
      <w:r>
        <w:rPr/>
        <w:t>collaboration</w:t>
      </w:r>
      <w:r>
        <w:rPr>
          <w:spacing w:val="-29"/>
        </w:rPr>
        <w:t> </w:t>
      </w:r>
      <w:r>
        <w:rPr/>
        <w:t>between</w:t>
      </w:r>
      <w:r>
        <w:rPr>
          <w:spacing w:val="-29"/>
        </w:rPr>
        <w:t> </w:t>
      </w:r>
      <w:r>
        <w:rPr/>
        <w:t>staff</w:t>
      </w:r>
      <w:r>
        <w:rPr>
          <w:spacing w:val="-29"/>
        </w:rPr>
        <w:t> </w:t>
      </w:r>
      <w:r>
        <w:rPr/>
        <w:t>from</w:t>
      </w:r>
      <w:r>
        <w:rPr>
          <w:spacing w:val="-29"/>
        </w:rPr>
        <w:t> </w:t>
      </w:r>
      <w:r>
        <w:rPr/>
        <w:t>different</w:t>
      </w:r>
      <w:r>
        <w:rPr>
          <w:spacing w:val="-29"/>
        </w:rPr>
        <w:t> </w:t>
      </w:r>
      <w:r>
        <w:rPr>
          <w:spacing w:val="-3"/>
        </w:rPr>
        <w:t>business </w:t>
      </w:r>
      <w:r>
        <w:rPr/>
        <w:t>units and the consolidation of approximately half of the </w:t>
      </w:r>
      <w:r>
        <w:rPr>
          <w:spacing w:val="-3"/>
        </w:rPr>
        <w:t>Department’s </w:t>
      </w:r>
      <w:r>
        <w:rPr/>
        <w:t>staff into one</w:t>
      </w:r>
      <w:r>
        <w:rPr>
          <w:spacing w:val="-27"/>
        </w:rPr>
        <w:t> </w:t>
      </w:r>
      <w:r>
        <w:rPr/>
        <w:t>building.</w:t>
      </w:r>
    </w:p>
    <w:p>
      <w:pPr>
        <w:pStyle w:val="BodyText"/>
        <w:spacing w:line="249" w:lineRule="auto" w:before="3"/>
        <w:ind w:left="385" w:right="1266"/>
      </w:pPr>
      <w:r>
        <w:rPr/>
        <w:t>The new fit-out will progress incrementally with</w:t>
      </w:r>
      <w:r>
        <w:rPr>
          <w:spacing w:val="-9"/>
        </w:rPr>
        <w:t> </w:t>
      </w:r>
      <w:r>
        <w:rPr/>
        <w:t>the</w:t>
      </w:r>
      <w:r>
        <w:rPr>
          <w:spacing w:val="-9"/>
        </w:rPr>
        <w:t> </w:t>
      </w:r>
      <w:r>
        <w:rPr/>
        <w:t>sixth</w:t>
      </w:r>
      <w:r>
        <w:rPr>
          <w:spacing w:val="-9"/>
        </w:rPr>
        <w:t> </w:t>
      </w:r>
      <w:r>
        <w:rPr/>
        <w:t>floor</w:t>
      </w:r>
      <w:r>
        <w:rPr>
          <w:spacing w:val="-8"/>
        </w:rPr>
        <w:t> </w:t>
      </w:r>
      <w:r>
        <w:rPr/>
        <w:t>expected</w:t>
      </w:r>
      <w:r>
        <w:rPr>
          <w:spacing w:val="-9"/>
        </w:rPr>
        <w:t> </w:t>
      </w:r>
      <w:r>
        <w:rPr/>
        <w:t>to</w:t>
      </w:r>
      <w:r>
        <w:rPr>
          <w:spacing w:val="-9"/>
        </w:rPr>
        <w:t> </w:t>
      </w:r>
      <w:r>
        <w:rPr/>
        <w:t>be</w:t>
      </w:r>
      <w:r>
        <w:rPr>
          <w:spacing w:val="-9"/>
        </w:rPr>
        <w:t> </w:t>
      </w:r>
      <w:r>
        <w:rPr/>
        <w:t>completed in</w:t>
      </w:r>
      <w:r>
        <w:rPr>
          <w:spacing w:val="-14"/>
        </w:rPr>
        <w:t> </w:t>
      </w:r>
      <w:r>
        <w:rPr/>
        <w:t>July</w:t>
      </w:r>
      <w:r>
        <w:rPr>
          <w:spacing w:val="-13"/>
        </w:rPr>
        <w:t> </w:t>
      </w:r>
      <w:r>
        <w:rPr/>
        <w:t>2018,</w:t>
      </w:r>
      <w:r>
        <w:rPr>
          <w:spacing w:val="-14"/>
        </w:rPr>
        <w:t> </w:t>
      </w:r>
      <w:r>
        <w:rPr/>
        <w:t>the</w:t>
      </w:r>
      <w:r>
        <w:rPr>
          <w:spacing w:val="-13"/>
        </w:rPr>
        <w:t> </w:t>
      </w:r>
      <w:r>
        <w:rPr/>
        <w:t>fifth</w:t>
      </w:r>
      <w:r>
        <w:rPr>
          <w:spacing w:val="-14"/>
        </w:rPr>
        <w:t> </w:t>
      </w:r>
      <w:r>
        <w:rPr/>
        <w:t>floor</w:t>
      </w:r>
      <w:r>
        <w:rPr>
          <w:spacing w:val="-13"/>
        </w:rPr>
        <w:t> </w:t>
      </w:r>
      <w:r>
        <w:rPr/>
        <w:t>in</w:t>
      </w:r>
      <w:r>
        <w:rPr>
          <w:spacing w:val="-14"/>
        </w:rPr>
        <w:t> </w:t>
      </w:r>
      <w:r>
        <w:rPr/>
        <w:t>September</w:t>
      </w:r>
      <w:r>
        <w:rPr>
          <w:spacing w:val="-13"/>
        </w:rPr>
        <w:t> </w:t>
      </w:r>
      <w:r>
        <w:rPr>
          <w:spacing w:val="-5"/>
        </w:rPr>
        <w:t>2018 </w:t>
      </w:r>
      <w:r>
        <w:rPr/>
        <w:t>and the fourth floor in November</w:t>
      </w:r>
      <w:r>
        <w:rPr>
          <w:spacing w:val="-32"/>
        </w:rPr>
        <w:t> </w:t>
      </w:r>
      <w:r>
        <w:rPr/>
        <w:t>2018.</w:t>
      </w:r>
    </w:p>
    <w:p>
      <w:pPr>
        <w:pStyle w:val="BodyText"/>
        <w:spacing w:before="3"/>
        <w:rPr>
          <w:sz w:val="23"/>
        </w:rPr>
      </w:pPr>
    </w:p>
    <w:p>
      <w:pPr>
        <w:pStyle w:val="BodyText"/>
        <w:spacing w:line="249" w:lineRule="auto"/>
        <w:ind w:left="385" w:right="811"/>
      </w:pPr>
      <w:r>
        <w:rPr/>
        <w:t>The </w:t>
      </w:r>
      <w:r>
        <w:rPr>
          <w:spacing w:val="-3"/>
        </w:rPr>
        <w:t>Department’s </w:t>
      </w:r>
      <w:r>
        <w:rPr>
          <w:b/>
        </w:rPr>
        <w:t>Corporate Services </w:t>
      </w:r>
      <w:r>
        <w:rPr/>
        <w:t>staff will relocate to the Optima Centre from its current location at 140 William Street in August 2018, further reducing the overall size and cost of the </w:t>
      </w:r>
      <w:r>
        <w:rPr>
          <w:spacing w:val="-3"/>
        </w:rPr>
        <w:t>Department’s </w:t>
      </w:r>
      <w:r>
        <w:rPr/>
        <w:t>government office accommodation.</w:t>
      </w:r>
    </w:p>
    <w:p>
      <w:pPr>
        <w:spacing w:after="0" w:line="249" w:lineRule="auto"/>
        <w:sectPr>
          <w:type w:val="continuous"/>
          <w:pgSz w:w="16840" w:h="11910" w:orient="landscape"/>
          <w:pgMar w:top="1100" w:bottom="280" w:left="0" w:right="0"/>
          <w:cols w:num="3" w:equalWidth="0">
            <w:col w:w="5585" w:space="40"/>
            <w:col w:w="5205" w:space="39"/>
            <w:col w:w="5971"/>
          </w:cols>
        </w:sectPr>
      </w:pPr>
    </w:p>
    <w:p>
      <w:pPr>
        <w:pStyle w:val="BodyText"/>
        <w:rPr>
          <w:sz w:val="20"/>
        </w:rPr>
      </w:pPr>
    </w:p>
    <w:p>
      <w:pPr>
        <w:pStyle w:val="BodyText"/>
        <w:rPr>
          <w:sz w:val="20"/>
        </w:rPr>
      </w:pPr>
    </w:p>
    <w:p>
      <w:pPr>
        <w:pStyle w:val="BodyText"/>
        <w:rPr>
          <w:sz w:val="20"/>
        </w:rPr>
      </w:pPr>
    </w:p>
    <w:p>
      <w:pPr>
        <w:pStyle w:val="BodyText"/>
        <w:spacing w:before="1"/>
        <w:rPr>
          <w:sz w:val="21"/>
        </w:rPr>
      </w:pPr>
    </w:p>
    <w:p>
      <w:pPr>
        <w:tabs>
          <w:tab w:pos="1227" w:val="left" w:leader="none"/>
          <w:tab w:pos="5951" w:val="left" w:leader="none"/>
          <w:tab w:pos="16072" w:val="left" w:leader="none"/>
        </w:tabs>
        <w:spacing w:before="0"/>
        <w:ind w:left="765" w:right="0" w:firstLine="0"/>
        <w:jc w:val="left"/>
        <w:rPr>
          <w:b/>
          <w:sz w:val="20"/>
        </w:rPr>
      </w:pPr>
      <w:r>
        <w:rPr/>
        <w:pict>
          <v:group style="position:absolute;margin-left:0pt;margin-top:-14.855018pt;width:24.1pt;height:41.55pt;mso-position-horizontal-relative:page;mso-position-vertical-relative:paragraph;z-index:8224"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ffffff" stroked="false">
              <v:path arrowok="t"/>
              <v:fill type="solid"/>
            </v:shape>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b/>
          <w:color w:val="6F2770"/>
          <w:sz w:val="20"/>
        </w:rPr>
        <w:t>30</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pStyle w:val="BodyText"/>
        <w:rPr>
          <w:sz w:val="20"/>
        </w:rPr>
      </w:pPr>
      <w:bookmarkStart w:name="_bookmark14" w:id="15"/>
      <w:bookmarkEnd w:id="15"/>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3"/>
        <w:rPr>
          <w:b/>
          <w:sz w:val="19"/>
        </w:rPr>
      </w:pPr>
    </w:p>
    <w:p>
      <w:pPr>
        <w:pStyle w:val="Heading1"/>
      </w:pPr>
      <w:r>
        <w:rPr/>
        <w:pict>
          <v:group style="position:absolute;margin-left:120.271004pt;margin-top:-67.374214pt;width:721.65pt;height:42.55pt;mso-position-horizontal-relative:page;mso-position-vertical-relative:paragraph;z-index:8512" coordorigin="2405,-1347" coordsize="14433,851">
            <v:rect style="position:absolute;left:14432;top:-1348;width:2406;height:851" filled="true" fillcolor="#bba1bc" stroked="false">
              <v:fill type="solid"/>
            </v:rect>
            <v:shape style="position:absolute;left:14432;top:-1348;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8;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8;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8;width:2406;height:851" type="#_x0000_t202" filled="true" fillcolor="#d4d896"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8;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Performance Management</w:t>
      </w:r>
      <w:r>
        <w:rPr>
          <w:color w:val="6F2770"/>
          <w:spacing w:val="-69"/>
        </w:rPr>
        <w:t> </w:t>
      </w:r>
      <w:r>
        <w:rPr>
          <w:color w:val="6F2770"/>
        </w:rPr>
        <w:t>Framework</w:t>
      </w:r>
    </w:p>
    <w:p>
      <w:pPr>
        <w:pStyle w:val="Heading4"/>
        <w:spacing w:before="452"/>
      </w:pPr>
      <w:r>
        <w:rPr/>
        <w:pict>
          <v:shape style="position:absolute;margin-left:318.897614pt;margin-top:22.631903pt;width:484.35pt;height:379.55pt;mso-position-horizontal-relative:page;mso-position-vertical-relative:paragraph;z-index:8560"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618"/>
                    <w:gridCol w:w="2636"/>
                    <w:gridCol w:w="3401"/>
                  </w:tblGrid>
                  <w:tr>
                    <w:trPr>
                      <w:trHeight w:val="307" w:hRule="atLeast"/>
                    </w:trPr>
                    <w:tc>
                      <w:tcPr>
                        <w:tcW w:w="3618" w:type="dxa"/>
                      </w:tcPr>
                      <w:p>
                        <w:pPr>
                          <w:pStyle w:val="TableParagraph"/>
                          <w:spacing w:before="25"/>
                          <w:ind w:left="113"/>
                          <w:rPr>
                            <w:b/>
                            <w:sz w:val="22"/>
                          </w:rPr>
                        </w:pPr>
                        <w:r>
                          <w:rPr>
                            <w:b/>
                            <w:sz w:val="22"/>
                          </w:rPr>
                          <w:t>Government Goals</w:t>
                        </w:r>
                      </w:p>
                    </w:tc>
                    <w:tc>
                      <w:tcPr>
                        <w:tcW w:w="2636" w:type="dxa"/>
                      </w:tcPr>
                      <w:p>
                        <w:pPr>
                          <w:pStyle w:val="TableParagraph"/>
                          <w:spacing w:before="25"/>
                          <w:ind w:left="113"/>
                          <w:rPr>
                            <w:b/>
                            <w:sz w:val="22"/>
                          </w:rPr>
                        </w:pPr>
                        <w:r>
                          <w:rPr>
                            <w:b/>
                            <w:sz w:val="22"/>
                          </w:rPr>
                          <w:t>Desired Outcomes</w:t>
                        </w:r>
                      </w:p>
                    </w:tc>
                    <w:tc>
                      <w:tcPr>
                        <w:tcW w:w="3401" w:type="dxa"/>
                      </w:tcPr>
                      <w:p>
                        <w:pPr>
                          <w:pStyle w:val="TableParagraph"/>
                          <w:spacing w:before="25"/>
                          <w:ind w:left="113"/>
                          <w:rPr>
                            <w:b/>
                            <w:sz w:val="22"/>
                          </w:rPr>
                        </w:pPr>
                        <w:r>
                          <w:rPr>
                            <w:b/>
                            <w:sz w:val="22"/>
                          </w:rPr>
                          <w:t>Services</w:t>
                        </w:r>
                      </w:p>
                    </w:tc>
                  </w:tr>
                  <w:tr>
                    <w:trPr>
                      <w:trHeight w:val="307" w:hRule="atLeast"/>
                    </w:trPr>
                    <w:tc>
                      <w:tcPr>
                        <w:tcW w:w="9655" w:type="dxa"/>
                        <w:gridSpan w:val="3"/>
                        <w:shd w:val="clear" w:color="auto" w:fill="783A79"/>
                      </w:tcPr>
                      <w:p>
                        <w:pPr>
                          <w:pStyle w:val="TableParagraph"/>
                          <w:spacing w:before="25"/>
                          <w:ind w:left="113"/>
                          <w:rPr>
                            <w:b/>
                            <w:sz w:val="22"/>
                          </w:rPr>
                        </w:pPr>
                        <w:r>
                          <w:rPr>
                            <w:b/>
                            <w:color w:val="FFFFFF"/>
                            <w:sz w:val="22"/>
                          </w:rPr>
                          <w:t>Sustainable Finances</w:t>
                        </w:r>
                      </w:p>
                    </w:tc>
                  </w:tr>
                  <w:tr>
                    <w:trPr>
                      <w:trHeight w:val="281" w:hRule="atLeast"/>
                    </w:trPr>
                    <w:tc>
                      <w:tcPr>
                        <w:tcW w:w="3618" w:type="dxa"/>
                        <w:tcBorders>
                          <w:bottom w:val="nil"/>
                        </w:tcBorders>
                        <w:shd w:val="clear" w:color="auto" w:fill="F5F4F4"/>
                      </w:tcPr>
                      <w:p>
                        <w:pPr>
                          <w:pStyle w:val="TableParagraph"/>
                          <w:spacing w:line="236" w:lineRule="exact" w:before="25"/>
                          <w:ind w:left="113"/>
                          <w:rPr>
                            <w:sz w:val="22"/>
                          </w:rPr>
                        </w:pPr>
                        <w:r>
                          <w:rPr>
                            <w:sz w:val="22"/>
                          </w:rPr>
                          <w:t>Responsible financial management</w:t>
                        </w:r>
                      </w:p>
                    </w:tc>
                    <w:tc>
                      <w:tcPr>
                        <w:tcW w:w="2636" w:type="dxa"/>
                        <w:tcBorders>
                          <w:bottom w:val="nil"/>
                        </w:tcBorders>
                        <w:shd w:val="clear" w:color="auto" w:fill="E4E7DB"/>
                      </w:tcPr>
                      <w:p>
                        <w:pPr>
                          <w:pStyle w:val="TableParagraph"/>
                          <w:spacing w:line="236" w:lineRule="exact" w:before="25"/>
                          <w:ind w:left="113"/>
                          <w:rPr>
                            <w:sz w:val="22"/>
                          </w:rPr>
                        </w:pPr>
                        <w:r>
                          <w:rPr>
                            <w:sz w:val="22"/>
                          </w:rPr>
                          <w:t>Due</w:t>
                        </w:r>
                        <w:r>
                          <w:rPr>
                            <w:spacing w:val="-25"/>
                            <w:sz w:val="22"/>
                          </w:rPr>
                          <w:t> </w:t>
                        </w:r>
                        <w:r>
                          <w:rPr>
                            <w:sz w:val="22"/>
                          </w:rPr>
                          <w:t>and</w:t>
                        </w:r>
                        <w:r>
                          <w:rPr>
                            <w:spacing w:val="-24"/>
                            <w:sz w:val="22"/>
                          </w:rPr>
                          <w:t> </w:t>
                        </w:r>
                        <w:r>
                          <w:rPr>
                            <w:sz w:val="22"/>
                          </w:rPr>
                          <w:t>payable</w:t>
                        </w:r>
                        <w:r>
                          <w:rPr>
                            <w:spacing w:val="-25"/>
                            <w:sz w:val="22"/>
                          </w:rPr>
                          <w:t> </w:t>
                        </w:r>
                        <w:r>
                          <w:rPr>
                            <w:sz w:val="22"/>
                          </w:rPr>
                          <w:t>revenue</w:t>
                        </w:r>
                      </w:p>
                    </w:tc>
                    <w:tc>
                      <w:tcPr>
                        <w:tcW w:w="3401" w:type="dxa"/>
                        <w:tcBorders>
                          <w:bottom w:val="nil"/>
                        </w:tcBorders>
                        <w:shd w:val="clear" w:color="auto" w:fill="E4E7DB"/>
                      </w:tcPr>
                      <w:p>
                        <w:pPr>
                          <w:pStyle w:val="TableParagraph"/>
                          <w:spacing w:line="236" w:lineRule="exact" w:before="25"/>
                          <w:ind w:left="113"/>
                          <w:rPr>
                            <w:sz w:val="22"/>
                          </w:rPr>
                        </w:pPr>
                        <w:r>
                          <w:rPr>
                            <w:sz w:val="22"/>
                          </w:rPr>
                          <w:t>Revenue assessment and</w:t>
                        </w:r>
                      </w:p>
                    </w:tc>
                  </w:tr>
                  <w:tr>
                    <w:trPr>
                      <w:trHeight w:val="263" w:hRule="atLeast"/>
                    </w:trPr>
                    <w:tc>
                      <w:tcPr>
                        <w:tcW w:w="3618" w:type="dxa"/>
                        <w:tcBorders>
                          <w:top w:val="nil"/>
                          <w:bottom w:val="nil"/>
                        </w:tcBorders>
                        <w:shd w:val="clear" w:color="auto" w:fill="F5F4F4"/>
                      </w:tcPr>
                      <w:p>
                        <w:pPr>
                          <w:pStyle w:val="TableParagraph"/>
                          <w:spacing w:line="236" w:lineRule="exact" w:before="8"/>
                          <w:ind w:left="113"/>
                          <w:rPr>
                            <w:sz w:val="22"/>
                          </w:rPr>
                        </w:pPr>
                        <w:r>
                          <w:rPr>
                            <w:sz w:val="22"/>
                          </w:rPr>
                          <w:t>and better service delivery.</w:t>
                        </w:r>
                      </w:p>
                    </w:tc>
                    <w:tc>
                      <w:tcPr>
                        <w:tcW w:w="2636" w:type="dxa"/>
                        <w:tcBorders>
                          <w:top w:val="nil"/>
                          <w:bottom w:val="nil"/>
                        </w:tcBorders>
                        <w:shd w:val="clear" w:color="auto" w:fill="E4E7DB"/>
                      </w:tcPr>
                      <w:p>
                        <w:pPr>
                          <w:pStyle w:val="TableParagraph"/>
                          <w:spacing w:line="236" w:lineRule="exact" w:before="8"/>
                          <w:ind w:left="113"/>
                          <w:rPr>
                            <w:sz w:val="22"/>
                          </w:rPr>
                        </w:pPr>
                        <w:r>
                          <w:rPr>
                            <w:sz w:val="22"/>
                          </w:rPr>
                          <w:t>is collected and eligible</w:t>
                        </w:r>
                      </w:p>
                    </w:tc>
                    <w:tc>
                      <w:tcPr>
                        <w:tcW w:w="3401" w:type="dxa"/>
                        <w:tcBorders>
                          <w:top w:val="nil"/>
                          <w:bottom w:val="nil"/>
                        </w:tcBorders>
                        <w:shd w:val="clear" w:color="auto" w:fill="E4E7DB"/>
                      </w:tcPr>
                      <w:p>
                        <w:pPr>
                          <w:pStyle w:val="TableParagraph"/>
                          <w:spacing w:line="236" w:lineRule="exact" w:before="8"/>
                          <w:ind w:left="113"/>
                          <w:rPr>
                            <w:sz w:val="22"/>
                          </w:rPr>
                        </w:pPr>
                        <w:r>
                          <w:rPr>
                            <w:sz w:val="22"/>
                          </w:rPr>
                          <w:t>collection, and grants and</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E4E7DB"/>
                      </w:tcPr>
                      <w:p>
                        <w:pPr>
                          <w:pStyle w:val="TableParagraph"/>
                          <w:spacing w:line="236" w:lineRule="exact" w:before="8"/>
                          <w:ind w:left="113"/>
                          <w:rPr>
                            <w:sz w:val="22"/>
                          </w:rPr>
                        </w:pPr>
                        <w:r>
                          <w:rPr>
                            <w:sz w:val="22"/>
                          </w:rPr>
                          <w:t>grants, subsidies and</w:t>
                        </w:r>
                      </w:p>
                    </w:tc>
                    <w:tc>
                      <w:tcPr>
                        <w:tcW w:w="3401" w:type="dxa"/>
                        <w:tcBorders>
                          <w:top w:val="nil"/>
                          <w:bottom w:val="nil"/>
                        </w:tcBorders>
                        <w:shd w:val="clear" w:color="auto" w:fill="E4E7DB"/>
                      </w:tcPr>
                      <w:p>
                        <w:pPr>
                          <w:pStyle w:val="TableParagraph"/>
                          <w:spacing w:line="236" w:lineRule="exact" w:before="8"/>
                          <w:ind w:left="113"/>
                          <w:rPr>
                            <w:sz w:val="22"/>
                          </w:rPr>
                        </w:pPr>
                        <w:r>
                          <w:rPr>
                            <w:sz w:val="22"/>
                          </w:rPr>
                          <w:t>subsidies administration.</w:t>
                        </w:r>
                      </w:p>
                    </w:tc>
                  </w:tr>
                  <w:tr>
                    <w:trPr>
                      <w:trHeight w:val="553" w:hRule="atLeast"/>
                    </w:trPr>
                    <w:tc>
                      <w:tcPr>
                        <w:tcW w:w="3618" w:type="dxa"/>
                        <w:tcBorders>
                          <w:top w:val="nil"/>
                          <w:bottom w:val="nil"/>
                        </w:tcBorders>
                        <w:shd w:val="clear" w:color="auto" w:fill="F5F4F4"/>
                      </w:tcPr>
                      <w:p>
                        <w:pPr>
                          <w:pStyle w:val="TableParagraph"/>
                          <w:spacing w:before="0"/>
                          <w:rPr>
                            <w:rFonts w:ascii="Times New Roman"/>
                            <w:sz w:val="22"/>
                          </w:rPr>
                        </w:pPr>
                      </w:p>
                    </w:tc>
                    <w:tc>
                      <w:tcPr>
                        <w:tcW w:w="2636" w:type="dxa"/>
                        <w:tcBorders>
                          <w:top w:val="nil"/>
                        </w:tcBorders>
                        <w:shd w:val="clear" w:color="auto" w:fill="E4E7DB"/>
                      </w:tcPr>
                      <w:p>
                        <w:pPr>
                          <w:pStyle w:val="TableParagraph"/>
                          <w:spacing w:before="8"/>
                          <w:ind w:left="113"/>
                          <w:rPr>
                            <w:sz w:val="22"/>
                          </w:rPr>
                        </w:pPr>
                        <w:r>
                          <w:rPr>
                            <w:sz w:val="22"/>
                          </w:rPr>
                          <w:t>rebates paid.</w:t>
                        </w:r>
                      </w:p>
                    </w:tc>
                    <w:tc>
                      <w:tcPr>
                        <w:tcW w:w="3401" w:type="dxa"/>
                        <w:tcBorders>
                          <w:top w:val="nil"/>
                        </w:tcBorders>
                        <w:shd w:val="clear" w:color="auto" w:fill="E4E7DB"/>
                      </w:tcPr>
                      <w:p>
                        <w:pPr>
                          <w:pStyle w:val="TableParagraph"/>
                          <w:spacing w:before="0"/>
                          <w:rPr>
                            <w:rFonts w:ascii="Times New Roman"/>
                            <w:sz w:val="22"/>
                          </w:rPr>
                        </w:pPr>
                      </w:p>
                    </w:tc>
                  </w:tr>
                  <w:tr>
                    <w:trPr>
                      <w:trHeight w:val="281" w:hRule="atLeast"/>
                    </w:trPr>
                    <w:tc>
                      <w:tcPr>
                        <w:tcW w:w="3618" w:type="dxa"/>
                        <w:tcBorders>
                          <w:top w:val="nil"/>
                          <w:bottom w:val="nil"/>
                        </w:tcBorders>
                        <w:shd w:val="clear" w:color="auto" w:fill="F5F4F4"/>
                      </w:tcPr>
                      <w:p>
                        <w:pPr>
                          <w:pStyle w:val="TableParagraph"/>
                          <w:spacing w:before="0"/>
                          <w:rPr>
                            <w:rFonts w:ascii="Times New Roman"/>
                            <w:sz w:val="20"/>
                          </w:rPr>
                        </w:pPr>
                      </w:p>
                    </w:tc>
                    <w:tc>
                      <w:tcPr>
                        <w:tcW w:w="2636" w:type="dxa"/>
                        <w:tcBorders>
                          <w:bottom w:val="nil"/>
                        </w:tcBorders>
                        <w:shd w:val="clear" w:color="auto" w:fill="D5CED6"/>
                      </w:tcPr>
                      <w:p>
                        <w:pPr>
                          <w:pStyle w:val="TableParagraph"/>
                          <w:spacing w:line="236" w:lineRule="exact" w:before="25"/>
                          <w:ind w:left="113"/>
                          <w:rPr>
                            <w:sz w:val="22"/>
                          </w:rPr>
                        </w:pPr>
                        <w:r>
                          <w:rPr>
                            <w:sz w:val="22"/>
                          </w:rPr>
                          <w:t>Value-for-money</w:t>
                        </w:r>
                      </w:p>
                    </w:tc>
                    <w:tc>
                      <w:tcPr>
                        <w:tcW w:w="3401" w:type="dxa"/>
                        <w:tcBorders>
                          <w:bottom w:val="nil"/>
                        </w:tcBorders>
                        <w:shd w:val="clear" w:color="auto" w:fill="D5CED6"/>
                      </w:tcPr>
                      <w:p>
                        <w:pPr>
                          <w:pStyle w:val="TableParagraph"/>
                          <w:spacing w:line="236" w:lineRule="exact" w:before="25"/>
                          <w:ind w:left="113"/>
                          <w:rPr>
                            <w:sz w:val="22"/>
                          </w:rPr>
                        </w:pPr>
                        <w:r>
                          <w:rPr>
                            <w:sz w:val="22"/>
                          </w:rPr>
                          <w:t>Development and management</w:t>
                        </w:r>
                      </w:p>
                    </w:tc>
                  </w:tr>
                  <w:tr>
                    <w:trPr>
                      <w:trHeight w:val="264"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D5CED6"/>
                      </w:tcPr>
                      <w:p>
                        <w:pPr>
                          <w:pStyle w:val="TableParagraph"/>
                          <w:spacing w:line="236" w:lineRule="exact" w:before="8"/>
                          <w:ind w:left="113"/>
                          <w:rPr>
                            <w:sz w:val="22"/>
                          </w:rPr>
                        </w:pPr>
                        <w:r>
                          <w:rPr>
                            <w:sz w:val="22"/>
                          </w:rPr>
                          <w:t>from public sector</w:t>
                        </w:r>
                      </w:p>
                    </w:tc>
                    <w:tc>
                      <w:tcPr>
                        <w:tcW w:w="3401" w:type="dxa"/>
                        <w:tcBorders>
                          <w:top w:val="nil"/>
                          <w:bottom w:val="nil"/>
                        </w:tcBorders>
                        <w:shd w:val="clear" w:color="auto" w:fill="D5CED6"/>
                      </w:tcPr>
                      <w:p>
                        <w:pPr>
                          <w:pStyle w:val="TableParagraph"/>
                          <w:spacing w:line="236" w:lineRule="exact" w:before="8"/>
                          <w:ind w:left="113"/>
                          <w:rPr>
                            <w:sz w:val="22"/>
                          </w:rPr>
                        </w:pPr>
                        <w:r>
                          <w:rPr>
                            <w:sz w:val="22"/>
                          </w:rPr>
                          <w:t>of Common Use Contract</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D5CED6"/>
                      </w:tcPr>
                      <w:p>
                        <w:pPr>
                          <w:pStyle w:val="TableParagraph"/>
                          <w:spacing w:line="236" w:lineRule="exact" w:before="8"/>
                          <w:ind w:left="113"/>
                          <w:rPr>
                            <w:sz w:val="22"/>
                          </w:rPr>
                        </w:pPr>
                        <w:r>
                          <w:rPr>
                            <w:sz w:val="22"/>
                          </w:rPr>
                          <w:t>procurement.</w:t>
                        </w:r>
                      </w:p>
                    </w:tc>
                    <w:tc>
                      <w:tcPr>
                        <w:tcW w:w="3401" w:type="dxa"/>
                        <w:tcBorders>
                          <w:top w:val="nil"/>
                          <w:bottom w:val="nil"/>
                        </w:tcBorders>
                        <w:shd w:val="clear" w:color="auto" w:fill="D5CED6"/>
                      </w:tcPr>
                      <w:p>
                        <w:pPr>
                          <w:pStyle w:val="TableParagraph"/>
                          <w:spacing w:line="236" w:lineRule="exact" w:before="8"/>
                          <w:ind w:left="113"/>
                          <w:rPr>
                            <w:sz w:val="22"/>
                          </w:rPr>
                        </w:pPr>
                        <w:r>
                          <w:rPr>
                            <w:sz w:val="22"/>
                          </w:rPr>
                          <w:t>Arrangements,</w:t>
                        </w:r>
                        <w:r>
                          <w:rPr>
                            <w:spacing w:val="-35"/>
                            <w:sz w:val="22"/>
                          </w:rPr>
                          <w:t> </w:t>
                        </w:r>
                        <w:r>
                          <w:rPr>
                            <w:sz w:val="22"/>
                          </w:rPr>
                          <w:t>State</w:t>
                        </w:r>
                        <w:r>
                          <w:rPr>
                            <w:spacing w:val="-34"/>
                            <w:sz w:val="22"/>
                          </w:rPr>
                          <w:t> </w:t>
                        </w:r>
                        <w:r>
                          <w:rPr>
                            <w:sz w:val="22"/>
                          </w:rPr>
                          <w:t>Fleet</w:t>
                        </w:r>
                        <w:r>
                          <w:rPr>
                            <w:spacing w:val="-34"/>
                            <w:sz w:val="22"/>
                          </w:rPr>
                          <w:t> </w:t>
                        </w:r>
                        <w:r>
                          <w:rPr>
                            <w:sz w:val="22"/>
                          </w:rPr>
                          <w:t>leasing</w:t>
                        </w:r>
                      </w:p>
                    </w:tc>
                  </w:tr>
                  <w:tr>
                    <w:trPr>
                      <w:trHeight w:val="264"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D5CED6"/>
                      </w:tcPr>
                      <w:p>
                        <w:pPr>
                          <w:pStyle w:val="TableParagraph"/>
                          <w:spacing w:before="0"/>
                          <w:rPr>
                            <w:rFonts w:ascii="Times New Roman"/>
                            <w:sz w:val="18"/>
                          </w:rPr>
                        </w:pPr>
                      </w:p>
                    </w:tc>
                    <w:tc>
                      <w:tcPr>
                        <w:tcW w:w="3401" w:type="dxa"/>
                        <w:tcBorders>
                          <w:top w:val="nil"/>
                          <w:bottom w:val="nil"/>
                        </w:tcBorders>
                        <w:shd w:val="clear" w:color="auto" w:fill="D5CED6"/>
                      </w:tcPr>
                      <w:p>
                        <w:pPr>
                          <w:pStyle w:val="TableParagraph"/>
                          <w:spacing w:line="236" w:lineRule="exact" w:before="8"/>
                          <w:ind w:left="113"/>
                          <w:rPr>
                            <w:sz w:val="22"/>
                          </w:rPr>
                        </w:pPr>
                        <w:r>
                          <w:rPr>
                            <w:sz w:val="22"/>
                          </w:rPr>
                          <w:t>and disposal and providing</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D5CED6"/>
                      </w:tcPr>
                      <w:p>
                        <w:pPr>
                          <w:pStyle w:val="TableParagraph"/>
                          <w:spacing w:before="0"/>
                          <w:rPr>
                            <w:rFonts w:ascii="Times New Roman"/>
                            <w:sz w:val="18"/>
                          </w:rPr>
                        </w:pPr>
                      </w:p>
                    </w:tc>
                    <w:tc>
                      <w:tcPr>
                        <w:tcW w:w="3401" w:type="dxa"/>
                        <w:tcBorders>
                          <w:top w:val="nil"/>
                          <w:bottom w:val="nil"/>
                        </w:tcBorders>
                        <w:shd w:val="clear" w:color="auto" w:fill="D5CED6"/>
                      </w:tcPr>
                      <w:p>
                        <w:pPr>
                          <w:pStyle w:val="TableParagraph"/>
                          <w:spacing w:line="236" w:lineRule="exact" w:before="8"/>
                          <w:ind w:left="113"/>
                          <w:rPr>
                            <w:sz w:val="22"/>
                          </w:rPr>
                        </w:pPr>
                        <w:r>
                          <w:rPr>
                            <w:sz w:val="22"/>
                          </w:rPr>
                          <w:t>facilitation service for agency</w:t>
                        </w:r>
                      </w:p>
                    </w:tc>
                  </w:tr>
                  <w:tr>
                    <w:trPr>
                      <w:trHeight w:val="553" w:hRule="atLeast"/>
                    </w:trPr>
                    <w:tc>
                      <w:tcPr>
                        <w:tcW w:w="3618" w:type="dxa"/>
                        <w:tcBorders>
                          <w:top w:val="nil"/>
                          <w:bottom w:val="nil"/>
                        </w:tcBorders>
                        <w:shd w:val="clear" w:color="auto" w:fill="F5F4F4"/>
                      </w:tcPr>
                      <w:p>
                        <w:pPr>
                          <w:pStyle w:val="TableParagraph"/>
                          <w:spacing w:before="0"/>
                          <w:rPr>
                            <w:rFonts w:ascii="Times New Roman"/>
                            <w:sz w:val="22"/>
                          </w:rPr>
                        </w:pPr>
                      </w:p>
                    </w:tc>
                    <w:tc>
                      <w:tcPr>
                        <w:tcW w:w="2636" w:type="dxa"/>
                        <w:tcBorders>
                          <w:top w:val="nil"/>
                        </w:tcBorders>
                        <w:shd w:val="clear" w:color="auto" w:fill="D5CED6"/>
                      </w:tcPr>
                      <w:p>
                        <w:pPr>
                          <w:pStyle w:val="TableParagraph"/>
                          <w:spacing w:before="0"/>
                          <w:rPr>
                            <w:rFonts w:ascii="Times New Roman"/>
                            <w:sz w:val="22"/>
                          </w:rPr>
                        </w:pPr>
                      </w:p>
                    </w:tc>
                    <w:tc>
                      <w:tcPr>
                        <w:tcW w:w="3401" w:type="dxa"/>
                        <w:tcBorders>
                          <w:top w:val="nil"/>
                        </w:tcBorders>
                        <w:shd w:val="clear" w:color="auto" w:fill="D5CED6"/>
                      </w:tcPr>
                      <w:p>
                        <w:pPr>
                          <w:pStyle w:val="TableParagraph"/>
                          <w:spacing w:before="8"/>
                          <w:ind w:left="113"/>
                          <w:rPr>
                            <w:sz w:val="22"/>
                          </w:rPr>
                        </w:pPr>
                        <w:r>
                          <w:rPr>
                            <w:sz w:val="22"/>
                          </w:rPr>
                          <w:t>specific contracts.</w:t>
                        </w:r>
                      </w:p>
                    </w:tc>
                  </w:tr>
                  <w:tr>
                    <w:trPr>
                      <w:trHeight w:val="281" w:hRule="atLeast"/>
                    </w:trPr>
                    <w:tc>
                      <w:tcPr>
                        <w:tcW w:w="3618" w:type="dxa"/>
                        <w:tcBorders>
                          <w:top w:val="nil"/>
                          <w:bottom w:val="nil"/>
                        </w:tcBorders>
                        <w:shd w:val="clear" w:color="auto" w:fill="F5F4F4"/>
                      </w:tcPr>
                      <w:p>
                        <w:pPr>
                          <w:pStyle w:val="TableParagraph"/>
                          <w:spacing w:before="0"/>
                          <w:rPr>
                            <w:rFonts w:ascii="Times New Roman"/>
                            <w:sz w:val="20"/>
                          </w:rPr>
                        </w:pPr>
                      </w:p>
                    </w:tc>
                    <w:tc>
                      <w:tcPr>
                        <w:tcW w:w="2636" w:type="dxa"/>
                        <w:tcBorders>
                          <w:bottom w:val="nil"/>
                        </w:tcBorders>
                        <w:shd w:val="clear" w:color="auto" w:fill="CFD6C0"/>
                      </w:tcPr>
                      <w:p>
                        <w:pPr>
                          <w:pStyle w:val="TableParagraph"/>
                          <w:spacing w:line="236" w:lineRule="exact" w:before="25"/>
                          <w:ind w:left="113"/>
                          <w:rPr>
                            <w:sz w:val="22"/>
                          </w:rPr>
                        </w:pPr>
                        <w:r>
                          <w:rPr>
                            <w:sz w:val="22"/>
                          </w:rPr>
                          <w:t>Efficient and effective</w:t>
                        </w:r>
                      </w:p>
                    </w:tc>
                    <w:tc>
                      <w:tcPr>
                        <w:tcW w:w="3401" w:type="dxa"/>
                        <w:tcBorders>
                          <w:bottom w:val="nil"/>
                        </w:tcBorders>
                        <w:shd w:val="clear" w:color="auto" w:fill="CFD6C0"/>
                      </w:tcPr>
                      <w:p>
                        <w:pPr>
                          <w:pStyle w:val="TableParagraph"/>
                          <w:spacing w:line="236" w:lineRule="exact" w:before="25"/>
                          <w:ind w:left="113"/>
                          <w:rPr>
                            <w:sz w:val="22"/>
                          </w:rPr>
                        </w:pPr>
                        <w:r>
                          <w:rPr>
                            <w:sz w:val="22"/>
                          </w:rPr>
                          <w:t>Corporate services to client</w:t>
                        </w:r>
                      </w:p>
                    </w:tc>
                  </w:tr>
                  <w:tr>
                    <w:trPr>
                      <w:trHeight w:val="264"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CFD6C0"/>
                      </w:tcPr>
                      <w:p>
                        <w:pPr>
                          <w:pStyle w:val="TableParagraph"/>
                          <w:spacing w:line="236" w:lineRule="exact" w:before="8"/>
                          <w:ind w:left="113"/>
                          <w:rPr>
                            <w:sz w:val="22"/>
                          </w:rPr>
                        </w:pPr>
                        <w:r>
                          <w:rPr>
                            <w:sz w:val="22"/>
                          </w:rPr>
                          <w:t>corporate services to</w:t>
                        </w:r>
                      </w:p>
                    </w:tc>
                    <w:tc>
                      <w:tcPr>
                        <w:tcW w:w="3401" w:type="dxa"/>
                        <w:tcBorders>
                          <w:top w:val="nil"/>
                          <w:bottom w:val="nil"/>
                        </w:tcBorders>
                        <w:shd w:val="clear" w:color="auto" w:fill="CFD6C0"/>
                      </w:tcPr>
                      <w:p>
                        <w:pPr>
                          <w:pStyle w:val="TableParagraph"/>
                          <w:spacing w:line="236" w:lineRule="exact" w:before="8"/>
                          <w:ind w:left="113"/>
                          <w:rPr>
                            <w:sz w:val="22"/>
                          </w:rPr>
                        </w:pPr>
                        <w:r>
                          <w:rPr>
                            <w:sz w:val="22"/>
                          </w:rPr>
                          <w:t>agencies.</w:t>
                        </w:r>
                      </w:p>
                    </w:tc>
                  </w:tr>
                  <w:tr>
                    <w:trPr>
                      <w:trHeight w:val="553" w:hRule="atLeast"/>
                    </w:trPr>
                    <w:tc>
                      <w:tcPr>
                        <w:tcW w:w="3618" w:type="dxa"/>
                        <w:tcBorders>
                          <w:top w:val="nil"/>
                          <w:bottom w:val="nil"/>
                        </w:tcBorders>
                        <w:shd w:val="clear" w:color="auto" w:fill="F5F4F4"/>
                      </w:tcPr>
                      <w:p>
                        <w:pPr>
                          <w:pStyle w:val="TableParagraph"/>
                          <w:spacing w:before="0"/>
                          <w:rPr>
                            <w:rFonts w:ascii="Times New Roman"/>
                            <w:sz w:val="22"/>
                          </w:rPr>
                        </w:pPr>
                      </w:p>
                    </w:tc>
                    <w:tc>
                      <w:tcPr>
                        <w:tcW w:w="2636" w:type="dxa"/>
                        <w:tcBorders>
                          <w:top w:val="nil"/>
                        </w:tcBorders>
                        <w:shd w:val="clear" w:color="auto" w:fill="CFD6C0"/>
                      </w:tcPr>
                      <w:p>
                        <w:pPr>
                          <w:pStyle w:val="TableParagraph"/>
                          <w:spacing w:before="8"/>
                          <w:ind w:left="113"/>
                          <w:rPr>
                            <w:sz w:val="22"/>
                          </w:rPr>
                        </w:pPr>
                        <w:r>
                          <w:rPr>
                            <w:sz w:val="22"/>
                          </w:rPr>
                          <w:t>client agencies.</w:t>
                        </w:r>
                      </w:p>
                    </w:tc>
                    <w:tc>
                      <w:tcPr>
                        <w:tcW w:w="3401" w:type="dxa"/>
                        <w:tcBorders>
                          <w:top w:val="nil"/>
                        </w:tcBorders>
                        <w:shd w:val="clear" w:color="auto" w:fill="CFD6C0"/>
                      </w:tcPr>
                      <w:p>
                        <w:pPr>
                          <w:pStyle w:val="TableParagraph"/>
                          <w:spacing w:before="0"/>
                          <w:rPr>
                            <w:rFonts w:ascii="Times New Roman"/>
                            <w:sz w:val="22"/>
                          </w:rPr>
                        </w:pPr>
                      </w:p>
                    </w:tc>
                  </w:tr>
                  <w:tr>
                    <w:trPr>
                      <w:trHeight w:val="281" w:hRule="atLeast"/>
                    </w:trPr>
                    <w:tc>
                      <w:tcPr>
                        <w:tcW w:w="3618" w:type="dxa"/>
                        <w:tcBorders>
                          <w:top w:val="nil"/>
                          <w:bottom w:val="nil"/>
                        </w:tcBorders>
                        <w:shd w:val="clear" w:color="auto" w:fill="F5F4F4"/>
                      </w:tcPr>
                      <w:p>
                        <w:pPr>
                          <w:pStyle w:val="TableParagraph"/>
                          <w:spacing w:before="0"/>
                          <w:rPr>
                            <w:rFonts w:ascii="Times New Roman"/>
                            <w:sz w:val="20"/>
                          </w:rPr>
                        </w:pPr>
                      </w:p>
                    </w:tc>
                    <w:tc>
                      <w:tcPr>
                        <w:tcW w:w="2636" w:type="dxa"/>
                        <w:tcBorders>
                          <w:bottom w:val="nil"/>
                        </w:tcBorders>
                        <w:shd w:val="clear" w:color="auto" w:fill="B6AAB9"/>
                      </w:tcPr>
                      <w:p>
                        <w:pPr>
                          <w:pStyle w:val="TableParagraph"/>
                          <w:spacing w:line="236" w:lineRule="exact" w:before="25"/>
                          <w:ind w:left="113"/>
                          <w:rPr>
                            <w:sz w:val="22"/>
                          </w:rPr>
                        </w:pPr>
                        <w:r>
                          <w:rPr>
                            <w:sz w:val="22"/>
                          </w:rPr>
                          <w:t>Value-for-money from</w:t>
                        </w:r>
                      </w:p>
                    </w:tc>
                    <w:tc>
                      <w:tcPr>
                        <w:tcW w:w="3401" w:type="dxa"/>
                        <w:tcBorders>
                          <w:bottom w:val="nil"/>
                        </w:tcBorders>
                        <w:shd w:val="clear" w:color="auto" w:fill="B6AAB9"/>
                      </w:tcPr>
                      <w:p>
                        <w:pPr>
                          <w:pStyle w:val="TableParagraph"/>
                          <w:spacing w:line="236" w:lineRule="exact" w:before="25"/>
                          <w:ind w:left="113"/>
                          <w:rPr>
                            <w:sz w:val="22"/>
                          </w:rPr>
                        </w:pPr>
                        <w:r>
                          <w:rPr>
                            <w:sz w:val="22"/>
                          </w:rPr>
                          <w:t>Leads the planning, delivery,</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B6AAB9"/>
                      </w:tcPr>
                      <w:p>
                        <w:pPr>
                          <w:pStyle w:val="TableParagraph"/>
                          <w:spacing w:line="236" w:lineRule="exact" w:before="8"/>
                          <w:ind w:left="113"/>
                          <w:rPr>
                            <w:sz w:val="22"/>
                          </w:rPr>
                        </w:pPr>
                        <w:r>
                          <w:rPr>
                            <w:sz w:val="22"/>
                          </w:rPr>
                          <w:t>the management of</w:t>
                        </w:r>
                      </w:p>
                    </w:tc>
                    <w:tc>
                      <w:tcPr>
                        <w:tcW w:w="3401" w:type="dxa"/>
                        <w:tcBorders>
                          <w:top w:val="nil"/>
                          <w:bottom w:val="nil"/>
                        </w:tcBorders>
                        <w:shd w:val="clear" w:color="auto" w:fill="B6AAB9"/>
                      </w:tcPr>
                      <w:p>
                        <w:pPr>
                          <w:pStyle w:val="TableParagraph"/>
                          <w:spacing w:line="236" w:lineRule="exact" w:before="8"/>
                          <w:ind w:left="113"/>
                          <w:rPr>
                            <w:sz w:val="22"/>
                          </w:rPr>
                        </w:pPr>
                        <w:r>
                          <w:rPr>
                            <w:sz w:val="22"/>
                          </w:rPr>
                          <w:t>management and maintenance</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B6AAB9"/>
                      </w:tcPr>
                      <w:p>
                        <w:pPr>
                          <w:pStyle w:val="TableParagraph"/>
                          <w:spacing w:line="236" w:lineRule="exact" w:before="8"/>
                          <w:ind w:left="113"/>
                          <w:rPr>
                            <w:sz w:val="22"/>
                          </w:rPr>
                        </w:pPr>
                        <w:r>
                          <w:rPr>
                            <w:sz w:val="22"/>
                          </w:rPr>
                          <w:t>the Government’s non-</w:t>
                        </w:r>
                      </w:p>
                    </w:tc>
                    <w:tc>
                      <w:tcPr>
                        <w:tcW w:w="3401" w:type="dxa"/>
                        <w:tcBorders>
                          <w:top w:val="nil"/>
                          <w:bottom w:val="nil"/>
                        </w:tcBorders>
                        <w:shd w:val="clear" w:color="auto" w:fill="B6AAB9"/>
                      </w:tcPr>
                      <w:p>
                        <w:pPr>
                          <w:pStyle w:val="TableParagraph"/>
                          <w:spacing w:line="236" w:lineRule="exact" w:before="8"/>
                          <w:ind w:left="113"/>
                          <w:rPr>
                            <w:sz w:val="22"/>
                          </w:rPr>
                        </w:pPr>
                        <w:r>
                          <w:rPr>
                            <w:sz w:val="22"/>
                          </w:rPr>
                          <w:t>of government buildings,</w:t>
                        </w:r>
                      </w:p>
                    </w:tc>
                  </w:tr>
                  <w:tr>
                    <w:trPr>
                      <w:trHeight w:val="263" w:hRule="atLeast"/>
                    </w:trPr>
                    <w:tc>
                      <w:tcPr>
                        <w:tcW w:w="3618" w:type="dxa"/>
                        <w:tcBorders>
                          <w:top w:val="nil"/>
                          <w:bottom w:val="nil"/>
                        </w:tcBorders>
                        <w:shd w:val="clear" w:color="auto" w:fill="F5F4F4"/>
                      </w:tcPr>
                      <w:p>
                        <w:pPr>
                          <w:pStyle w:val="TableParagraph"/>
                          <w:spacing w:before="0"/>
                          <w:rPr>
                            <w:rFonts w:ascii="Times New Roman"/>
                            <w:sz w:val="18"/>
                          </w:rPr>
                        </w:pPr>
                      </w:p>
                    </w:tc>
                    <w:tc>
                      <w:tcPr>
                        <w:tcW w:w="2636" w:type="dxa"/>
                        <w:tcBorders>
                          <w:top w:val="nil"/>
                          <w:bottom w:val="nil"/>
                        </w:tcBorders>
                        <w:shd w:val="clear" w:color="auto" w:fill="B6AAB9"/>
                      </w:tcPr>
                      <w:p>
                        <w:pPr>
                          <w:pStyle w:val="TableParagraph"/>
                          <w:spacing w:line="236" w:lineRule="exact" w:before="8"/>
                          <w:ind w:left="113"/>
                          <w:rPr>
                            <w:sz w:val="22"/>
                          </w:rPr>
                        </w:pPr>
                        <w:r>
                          <w:rPr>
                            <w:sz w:val="22"/>
                          </w:rPr>
                          <w:t>residential buildings and</w:t>
                        </w:r>
                      </w:p>
                    </w:tc>
                    <w:tc>
                      <w:tcPr>
                        <w:tcW w:w="3401" w:type="dxa"/>
                        <w:tcBorders>
                          <w:top w:val="nil"/>
                          <w:bottom w:val="nil"/>
                        </w:tcBorders>
                        <w:shd w:val="clear" w:color="auto" w:fill="B6AAB9"/>
                      </w:tcPr>
                      <w:p>
                        <w:pPr>
                          <w:pStyle w:val="TableParagraph"/>
                          <w:spacing w:line="236" w:lineRule="exact" w:before="8"/>
                          <w:ind w:left="113"/>
                          <w:rPr>
                            <w:sz w:val="22"/>
                          </w:rPr>
                        </w:pPr>
                        <w:r>
                          <w:rPr>
                            <w:sz w:val="22"/>
                          </w:rPr>
                          <w:t>projects and office</w:t>
                        </w:r>
                      </w:p>
                    </w:tc>
                  </w:tr>
                  <w:tr>
                    <w:trPr>
                      <w:trHeight w:val="553" w:hRule="atLeast"/>
                    </w:trPr>
                    <w:tc>
                      <w:tcPr>
                        <w:tcW w:w="3618" w:type="dxa"/>
                        <w:tcBorders>
                          <w:top w:val="nil"/>
                          <w:bottom w:val="nil"/>
                        </w:tcBorders>
                        <w:shd w:val="clear" w:color="auto" w:fill="F5F4F4"/>
                      </w:tcPr>
                      <w:p>
                        <w:pPr>
                          <w:pStyle w:val="TableParagraph"/>
                          <w:spacing w:before="0"/>
                          <w:rPr>
                            <w:rFonts w:ascii="Times New Roman"/>
                            <w:sz w:val="22"/>
                          </w:rPr>
                        </w:pPr>
                      </w:p>
                    </w:tc>
                    <w:tc>
                      <w:tcPr>
                        <w:tcW w:w="2636" w:type="dxa"/>
                        <w:tcBorders>
                          <w:top w:val="nil"/>
                          <w:bottom w:val="nil"/>
                        </w:tcBorders>
                        <w:shd w:val="clear" w:color="auto" w:fill="B6AAB9"/>
                      </w:tcPr>
                      <w:p>
                        <w:pPr>
                          <w:pStyle w:val="TableParagraph"/>
                          <w:spacing w:before="8"/>
                          <w:ind w:left="113"/>
                          <w:rPr>
                            <w:sz w:val="22"/>
                          </w:rPr>
                        </w:pPr>
                        <w:r>
                          <w:rPr>
                            <w:sz w:val="22"/>
                          </w:rPr>
                          <w:t>public works.</w:t>
                        </w:r>
                      </w:p>
                    </w:tc>
                    <w:tc>
                      <w:tcPr>
                        <w:tcW w:w="3401" w:type="dxa"/>
                        <w:tcBorders>
                          <w:top w:val="nil"/>
                        </w:tcBorders>
                        <w:shd w:val="clear" w:color="auto" w:fill="B6AAB9"/>
                      </w:tcPr>
                      <w:p>
                        <w:pPr>
                          <w:pStyle w:val="TableParagraph"/>
                          <w:spacing w:before="8"/>
                          <w:ind w:left="113"/>
                          <w:rPr>
                            <w:sz w:val="22"/>
                          </w:rPr>
                        </w:pPr>
                        <w:r>
                          <w:rPr>
                            <w:sz w:val="22"/>
                          </w:rPr>
                          <w:t>accommodation.</w:t>
                        </w:r>
                      </w:p>
                    </w:tc>
                  </w:tr>
                  <w:tr>
                    <w:trPr>
                      <w:trHeight w:val="281" w:hRule="atLeast"/>
                    </w:trPr>
                    <w:tc>
                      <w:tcPr>
                        <w:tcW w:w="3618" w:type="dxa"/>
                        <w:tcBorders>
                          <w:top w:val="nil"/>
                          <w:bottom w:val="nil"/>
                        </w:tcBorders>
                        <w:shd w:val="clear" w:color="auto" w:fill="F5F4F4"/>
                      </w:tcPr>
                      <w:p>
                        <w:pPr>
                          <w:pStyle w:val="TableParagraph"/>
                          <w:spacing w:before="0"/>
                          <w:rPr>
                            <w:rFonts w:ascii="Times New Roman"/>
                            <w:sz w:val="20"/>
                          </w:rPr>
                        </w:pPr>
                      </w:p>
                    </w:tc>
                    <w:tc>
                      <w:tcPr>
                        <w:tcW w:w="2636" w:type="dxa"/>
                        <w:tcBorders>
                          <w:top w:val="nil"/>
                          <w:bottom w:val="nil"/>
                        </w:tcBorders>
                        <w:shd w:val="clear" w:color="auto" w:fill="B6AAB9"/>
                      </w:tcPr>
                      <w:p>
                        <w:pPr>
                          <w:pStyle w:val="TableParagraph"/>
                          <w:spacing w:before="0"/>
                          <w:rPr>
                            <w:rFonts w:ascii="Times New Roman"/>
                            <w:sz w:val="20"/>
                          </w:rPr>
                        </w:pPr>
                      </w:p>
                    </w:tc>
                    <w:tc>
                      <w:tcPr>
                        <w:tcW w:w="3401" w:type="dxa"/>
                        <w:tcBorders>
                          <w:bottom w:val="nil"/>
                        </w:tcBorders>
                        <w:shd w:val="clear" w:color="auto" w:fill="B5C19E"/>
                      </w:tcPr>
                      <w:p>
                        <w:pPr>
                          <w:pStyle w:val="TableParagraph"/>
                          <w:spacing w:line="236" w:lineRule="exact" w:before="25"/>
                          <w:ind w:left="113"/>
                          <w:rPr>
                            <w:sz w:val="22"/>
                          </w:rPr>
                        </w:pPr>
                        <w:r>
                          <w:rPr>
                            <w:sz w:val="22"/>
                          </w:rPr>
                          <w:t>Leads the planning and delivery</w:t>
                        </w:r>
                      </w:p>
                    </w:tc>
                  </w:tr>
                  <w:tr>
                    <w:trPr>
                      <w:trHeight w:val="553" w:hRule="atLeast"/>
                    </w:trPr>
                    <w:tc>
                      <w:tcPr>
                        <w:tcW w:w="3618" w:type="dxa"/>
                        <w:tcBorders>
                          <w:top w:val="nil"/>
                        </w:tcBorders>
                        <w:shd w:val="clear" w:color="auto" w:fill="F5F4F4"/>
                      </w:tcPr>
                      <w:p>
                        <w:pPr>
                          <w:pStyle w:val="TableParagraph"/>
                          <w:spacing w:before="0"/>
                          <w:rPr>
                            <w:rFonts w:ascii="Times New Roman"/>
                            <w:sz w:val="22"/>
                          </w:rPr>
                        </w:pPr>
                      </w:p>
                    </w:tc>
                    <w:tc>
                      <w:tcPr>
                        <w:tcW w:w="2636" w:type="dxa"/>
                        <w:tcBorders>
                          <w:top w:val="nil"/>
                        </w:tcBorders>
                        <w:shd w:val="clear" w:color="auto" w:fill="B6AAB9"/>
                      </w:tcPr>
                      <w:p>
                        <w:pPr>
                          <w:pStyle w:val="TableParagraph"/>
                          <w:spacing w:before="0"/>
                          <w:rPr>
                            <w:rFonts w:ascii="Times New Roman"/>
                            <w:sz w:val="22"/>
                          </w:rPr>
                        </w:pPr>
                      </w:p>
                    </w:tc>
                    <w:tc>
                      <w:tcPr>
                        <w:tcW w:w="3401" w:type="dxa"/>
                        <w:tcBorders>
                          <w:top w:val="nil"/>
                        </w:tcBorders>
                        <w:shd w:val="clear" w:color="auto" w:fill="B5C19E"/>
                      </w:tcPr>
                      <w:p>
                        <w:pPr>
                          <w:pStyle w:val="TableParagraph"/>
                          <w:spacing w:before="8"/>
                          <w:ind w:left="113"/>
                          <w:rPr>
                            <w:sz w:val="22"/>
                          </w:rPr>
                        </w:pPr>
                        <w:r>
                          <w:rPr>
                            <w:sz w:val="22"/>
                          </w:rPr>
                          <w:t>of new government buildings.</w:t>
                        </w:r>
                      </w:p>
                    </w:tc>
                  </w:tr>
                </w:tbl>
                <w:p>
                  <w:pPr>
                    <w:pStyle w:val="BodyText"/>
                  </w:pPr>
                </w:p>
              </w:txbxContent>
            </v:textbox>
            <w10:wrap type="none"/>
          </v:shape>
        </w:pict>
      </w:r>
      <w:r>
        <w:rPr>
          <w:color w:val="6F2770"/>
        </w:rPr>
        <w:t>Relationship to Government Goals</w:t>
      </w:r>
    </w:p>
    <w:p>
      <w:pPr>
        <w:pStyle w:val="BodyText"/>
        <w:spacing w:line="249" w:lineRule="auto" w:before="245"/>
        <w:ind w:left="765" w:right="10908"/>
      </w:pPr>
      <w:r>
        <w:rPr/>
        <w:t>Government goals </w:t>
      </w:r>
      <w:r>
        <w:rPr>
          <w:spacing w:val="-3"/>
        </w:rPr>
        <w:t>are </w:t>
      </w:r>
      <w:r>
        <w:rPr/>
        <w:t>supported at agency level by </w:t>
      </w:r>
      <w:r>
        <w:rPr>
          <w:w w:val="95"/>
        </w:rPr>
        <w:t>specific outcomes. Agencies deliver services to achieve </w:t>
      </w:r>
      <w:r>
        <w:rPr/>
        <w:t>these outcomes. The following table illustrates </w:t>
      </w:r>
      <w:r>
        <w:rPr>
          <w:spacing w:val="-2"/>
        </w:rPr>
        <w:t>the </w:t>
      </w:r>
      <w:r>
        <w:rPr>
          <w:spacing w:val="-3"/>
        </w:rPr>
        <w:t>relationship</w:t>
      </w:r>
      <w:r>
        <w:rPr>
          <w:spacing w:val="-29"/>
        </w:rPr>
        <w:t> </w:t>
      </w:r>
      <w:r>
        <w:rPr/>
        <w:t>between</w:t>
      </w:r>
      <w:r>
        <w:rPr>
          <w:spacing w:val="-29"/>
        </w:rPr>
        <w:t> </w:t>
      </w:r>
      <w:r>
        <w:rPr/>
        <w:t>the</w:t>
      </w:r>
      <w:r>
        <w:rPr>
          <w:spacing w:val="-28"/>
        </w:rPr>
        <w:t> </w:t>
      </w:r>
      <w:r>
        <w:rPr>
          <w:spacing w:val="-5"/>
        </w:rPr>
        <w:t>agency’s</w:t>
      </w:r>
      <w:r>
        <w:rPr>
          <w:spacing w:val="-29"/>
        </w:rPr>
        <w:t> </w:t>
      </w:r>
      <w:r>
        <w:rPr/>
        <w:t>services</w:t>
      </w:r>
      <w:r>
        <w:rPr>
          <w:spacing w:val="-29"/>
        </w:rPr>
        <w:t> </w:t>
      </w:r>
      <w:r>
        <w:rPr/>
        <w:t>and</w:t>
      </w:r>
      <w:r>
        <w:rPr>
          <w:spacing w:val="-28"/>
        </w:rPr>
        <w:t> </w:t>
      </w:r>
      <w:r>
        <w:rPr>
          <w:spacing w:val="-3"/>
        </w:rPr>
        <w:t>desired </w:t>
      </w:r>
      <w:r>
        <w:rPr/>
        <w:t>outcomes,</w:t>
      </w:r>
      <w:r>
        <w:rPr>
          <w:spacing w:val="-20"/>
        </w:rPr>
        <w:t> </w:t>
      </w:r>
      <w:r>
        <w:rPr/>
        <w:t>and</w:t>
      </w:r>
      <w:r>
        <w:rPr>
          <w:spacing w:val="-19"/>
        </w:rPr>
        <w:t> </w:t>
      </w:r>
      <w:r>
        <w:rPr/>
        <w:t>the</w:t>
      </w:r>
      <w:r>
        <w:rPr>
          <w:spacing w:val="-19"/>
        </w:rPr>
        <w:t> </w:t>
      </w:r>
      <w:r>
        <w:rPr/>
        <w:t>Government</w:t>
      </w:r>
      <w:r>
        <w:rPr>
          <w:spacing w:val="-20"/>
        </w:rPr>
        <w:t> </w:t>
      </w:r>
      <w:r>
        <w:rPr/>
        <w:t>goal</w:t>
      </w:r>
      <w:r>
        <w:rPr>
          <w:spacing w:val="-19"/>
        </w:rPr>
        <w:t> </w:t>
      </w:r>
      <w:r>
        <w:rPr/>
        <w:t>it</w:t>
      </w:r>
      <w:r>
        <w:rPr>
          <w:spacing w:val="-20"/>
        </w:rPr>
        <w:t> </w:t>
      </w:r>
      <w:r>
        <w:rPr/>
        <w:t>contributes</w:t>
      </w:r>
      <w:r>
        <w:rPr>
          <w:spacing w:val="-19"/>
        </w:rPr>
        <w:t> </w:t>
      </w:r>
      <w:r>
        <w:rPr>
          <w:spacing w:val="-2"/>
        </w:rPr>
        <w:t>to. </w:t>
      </w:r>
      <w:r>
        <w:rPr/>
        <w:t>The</w:t>
      </w:r>
      <w:r>
        <w:rPr>
          <w:spacing w:val="-26"/>
        </w:rPr>
        <w:t> </w:t>
      </w:r>
      <w:r>
        <w:rPr/>
        <w:t>key</w:t>
      </w:r>
      <w:r>
        <w:rPr>
          <w:spacing w:val="-26"/>
        </w:rPr>
        <w:t> </w:t>
      </w:r>
      <w:r>
        <w:rPr>
          <w:spacing w:val="-3"/>
        </w:rPr>
        <w:t>effectiveness</w:t>
      </w:r>
      <w:r>
        <w:rPr>
          <w:spacing w:val="-26"/>
        </w:rPr>
        <w:t> </w:t>
      </w:r>
      <w:r>
        <w:rPr/>
        <w:t>indicators</w:t>
      </w:r>
      <w:r>
        <w:rPr>
          <w:spacing w:val="-26"/>
        </w:rPr>
        <w:t> </w:t>
      </w:r>
      <w:r>
        <w:rPr>
          <w:spacing w:val="-3"/>
        </w:rPr>
        <w:t>measure</w:t>
      </w:r>
      <w:r>
        <w:rPr>
          <w:spacing w:val="-25"/>
        </w:rPr>
        <w:t> </w:t>
      </w:r>
      <w:r>
        <w:rPr/>
        <w:t>the</w:t>
      </w:r>
      <w:r>
        <w:rPr>
          <w:spacing w:val="-26"/>
        </w:rPr>
        <w:t> </w:t>
      </w:r>
      <w:r>
        <w:rPr/>
        <w:t>extent</w:t>
      </w:r>
      <w:r>
        <w:rPr>
          <w:spacing w:val="-26"/>
        </w:rPr>
        <w:t> </w:t>
      </w:r>
      <w:r>
        <w:rPr/>
        <w:t>to which</w:t>
      </w:r>
      <w:r>
        <w:rPr>
          <w:spacing w:val="-36"/>
        </w:rPr>
        <w:t> </w:t>
      </w:r>
      <w:r>
        <w:rPr/>
        <w:t>service</w:t>
      </w:r>
      <w:r>
        <w:rPr>
          <w:spacing w:val="-35"/>
        </w:rPr>
        <w:t> </w:t>
      </w:r>
      <w:r>
        <w:rPr/>
        <w:t>delivery</w:t>
      </w:r>
      <w:r>
        <w:rPr>
          <w:spacing w:val="-36"/>
        </w:rPr>
        <w:t> </w:t>
      </w:r>
      <w:r>
        <w:rPr/>
        <w:t>has</w:t>
      </w:r>
      <w:r>
        <w:rPr>
          <w:spacing w:val="-35"/>
        </w:rPr>
        <w:t> </w:t>
      </w:r>
      <w:r>
        <w:rPr/>
        <w:t>achieved</w:t>
      </w:r>
      <w:r>
        <w:rPr>
          <w:spacing w:val="-36"/>
        </w:rPr>
        <w:t> </w:t>
      </w:r>
      <w:r>
        <w:rPr>
          <w:spacing w:val="-3"/>
        </w:rPr>
        <w:t>desired</w:t>
      </w:r>
      <w:r>
        <w:rPr>
          <w:spacing w:val="-35"/>
        </w:rPr>
        <w:t> </w:t>
      </w:r>
      <w:r>
        <w:rPr/>
        <w:t>outcomes. The key </w:t>
      </w:r>
      <w:r>
        <w:rPr>
          <w:spacing w:val="-3"/>
        </w:rPr>
        <w:t>efficiency </w:t>
      </w:r>
      <w:r>
        <w:rPr/>
        <w:t>indicators monitor the </w:t>
      </w:r>
      <w:r>
        <w:rPr>
          <w:spacing w:val="-3"/>
        </w:rPr>
        <w:t>relationship </w:t>
      </w:r>
      <w:r>
        <w:rPr/>
        <w:t>between</w:t>
      </w:r>
      <w:r>
        <w:rPr>
          <w:spacing w:val="-29"/>
        </w:rPr>
        <w:t> </w:t>
      </w:r>
      <w:r>
        <w:rPr/>
        <w:t>the</w:t>
      </w:r>
      <w:r>
        <w:rPr>
          <w:spacing w:val="-29"/>
        </w:rPr>
        <w:t> </w:t>
      </w:r>
      <w:r>
        <w:rPr/>
        <w:t>services</w:t>
      </w:r>
      <w:r>
        <w:rPr>
          <w:spacing w:val="-29"/>
        </w:rPr>
        <w:t> </w:t>
      </w:r>
      <w:r>
        <w:rPr>
          <w:spacing w:val="-3"/>
        </w:rPr>
        <w:t>delivered</w:t>
      </w:r>
      <w:r>
        <w:rPr>
          <w:spacing w:val="-28"/>
        </w:rPr>
        <w:t> </w:t>
      </w:r>
      <w:r>
        <w:rPr/>
        <w:t>and</w:t>
      </w:r>
      <w:r>
        <w:rPr>
          <w:spacing w:val="-29"/>
        </w:rPr>
        <w:t> </w:t>
      </w:r>
      <w:r>
        <w:rPr/>
        <w:t>the</w:t>
      </w:r>
      <w:r>
        <w:rPr>
          <w:spacing w:val="-29"/>
        </w:rPr>
        <w:t> </w:t>
      </w:r>
      <w:r>
        <w:rPr>
          <w:spacing w:val="-3"/>
        </w:rPr>
        <w:t>resources</w:t>
      </w:r>
      <w:r>
        <w:rPr>
          <w:spacing w:val="-28"/>
        </w:rPr>
        <w:t> </w:t>
      </w:r>
      <w:r>
        <w:rPr/>
        <w:t>used to </w:t>
      </w:r>
      <w:r>
        <w:rPr>
          <w:spacing w:val="-3"/>
        </w:rPr>
        <w:t>produce </w:t>
      </w:r>
      <w:r>
        <w:rPr/>
        <w:t>the</w:t>
      </w:r>
      <w:r>
        <w:rPr>
          <w:spacing w:val="-10"/>
        </w:rPr>
        <w:t> </w:t>
      </w:r>
      <w:r>
        <w:rPr/>
        <w:t>service.</w:t>
      </w:r>
    </w:p>
    <w:p>
      <w:pPr>
        <w:pStyle w:val="BodyText"/>
        <w:spacing w:before="11"/>
        <w:rPr>
          <w:sz w:val="26"/>
        </w:rPr>
      </w:pPr>
    </w:p>
    <w:p>
      <w:pPr>
        <w:pStyle w:val="Heading4"/>
        <w:spacing w:line="249" w:lineRule="auto" w:before="0"/>
        <w:ind w:right="12481"/>
      </w:pPr>
      <w:r>
        <w:rPr/>
        <w:pict>
          <v:group style="position:absolute;margin-left:0pt;margin-top:40.442776pt;width:97.4pt;height:238.9pt;mso-position-horizontal-relative:page;mso-position-vertical-relative:paragraph;z-index:-704152" coordorigin="0,809" coordsize="1948,4778">
            <v:shape style="position:absolute;left:0;top:808;width:1948;height:4778" type="#_x0000_t75" stroked="false">
              <v:imagedata r:id="rId46" o:title=""/>
            </v:shape>
            <v:shape style="position:absolute;left:0;top:4612;width:482;height:831" coordorigin="0,4613" coordsize="482,831" path="m66,4613l49,4613,33,4614,16,4616,0,4619,0,5437,16,5440,33,5442,49,5443,66,5443,140,5436,211,5417,275,5387,333,5346,383,5295,424,5238,455,5173,474,5103,481,5028,474,4953,455,4883,424,4818,383,4760,333,4710,275,4669,211,4639,140,4619,66,4613xe" filled="true" fillcolor="#ffffff" stroked="false">
              <v:path arrowok="t"/>
              <v:fill type="solid"/>
            </v:shape>
            <v:shape style="position:absolute;left:0;top:4612;width:482;height:831" coordorigin="0,4613" coordsize="482,831" path="m66,4613l49,4613,33,4614,16,4616,0,4619,0,5437,16,5440,33,5442,49,5443,66,5443,140,5436,211,5417,275,5387,333,5346,383,5295,424,5238,455,5173,474,5103,481,5028,474,4953,455,4883,424,4818,383,4760,333,4710,275,4669,211,4639,140,4619,66,4613xe" filled="true" fillcolor="#aebd37" stroked="false">
              <v:path arrowok="t"/>
              <v:fill opacity="13107f" type="solid"/>
            </v:shape>
            <v:shape style="position:absolute;left:174;top:4941;width:93;height:171" coordorigin="174,4942" coordsize="93,171" path="m256,4942l248,4942,182,5008,176,5017,174,5027,174,5029,176,5039,182,5048,245,5111,249,5113,256,5113,259,5111,267,5104,267,5095,200,5029,200,5027,267,4961,267,4952,256,4942xe" filled="true" fillcolor="#000000" stroked="false">
              <v:path arrowok="t"/>
              <v:fill type="solid"/>
            </v:shape>
            <w10:wrap type="none"/>
          </v:group>
        </w:pict>
      </w:r>
      <w:r>
        <w:rPr>
          <w:color w:val="6F2770"/>
          <w:w w:val="95"/>
        </w:rPr>
        <w:t>Shared Responsibilities </w:t>
      </w:r>
      <w:r>
        <w:rPr>
          <w:color w:val="6F2770"/>
        </w:rPr>
        <w:t>with Other Agencies</w:t>
      </w:r>
    </w:p>
    <w:p>
      <w:pPr>
        <w:pStyle w:val="BodyText"/>
        <w:spacing w:line="249" w:lineRule="auto" w:before="230"/>
        <w:ind w:left="765" w:right="10908"/>
      </w:pPr>
      <w:r>
        <w:rPr/>
        <w:t>Integral</w:t>
      </w:r>
      <w:r>
        <w:rPr>
          <w:spacing w:val="-22"/>
        </w:rPr>
        <w:t> </w:t>
      </w:r>
      <w:r>
        <w:rPr/>
        <w:t>to</w:t>
      </w:r>
      <w:r>
        <w:rPr>
          <w:spacing w:val="-22"/>
        </w:rPr>
        <w:t> </w:t>
      </w:r>
      <w:r>
        <w:rPr/>
        <w:t>the</w:t>
      </w:r>
      <w:r>
        <w:rPr>
          <w:spacing w:val="-22"/>
        </w:rPr>
        <w:t> </w:t>
      </w:r>
      <w:r>
        <w:rPr/>
        <w:t>success</w:t>
      </w:r>
      <w:r>
        <w:rPr>
          <w:spacing w:val="-21"/>
        </w:rPr>
        <w:t> </w:t>
      </w:r>
      <w:r>
        <w:rPr/>
        <w:t>of</w:t>
      </w:r>
      <w:r>
        <w:rPr>
          <w:spacing w:val="-22"/>
        </w:rPr>
        <w:t> </w:t>
      </w:r>
      <w:r>
        <w:rPr/>
        <w:t>both</w:t>
      </w:r>
      <w:r>
        <w:rPr>
          <w:spacing w:val="-22"/>
        </w:rPr>
        <w:t> </w:t>
      </w:r>
      <w:r>
        <w:rPr/>
        <w:t>the</w:t>
      </w:r>
      <w:r>
        <w:rPr>
          <w:spacing w:val="-21"/>
        </w:rPr>
        <w:t> </w:t>
      </w:r>
      <w:r>
        <w:rPr/>
        <w:t>Department</w:t>
      </w:r>
      <w:r>
        <w:rPr>
          <w:spacing w:val="-22"/>
        </w:rPr>
        <w:t> </w:t>
      </w:r>
      <w:r>
        <w:rPr/>
        <w:t>and</w:t>
      </w:r>
      <w:r>
        <w:rPr>
          <w:spacing w:val="-22"/>
        </w:rPr>
        <w:t> </w:t>
      </w:r>
      <w:r>
        <w:rPr>
          <w:spacing w:val="-2"/>
        </w:rPr>
        <w:t>the </w:t>
      </w:r>
      <w:r>
        <w:rPr/>
        <w:t>Government</w:t>
      </w:r>
      <w:r>
        <w:rPr>
          <w:spacing w:val="-13"/>
        </w:rPr>
        <w:t> </w:t>
      </w:r>
      <w:r>
        <w:rPr/>
        <w:t>is</w:t>
      </w:r>
      <w:r>
        <w:rPr>
          <w:spacing w:val="-13"/>
        </w:rPr>
        <w:t> </w:t>
      </w:r>
      <w:r>
        <w:rPr/>
        <w:t>the</w:t>
      </w:r>
      <w:r>
        <w:rPr>
          <w:spacing w:val="-13"/>
        </w:rPr>
        <w:t> </w:t>
      </w:r>
      <w:r>
        <w:rPr/>
        <w:t>ability</w:t>
      </w:r>
      <w:r>
        <w:rPr>
          <w:spacing w:val="-13"/>
        </w:rPr>
        <w:t> </w:t>
      </w:r>
      <w:r>
        <w:rPr/>
        <w:t>to</w:t>
      </w:r>
      <w:r>
        <w:rPr>
          <w:spacing w:val="-13"/>
        </w:rPr>
        <w:t> </w:t>
      </w:r>
      <w:r>
        <w:rPr/>
        <w:t>partner</w:t>
      </w:r>
      <w:r>
        <w:rPr>
          <w:spacing w:val="-13"/>
        </w:rPr>
        <w:t> </w:t>
      </w:r>
      <w:r>
        <w:rPr/>
        <w:t>with</w:t>
      </w:r>
      <w:r>
        <w:rPr>
          <w:spacing w:val="-13"/>
        </w:rPr>
        <w:t> </w:t>
      </w:r>
      <w:r>
        <w:rPr/>
        <w:t>others.</w:t>
      </w:r>
    </w:p>
    <w:p>
      <w:pPr>
        <w:pStyle w:val="BodyText"/>
        <w:spacing w:before="1"/>
        <w:rPr>
          <w:sz w:val="23"/>
        </w:rPr>
      </w:pPr>
    </w:p>
    <w:p>
      <w:pPr>
        <w:pStyle w:val="BodyText"/>
        <w:spacing w:line="249" w:lineRule="auto"/>
        <w:ind w:left="765" w:right="11047"/>
      </w:pPr>
      <w:r>
        <w:rPr/>
        <w:t>As a central </w:t>
      </w:r>
      <w:r>
        <w:rPr>
          <w:spacing w:val="-5"/>
        </w:rPr>
        <w:t>agency, </w:t>
      </w:r>
      <w:r>
        <w:rPr/>
        <w:t>the Department </w:t>
      </w:r>
      <w:r>
        <w:rPr>
          <w:spacing w:val="-2"/>
        </w:rPr>
        <w:t>drives </w:t>
      </w:r>
      <w:r>
        <w:rPr/>
        <w:t>practical,</w:t>
      </w:r>
      <w:r>
        <w:rPr>
          <w:spacing w:val="-28"/>
        </w:rPr>
        <w:t> </w:t>
      </w:r>
      <w:r>
        <w:rPr>
          <w:spacing w:val="-3"/>
        </w:rPr>
        <w:t>cost-effective</w:t>
      </w:r>
      <w:r>
        <w:rPr>
          <w:spacing w:val="-28"/>
        </w:rPr>
        <w:t> </w:t>
      </w:r>
      <w:r>
        <w:rPr/>
        <w:t>and</w:t>
      </w:r>
      <w:r>
        <w:rPr>
          <w:spacing w:val="-28"/>
        </w:rPr>
        <w:t> </w:t>
      </w:r>
      <w:r>
        <w:rPr/>
        <w:t>quality</w:t>
      </w:r>
      <w:r>
        <w:rPr>
          <w:spacing w:val="-28"/>
        </w:rPr>
        <w:t> </w:t>
      </w:r>
      <w:r>
        <w:rPr/>
        <w:t>outcomes</w:t>
      </w:r>
      <w:r>
        <w:rPr>
          <w:spacing w:val="-28"/>
        </w:rPr>
        <w:t> </w:t>
      </w:r>
      <w:r>
        <w:rPr>
          <w:spacing w:val="-3"/>
        </w:rPr>
        <w:t>across </w:t>
      </w:r>
      <w:r>
        <w:rPr/>
        <w:t>government</w:t>
      </w:r>
      <w:r>
        <w:rPr>
          <w:spacing w:val="-13"/>
        </w:rPr>
        <w:t> </w:t>
      </w:r>
      <w:r>
        <w:rPr/>
        <w:t>to</w:t>
      </w:r>
      <w:r>
        <w:rPr>
          <w:spacing w:val="-12"/>
        </w:rPr>
        <w:t> </w:t>
      </w:r>
      <w:r>
        <w:rPr/>
        <w:t>benefit</w:t>
      </w:r>
      <w:r>
        <w:rPr>
          <w:spacing w:val="-12"/>
        </w:rPr>
        <w:t> </w:t>
      </w:r>
      <w:r>
        <w:rPr/>
        <w:t>Western</w:t>
      </w:r>
      <w:r>
        <w:rPr>
          <w:spacing w:val="-13"/>
        </w:rPr>
        <w:t> </w:t>
      </w:r>
      <w:r>
        <w:rPr>
          <w:spacing w:val="-2"/>
        </w:rPr>
        <w:t>Australians.</w:t>
      </w:r>
    </w:p>
    <w:p>
      <w:pPr>
        <w:pStyle w:val="BodyText"/>
        <w:spacing w:before="2"/>
        <w:rPr>
          <w:sz w:val="23"/>
        </w:rPr>
      </w:pPr>
    </w:p>
    <w:p>
      <w:pPr>
        <w:pStyle w:val="BodyText"/>
        <w:spacing w:line="249" w:lineRule="auto" w:before="1"/>
        <w:ind w:left="765" w:right="10908"/>
      </w:pPr>
      <w:r>
        <w:rPr/>
        <w:t>This is achieved </w:t>
      </w:r>
      <w:r>
        <w:rPr>
          <w:spacing w:val="-3"/>
        </w:rPr>
        <w:t>through providing </w:t>
      </w:r>
      <w:r>
        <w:rPr/>
        <w:t>leadership </w:t>
      </w:r>
      <w:r>
        <w:rPr>
          <w:spacing w:val="-2"/>
        </w:rPr>
        <w:t>and </w:t>
      </w:r>
      <w:r>
        <w:rPr/>
        <w:t>strategic</w:t>
      </w:r>
      <w:r>
        <w:rPr>
          <w:spacing w:val="-31"/>
        </w:rPr>
        <w:t> </w:t>
      </w:r>
      <w:r>
        <w:rPr/>
        <w:t>advice</w:t>
      </w:r>
      <w:r>
        <w:rPr>
          <w:spacing w:val="-31"/>
        </w:rPr>
        <w:t> </w:t>
      </w:r>
      <w:r>
        <w:rPr/>
        <w:t>to</w:t>
      </w:r>
      <w:r>
        <w:rPr>
          <w:spacing w:val="-31"/>
        </w:rPr>
        <w:t> </w:t>
      </w:r>
      <w:r>
        <w:rPr/>
        <w:t>government</w:t>
      </w:r>
      <w:r>
        <w:rPr>
          <w:spacing w:val="-30"/>
        </w:rPr>
        <w:t> </w:t>
      </w:r>
      <w:r>
        <w:rPr/>
        <w:t>on</w:t>
      </w:r>
      <w:r>
        <w:rPr>
          <w:spacing w:val="-31"/>
        </w:rPr>
        <w:t> </w:t>
      </w:r>
      <w:r>
        <w:rPr/>
        <w:t>initiatives</w:t>
      </w:r>
      <w:r>
        <w:rPr>
          <w:spacing w:val="-31"/>
        </w:rPr>
        <w:t> </w:t>
      </w:r>
      <w:r>
        <w:rPr/>
        <w:t>to</w:t>
      </w:r>
      <w:r>
        <w:rPr>
          <w:spacing w:val="-30"/>
        </w:rPr>
        <w:t> </w:t>
      </w:r>
      <w:r>
        <w:rPr>
          <w:spacing w:val="-3"/>
        </w:rPr>
        <w:t>improve </w:t>
      </w:r>
      <w:r>
        <w:rPr/>
        <w:t>the</w:t>
      </w:r>
      <w:r>
        <w:rPr>
          <w:spacing w:val="-30"/>
        </w:rPr>
        <w:t> </w:t>
      </w:r>
      <w:r>
        <w:rPr/>
        <w:t>operations</w:t>
      </w:r>
      <w:r>
        <w:rPr>
          <w:spacing w:val="-30"/>
        </w:rPr>
        <w:t> </w:t>
      </w:r>
      <w:r>
        <w:rPr/>
        <w:t>and</w:t>
      </w:r>
      <w:r>
        <w:rPr>
          <w:spacing w:val="-30"/>
        </w:rPr>
        <w:t> </w:t>
      </w:r>
      <w:r>
        <w:rPr/>
        <w:t>management</w:t>
      </w:r>
      <w:r>
        <w:rPr>
          <w:spacing w:val="-30"/>
        </w:rPr>
        <w:t> </w:t>
      </w:r>
      <w:r>
        <w:rPr/>
        <w:t>of</w:t>
      </w:r>
      <w:r>
        <w:rPr>
          <w:spacing w:val="-30"/>
        </w:rPr>
        <w:t> </w:t>
      </w:r>
      <w:r>
        <w:rPr/>
        <w:t>services</w:t>
      </w:r>
      <w:r>
        <w:rPr>
          <w:spacing w:val="-29"/>
        </w:rPr>
        <w:t> </w:t>
      </w:r>
      <w:r>
        <w:rPr>
          <w:spacing w:val="-3"/>
        </w:rPr>
        <w:t>across</w:t>
      </w:r>
      <w:r>
        <w:rPr>
          <w:spacing w:val="-30"/>
        </w:rPr>
        <w:t> </w:t>
      </w:r>
      <w:r>
        <w:rPr>
          <w:spacing w:val="-2"/>
        </w:rPr>
        <w:t>the </w:t>
      </w:r>
      <w:r>
        <w:rPr/>
        <w:t>public</w:t>
      </w:r>
      <w:r>
        <w:rPr>
          <w:spacing w:val="-4"/>
        </w:rPr>
        <w:t> </w:t>
      </w:r>
      <w:r>
        <w:rPr>
          <w:spacing w:val="-5"/>
        </w:rPr>
        <w:t>sector.</w:t>
      </w:r>
    </w:p>
    <w:p>
      <w:pPr>
        <w:pStyle w:val="BodyText"/>
        <w:rPr>
          <w:sz w:val="20"/>
        </w:rPr>
      </w:pPr>
    </w:p>
    <w:p>
      <w:pPr>
        <w:pStyle w:val="BodyText"/>
        <w:rPr>
          <w:sz w:val="20"/>
        </w:rPr>
      </w:pPr>
    </w:p>
    <w:p>
      <w:pPr>
        <w:pStyle w:val="BodyText"/>
        <w:rPr>
          <w:sz w:val="20"/>
        </w:rPr>
      </w:pPr>
    </w:p>
    <w:p>
      <w:pPr>
        <w:pStyle w:val="BodyText"/>
        <w:spacing w:before="9"/>
        <w:rPr>
          <w:sz w:val="19"/>
        </w:rPr>
      </w:pPr>
    </w:p>
    <w:p>
      <w:pPr>
        <w:tabs>
          <w:tab w:pos="10886" w:val="left" w:leader="none"/>
          <w:tab w:pos="11199" w:val="left" w:leader="none"/>
          <w:tab w:pos="15849"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8536"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31</w:t>
      </w:r>
    </w:p>
    <w:p>
      <w:pPr>
        <w:spacing w:after="0"/>
        <w:jc w:val="left"/>
        <w:rPr>
          <w:sz w:val="20"/>
        </w:rPr>
        <w:sectPr>
          <w:footerReference w:type="default" r:id="rId120"/>
          <w:pgSz w:w="16840" w:h="11910" w:orient="landscape"/>
          <w:pgMar w:footer="0" w:header="0" w:top="0" w:bottom="0" w:left="0" w:right="0"/>
        </w:sectPr>
      </w:pPr>
    </w:p>
    <w:p>
      <w:pPr>
        <w:pStyle w:val="BodyText"/>
        <w:rPr>
          <w:sz w:val="20"/>
        </w:rPr>
      </w:pPr>
      <w:bookmarkStart w:name="_bookmark15" w:id="16"/>
      <w:bookmarkEnd w:id="16"/>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1"/>
        <w:rPr>
          <w:b/>
          <w:sz w:val="20"/>
        </w:rPr>
      </w:pPr>
    </w:p>
    <w:p>
      <w:pPr>
        <w:pStyle w:val="Heading1"/>
        <w:spacing w:before="93"/>
      </w:pPr>
      <w:r>
        <w:rPr/>
        <w:pict>
          <v:group style="position:absolute;margin-left:120.271004pt;margin-top:-67.324211pt;width:721.65pt;height:42.55pt;mso-position-horizontal-relative:page;mso-position-vertical-relative:paragraph;z-index:8776" coordorigin="2405,-1346" coordsize="14433,851">
            <v:rect style="position:absolute;left:14432;top:-1347;width:2406;height:851" filled="true" fillcolor="#bba1bc" stroked="false">
              <v:fill type="solid"/>
            </v:rect>
            <v:shape style="position:absolute;left:14432;top:-13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7;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7;width:2406;height:851" type="#_x0000_t202" filled="true" fillcolor="#d4d896"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pacing w:val="-8"/>
        </w:rPr>
        <w:t>Summary</w:t>
      </w:r>
      <w:r>
        <w:rPr>
          <w:color w:val="6F2770"/>
          <w:spacing w:val="-123"/>
        </w:rPr>
        <w:t> </w:t>
      </w:r>
      <w:r>
        <w:rPr>
          <w:color w:val="6F2770"/>
          <w:spacing w:val="-6"/>
        </w:rPr>
        <w:t>of</w:t>
      </w:r>
      <w:r>
        <w:rPr>
          <w:color w:val="6F2770"/>
          <w:spacing w:val="-122"/>
        </w:rPr>
        <w:t> </w:t>
      </w:r>
      <w:r>
        <w:rPr>
          <w:color w:val="6F2770"/>
          <w:spacing w:val="-11"/>
        </w:rPr>
        <w:t>Non-Financial</w:t>
      </w:r>
      <w:r>
        <w:rPr>
          <w:color w:val="6F2770"/>
          <w:spacing w:val="-122"/>
        </w:rPr>
        <w:t> </w:t>
      </w:r>
      <w:r>
        <w:rPr>
          <w:color w:val="6F2770"/>
          <w:spacing w:val="-10"/>
        </w:rPr>
        <w:t>Performance</w:t>
      </w:r>
      <w:r>
        <w:rPr>
          <w:color w:val="6F2770"/>
          <w:spacing w:val="-122"/>
        </w:rPr>
        <w:t> </w:t>
      </w:r>
      <w:r>
        <w:rPr>
          <w:color w:val="6F2770"/>
          <w:spacing w:val="-8"/>
        </w:rPr>
        <w:t>for</w:t>
      </w:r>
      <w:r>
        <w:rPr>
          <w:color w:val="6F2770"/>
          <w:spacing w:val="-123"/>
        </w:rPr>
        <w:t> </w:t>
      </w:r>
      <w:r>
        <w:rPr>
          <w:color w:val="6F2770"/>
          <w:spacing w:val="-11"/>
        </w:rPr>
        <w:t>2017-18</w:t>
      </w:r>
    </w:p>
    <w:p>
      <w:pPr>
        <w:spacing w:before="206" w:after="35"/>
        <w:ind w:left="785" w:right="0" w:firstLine="0"/>
        <w:jc w:val="left"/>
        <w:rPr>
          <w:b/>
          <w:sz w:val="19"/>
        </w:rPr>
      </w:pPr>
      <w:r>
        <w:rPr>
          <w:b/>
          <w:sz w:val="19"/>
        </w:rPr>
        <w:t>Outcome</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906"/>
        <w:gridCol w:w="794"/>
        <w:gridCol w:w="907"/>
        <w:gridCol w:w="907"/>
        <w:gridCol w:w="794"/>
      </w:tblGrid>
      <w:tr>
        <w:trPr>
          <w:trHeight w:val="278" w:hRule="atLeast"/>
        </w:trPr>
        <w:tc>
          <w:tcPr>
            <w:tcW w:w="11906" w:type="dxa"/>
            <w:shd w:val="clear" w:color="auto" w:fill="783A79"/>
          </w:tcPr>
          <w:p>
            <w:pPr>
              <w:pStyle w:val="TableParagraph"/>
              <w:spacing w:before="34"/>
              <w:ind w:left="113"/>
              <w:rPr>
                <w:b/>
                <w:sz w:val="18"/>
              </w:rPr>
            </w:pPr>
            <w:r>
              <w:rPr>
                <w:b/>
                <w:color w:val="FFFFFF"/>
                <w:sz w:val="18"/>
              </w:rPr>
              <w:t>Key Effectiveness Indicator</w:t>
            </w:r>
          </w:p>
        </w:tc>
        <w:tc>
          <w:tcPr>
            <w:tcW w:w="794" w:type="dxa"/>
            <w:shd w:val="clear" w:color="auto" w:fill="783A79"/>
          </w:tcPr>
          <w:p>
            <w:pPr>
              <w:pStyle w:val="TableParagraph"/>
              <w:spacing w:before="34"/>
              <w:ind w:left="160" w:right="142"/>
              <w:jc w:val="center"/>
              <w:rPr>
                <w:b/>
                <w:sz w:val="18"/>
              </w:rPr>
            </w:pPr>
            <w:r>
              <w:rPr>
                <w:b/>
                <w:color w:val="FFFFFF"/>
                <w:sz w:val="18"/>
              </w:rPr>
              <w:t>Unit</w:t>
            </w:r>
          </w:p>
        </w:tc>
        <w:tc>
          <w:tcPr>
            <w:tcW w:w="907" w:type="dxa"/>
            <w:shd w:val="clear" w:color="auto" w:fill="783A79"/>
          </w:tcPr>
          <w:p>
            <w:pPr>
              <w:pStyle w:val="TableParagraph"/>
              <w:spacing w:before="34"/>
              <w:ind w:right="92"/>
              <w:jc w:val="right"/>
              <w:rPr>
                <w:b/>
                <w:sz w:val="18"/>
              </w:rPr>
            </w:pPr>
            <w:r>
              <w:rPr>
                <w:b/>
                <w:color w:val="FFFFFF"/>
                <w:sz w:val="18"/>
              </w:rPr>
              <w:t>Target</w:t>
            </w:r>
          </w:p>
        </w:tc>
        <w:tc>
          <w:tcPr>
            <w:tcW w:w="907" w:type="dxa"/>
            <w:shd w:val="clear" w:color="auto" w:fill="783A79"/>
          </w:tcPr>
          <w:p>
            <w:pPr>
              <w:pStyle w:val="TableParagraph"/>
              <w:spacing w:before="34"/>
              <w:ind w:right="92"/>
              <w:jc w:val="right"/>
              <w:rPr>
                <w:b/>
                <w:sz w:val="18"/>
              </w:rPr>
            </w:pPr>
            <w:r>
              <w:rPr>
                <w:b/>
                <w:color w:val="FFFFFF"/>
                <w:w w:val="95"/>
                <w:sz w:val="18"/>
              </w:rPr>
              <w:t>Actual</w:t>
            </w:r>
          </w:p>
        </w:tc>
        <w:tc>
          <w:tcPr>
            <w:tcW w:w="794" w:type="dxa"/>
            <w:shd w:val="clear" w:color="auto" w:fill="783A79"/>
          </w:tcPr>
          <w:p>
            <w:pPr>
              <w:pStyle w:val="TableParagraph"/>
              <w:spacing w:before="34"/>
              <w:ind w:left="160" w:right="142"/>
              <w:jc w:val="center"/>
              <w:rPr>
                <w:b/>
                <w:sz w:val="18"/>
              </w:rPr>
            </w:pPr>
            <w:r>
              <w:rPr>
                <w:b/>
                <w:color w:val="FFFFFF"/>
                <w:sz w:val="18"/>
              </w:rPr>
              <w:t>Page</w:t>
            </w:r>
          </w:p>
        </w:tc>
      </w:tr>
      <w:tr>
        <w:trPr>
          <w:trHeight w:val="278" w:hRule="atLeast"/>
        </w:trPr>
        <w:tc>
          <w:tcPr>
            <w:tcW w:w="11906" w:type="dxa"/>
            <w:shd w:val="clear" w:color="auto" w:fill="E4E7DB"/>
          </w:tcPr>
          <w:p>
            <w:pPr>
              <w:pStyle w:val="TableParagraph"/>
              <w:spacing w:before="34"/>
              <w:ind w:left="113"/>
              <w:rPr>
                <w:sz w:val="18"/>
              </w:rPr>
            </w:pPr>
            <w:r>
              <w:rPr>
                <w:sz w:val="18"/>
              </w:rPr>
              <w:t>Extent to which due revenue is collected</w:t>
            </w:r>
          </w:p>
        </w:tc>
        <w:tc>
          <w:tcPr>
            <w:tcW w:w="794" w:type="dxa"/>
            <w:shd w:val="clear" w:color="auto" w:fill="E4E7DB"/>
          </w:tcPr>
          <w:p>
            <w:pPr>
              <w:pStyle w:val="TableParagraph"/>
              <w:spacing w:before="34"/>
              <w:ind w:left="18"/>
              <w:jc w:val="center"/>
              <w:rPr>
                <w:sz w:val="18"/>
              </w:rPr>
            </w:pPr>
            <w:r>
              <w:rPr>
                <w:w w:val="99"/>
                <w:sz w:val="18"/>
              </w:rPr>
              <w:t>%</w:t>
            </w:r>
          </w:p>
        </w:tc>
        <w:tc>
          <w:tcPr>
            <w:tcW w:w="907" w:type="dxa"/>
            <w:shd w:val="clear" w:color="auto" w:fill="E4E7DB"/>
          </w:tcPr>
          <w:p>
            <w:pPr>
              <w:pStyle w:val="TableParagraph"/>
              <w:spacing w:before="34"/>
              <w:ind w:right="92"/>
              <w:jc w:val="right"/>
              <w:rPr>
                <w:sz w:val="18"/>
              </w:rPr>
            </w:pPr>
            <w:r>
              <w:rPr>
                <w:w w:val="95"/>
                <w:sz w:val="18"/>
              </w:rPr>
              <w:t>88</w:t>
            </w:r>
          </w:p>
        </w:tc>
        <w:tc>
          <w:tcPr>
            <w:tcW w:w="907" w:type="dxa"/>
            <w:shd w:val="clear" w:color="auto" w:fill="E4E7DB"/>
          </w:tcPr>
          <w:p>
            <w:pPr>
              <w:pStyle w:val="TableParagraph"/>
              <w:spacing w:before="34"/>
              <w:ind w:right="92"/>
              <w:jc w:val="right"/>
              <w:rPr>
                <w:sz w:val="18"/>
              </w:rPr>
            </w:pPr>
            <w:r>
              <w:rPr>
                <w:w w:val="95"/>
                <w:sz w:val="18"/>
              </w:rPr>
              <w:t>89</w:t>
            </w:r>
          </w:p>
        </w:tc>
        <w:tc>
          <w:tcPr>
            <w:tcW w:w="794" w:type="dxa"/>
            <w:shd w:val="clear" w:color="auto" w:fill="E4E7DB"/>
          </w:tcPr>
          <w:p>
            <w:pPr>
              <w:pStyle w:val="TableParagraph"/>
              <w:spacing w:before="34"/>
              <w:ind w:left="160" w:right="142"/>
              <w:jc w:val="center"/>
              <w:rPr>
                <w:sz w:val="18"/>
              </w:rPr>
            </w:pPr>
            <w:hyperlink w:history="true" w:anchor="_bookmark39">
              <w:r>
                <w:rPr>
                  <w:color w:val="6F2770"/>
                  <w:sz w:val="18"/>
                  <w:u w:val="single" w:color="6F2770"/>
                </w:rPr>
                <w:t>100</w:t>
              </w:r>
            </w:hyperlink>
          </w:p>
        </w:tc>
      </w:tr>
      <w:tr>
        <w:trPr>
          <w:trHeight w:val="278" w:hRule="atLeast"/>
        </w:trPr>
        <w:tc>
          <w:tcPr>
            <w:tcW w:w="11906" w:type="dxa"/>
            <w:shd w:val="clear" w:color="auto" w:fill="E4E7DB"/>
          </w:tcPr>
          <w:p>
            <w:pPr>
              <w:pStyle w:val="TableParagraph"/>
              <w:spacing w:before="34"/>
              <w:ind w:left="113"/>
              <w:rPr>
                <w:sz w:val="18"/>
              </w:rPr>
            </w:pPr>
            <w:r>
              <w:rPr>
                <w:sz w:val="18"/>
              </w:rPr>
              <w:t>Extent to which correct grants, subsidies and rebates are paid</w:t>
            </w:r>
          </w:p>
        </w:tc>
        <w:tc>
          <w:tcPr>
            <w:tcW w:w="794" w:type="dxa"/>
            <w:shd w:val="clear" w:color="auto" w:fill="E4E7DB"/>
          </w:tcPr>
          <w:p>
            <w:pPr>
              <w:pStyle w:val="TableParagraph"/>
              <w:spacing w:before="34"/>
              <w:ind w:left="18"/>
              <w:jc w:val="center"/>
              <w:rPr>
                <w:sz w:val="18"/>
              </w:rPr>
            </w:pPr>
            <w:r>
              <w:rPr>
                <w:w w:val="99"/>
                <w:sz w:val="18"/>
              </w:rPr>
              <w:t>%</w:t>
            </w:r>
          </w:p>
        </w:tc>
        <w:tc>
          <w:tcPr>
            <w:tcW w:w="907" w:type="dxa"/>
            <w:shd w:val="clear" w:color="auto" w:fill="E4E7DB"/>
          </w:tcPr>
          <w:p>
            <w:pPr>
              <w:pStyle w:val="TableParagraph"/>
              <w:spacing w:before="34"/>
              <w:ind w:right="92"/>
              <w:jc w:val="right"/>
              <w:rPr>
                <w:sz w:val="18"/>
              </w:rPr>
            </w:pPr>
            <w:r>
              <w:rPr>
                <w:w w:val="95"/>
                <w:sz w:val="18"/>
              </w:rPr>
              <w:t>100</w:t>
            </w:r>
          </w:p>
        </w:tc>
        <w:tc>
          <w:tcPr>
            <w:tcW w:w="907" w:type="dxa"/>
            <w:shd w:val="clear" w:color="auto" w:fill="E4E7DB"/>
          </w:tcPr>
          <w:p>
            <w:pPr>
              <w:pStyle w:val="TableParagraph"/>
              <w:spacing w:before="34"/>
              <w:ind w:right="92"/>
              <w:jc w:val="right"/>
              <w:rPr>
                <w:sz w:val="18"/>
              </w:rPr>
            </w:pPr>
            <w:r>
              <w:rPr>
                <w:w w:val="95"/>
                <w:sz w:val="18"/>
              </w:rPr>
              <w:t>100</w:t>
            </w:r>
          </w:p>
        </w:tc>
        <w:tc>
          <w:tcPr>
            <w:tcW w:w="794" w:type="dxa"/>
            <w:shd w:val="clear" w:color="auto" w:fill="E4E7DB"/>
          </w:tcPr>
          <w:p>
            <w:pPr>
              <w:pStyle w:val="TableParagraph"/>
              <w:spacing w:before="34"/>
              <w:ind w:left="160" w:right="142"/>
              <w:jc w:val="center"/>
              <w:rPr>
                <w:sz w:val="18"/>
              </w:rPr>
            </w:pPr>
            <w:hyperlink w:history="true" w:anchor="_bookmark39">
              <w:r>
                <w:rPr>
                  <w:color w:val="6F2770"/>
                  <w:sz w:val="18"/>
                  <w:u w:val="single" w:color="6F2770"/>
                </w:rPr>
                <w:t>100</w:t>
              </w:r>
            </w:hyperlink>
          </w:p>
        </w:tc>
      </w:tr>
      <w:tr>
        <w:trPr>
          <w:trHeight w:val="278" w:hRule="atLeast"/>
        </w:trPr>
        <w:tc>
          <w:tcPr>
            <w:tcW w:w="11906" w:type="dxa"/>
            <w:shd w:val="clear" w:color="auto" w:fill="D5CED6"/>
          </w:tcPr>
          <w:p>
            <w:pPr>
              <w:pStyle w:val="TableParagraph"/>
              <w:spacing w:before="34"/>
              <w:ind w:left="113"/>
              <w:rPr>
                <w:sz w:val="10"/>
              </w:rPr>
            </w:pPr>
            <w:r>
              <w:rPr>
                <w:sz w:val="18"/>
              </w:rPr>
              <w:t>Profitability of the State’s light vehicle fleet ($’000) </w:t>
            </w:r>
            <w:r>
              <w:rPr>
                <w:position w:val="6"/>
                <w:sz w:val="10"/>
              </w:rPr>
              <w:t>(a)</w:t>
            </w:r>
          </w:p>
        </w:tc>
        <w:tc>
          <w:tcPr>
            <w:tcW w:w="794" w:type="dxa"/>
            <w:shd w:val="clear" w:color="auto" w:fill="D5CED6"/>
          </w:tcPr>
          <w:p>
            <w:pPr>
              <w:pStyle w:val="TableParagraph"/>
              <w:spacing w:before="34"/>
              <w:ind w:left="18"/>
              <w:jc w:val="center"/>
              <w:rPr>
                <w:sz w:val="18"/>
              </w:rPr>
            </w:pPr>
            <w:r>
              <w:rPr>
                <w:w w:val="99"/>
                <w:sz w:val="18"/>
              </w:rPr>
              <w:t>$</w:t>
            </w:r>
          </w:p>
        </w:tc>
        <w:tc>
          <w:tcPr>
            <w:tcW w:w="907" w:type="dxa"/>
            <w:shd w:val="clear" w:color="auto" w:fill="D5CED6"/>
          </w:tcPr>
          <w:p>
            <w:pPr>
              <w:pStyle w:val="TableParagraph"/>
              <w:spacing w:before="34"/>
              <w:ind w:right="92"/>
              <w:jc w:val="right"/>
              <w:rPr>
                <w:sz w:val="18"/>
              </w:rPr>
            </w:pPr>
            <w:r>
              <w:rPr>
                <w:w w:val="95"/>
                <w:sz w:val="18"/>
              </w:rPr>
              <w:t>15,000</w:t>
            </w:r>
          </w:p>
        </w:tc>
        <w:tc>
          <w:tcPr>
            <w:tcW w:w="907" w:type="dxa"/>
            <w:shd w:val="clear" w:color="auto" w:fill="D5CED6"/>
          </w:tcPr>
          <w:p>
            <w:pPr>
              <w:pStyle w:val="TableParagraph"/>
              <w:spacing w:before="34"/>
              <w:ind w:right="92"/>
              <w:jc w:val="right"/>
              <w:rPr>
                <w:sz w:val="18"/>
              </w:rPr>
            </w:pPr>
            <w:r>
              <w:rPr>
                <w:w w:val="95"/>
                <w:sz w:val="18"/>
              </w:rPr>
              <w:t>15,910</w:t>
            </w:r>
          </w:p>
        </w:tc>
        <w:tc>
          <w:tcPr>
            <w:tcW w:w="794" w:type="dxa"/>
            <w:shd w:val="clear" w:color="auto" w:fill="D5CED6"/>
          </w:tcPr>
          <w:p>
            <w:pPr>
              <w:pStyle w:val="TableParagraph"/>
              <w:spacing w:before="34"/>
              <w:ind w:left="160" w:right="142"/>
              <w:jc w:val="center"/>
              <w:rPr>
                <w:sz w:val="18"/>
              </w:rPr>
            </w:pPr>
            <w:hyperlink w:history="true" w:anchor="_bookmark41">
              <w:r>
                <w:rPr>
                  <w:color w:val="6F2770"/>
                  <w:sz w:val="18"/>
                  <w:u w:val="single" w:color="6F2770"/>
                </w:rPr>
                <w:t>102</w:t>
              </w:r>
            </w:hyperlink>
          </w:p>
        </w:tc>
      </w:tr>
      <w:tr>
        <w:trPr>
          <w:trHeight w:val="278" w:hRule="atLeast"/>
        </w:trPr>
        <w:tc>
          <w:tcPr>
            <w:tcW w:w="11906" w:type="dxa"/>
            <w:shd w:val="clear" w:color="auto" w:fill="D5CED6"/>
          </w:tcPr>
          <w:p>
            <w:pPr>
              <w:pStyle w:val="TableParagraph"/>
              <w:spacing w:before="34"/>
              <w:ind w:left="113"/>
              <w:rPr>
                <w:sz w:val="18"/>
              </w:rPr>
            </w:pPr>
            <w:r>
              <w:rPr>
                <w:sz w:val="18"/>
              </w:rPr>
              <w:t>Extent to which client agencies agree that their agency contracts and Common Use Contract Arrangements achieved value-for-money</w:t>
            </w:r>
          </w:p>
        </w:tc>
        <w:tc>
          <w:tcPr>
            <w:tcW w:w="794" w:type="dxa"/>
            <w:shd w:val="clear" w:color="auto" w:fill="D5CED6"/>
          </w:tcPr>
          <w:p>
            <w:pPr>
              <w:pStyle w:val="TableParagraph"/>
              <w:spacing w:before="34"/>
              <w:ind w:left="18"/>
              <w:jc w:val="center"/>
              <w:rPr>
                <w:sz w:val="18"/>
              </w:rPr>
            </w:pPr>
            <w:r>
              <w:rPr>
                <w:w w:val="99"/>
                <w:sz w:val="18"/>
              </w:rPr>
              <w:t>%</w:t>
            </w:r>
          </w:p>
        </w:tc>
        <w:tc>
          <w:tcPr>
            <w:tcW w:w="907" w:type="dxa"/>
            <w:shd w:val="clear" w:color="auto" w:fill="D5CED6"/>
          </w:tcPr>
          <w:p>
            <w:pPr>
              <w:pStyle w:val="TableParagraph"/>
              <w:spacing w:before="34"/>
              <w:ind w:right="92"/>
              <w:jc w:val="right"/>
              <w:rPr>
                <w:sz w:val="18"/>
              </w:rPr>
            </w:pPr>
            <w:r>
              <w:rPr>
                <w:w w:val="95"/>
                <w:sz w:val="18"/>
              </w:rPr>
              <w:t>92</w:t>
            </w:r>
          </w:p>
        </w:tc>
        <w:tc>
          <w:tcPr>
            <w:tcW w:w="907" w:type="dxa"/>
            <w:shd w:val="clear" w:color="auto" w:fill="D5CED6"/>
          </w:tcPr>
          <w:p>
            <w:pPr>
              <w:pStyle w:val="TableParagraph"/>
              <w:spacing w:before="34"/>
              <w:ind w:right="92"/>
              <w:jc w:val="right"/>
              <w:rPr>
                <w:sz w:val="18"/>
              </w:rPr>
            </w:pPr>
            <w:r>
              <w:rPr>
                <w:w w:val="95"/>
                <w:sz w:val="18"/>
              </w:rPr>
              <w:t>93</w:t>
            </w:r>
          </w:p>
        </w:tc>
        <w:tc>
          <w:tcPr>
            <w:tcW w:w="794" w:type="dxa"/>
            <w:shd w:val="clear" w:color="auto" w:fill="D5CED6"/>
          </w:tcPr>
          <w:p>
            <w:pPr>
              <w:pStyle w:val="TableParagraph"/>
              <w:spacing w:before="34"/>
              <w:ind w:left="160" w:right="142"/>
              <w:jc w:val="center"/>
              <w:rPr>
                <w:sz w:val="18"/>
              </w:rPr>
            </w:pPr>
            <w:hyperlink w:history="true" w:anchor="_bookmark41">
              <w:r>
                <w:rPr>
                  <w:color w:val="6F2770"/>
                  <w:sz w:val="18"/>
                  <w:u w:val="single" w:color="6F2770"/>
                </w:rPr>
                <w:t>102</w:t>
              </w:r>
            </w:hyperlink>
          </w:p>
        </w:tc>
      </w:tr>
      <w:tr>
        <w:trPr>
          <w:trHeight w:val="278" w:hRule="atLeast"/>
        </w:trPr>
        <w:tc>
          <w:tcPr>
            <w:tcW w:w="11906" w:type="dxa"/>
            <w:shd w:val="clear" w:color="auto" w:fill="CFD6C0"/>
          </w:tcPr>
          <w:p>
            <w:pPr>
              <w:pStyle w:val="TableParagraph"/>
              <w:spacing w:before="34"/>
              <w:ind w:left="113"/>
              <w:rPr>
                <w:sz w:val="18"/>
              </w:rPr>
            </w:pPr>
            <w:r>
              <w:rPr>
                <w:sz w:val="18"/>
              </w:rPr>
              <w:t>An effectiveness indicator is not reported for this outcome</w:t>
            </w:r>
          </w:p>
        </w:tc>
        <w:tc>
          <w:tcPr>
            <w:tcW w:w="794" w:type="dxa"/>
            <w:shd w:val="clear" w:color="auto" w:fill="CFD6C0"/>
          </w:tcPr>
          <w:p>
            <w:pPr>
              <w:pStyle w:val="TableParagraph"/>
              <w:spacing w:before="0"/>
              <w:rPr>
                <w:rFonts w:ascii="Times New Roman"/>
                <w:sz w:val="16"/>
              </w:rPr>
            </w:pPr>
          </w:p>
        </w:tc>
        <w:tc>
          <w:tcPr>
            <w:tcW w:w="907" w:type="dxa"/>
            <w:shd w:val="clear" w:color="auto" w:fill="CFD6C0"/>
          </w:tcPr>
          <w:p>
            <w:pPr>
              <w:pStyle w:val="TableParagraph"/>
              <w:spacing w:before="34"/>
              <w:ind w:right="92"/>
              <w:jc w:val="right"/>
              <w:rPr>
                <w:sz w:val="18"/>
              </w:rPr>
            </w:pPr>
            <w:r>
              <w:rPr>
                <w:sz w:val="18"/>
              </w:rPr>
              <w:t>N/A</w:t>
            </w:r>
          </w:p>
        </w:tc>
        <w:tc>
          <w:tcPr>
            <w:tcW w:w="907" w:type="dxa"/>
            <w:shd w:val="clear" w:color="auto" w:fill="CFD6C0"/>
          </w:tcPr>
          <w:p>
            <w:pPr>
              <w:pStyle w:val="TableParagraph"/>
              <w:spacing w:before="34"/>
              <w:ind w:right="92"/>
              <w:jc w:val="right"/>
              <w:rPr>
                <w:sz w:val="18"/>
              </w:rPr>
            </w:pPr>
            <w:r>
              <w:rPr>
                <w:sz w:val="18"/>
              </w:rPr>
              <w:t>N/A</w:t>
            </w:r>
          </w:p>
        </w:tc>
        <w:tc>
          <w:tcPr>
            <w:tcW w:w="794" w:type="dxa"/>
            <w:shd w:val="clear" w:color="auto" w:fill="CFD6C0"/>
          </w:tcPr>
          <w:p>
            <w:pPr>
              <w:pStyle w:val="TableParagraph"/>
              <w:spacing w:before="34"/>
              <w:ind w:left="18"/>
              <w:jc w:val="center"/>
              <w:rPr>
                <w:sz w:val="18"/>
              </w:rPr>
            </w:pPr>
            <w:r>
              <w:rPr>
                <w:w w:val="111"/>
                <w:sz w:val="18"/>
              </w:rPr>
              <w:t>-</w:t>
            </w:r>
          </w:p>
        </w:tc>
      </w:tr>
      <w:tr>
        <w:trPr>
          <w:trHeight w:val="278" w:hRule="atLeast"/>
        </w:trPr>
        <w:tc>
          <w:tcPr>
            <w:tcW w:w="11906" w:type="dxa"/>
            <w:shd w:val="clear" w:color="auto" w:fill="B6AAB9"/>
          </w:tcPr>
          <w:p>
            <w:pPr>
              <w:pStyle w:val="TableParagraph"/>
              <w:spacing w:before="34"/>
              <w:ind w:left="113"/>
              <w:rPr>
                <w:sz w:val="18"/>
              </w:rPr>
            </w:pPr>
            <w:r>
              <w:rPr>
                <w:sz w:val="18"/>
              </w:rPr>
              <w:t>Percentage of significant projects in the New Buildings Program delivered within 10% of approved budget</w:t>
            </w:r>
          </w:p>
        </w:tc>
        <w:tc>
          <w:tcPr>
            <w:tcW w:w="794" w:type="dxa"/>
            <w:shd w:val="clear" w:color="auto" w:fill="B6AAB9"/>
          </w:tcPr>
          <w:p>
            <w:pPr>
              <w:pStyle w:val="TableParagraph"/>
              <w:spacing w:before="34"/>
              <w:ind w:left="18"/>
              <w:jc w:val="center"/>
              <w:rPr>
                <w:sz w:val="18"/>
              </w:rPr>
            </w:pPr>
            <w:r>
              <w:rPr>
                <w:w w:val="99"/>
                <w:sz w:val="18"/>
              </w:rPr>
              <w:t>%</w:t>
            </w:r>
          </w:p>
        </w:tc>
        <w:tc>
          <w:tcPr>
            <w:tcW w:w="907" w:type="dxa"/>
            <w:shd w:val="clear" w:color="auto" w:fill="B6AAB9"/>
          </w:tcPr>
          <w:p>
            <w:pPr>
              <w:pStyle w:val="TableParagraph"/>
              <w:spacing w:before="34"/>
              <w:ind w:right="92"/>
              <w:jc w:val="right"/>
              <w:rPr>
                <w:sz w:val="18"/>
              </w:rPr>
            </w:pPr>
            <w:r>
              <w:rPr>
                <w:w w:val="95"/>
                <w:sz w:val="18"/>
              </w:rPr>
              <w:t>100</w:t>
            </w:r>
          </w:p>
        </w:tc>
        <w:tc>
          <w:tcPr>
            <w:tcW w:w="907" w:type="dxa"/>
            <w:shd w:val="clear" w:color="auto" w:fill="B6AAB9"/>
          </w:tcPr>
          <w:p>
            <w:pPr>
              <w:pStyle w:val="TableParagraph"/>
              <w:spacing w:before="34"/>
              <w:ind w:right="92"/>
              <w:jc w:val="right"/>
              <w:rPr>
                <w:sz w:val="18"/>
              </w:rPr>
            </w:pPr>
            <w:r>
              <w:rPr>
                <w:w w:val="95"/>
                <w:sz w:val="18"/>
              </w:rPr>
              <w:t>100</w:t>
            </w:r>
          </w:p>
        </w:tc>
        <w:tc>
          <w:tcPr>
            <w:tcW w:w="794" w:type="dxa"/>
            <w:shd w:val="clear" w:color="auto" w:fill="B6AAB9"/>
          </w:tcPr>
          <w:p>
            <w:pPr>
              <w:pStyle w:val="TableParagraph"/>
              <w:spacing w:before="34"/>
              <w:ind w:left="160" w:right="142"/>
              <w:jc w:val="center"/>
              <w:rPr>
                <w:sz w:val="18"/>
              </w:rPr>
            </w:pPr>
            <w:hyperlink w:history="true" w:anchor="_bookmark43">
              <w:r>
                <w:rPr>
                  <w:color w:val="6F2770"/>
                  <w:sz w:val="18"/>
                  <w:u w:val="single" w:color="6F2770"/>
                </w:rPr>
                <w:t>104</w:t>
              </w:r>
            </w:hyperlink>
          </w:p>
        </w:tc>
      </w:tr>
      <w:tr>
        <w:trPr>
          <w:trHeight w:val="278" w:hRule="atLeast"/>
        </w:trPr>
        <w:tc>
          <w:tcPr>
            <w:tcW w:w="11906" w:type="dxa"/>
            <w:shd w:val="clear" w:color="auto" w:fill="B5C19E"/>
          </w:tcPr>
          <w:p>
            <w:pPr>
              <w:pStyle w:val="TableParagraph"/>
              <w:spacing w:before="34"/>
              <w:ind w:left="113"/>
              <w:rPr>
                <w:sz w:val="18"/>
              </w:rPr>
            </w:pPr>
            <w:r>
              <w:rPr>
                <w:sz w:val="18"/>
              </w:rPr>
              <w:t>Percentage of significant projects in the New Buildings Program delivered within approved:</w:t>
            </w:r>
          </w:p>
        </w:tc>
        <w:tc>
          <w:tcPr>
            <w:tcW w:w="794" w:type="dxa"/>
            <w:shd w:val="clear" w:color="auto" w:fill="B5C19E"/>
          </w:tcPr>
          <w:p>
            <w:pPr>
              <w:pStyle w:val="TableParagraph"/>
              <w:spacing w:before="0"/>
              <w:rPr>
                <w:rFonts w:ascii="Times New Roman"/>
                <w:sz w:val="16"/>
              </w:rPr>
            </w:pPr>
          </w:p>
        </w:tc>
        <w:tc>
          <w:tcPr>
            <w:tcW w:w="907" w:type="dxa"/>
            <w:shd w:val="clear" w:color="auto" w:fill="B5C19E"/>
          </w:tcPr>
          <w:p>
            <w:pPr>
              <w:pStyle w:val="TableParagraph"/>
              <w:spacing w:before="0"/>
              <w:rPr>
                <w:rFonts w:ascii="Times New Roman"/>
                <w:sz w:val="16"/>
              </w:rPr>
            </w:pPr>
          </w:p>
        </w:tc>
        <w:tc>
          <w:tcPr>
            <w:tcW w:w="907" w:type="dxa"/>
            <w:shd w:val="clear" w:color="auto" w:fill="B5C19E"/>
          </w:tcPr>
          <w:p>
            <w:pPr>
              <w:pStyle w:val="TableParagraph"/>
              <w:spacing w:before="0"/>
              <w:rPr>
                <w:rFonts w:ascii="Times New Roman"/>
                <w:sz w:val="16"/>
              </w:rPr>
            </w:pPr>
          </w:p>
        </w:tc>
        <w:tc>
          <w:tcPr>
            <w:tcW w:w="794" w:type="dxa"/>
            <w:shd w:val="clear" w:color="auto" w:fill="B5C19E"/>
          </w:tcPr>
          <w:p>
            <w:pPr>
              <w:pStyle w:val="TableParagraph"/>
              <w:spacing w:before="0"/>
              <w:rPr>
                <w:rFonts w:ascii="Times New Roman"/>
                <w:sz w:val="16"/>
              </w:rPr>
            </w:pPr>
          </w:p>
        </w:tc>
      </w:tr>
      <w:tr>
        <w:trPr>
          <w:trHeight w:val="278" w:hRule="atLeast"/>
        </w:trPr>
        <w:tc>
          <w:tcPr>
            <w:tcW w:w="11906" w:type="dxa"/>
            <w:shd w:val="clear" w:color="auto" w:fill="B5C19E"/>
          </w:tcPr>
          <w:p>
            <w:pPr>
              <w:pStyle w:val="TableParagraph"/>
              <w:spacing w:before="34"/>
              <w:ind w:left="363"/>
              <w:rPr>
                <w:sz w:val="18"/>
              </w:rPr>
            </w:pPr>
            <w:r>
              <w:rPr>
                <w:sz w:val="18"/>
              </w:rPr>
              <w:t>Budget</w:t>
            </w:r>
          </w:p>
        </w:tc>
        <w:tc>
          <w:tcPr>
            <w:tcW w:w="794" w:type="dxa"/>
            <w:shd w:val="clear" w:color="auto" w:fill="B5C19E"/>
          </w:tcPr>
          <w:p>
            <w:pPr>
              <w:pStyle w:val="TableParagraph"/>
              <w:spacing w:before="34"/>
              <w:ind w:left="18"/>
              <w:jc w:val="center"/>
              <w:rPr>
                <w:sz w:val="18"/>
              </w:rPr>
            </w:pPr>
            <w:r>
              <w:rPr>
                <w:w w:val="99"/>
                <w:sz w:val="18"/>
              </w:rPr>
              <w:t>%</w:t>
            </w:r>
          </w:p>
        </w:tc>
        <w:tc>
          <w:tcPr>
            <w:tcW w:w="907" w:type="dxa"/>
            <w:shd w:val="clear" w:color="auto" w:fill="B5C19E"/>
          </w:tcPr>
          <w:p>
            <w:pPr>
              <w:pStyle w:val="TableParagraph"/>
              <w:spacing w:before="34"/>
              <w:ind w:right="92"/>
              <w:jc w:val="right"/>
              <w:rPr>
                <w:sz w:val="18"/>
              </w:rPr>
            </w:pPr>
            <w:r>
              <w:rPr>
                <w:w w:val="95"/>
                <w:sz w:val="18"/>
              </w:rPr>
              <w:t>100</w:t>
            </w:r>
          </w:p>
        </w:tc>
        <w:tc>
          <w:tcPr>
            <w:tcW w:w="907" w:type="dxa"/>
            <w:shd w:val="clear" w:color="auto" w:fill="B5C19E"/>
          </w:tcPr>
          <w:p>
            <w:pPr>
              <w:pStyle w:val="TableParagraph"/>
              <w:spacing w:before="34"/>
              <w:ind w:right="92"/>
              <w:jc w:val="right"/>
              <w:rPr>
                <w:sz w:val="18"/>
              </w:rPr>
            </w:pPr>
            <w:r>
              <w:rPr>
                <w:w w:val="95"/>
                <w:sz w:val="18"/>
              </w:rPr>
              <w:t>100</w:t>
            </w:r>
          </w:p>
        </w:tc>
        <w:tc>
          <w:tcPr>
            <w:tcW w:w="794" w:type="dxa"/>
            <w:shd w:val="clear" w:color="auto" w:fill="B5C19E"/>
          </w:tcPr>
          <w:p>
            <w:pPr>
              <w:pStyle w:val="TableParagraph"/>
              <w:spacing w:before="34"/>
              <w:ind w:left="160" w:right="142"/>
              <w:jc w:val="center"/>
              <w:rPr>
                <w:sz w:val="18"/>
              </w:rPr>
            </w:pPr>
            <w:hyperlink w:history="true" w:anchor="_bookmark45">
              <w:r>
                <w:rPr>
                  <w:color w:val="6F2770"/>
                  <w:sz w:val="18"/>
                  <w:u w:val="single" w:color="6F2770"/>
                </w:rPr>
                <w:t>106</w:t>
              </w:r>
            </w:hyperlink>
          </w:p>
        </w:tc>
      </w:tr>
      <w:tr>
        <w:trPr>
          <w:trHeight w:val="278" w:hRule="atLeast"/>
        </w:trPr>
        <w:tc>
          <w:tcPr>
            <w:tcW w:w="11906" w:type="dxa"/>
            <w:shd w:val="clear" w:color="auto" w:fill="B5C19E"/>
          </w:tcPr>
          <w:p>
            <w:pPr>
              <w:pStyle w:val="TableParagraph"/>
              <w:spacing w:before="34"/>
              <w:ind w:left="363"/>
              <w:rPr>
                <w:sz w:val="10"/>
              </w:rPr>
            </w:pPr>
            <w:r>
              <w:rPr>
                <w:sz w:val="18"/>
              </w:rPr>
              <w:t>Timeframe </w:t>
            </w:r>
            <w:r>
              <w:rPr>
                <w:position w:val="6"/>
                <w:sz w:val="10"/>
              </w:rPr>
              <w:t>(b)</w:t>
            </w:r>
          </w:p>
        </w:tc>
        <w:tc>
          <w:tcPr>
            <w:tcW w:w="794" w:type="dxa"/>
            <w:shd w:val="clear" w:color="auto" w:fill="B5C19E"/>
          </w:tcPr>
          <w:p>
            <w:pPr>
              <w:pStyle w:val="TableParagraph"/>
              <w:spacing w:before="34"/>
              <w:ind w:left="18"/>
              <w:jc w:val="center"/>
              <w:rPr>
                <w:sz w:val="18"/>
              </w:rPr>
            </w:pPr>
            <w:r>
              <w:rPr>
                <w:w w:val="99"/>
                <w:sz w:val="18"/>
              </w:rPr>
              <w:t>%</w:t>
            </w:r>
          </w:p>
        </w:tc>
        <w:tc>
          <w:tcPr>
            <w:tcW w:w="907" w:type="dxa"/>
            <w:shd w:val="clear" w:color="auto" w:fill="B5C19E"/>
          </w:tcPr>
          <w:p>
            <w:pPr>
              <w:pStyle w:val="TableParagraph"/>
              <w:spacing w:before="34"/>
              <w:ind w:right="92"/>
              <w:jc w:val="right"/>
              <w:rPr>
                <w:sz w:val="18"/>
              </w:rPr>
            </w:pPr>
            <w:r>
              <w:rPr>
                <w:w w:val="95"/>
                <w:sz w:val="18"/>
              </w:rPr>
              <w:t>100</w:t>
            </w:r>
          </w:p>
        </w:tc>
        <w:tc>
          <w:tcPr>
            <w:tcW w:w="907" w:type="dxa"/>
            <w:shd w:val="clear" w:color="auto" w:fill="B5C19E"/>
          </w:tcPr>
          <w:p>
            <w:pPr>
              <w:pStyle w:val="TableParagraph"/>
              <w:spacing w:before="34"/>
              <w:ind w:right="92"/>
              <w:jc w:val="right"/>
              <w:rPr>
                <w:sz w:val="18"/>
              </w:rPr>
            </w:pPr>
            <w:r>
              <w:rPr>
                <w:w w:val="95"/>
                <w:sz w:val="18"/>
              </w:rPr>
              <w:t>50</w:t>
            </w:r>
          </w:p>
        </w:tc>
        <w:tc>
          <w:tcPr>
            <w:tcW w:w="794" w:type="dxa"/>
            <w:shd w:val="clear" w:color="auto" w:fill="B5C19E"/>
          </w:tcPr>
          <w:p>
            <w:pPr>
              <w:pStyle w:val="TableParagraph"/>
              <w:spacing w:before="34"/>
              <w:ind w:left="160" w:right="142"/>
              <w:jc w:val="center"/>
              <w:rPr>
                <w:sz w:val="18"/>
              </w:rPr>
            </w:pPr>
            <w:hyperlink w:history="true" w:anchor="_bookmark45">
              <w:r>
                <w:rPr>
                  <w:color w:val="6F2770"/>
                  <w:sz w:val="18"/>
                  <w:u w:val="single" w:color="6F2770"/>
                </w:rPr>
                <w:t>106</w:t>
              </w:r>
            </w:hyperlink>
          </w:p>
        </w:tc>
      </w:tr>
    </w:tbl>
    <w:p>
      <w:pPr>
        <w:pStyle w:val="ListParagraph"/>
        <w:numPr>
          <w:ilvl w:val="0"/>
          <w:numId w:val="1"/>
        </w:numPr>
        <w:tabs>
          <w:tab w:pos="919" w:val="left" w:leader="none"/>
        </w:tabs>
        <w:spacing w:line="240" w:lineRule="auto" w:before="23" w:after="0"/>
        <w:ind w:left="918" w:right="0" w:hanging="153"/>
        <w:jc w:val="left"/>
        <w:rPr>
          <w:sz w:val="12"/>
        </w:rPr>
      </w:pPr>
      <w:r>
        <w:rPr>
          <w:sz w:val="12"/>
        </w:rPr>
        <w:t>State Fleet’s profitability has exceeded the 2017-18 target due to better than forecast sales proceeds from the disposal of State Fleet</w:t>
      </w:r>
      <w:r>
        <w:rPr>
          <w:spacing w:val="-18"/>
          <w:sz w:val="12"/>
        </w:rPr>
        <w:t> </w:t>
      </w:r>
      <w:r>
        <w:rPr>
          <w:sz w:val="12"/>
        </w:rPr>
        <w:t>vehicles.</w:t>
      </w:r>
    </w:p>
    <w:p>
      <w:pPr>
        <w:pStyle w:val="ListParagraph"/>
        <w:numPr>
          <w:ilvl w:val="0"/>
          <w:numId w:val="1"/>
        </w:numPr>
        <w:tabs>
          <w:tab w:pos="926" w:val="left" w:leader="none"/>
        </w:tabs>
        <w:spacing w:line="240" w:lineRule="auto" w:before="6" w:after="0"/>
        <w:ind w:left="925" w:right="0" w:hanging="160"/>
        <w:jc w:val="left"/>
        <w:rPr>
          <w:sz w:val="12"/>
        </w:rPr>
      </w:pPr>
      <w:r>
        <w:rPr>
          <w:sz w:val="12"/>
        </w:rPr>
        <w:t>Five</w:t>
      </w:r>
      <w:r>
        <w:rPr>
          <w:spacing w:val="-2"/>
          <w:sz w:val="12"/>
        </w:rPr>
        <w:t> </w:t>
      </w:r>
      <w:r>
        <w:rPr>
          <w:sz w:val="12"/>
        </w:rPr>
        <w:t>of</w:t>
      </w:r>
      <w:r>
        <w:rPr>
          <w:spacing w:val="-2"/>
          <w:sz w:val="12"/>
        </w:rPr>
        <w:t> </w:t>
      </w:r>
      <w:r>
        <w:rPr>
          <w:sz w:val="12"/>
        </w:rPr>
        <w:t>the</w:t>
      </w:r>
      <w:r>
        <w:rPr>
          <w:spacing w:val="-2"/>
          <w:sz w:val="12"/>
        </w:rPr>
        <w:t> </w:t>
      </w:r>
      <w:r>
        <w:rPr>
          <w:sz w:val="12"/>
        </w:rPr>
        <w:t>ten</w:t>
      </w:r>
      <w:r>
        <w:rPr>
          <w:spacing w:val="-2"/>
          <w:sz w:val="12"/>
        </w:rPr>
        <w:t> </w:t>
      </w:r>
      <w:r>
        <w:rPr>
          <w:sz w:val="12"/>
        </w:rPr>
        <w:t>major</w:t>
      </w:r>
      <w:r>
        <w:rPr>
          <w:spacing w:val="-1"/>
          <w:sz w:val="12"/>
        </w:rPr>
        <w:t> </w:t>
      </w:r>
      <w:r>
        <w:rPr>
          <w:sz w:val="12"/>
        </w:rPr>
        <w:t>projects</w:t>
      </w:r>
      <w:r>
        <w:rPr>
          <w:spacing w:val="-2"/>
          <w:sz w:val="12"/>
        </w:rPr>
        <w:t> </w:t>
      </w:r>
      <w:r>
        <w:rPr>
          <w:sz w:val="12"/>
        </w:rPr>
        <w:t>overseen</w:t>
      </w:r>
      <w:r>
        <w:rPr>
          <w:spacing w:val="-2"/>
          <w:sz w:val="12"/>
        </w:rPr>
        <w:t> </w:t>
      </w:r>
      <w:r>
        <w:rPr>
          <w:sz w:val="12"/>
        </w:rPr>
        <w:t>by</w:t>
      </w:r>
      <w:r>
        <w:rPr>
          <w:spacing w:val="-2"/>
          <w:sz w:val="12"/>
        </w:rPr>
        <w:t> </w:t>
      </w:r>
      <w:r>
        <w:rPr>
          <w:sz w:val="12"/>
        </w:rPr>
        <w:t>Strategic</w:t>
      </w:r>
      <w:r>
        <w:rPr>
          <w:spacing w:val="-2"/>
          <w:sz w:val="12"/>
        </w:rPr>
        <w:t> </w:t>
      </w:r>
      <w:r>
        <w:rPr>
          <w:sz w:val="12"/>
        </w:rPr>
        <w:t>Projects</w:t>
      </w:r>
      <w:r>
        <w:rPr>
          <w:spacing w:val="-1"/>
          <w:sz w:val="12"/>
        </w:rPr>
        <w:t> </w:t>
      </w:r>
      <w:r>
        <w:rPr>
          <w:sz w:val="12"/>
        </w:rPr>
        <w:t>that</w:t>
      </w:r>
      <w:r>
        <w:rPr>
          <w:spacing w:val="-2"/>
          <w:sz w:val="12"/>
        </w:rPr>
        <w:t> </w:t>
      </w:r>
      <w:r>
        <w:rPr>
          <w:sz w:val="12"/>
        </w:rPr>
        <w:t>were</w:t>
      </w:r>
      <w:r>
        <w:rPr>
          <w:spacing w:val="-2"/>
          <w:sz w:val="12"/>
        </w:rPr>
        <w:t> </w:t>
      </w:r>
      <w:r>
        <w:rPr>
          <w:sz w:val="12"/>
        </w:rPr>
        <w:t>active</w:t>
      </w:r>
      <w:r>
        <w:rPr>
          <w:spacing w:val="-2"/>
          <w:sz w:val="12"/>
        </w:rPr>
        <w:t> </w:t>
      </w:r>
      <w:r>
        <w:rPr>
          <w:sz w:val="12"/>
        </w:rPr>
        <w:t>during</w:t>
      </w:r>
      <w:r>
        <w:rPr>
          <w:spacing w:val="-2"/>
          <w:sz w:val="12"/>
        </w:rPr>
        <w:t> </w:t>
      </w:r>
      <w:r>
        <w:rPr>
          <w:sz w:val="12"/>
        </w:rPr>
        <w:t>2017-18</w:t>
      </w:r>
      <w:r>
        <w:rPr>
          <w:spacing w:val="-1"/>
          <w:sz w:val="12"/>
        </w:rPr>
        <w:t> </w:t>
      </w:r>
      <w:r>
        <w:rPr>
          <w:sz w:val="12"/>
        </w:rPr>
        <w:t>have</w:t>
      </w:r>
      <w:r>
        <w:rPr>
          <w:spacing w:val="-2"/>
          <w:sz w:val="12"/>
        </w:rPr>
        <w:t> </w:t>
      </w:r>
      <w:r>
        <w:rPr>
          <w:sz w:val="12"/>
        </w:rPr>
        <w:t>been,</w:t>
      </w:r>
      <w:r>
        <w:rPr>
          <w:spacing w:val="-2"/>
          <w:sz w:val="12"/>
        </w:rPr>
        <w:t> </w:t>
      </w:r>
      <w:r>
        <w:rPr>
          <w:sz w:val="12"/>
        </w:rPr>
        <w:t>or</w:t>
      </w:r>
      <w:r>
        <w:rPr>
          <w:spacing w:val="-2"/>
          <w:sz w:val="12"/>
        </w:rPr>
        <w:t> </w:t>
      </w:r>
      <w:r>
        <w:rPr>
          <w:sz w:val="12"/>
        </w:rPr>
        <w:t>are</w:t>
      </w:r>
      <w:r>
        <w:rPr>
          <w:spacing w:val="-2"/>
          <w:sz w:val="12"/>
        </w:rPr>
        <w:t> </w:t>
      </w:r>
      <w:r>
        <w:rPr>
          <w:sz w:val="12"/>
        </w:rPr>
        <w:t>expected</w:t>
      </w:r>
      <w:r>
        <w:rPr>
          <w:spacing w:val="-1"/>
          <w:sz w:val="12"/>
        </w:rPr>
        <w:t> </w:t>
      </w:r>
      <w:r>
        <w:rPr>
          <w:sz w:val="12"/>
        </w:rPr>
        <w:t>to</w:t>
      </w:r>
      <w:r>
        <w:rPr>
          <w:spacing w:val="-2"/>
          <w:sz w:val="12"/>
        </w:rPr>
        <w:t> </w:t>
      </w:r>
      <w:r>
        <w:rPr>
          <w:sz w:val="12"/>
        </w:rPr>
        <w:t>be,</w:t>
      </w:r>
      <w:r>
        <w:rPr>
          <w:spacing w:val="-2"/>
          <w:sz w:val="12"/>
        </w:rPr>
        <w:t> </w:t>
      </w:r>
      <w:r>
        <w:rPr>
          <w:sz w:val="12"/>
        </w:rPr>
        <w:t>completed</w:t>
      </w:r>
      <w:r>
        <w:rPr>
          <w:spacing w:val="-2"/>
          <w:sz w:val="12"/>
        </w:rPr>
        <w:t> </w:t>
      </w:r>
      <w:r>
        <w:rPr>
          <w:sz w:val="12"/>
        </w:rPr>
        <w:t>within</w:t>
      </w:r>
      <w:r>
        <w:rPr>
          <w:spacing w:val="-2"/>
          <w:sz w:val="12"/>
        </w:rPr>
        <w:t> </w:t>
      </w:r>
      <w:r>
        <w:rPr>
          <w:sz w:val="12"/>
        </w:rPr>
        <w:t>approved</w:t>
      </w:r>
      <w:r>
        <w:rPr>
          <w:spacing w:val="-1"/>
          <w:sz w:val="12"/>
        </w:rPr>
        <w:t> </w:t>
      </w:r>
      <w:r>
        <w:rPr>
          <w:sz w:val="12"/>
        </w:rPr>
        <w:t>timeframes.</w:t>
      </w:r>
      <w:r>
        <w:rPr>
          <w:spacing w:val="-2"/>
          <w:sz w:val="12"/>
        </w:rPr>
        <w:t> </w:t>
      </w:r>
      <w:r>
        <w:rPr>
          <w:sz w:val="12"/>
        </w:rPr>
        <w:t>Further</w:t>
      </w:r>
      <w:r>
        <w:rPr>
          <w:spacing w:val="-2"/>
          <w:sz w:val="12"/>
        </w:rPr>
        <w:t> </w:t>
      </w:r>
      <w:r>
        <w:rPr>
          <w:sz w:val="12"/>
        </w:rPr>
        <w:t>information</w:t>
      </w:r>
      <w:r>
        <w:rPr>
          <w:spacing w:val="-2"/>
          <w:sz w:val="12"/>
        </w:rPr>
        <w:t> </w:t>
      </w:r>
      <w:r>
        <w:rPr>
          <w:sz w:val="12"/>
        </w:rPr>
        <w:t>available</w:t>
      </w:r>
      <w:r>
        <w:rPr>
          <w:spacing w:val="-2"/>
          <w:sz w:val="12"/>
        </w:rPr>
        <w:t> </w:t>
      </w:r>
      <w:r>
        <w:rPr>
          <w:sz w:val="12"/>
        </w:rPr>
        <w:t>on</w:t>
      </w:r>
      <w:r>
        <w:rPr>
          <w:spacing w:val="-1"/>
          <w:sz w:val="12"/>
        </w:rPr>
        <w:t> </w:t>
      </w:r>
      <w:r>
        <w:rPr>
          <w:sz w:val="12"/>
        </w:rPr>
        <w:t>Page</w:t>
      </w:r>
      <w:r>
        <w:rPr>
          <w:color w:val="6F2770"/>
          <w:spacing w:val="-2"/>
          <w:sz w:val="12"/>
        </w:rPr>
        <w:t> </w:t>
      </w:r>
      <w:hyperlink w:history="true" w:anchor="_bookmark45">
        <w:r>
          <w:rPr>
            <w:color w:val="6F2770"/>
            <w:sz w:val="12"/>
            <w:u w:val="single" w:color="6F2770"/>
          </w:rPr>
          <w:t>106</w:t>
        </w:r>
      </w:hyperlink>
      <w:r>
        <w:rPr>
          <w:sz w:val="12"/>
        </w:rPr>
        <w:t>.</w:t>
      </w:r>
    </w:p>
    <w:p>
      <w:pPr>
        <w:pStyle w:val="BodyText"/>
        <w:spacing w:before="5"/>
        <w:rPr>
          <w:sz w:val="18"/>
        </w:rPr>
      </w:pPr>
    </w:p>
    <w:p>
      <w:pPr>
        <w:spacing w:before="0" w:after="35"/>
        <w:ind w:left="785" w:right="0" w:firstLine="0"/>
        <w:jc w:val="left"/>
        <w:rPr>
          <w:b/>
          <w:sz w:val="19"/>
        </w:rPr>
      </w:pPr>
      <w:r>
        <w:rPr>
          <w:b/>
          <w:sz w:val="19"/>
        </w:rPr>
        <w:t>Service</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906"/>
        <w:gridCol w:w="794"/>
        <w:gridCol w:w="907"/>
        <w:gridCol w:w="907"/>
        <w:gridCol w:w="794"/>
      </w:tblGrid>
      <w:tr>
        <w:trPr>
          <w:trHeight w:val="278" w:hRule="atLeast"/>
        </w:trPr>
        <w:tc>
          <w:tcPr>
            <w:tcW w:w="11906" w:type="dxa"/>
            <w:shd w:val="clear" w:color="auto" w:fill="783A79"/>
          </w:tcPr>
          <w:p>
            <w:pPr>
              <w:pStyle w:val="TableParagraph"/>
              <w:spacing w:before="34"/>
              <w:ind w:left="113"/>
              <w:rPr>
                <w:b/>
                <w:sz w:val="18"/>
              </w:rPr>
            </w:pPr>
            <w:r>
              <w:rPr>
                <w:b/>
                <w:color w:val="FFFFFF"/>
                <w:sz w:val="18"/>
              </w:rPr>
              <w:t>Key Efficiency Indicator</w:t>
            </w:r>
          </w:p>
        </w:tc>
        <w:tc>
          <w:tcPr>
            <w:tcW w:w="794" w:type="dxa"/>
            <w:shd w:val="clear" w:color="auto" w:fill="783A79"/>
          </w:tcPr>
          <w:p>
            <w:pPr>
              <w:pStyle w:val="TableParagraph"/>
              <w:spacing w:before="34"/>
              <w:ind w:left="160" w:right="142"/>
              <w:jc w:val="center"/>
              <w:rPr>
                <w:b/>
                <w:sz w:val="18"/>
              </w:rPr>
            </w:pPr>
            <w:r>
              <w:rPr>
                <w:b/>
                <w:color w:val="FFFFFF"/>
                <w:sz w:val="18"/>
              </w:rPr>
              <w:t>Unit</w:t>
            </w:r>
          </w:p>
        </w:tc>
        <w:tc>
          <w:tcPr>
            <w:tcW w:w="907" w:type="dxa"/>
            <w:shd w:val="clear" w:color="auto" w:fill="783A79"/>
          </w:tcPr>
          <w:p>
            <w:pPr>
              <w:pStyle w:val="TableParagraph"/>
              <w:spacing w:before="34"/>
              <w:ind w:right="92"/>
              <w:jc w:val="right"/>
              <w:rPr>
                <w:b/>
                <w:sz w:val="18"/>
              </w:rPr>
            </w:pPr>
            <w:r>
              <w:rPr>
                <w:b/>
                <w:color w:val="FFFFFF"/>
                <w:sz w:val="18"/>
              </w:rPr>
              <w:t>Target</w:t>
            </w:r>
          </w:p>
        </w:tc>
        <w:tc>
          <w:tcPr>
            <w:tcW w:w="907" w:type="dxa"/>
            <w:shd w:val="clear" w:color="auto" w:fill="783A79"/>
          </w:tcPr>
          <w:p>
            <w:pPr>
              <w:pStyle w:val="TableParagraph"/>
              <w:spacing w:before="34"/>
              <w:ind w:right="92"/>
              <w:jc w:val="right"/>
              <w:rPr>
                <w:b/>
                <w:sz w:val="18"/>
              </w:rPr>
            </w:pPr>
            <w:r>
              <w:rPr>
                <w:b/>
                <w:color w:val="FFFFFF"/>
                <w:w w:val="95"/>
                <w:sz w:val="18"/>
              </w:rPr>
              <w:t>Actual</w:t>
            </w:r>
          </w:p>
        </w:tc>
        <w:tc>
          <w:tcPr>
            <w:tcW w:w="794" w:type="dxa"/>
            <w:shd w:val="clear" w:color="auto" w:fill="783A79"/>
          </w:tcPr>
          <w:p>
            <w:pPr>
              <w:pStyle w:val="TableParagraph"/>
              <w:spacing w:before="34"/>
              <w:ind w:left="160" w:right="142"/>
              <w:jc w:val="center"/>
              <w:rPr>
                <w:b/>
                <w:sz w:val="18"/>
              </w:rPr>
            </w:pPr>
            <w:r>
              <w:rPr>
                <w:b/>
                <w:color w:val="FFFFFF"/>
                <w:sz w:val="18"/>
              </w:rPr>
              <w:t>Page</w:t>
            </w:r>
          </w:p>
        </w:tc>
      </w:tr>
      <w:tr>
        <w:trPr>
          <w:trHeight w:val="278" w:hRule="atLeast"/>
        </w:trPr>
        <w:tc>
          <w:tcPr>
            <w:tcW w:w="11906" w:type="dxa"/>
            <w:shd w:val="clear" w:color="auto" w:fill="E4E7DB"/>
          </w:tcPr>
          <w:p>
            <w:pPr>
              <w:pStyle w:val="TableParagraph"/>
              <w:spacing w:before="34"/>
              <w:ind w:left="113"/>
              <w:rPr>
                <w:sz w:val="18"/>
              </w:rPr>
            </w:pPr>
            <w:r>
              <w:rPr>
                <w:sz w:val="18"/>
              </w:rPr>
              <w:t>Cost per $100 of revenue raised</w:t>
            </w:r>
          </w:p>
        </w:tc>
        <w:tc>
          <w:tcPr>
            <w:tcW w:w="794" w:type="dxa"/>
            <w:shd w:val="clear" w:color="auto" w:fill="E4E7DB"/>
          </w:tcPr>
          <w:p>
            <w:pPr>
              <w:pStyle w:val="TableParagraph"/>
              <w:spacing w:before="34"/>
              <w:ind w:left="18"/>
              <w:jc w:val="center"/>
              <w:rPr>
                <w:sz w:val="18"/>
              </w:rPr>
            </w:pPr>
            <w:r>
              <w:rPr>
                <w:w w:val="99"/>
                <w:sz w:val="18"/>
              </w:rPr>
              <w:t>$</w:t>
            </w:r>
          </w:p>
        </w:tc>
        <w:tc>
          <w:tcPr>
            <w:tcW w:w="907" w:type="dxa"/>
            <w:shd w:val="clear" w:color="auto" w:fill="E4E7DB"/>
          </w:tcPr>
          <w:p>
            <w:pPr>
              <w:pStyle w:val="TableParagraph"/>
              <w:spacing w:before="34"/>
              <w:ind w:right="92"/>
              <w:jc w:val="right"/>
              <w:rPr>
                <w:sz w:val="18"/>
              </w:rPr>
            </w:pPr>
            <w:r>
              <w:rPr>
                <w:w w:val="95"/>
                <w:sz w:val="18"/>
              </w:rPr>
              <w:t>0.85</w:t>
            </w:r>
          </w:p>
        </w:tc>
        <w:tc>
          <w:tcPr>
            <w:tcW w:w="907" w:type="dxa"/>
            <w:shd w:val="clear" w:color="auto" w:fill="E4E7DB"/>
          </w:tcPr>
          <w:p>
            <w:pPr>
              <w:pStyle w:val="TableParagraph"/>
              <w:spacing w:before="34"/>
              <w:ind w:right="92"/>
              <w:jc w:val="right"/>
              <w:rPr>
                <w:sz w:val="18"/>
              </w:rPr>
            </w:pPr>
            <w:r>
              <w:rPr>
                <w:w w:val="95"/>
                <w:sz w:val="18"/>
              </w:rPr>
              <w:t>0.83</w:t>
            </w:r>
          </w:p>
        </w:tc>
        <w:tc>
          <w:tcPr>
            <w:tcW w:w="794" w:type="dxa"/>
            <w:shd w:val="clear" w:color="auto" w:fill="E4E7DB"/>
          </w:tcPr>
          <w:p>
            <w:pPr>
              <w:pStyle w:val="TableParagraph"/>
              <w:spacing w:before="34"/>
              <w:ind w:left="160" w:right="142"/>
              <w:jc w:val="center"/>
              <w:rPr>
                <w:sz w:val="18"/>
              </w:rPr>
            </w:pPr>
            <w:hyperlink w:history="true" w:anchor="_bookmark40">
              <w:r>
                <w:rPr>
                  <w:color w:val="6F2770"/>
                  <w:sz w:val="18"/>
                  <w:u w:val="single" w:color="6F2770"/>
                </w:rPr>
                <w:t>101</w:t>
              </w:r>
            </w:hyperlink>
          </w:p>
        </w:tc>
      </w:tr>
      <w:tr>
        <w:trPr>
          <w:trHeight w:val="278" w:hRule="atLeast"/>
        </w:trPr>
        <w:tc>
          <w:tcPr>
            <w:tcW w:w="11906" w:type="dxa"/>
            <w:shd w:val="clear" w:color="auto" w:fill="E4E7DB"/>
          </w:tcPr>
          <w:p>
            <w:pPr>
              <w:pStyle w:val="TableParagraph"/>
              <w:spacing w:before="34"/>
              <w:ind w:left="113"/>
              <w:rPr>
                <w:sz w:val="10"/>
              </w:rPr>
            </w:pPr>
            <w:r>
              <w:rPr>
                <w:sz w:val="18"/>
              </w:rPr>
              <w:t>Average cost per application/claim processed </w:t>
            </w:r>
            <w:r>
              <w:rPr>
                <w:position w:val="6"/>
                <w:sz w:val="10"/>
              </w:rPr>
              <w:t>(c)</w:t>
            </w:r>
          </w:p>
        </w:tc>
        <w:tc>
          <w:tcPr>
            <w:tcW w:w="794" w:type="dxa"/>
            <w:shd w:val="clear" w:color="auto" w:fill="E4E7DB"/>
          </w:tcPr>
          <w:p>
            <w:pPr>
              <w:pStyle w:val="TableParagraph"/>
              <w:spacing w:before="34"/>
              <w:ind w:left="18"/>
              <w:jc w:val="center"/>
              <w:rPr>
                <w:sz w:val="18"/>
              </w:rPr>
            </w:pPr>
            <w:r>
              <w:rPr>
                <w:w w:val="99"/>
                <w:sz w:val="18"/>
              </w:rPr>
              <w:t>$</w:t>
            </w:r>
          </w:p>
        </w:tc>
        <w:tc>
          <w:tcPr>
            <w:tcW w:w="907" w:type="dxa"/>
            <w:shd w:val="clear" w:color="auto" w:fill="E4E7DB"/>
          </w:tcPr>
          <w:p>
            <w:pPr>
              <w:pStyle w:val="TableParagraph"/>
              <w:spacing w:before="34"/>
              <w:ind w:right="92"/>
              <w:jc w:val="right"/>
              <w:rPr>
                <w:sz w:val="18"/>
              </w:rPr>
            </w:pPr>
            <w:r>
              <w:rPr>
                <w:w w:val="95"/>
                <w:sz w:val="18"/>
              </w:rPr>
              <w:t>10.53</w:t>
            </w:r>
          </w:p>
        </w:tc>
        <w:tc>
          <w:tcPr>
            <w:tcW w:w="907" w:type="dxa"/>
            <w:shd w:val="clear" w:color="auto" w:fill="E4E7DB"/>
          </w:tcPr>
          <w:p>
            <w:pPr>
              <w:pStyle w:val="TableParagraph"/>
              <w:spacing w:before="34"/>
              <w:ind w:right="92"/>
              <w:jc w:val="right"/>
              <w:rPr>
                <w:sz w:val="18"/>
              </w:rPr>
            </w:pPr>
            <w:r>
              <w:rPr>
                <w:w w:val="95"/>
                <w:sz w:val="18"/>
              </w:rPr>
              <w:t>10.84</w:t>
            </w:r>
          </w:p>
        </w:tc>
        <w:tc>
          <w:tcPr>
            <w:tcW w:w="794" w:type="dxa"/>
            <w:shd w:val="clear" w:color="auto" w:fill="E4E7DB"/>
          </w:tcPr>
          <w:p>
            <w:pPr>
              <w:pStyle w:val="TableParagraph"/>
              <w:spacing w:before="34"/>
              <w:ind w:left="160" w:right="142"/>
              <w:jc w:val="center"/>
              <w:rPr>
                <w:sz w:val="18"/>
              </w:rPr>
            </w:pPr>
            <w:hyperlink w:history="true" w:anchor="_bookmark40">
              <w:r>
                <w:rPr>
                  <w:color w:val="6F2770"/>
                  <w:sz w:val="18"/>
                  <w:u w:val="single" w:color="6F2770"/>
                </w:rPr>
                <w:t>101</w:t>
              </w:r>
            </w:hyperlink>
          </w:p>
        </w:tc>
      </w:tr>
      <w:tr>
        <w:trPr>
          <w:trHeight w:val="278" w:hRule="atLeast"/>
        </w:trPr>
        <w:tc>
          <w:tcPr>
            <w:tcW w:w="11906" w:type="dxa"/>
            <w:shd w:val="clear" w:color="auto" w:fill="D5CED6"/>
          </w:tcPr>
          <w:p>
            <w:pPr>
              <w:pStyle w:val="TableParagraph"/>
              <w:spacing w:before="34"/>
              <w:ind w:left="113"/>
              <w:rPr>
                <w:sz w:val="18"/>
              </w:rPr>
            </w:pPr>
            <w:r>
              <w:rPr>
                <w:sz w:val="18"/>
              </w:rPr>
              <w:t>Cost of facilitating the development and management of agency specific contracts as a percentage of the contract award value</w:t>
            </w:r>
          </w:p>
        </w:tc>
        <w:tc>
          <w:tcPr>
            <w:tcW w:w="794" w:type="dxa"/>
            <w:shd w:val="clear" w:color="auto" w:fill="D5CED6"/>
          </w:tcPr>
          <w:p>
            <w:pPr>
              <w:pStyle w:val="TableParagraph"/>
              <w:spacing w:before="34"/>
              <w:ind w:left="18"/>
              <w:jc w:val="center"/>
              <w:rPr>
                <w:sz w:val="18"/>
              </w:rPr>
            </w:pPr>
            <w:r>
              <w:rPr>
                <w:w w:val="99"/>
                <w:sz w:val="18"/>
              </w:rPr>
              <w:t>%</w:t>
            </w:r>
          </w:p>
        </w:tc>
        <w:tc>
          <w:tcPr>
            <w:tcW w:w="907" w:type="dxa"/>
            <w:shd w:val="clear" w:color="auto" w:fill="D5CED6"/>
          </w:tcPr>
          <w:p>
            <w:pPr>
              <w:pStyle w:val="TableParagraph"/>
              <w:spacing w:before="34"/>
              <w:ind w:right="92"/>
              <w:jc w:val="right"/>
              <w:rPr>
                <w:sz w:val="18"/>
              </w:rPr>
            </w:pPr>
            <w:r>
              <w:rPr>
                <w:w w:val="95"/>
                <w:sz w:val="18"/>
              </w:rPr>
              <w:t>1.7</w:t>
            </w:r>
          </w:p>
        </w:tc>
        <w:tc>
          <w:tcPr>
            <w:tcW w:w="907" w:type="dxa"/>
            <w:shd w:val="clear" w:color="auto" w:fill="D5CED6"/>
          </w:tcPr>
          <w:p>
            <w:pPr>
              <w:pStyle w:val="TableParagraph"/>
              <w:spacing w:before="34"/>
              <w:ind w:right="92"/>
              <w:jc w:val="right"/>
              <w:rPr>
                <w:sz w:val="18"/>
              </w:rPr>
            </w:pPr>
            <w:r>
              <w:rPr>
                <w:w w:val="95"/>
                <w:sz w:val="18"/>
              </w:rPr>
              <w:t>1.6</w:t>
            </w:r>
          </w:p>
        </w:tc>
        <w:tc>
          <w:tcPr>
            <w:tcW w:w="794" w:type="dxa"/>
            <w:shd w:val="clear" w:color="auto" w:fill="D5CED6"/>
          </w:tcPr>
          <w:p>
            <w:pPr>
              <w:pStyle w:val="TableParagraph"/>
              <w:spacing w:before="34"/>
              <w:ind w:left="160" w:right="142"/>
              <w:jc w:val="center"/>
              <w:rPr>
                <w:sz w:val="18"/>
              </w:rPr>
            </w:pPr>
            <w:hyperlink w:history="true" w:anchor="_bookmark42">
              <w:r>
                <w:rPr>
                  <w:color w:val="6F2770"/>
                  <w:sz w:val="18"/>
                  <w:u w:val="single" w:color="6F2770"/>
                </w:rPr>
                <w:t>103</w:t>
              </w:r>
            </w:hyperlink>
          </w:p>
        </w:tc>
      </w:tr>
      <w:tr>
        <w:trPr>
          <w:trHeight w:val="278" w:hRule="atLeast"/>
        </w:trPr>
        <w:tc>
          <w:tcPr>
            <w:tcW w:w="11906" w:type="dxa"/>
            <w:shd w:val="clear" w:color="auto" w:fill="D5CED6"/>
          </w:tcPr>
          <w:p>
            <w:pPr>
              <w:pStyle w:val="TableParagraph"/>
              <w:spacing w:before="34"/>
              <w:ind w:left="113"/>
              <w:rPr>
                <w:sz w:val="10"/>
              </w:rPr>
            </w:pPr>
            <w:r>
              <w:rPr>
                <w:sz w:val="18"/>
              </w:rPr>
              <w:t>Average administrative cost per vehicle for financing and managing the State Fleet service </w:t>
            </w:r>
            <w:r>
              <w:rPr>
                <w:position w:val="6"/>
                <w:sz w:val="10"/>
              </w:rPr>
              <w:t>(d)</w:t>
            </w:r>
          </w:p>
        </w:tc>
        <w:tc>
          <w:tcPr>
            <w:tcW w:w="794" w:type="dxa"/>
            <w:shd w:val="clear" w:color="auto" w:fill="D5CED6"/>
          </w:tcPr>
          <w:p>
            <w:pPr>
              <w:pStyle w:val="TableParagraph"/>
              <w:spacing w:before="34"/>
              <w:ind w:left="18"/>
              <w:jc w:val="center"/>
              <w:rPr>
                <w:sz w:val="18"/>
              </w:rPr>
            </w:pPr>
            <w:r>
              <w:rPr>
                <w:w w:val="99"/>
                <w:sz w:val="18"/>
              </w:rPr>
              <w:t>$</w:t>
            </w:r>
          </w:p>
        </w:tc>
        <w:tc>
          <w:tcPr>
            <w:tcW w:w="907" w:type="dxa"/>
            <w:shd w:val="clear" w:color="auto" w:fill="D5CED6"/>
          </w:tcPr>
          <w:p>
            <w:pPr>
              <w:pStyle w:val="TableParagraph"/>
              <w:spacing w:before="34"/>
              <w:ind w:right="92"/>
              <w:jc w:val="right"/>
              <w:rPr>
                <w:sz w:val="18"/>
              </w:rPr>
            </w:pPr>
            <w:r>
              <w:rPr>
                <w:w w:val="95"/>
                <w:sz w:val="18"/>
              </w:rPr>
              <w:t>118</w:t>
            </w:r>
          </w:p>
        </w:tc>
        <w:tc>
          <w:tcPr>
            <w:tcW w:w="907" w:type="dxa"/>
            <w:shd w:val="clear" w:color="auto" w:fill="D5CED6"/>
          </w:tcPr>
          <w:p>
            <w:pPr>
              <w:pStyle w:val="TableParagraph"/>
              <w:spacing w:before="34"/>
              <w:ind w:right="92"/>
              <w:jc w:val="right"/>
              <w:rPr>
                <w:sz w:val="18"/>
              </w:rPr>
            </w:pPr>
            <w:r>
              <w:rPr>
                <w:w w:val="95"/>
                <w:sz w:val="18"/>
              </w:rPr>
              <w:t>112</w:t>
            </w:r>
          </w:p>
        </w:tc>
        <w:tc>
          <w:tcPr>
            <w:tcW w:w="794" w:type="dxa"/>
            <w:shd w:val="clear" w:color="auto" w:fill="D5CED6"/>
          </w:tcPr>
          <w:p>
            <w:pPr>
              <w:pStyle w:val="TableParagraph"/>
              <w:spacing w:before="34"/>
              <w:ind w:left="160" w:right="142"/>
              <w:jc w:val="center"/>
              <w:rPr>
                <w:sz w:val="18"/>
              </w:rPr>
            </w:pPr>
            <w:hyperlink w:history="true" w:anchor="_bookmark42">
              <w:r>
                <w:rPr>
                  <w:color w:val="6F2770"/>
                  <w:sz w:val="18"/>
                  <w:u w:val="single" w:color="6F2770"/>
                </w:rPr>
                <w:t>103</w:t>
              </w:r>
            </w:hyperlink>
          </w:p>
        </w:tc>
      </w:tr>
      <w:tr>
        <w:trPr>
          <w:trHeight w:val="494" w:hRule="atLeast"/>
        </w:trPr>
        <w:tc>
          <w:tcPr>
            <w:tcW w:w="11906" w:type="dxa"/>
            <w:shd w:val="clear" w:color="auto" w:fill="D5CED6"/>
          </w:tcPr>
          <w:p>
            <w:pPr>
              <w:pStyle w:val="TableParagraph"/>
              <w:spacing w:line="249" w:lineRule="auto" w:before="34"/>
              <w:ind w:left="113" w:right="218"/>
              <w:rPr>
                <w:sz w:val="10"/>
              </w:rPr>
            </w:pPr>
            <w:r>
              <w:rPr>
                <w:sz w:val="18"/>
              </w:rPr>
              <w:t>Cost</w:t>
            </w:r>
            <w:r>
              <w:rPr>
                <w:spacing w:val="-17"/>
                <w:sz w:val="18"/>
              </w:rPr>
              <w:t> </w:t>
            </w:r>
            <w:r>
              <w:rPr>
                <w:sz w:val="18"/>
              </w:rPr>
              <w:t>of</w:t>
            </w:r>
            <w:r>
              <w:rPr>
                <w:spacing w:val="-16"/>
                <w:sz w:val="18"/>
              </w:rPr>
              <w:t> </w:t>
            </w:r>
            <w:r>
              <w:rPr>
                <w:sz w:val="18"/>
              </w:rPr>
              <w:t>developing</w:t>
            </w:r>
            <w:r>
              <w:rPr>
                <w:spacing w:val="-16"/>
                <w:sz w:val="18"/>
              </w:rPr>
              <w:t> </w:t>
            </w:r>
            <w:r>
              <w:rPr>
                <w:sz w:val="18"/>
              </w:rPr>
              <w:t>and</w:t>
            </w:r>
            <w:r>
              <w:rPr>
                <w:spacing w:val="-16"/>
                <w:sz w:val="18"/>
              </w:rPr>
              <w:t> </w:t>
            </w:r>
            <w:r>
              <w:rPr>
                <w:sz w:val="18"/>
              </w:rPr>
              <w:t>managing</w:t>
            </w:r>
            <w:r>
              <w:rPr>
                <w:spacing w:val="-16"/>
                <w:sz w:val="18"/>
              </w:rPr>
              <w:t> </w:t>
            </w:r>
            <w:r>
              <w:rPr>
                <w:sz w:val="18"/>
              </w:rPr>
              <w:t>whole-of-government</w:t>
            </w:r>
            <w:r>
              <w:rPr>
                <w:spacing w:val="-16"/>
                <w:sz w:val="18"/>
              </w:rPr>
              <w:t> </w:t>
            </w:r>
            <w:r>
              <w:rPr>
                <w:sz w:val="18"/>
              </w:rPr>
              <w:t>Common</w:t>
            </w:r>
            <w:r>
              <w:rPr>
                <w:spacing w:val="-16"/>
                <w:sz w:val="18"/>
              </w:rPr>
              <w:t> </w:t>
            </w:r>
            <w:r>
              <w:rPr>
                <w:sz w:val="18"/>
              </w:rPr>
              <w:t>Use</w:t>
            </w:r>
            <w:r>
              <w:rPr>
                <w:spacing w:val="-16"/>
                <w:sz w:val="18"/>
              </w:rPr>
              <w:t> </w:t>
            </w:r>
            <w:r>
              <w:rPr>
                <w:sz w:val="18"/>
              </w:rPr>
              <w:t>Contract</w:t>
            </w:r>
            <w:r>
              <w:rPr>
                <w:spacing w:val="-16"/>
                <w:sz w:val="18"/>
              </w:rPr>
              <w:t> </w:t>
            </w:r>
            <w:r>
              <w:rPr>
                <w:sz w:val="18"/>
              </w:rPr>
              <w:t>Arrangements</w:t>
            </w:r>
            <w:r>
              <w:rPr>
                <w:spacing w:val="-16"/>
                <w:sz w:val="18"/>
              </w:rPr>
              <w:t> </w:t>
            </w:r>
            <w:r>
              <w:rPr>
                <w:sz w:val="18"/>
              </w:rPr>
              <w:t>as</w:t>
            </w:r>
            <w:r>
              <w:rPr>
                <w:spacing w:val="-16"/>
                <w:sz w:val="18"/>
              </w:rPr>
              <w:t> </w:t>
            </w:r>
            <w:r>
              <w:rPr>
                <w:sz w:val="18"/>
              </w:rPr>
              <w:t>a</w:t>
            </w:r>
            <w:r>
              <w:rPr>
                <w:spacing w:val="-16"/>
                <w:sz w:val="18"/>
              </w:rPr>
              <w:t> </w:t>
            </w:r>
            <w:r>
              <w:rPr>
                <w:sz w:val="18"/>
              </w:rPr>
              <w:t>percentage</w:t>
            </w:r>
            <w:r>
              <w:rPr>
                <w:spacing w:val="-16"/>
                <w:sz w:val="18"/>
              </w:rPr>
              <w:t> </w:t>
            </w:r>
            <w:r>
              <w:rPr>
                <w:sz w:val="18"/>
              </w:rPr>
              <w:t>of</w:t>
            </w:r>
            <w:r>
              <w:rPr>
                <w:spacing w:val="-16"/>
                <w:sz w:val="18"/>
              </w:rPr>
              <w:t> </w:t>
            </w:r>
            <w:r>
              <w:rPr>
                <w:sz w:val="18"/>
              </w:rPr>
              <w:t>the</w:t>
            </w:r>
            <w:r>
              <w:rPr>
                <w:spacing w:val="-16"/>
                <w:sz w:val="18"/>
              </w:rPr>
              <w:t> </w:t>
            </w:r>
            <w:r>
              <w:rPr>
                <w:sz w:val="18"/>
              </w:rPr>
              <w:t>total</w:t>
            </w:r>
            <w:r>
              <w:rPr>
                <w:spacing w:val="-16"/>
                <w:sz w:val="18"/>
              </w:rPr>
              <w:t> </w:t>
            </w:r>
            <w:r>
              <w:rPr>
                <w:sz w:val="18"/>
              </w:rPr>
              <w:t>annual</w:t>
            </w:r>
            <w:r>
              <w:rPr>
                <w:spacing w:val="-16"/>
                <w:sz w:val="18"/>
              </w:rPr>
              <w:t> </w:t>
            </w:r>
            <w:r>
              <w:rPr>
                <w:sz w:val="18"/>
              </w:rPr>
              <w:t>value</w:t>
            </w:r>
            <w:r>
              <w:rPr>
                <w:spacing w:val="-16"/>
                <w:sz w:val="18"/>
              </w:rPr>
              <w:t> </w:t>
            </w:r>
            <w:r>
              <w:rPr>
                <w:sz w:val="18"/>
              </w:rPr>
              <w:t>of</w:t>
            </w:r>
            <w:r>
              <w:rPr>
                <w:spacing w:val="-16"/>
                <w:sz w:val="18"/>
              </w:rPr>
              <w:t> </w:t>
            </w:r>
            <w:r>
              <w:rPr>
                <w:spacing w:val="-3"/>
                <w:sz w:val="18"/>
              </w:rPr>
              <w:t>purchases </w:t>
            </w:r>
            <w:r>
              <w:rPr>
                <w:sz w:val="18"/>
              </w:rPr>
              <w:t>through the arrangements</w:t>
            </w:r>
            <w:r>
              <w:rPr>
                <w:spacing w:val="-2"/>
                <w:sz w:val="18"/>
              </w:rPr>
              <w:t> </w:t>
            </w:r>
            <w:r>
              <w:rPr>
                <w:position w:val="6"/>
                <w:sz w:val="10"/>
              </w:rPr>
              <w:t>(e)</w:t>
            </w:r>
          </w:p>
        </w:tc>
        <w:tc>
          <w:tcPr>
            <w:tcW w:w="794" w:type="dxa"/>
            <w:shd w:val="clear" w:color="auto" w:fill="D5CED6"/>
          </w:tcPr>
          <w:p>
            <w:pPr>
              <w:pStyle w:val="TableParagraph"/>
              <w:spacing w:before="34"/>
              <w:ind w:left="18"/>
              <w:jc w:val="center"/>
              <w:rPr>
                <w:sz w:val="18"/>
              </w:rPr>
            </w:pPr>
            <w:r>
              <w:rPr>
                <w:w w:val="99"/>
                <w:sz w:val="18"/>
              </w:rPr>
              <w:t>%</w:t>
            </w:r>
          </w:p>
        </w:tc>
        <w:tc>
          <w:tcPr>
            <w:tcW w:w="907" w:type="dxa"/>
            <w:shd w:val="clear" w:color="auto" w:fill="D5CED6"/>
          </w:tcPr>
          <w:p>
            <w:pPr>
              <w:pStyle w:val="TableParagraph"/>
              <w:spacing w:before="34"/>
              <w:ind w:right="92"/>
              <w:jc w:val="right"/>
              <w:rPr>
                <w:sz w:val="18"/>
              </w:rPr>
            </w:pPr>
            <w:r>
              <w:rPr>
                <w:w w:val="95"/>
                <w:sz w:val="18"/>
              </w:rPr>
              <w:t>1.5</w:t>
            </w:r>
          </w:p>
        </w:tc>
        <w:tc>
          <w:tcPr>
            <w:tcW w:w="907" w:type="dxa"/>
            <w:shd w:val="clear" w:color="auto" w:fill="D5CED6"/>
          </w:tcPr>
          <w:p>
            <w:pPr>
              <w:pStyle w:val="TableParagraph"/>
              <w:spacing w:before="34"/>
              <w:ind w:right="92"/>
              <w:jc w:val="right"/>
              <w:rPr>
                <w:sz w:val="18"/>
              </w:rPr>
            </w:pPr>
            <w:r>
              <w:rPr>
                <w:w w:val="95"/>
                <w:sz w:val="18"/>
              </w:rPr>
              <w:t>1.6</w:t>
            </w:r>
          </w:p>
        </w:tc>
        <w:tc>
          <w:tcPr>
            <w:tcW w:w="794" w:type="dxa"/>
            <w:shd w:val="clear" w:color="auto" w:fill="D5CED6"/>
          </w:tcPr>
          <w:p>
            <w:pPr>
              <w:pStyle w:val="TableParagraph"/>
              <w:spacing w:before="34"/>
              <w:ind w:left="160" w:right="142"/>
              <w:jc w:val="center"/>
              <w:rPr>
                <w:sz w:val="18"/>
              </w:rPr>
            </w:pPr>
            <w:hyperlink w:history="true" w:anchor="_bookmark42">
              <w:r>
                <w:rPr>
                  <w:color w:val="6F2770"/>
                  <w:sz w:val="18"/>
                  <w:u w:val="single" w:color="6F2770"/>
                </w:rPr>
                <w:t>103</w:t>
              </w:r>
            </w:hyperlink>
          </w:p>
        </w:tc>
      </w:tr>
      <w:tr>
        <w:trPr>
          <w:trHeight w:val="278" w:hRule="atLeast"/>
        </w:trPr>
        <w:tc>
          <w:tcPr>
            <w:tcW w:w="11906" w:type="dxa"/>
            <w:shd w:val="clear" w:color="auto" w:fill="CFD6C0"/>
          </w:tcPr>
          <w:p>
            <w:pPr>
              <w:pStyle w:val="TableParagraph"/>
              <w:spacing w:before="34"/>
              <w:ind w:left="113"/>
              <w:rPr>
                <w:sz w:val="18"/>
              </w:rPr>
            </w:pPr>
            <w:r>
              <w:rPr>
                <w:sz w:val="18"/>
              </w:rPr>
              <w:t>An efficiency indicator is not reported for this service</w:t>
            </w:r>
          </w:p>
        </w:tc>
        <w:tc>
          <w:tcPr>
            <w:tcW w:w="794" w:type="dxa"/>
            <w:shd w:val="clear" w:color="auto" w:fill="CFD6C0"/>
          </w:tcPr>
          <w:p>
            <w:pPr>
              <w:pStyle w:val="TableParagraph"/>
              <w:spacing w:before="0"/>
              <w:rPr>
                <w:rFonts w:ascii="Times New Roman"/>
                <w:sz w:val="16"/>
              </w:rPr>
            </w:pPr>
          </w:p>
        </w:tc>
        <w:tc>
          <w:tcPr>
            <w:tcW w:w="907" w:type="dxa"/>
            <w:shd w:val="clear" w:color="auto" w:fill="CFD6C0"/>
          </w:tcPr>
          <w:p>
            <w:pPr>
              <w:pStyle w:val="TableParagraph"/>
              <w:spacing w:before="34"/>
              <w:ind w:right="92"/>
              <w:jc w:val="right"/>
              <w:rPr>
                <w:sz w:val="18"/>
              </w:rPr>
            </w:pPr>
            <w:r>
              <w:rPr>
                <w:sz w:val="18"/>
              </w:rPr>
              <w:t>N/A</w:t>
            </w:r>
          </w:p>
        </w:tc>
        <w:tc>
          <w:tcPr>
            <w:tcW w:w="907" w:type="dxa"/>
            <w:shd w:val="clear" w:color="auto" w:fill="CFD6C0"/>
          </w:tcPr>
          <w:p>
            <w:pPr>
              <w:pStyle w:val="TableParagraph"/>
              <w:spacing w:before="34"/>
              <w:ind w:right="92"/>
              <w:jc w:val="right"/>
              <w:rPr>
                <w:sz w:val="18"/>
              </w:rPr>
            </w:pPr>
            <w:r>
              <w:rPr>
                <w:sz w:val="18"/>
              </w:rPr>
              <w:t>N/A</w:t>
            </w:r>
          </w:p>
        </w:tc>
        <w:tc>
          <w:tcPr>
            <w:tcW w:w="794" w:type="dxa"/>
            <w:shd w:val="clear" w:color="auto" w:fill="CFD6C0"/>
          </w:tcPr>
          <w:p>
            <w:pPr>
              <w:pStyle w:val="TableParagraph"/>
              <w:spacing w:before="34"/>
              <w:ind w:left="18"/>
              <w:jc w:val="center"/>
              <w:rPr>
                <w:sz w:val="18"/>
              </w:rPr>
            </w:pPr>
            <w:r>
              <w:rPr>
                <w:w w:val="111"/>
                <w:sz w:val="18"/>
              </w:rPr>
              <w:t>-</w:t>
            </w:r>
          </w:p>
        </w:tc>
      </w:tr>
      <w:tr>
        <w:trPr>
          <w:trHeight w:val="278" w:hRule="atLeast"/>
        </w:trPr>
        <w:tc>
          <w:tcPr>
            <w:tcW w:w="11906" w:type="dxa"/>
            <w:shd w:val="clear" w:color="auto" w:fill="B6AAB9"/>
          </w:tcPr>
          <w:p>
            <w:pPr>
              <w:pStyle w:val="TableParagraph"/>
              <w:spacing w:before="34"/>
              <w:ind w:left="113"/>
              <w:rPr>
                <w:sz w:val="18"/>
              </w:rPr>
            </w:pPr>
            <w:r>
              <w:rPr>
                <w:sz w:val="18"/>
              </w:rPr>
              <w:t>Percentage of significant projects in New Buildings Program delivered within three months of approved timeframe</w:t>
            </w:r>
          </w:p>
        </w:tc>
        <w:tc>
          <w:tcPr>
            <w:tcW w:w="794" w:type="dxa"/>
            <w:shd w:val="clear" w:color="auto" w:fill="B6AAB9"/>
          </w:tcPr>
          <w:p>
            <w:pPr>
              <w:pStyle w:val="TableParagraph"/>
              <w:spacing w:before="34"/>
              <w:ind w:left="18"/>
              <w:jc w:val="center"/>
              <w:rPr>
                <w:sz w:val="18"/>
              </w:rPr>
            </w:pPr>
            <w:r>
              <w:rPr>
                <w:w w:val="112"/>
                <w:sz w:val="18"/>
              </w:rPr>
              <w:t>%</w:t>
            </w:r>
          </w:p>
        </w:tc>
        <w:tc>
          <w:tcPr>
            <w:tcW w:w="907" w:type="dxa"/>
            <w:shd w:val="clear" w:color="auto" w:fill="B6AAB9"/>
          </w:tcPr>
          <w:p>
            <w:pPr>
              <w:pStyle w:val="TableParagraph"/>
              <w:spacing w:before="34"/>
              <w:ind w:right="92"/>
              <w:jc w:val="right"/>
              <w:rPr>
                <w:sz w:val="18"/>
              </w:rPr>
            </w:pPr>
            <w:r>
              <w:rPr>
                <w:w w:val="95"/>
                <w:sz w:val="18"/>
              </w:rPr>
              <w:t>90</w:t>
            </w:r>
          </w:p>
        </w:tc>
        <w:tc>
          <w:tcPr>
            <w:tcW w:w="907" w:type="dxa"/>
            <w:shd w:val="clear" w:color="auto" w:fill="B6AAB9"/>
          </w:tcPr>
          <w:p>
            <w:pPr>
              <w:pStyle w:val="TableParagraph"/>
              <w:spacing w:before="34"/>
              <w:ind w:right="92"/>
              <w:jc w:val="right"/>
              <w:rPr>
                <w:sz w:val="18"/>
              </w:rPr>
            </w:pPr>
            <w:r>
              <w:rPr>
                <w:w w:val="95"/>
                <w:sz w:val="18"/>
              </w:rPr>
              <w:t>100</w:t>
            </w:r>
          </w:p>
        </w:tc>
        <w:tc>
          <w:tcPr>
            <w:tcW w:w="794" w:type="dxa"/>
            <w:shd w:val="clear" w:color="auto" w:fill="B6AAB9"/>
          </w:tcPr>
          <w:p>
            <w:pPr>
              <w:pStyle w:val="TableParagraph"/>
              <w:spacing w:before="34"/>
              <w:ind w:left="160" w:right="142"/>
              <w:jc w:val="center"/>
              <w:rPr>
                <w:sz w:val="18"/>
              </w:rPr>
            </w:pPr>
            <w:hyperlink w:history="true" w:anchor="_bookmark44">
              <w:r>
                <w:rPr>
                  <w:color w:val="6F2770"/>
                  <w:sz w:val="18"/>
                  <w:u w:val="single" w:color="6F2770"/>
                </w:rPr>
                <w:t>105</w:t>
              </w:r>
            </w:hyperlink>
          </w:p>
        </w:tc>
      </w:tr>
      <w:tr>
        <w:trPr>
          <w:trHeight w:val="278" w:hRule="atLeast"/>
        </w:trPr>
        <w:tc>
          <w:tcPr>
            <w:tcW w:w="11906" w:type="dxa"/>
            <w:shd w:val="clear" w:color="auto" w:fill="B6AAB9"/>
          </w:tcPr>
          <w:p>
            <w:pPr>
              <w:pStyle w:val="TableParagraph"/>
              <w:spacing w:before="34"/>
              <w:ind w:left="113"/>
              <w:rPr>
                <w:sz w:val="18"/>
              </w:rPr>
            </w:pPr>
            <w:r>
              <w:rPr>
                <w:sz w:val="18"/>
              </w:rPr>
              <w:t>Percentage of maintenance services delivered within 10% of approved timeframe</w:t>
            </w:r>
          </w:p>
        </w:tc>
        <w:tc>
          <w:tcPr>
            <w:tcW w:w="794" w:type="dxa"/>
            <w:shd w:val="clear" w:color="auto" w:fill="B6AAB9"/>
          </w:tcPr>
          <w:p>
            <w:pPr>
              <w:pStyle w:val="TableParagraph"/>
              <w:spacing w:before="34"/>
              <w:ind w:left="18"/>
              <w:jc w:val="center"/>
              <w:rPr>
                <w:sz w:val="18"/>
              </w:rPr>
            </w:pPr>
            <w:r>
              <w:rPr>
                <w:w w:val="99"/>
                <w:sz w:val="18"/>
              </w:rPr>
              <w:t>%</w:t>
            </w:r>
          </w:p>
        </w:tc>
        <w:tc>
          <w:tcPr>
            <w:tcW w:w="907" w:type="dxa"/>
            <w:shd w:val="clear" w:color="auto" w:fill="B6AAB9"/>
          </w:tcPr>
          <w:p>
            <w:pPr>
              <w:pStyle w:val="TableParagraph"/>
              <w:spacing w:before="34"/>
              <w:ind w:right="92"/>
              <w:jc w:val="right"/>
              <w:rPr>
                <w:sz w:val="18"/>
              </w:rPr>
            </w:pPr>
            <w:r>
              <w:rPr>
                <w:w w:val="95"/>
                <w:sz w:val="18"/>
              </w:rPr>
              <w:t>80</w:t>
            </w:r>
          </w:p>
        </w:tc>
        <w:tc>
          <w:tcPr>
            <w:tcW w:w="907" w:type="dxa"/>
            <w:shd w:val="clear" w:color="auto" w:fill="B6AAB9"/>
          </w:tcPr>
          <w:p>
            <w:pPr>
              <w:pStyle w:val="TableParagraph"/>
              <w:spacing w:before="34"/>
              <w:ind w:right="92"/>
              <w:jc w:val="right"/>
              <w:rPr>
                <w:sz w:val="18"/>
              </w:rPr>
            </w:pPr>
            <w:r>
              <w:rPr>
                <w:w w:val="95"/>
                <w:sz w:val="18"/>
              </w:rPr>
              <w:t>78</w:t>
            </w:r>
          </w:p>
        </w:tc>
        <w:tc>
          <w:tcPr>
            <w:tcW w:w="794" w:type="dxa"/>
            <w:shd w:val="clear" w:color="auto" w:fill="B6AAB9"/>
          </w:tcPr>
          <w:p>
            <w:pPr>
              <w:pStyle w:val="TableParagraph"/>
              <w:spacing w:before="34"/>
              <w:ind w:left="160" w:right="142"/>
              <w:jc w:val="center"/>
              <w:rPr>
                <w:sz w:val="18"/>
              </w:rPr>
            </w:pPr>
            <w:hyperlink w:history="true" w:anchor="_bookmark44">
              <w:r>
                <w:rPr>
                  <w:color w:val="6F2770"/>
                  <w:sz w:val="18"/>
                  <w:u w:val="single" w:color="6F2770"/>
                </w:rPr>
                <w:t>105</w:t>
              </w:r>
            </w:hyperlink>
          </w:p>
        </w:tc>
      </w:tr>
      <w:tr>
        <w:trPr>
          <w:trHeight w:val="278" w:hRule="atLeast"/>
        </w:trPr>
        <w:tc>
          <w:tcPr>
            <w:tcW w:w="11906" w:type="dxa"/>
            <w:shd w:val="clear" w:color="auto" w:fill="B6AAB9"/>
          </w:tcPr>
          <w:p>
            <w:pPr>
              <w:pStyle w:val="TableParagraph"/>
              <w:spacing w:before="34"/>
              <w:ind w:left="113"/>
              <w:rPr>
                <w:sz w:val="10"/>
              </w:rPr>
            </w:pPr>
            <w:r>
              <w:rPr>
                <w:sz w:val="18"/>
              </w:rPr>
              <w:t>Average office accommodation floor space per work point (wp) </w:t>
            </w:r>
            <w:r>
              <w:rPr>
                <w:position w:val="6"/>
                <w:sz w:val="10"/>
              </w:rPr>
              <w:t>(f )</w:t>
            </w:r>
          </w:p>
        </w:tc>
        <w:tc>
          <w:tcPr>
            <w:tcW w:w="794" w:type="dxa"/>
            <w:shd w:val="clear" w:color="auto" w:fill="B6AAB9"/>
          </w:tcPr>
          <w:p>
            <w:pPr>
              <w:pStyle w:val="TableParagraph"/>
              <w:spacing w:before="34"/>
              <w:ind w:left="160" w:right="142"/>
              <w:jc w:val="center"/>
              <w:rPr>
                <w:sz w:val="10"/>
              </w:rPr>
            </w:pPr>
            <w:r>
              <w:rPr>
                <w:position w:val="-5"/>
                <w:sz w:val="18"/>
              </w:rPr>
              <w:t>m</w:t>
            </w:r>
            <w:r>
              <w:rPr>
                <w:sz w:val="10"/>
              </w:rPr>
              <w:t>2</w:t>
            </w:r>
          </w:p>
        </w:tc>
        <w:tc>
          <w:tcPr>
            <w:tcW w:w="907" w:type="dxa"/>
            <w:shd w:val="clear" w:color="auto" w:fill="B6AAB9"/>
          </w:tcPr>
          <w:p>
            <w:pPr>
              <w:pStyle w:val="TableParagraph"/>
              <w:spacing w:before="34"/>
              <w:ind w:right="92"/>
              <w:jc w:val="right"/>
              <w:rPr>
                <w:sz w:val="18"/>
              </w:rPr>
            </w:pPr>
            <w:r>
              <w:rPr>
                <w:w w:val="95"/>
                <w:sz w:val="18"/>
              </w:rPr>
              <w:t>15.00</w:t>
            </w:r>
          </w:p>
        </w:tc>
        <w:tc>
          <w:tcPr>
            <w:tcW w:w="907" w:type="dxa"/>
            <w:shd w:val="clear" w:color="auto" w:fill="B6AAB9"/>
          </w:tcPr>
          <w:p>
            <w:pPr>
              <w:pStyle w:val="TableParagraph"/>
              <w:spacing w:before="34"/>
              <w:ind w:right="92"/>
              <w:jc w:val="right"/>
              <w:rPr>
                <w:sz w:val="18"/>
              </w:rPr>
            </w:pPr>
            <w:r>
              <w:rPr>
                <w:w w:val="95"/>
                <w:sz w:val="18"/>
              </w:rPr>
              <w:t>14.65</w:t>
            </w:r>
          </w:p>
        </w:tc>
        <w:tc>
          <w:tcPr>
            <w:tcW w:w="794" w:type="dxa"/>
            <w:shd w:val="clear" w:color="auto" w:fill="B6AAB9"/>
          </w:tcPr>
          <w:p>
            <w:pPr>
              <w:pStyle w:val="TableParagraph"/>
              <w:spacing w:before="34"/>
              <w:ind w:left="160" w:right="142"/>
              <w:jc w:val="center"/>
              <w:rPr>
                <w:sz w:val="18"/>
              </w:rPr>
            </w:pPr>
            <w:hyperlink w:history="true" w:anchor="_bookmark44">
              <w:r>
                <w:rPr>
                  <w:color w:val="6F2770"/>
                  <w:sz w:val="18"/>
                  <w:u w:val="single" w:color="6F2770"/>
                </w:rPr>
                <w:t>105</w:t>
              </w:r>
            </w:hyperlink>
          </w:p>
        </w:tc>
      </w:tr>
      <w:tr>
        <w:trPr>
          <w:trHeight w:val="278" w:hRule="atLeast"/>
        </w:trPr>
        <w:tc>
          <w:tcPr>
            <w:tcW w:w="11906" w:type="dxa"/>
            <w:shd w:val="clear" w:color="auto" w:fill="B5C19E"/>
          </w:tcPr>
          <w:p>
            <w:pPr>
              <w:pStyle w:val="TableParagraph"/>
              <w:spacing w:before="34"/>
              <w:ind w:left="113"/>
              <w:rPr>
                <w:sz w:val="10"/>
              </w:rPr>
            </w:pPr>
            <w:r>
              <w:rPr>
                <w:sz w:val="18"/>
              </w:rPr>
              <w:t>Cost as a percentage of the total annual value of the planning and delivery of capital works projects </w:t>
            </w:r>
            <w:r>
              <w:rPr>
                <w:position w:val="6"/>
                <w:sz w:val="10"/>
              </w:rPr>
              <w:t>(g)</w:t>
            </w:r>
          </w:p>
        </w:tc>
        <w:tc>
          <w:tcPr>
            <w:tcW w:w="794" w:type="dxa"/>
            <w:shd w:val="clear" w:color="auto" w:fill="B5C19E"/>
          </w:tcPr>
          <w:p>
            <w:pPr>
              <w:pStyle w:val="TableParagraph"/>
              <w:spacing w:before="34"/>
              <w:ind w:left="18"/>
              <w:jc w:val="center"/>
              <w:rPr>
                <w:sz w:val="18"/>
              </w:rPr>
            </w:pPr>
            <w:r>
              <w:rPr>
                <w:w w:val="99"/>
                <w:sz w:val="18"/>
              </w:rPr>
              <w:t>%</w:t>
            </w:r>
          </w:p>
        </w:tc>
        <w:tc>
          <w:tcPr>
            <w:tcW w:w="907" w:type="dxa"/>
            <w:shd w:val="clear" w:color="auto" w:fill="B5C19E"/>
          </w:tcPr>
          <w:p>
            <w:pPr>
              <w:pStyle w:val="TableParagraph"/>
              <w:spacing w:before="34"/>
              <w:ind w:right="92"/>
              <w:jc w:val="right"/>
              <w:rPr>
                <w:sz w:val="18"/>
              </w:rPr>
            </w:pPr>
            <w:r>
              <w:rPr>
                <w:w w:val="95"/>
                <w:sz w:val="18"/>
              </w:rPr>
              <w:t>0.7</w:t>
            </w:r>
          </w:p>
        </w:tc>
        <w:tc>
          <w:tcPr>
            <w:tcW w:w="907" w:type="dxa"/>
            <w:shd w:val="clear" w:color="auto" w:fill="B5C19E"/>
          </w:tcPr>
          <w:p>
            <w:pPr>
              <w:pStyle w:val="TableParagraph"/>
              <w:spacing w:before="34"/>
              <w:ind w:right="92"/>
              <w:jc w:val="right"/>
              <w:rPr>
                <w:sz w:val="18"/>
              </w:rPr>
            </w:pPr>
            <w:r>
              <w:rPr>
                <w:w w:val="95"/>
                <w:sz w:val="18"/>
              </w:rPr>
              <w:t>0.9</w:t>
            </w:r>
          </w:p>
        </w:tc>
        <w:tc>
          <w:tcPr>
            <w:tcW w:w="794" w:type="dxa"/>
            <w:shd w:val="clear" w:color="auto" w:fill="B5C19E"/>
          </w:tcPr>
          <w:p>
            <w:pPr>
              <w:pStyle w:val="TableParagraph"/>
              <w:spacing w:before="34"/>
              <w:ind w:left="160" w:right="142"/>
              <w:jc w:val="center"/>
              <w:rPr>
                <w:sz w:val="18"/>
              </w:rPr>
            </w:pPr>
            <w:hyperlink w:history="true" w:anchor="_bookmark46">
              <w:r>
                <w:rPr>
                  <w:color w:val="6F2770"/>
                  <w:sz w:val="18"/>
                  <w:u w:val="single" w:color="6F2770"/>
                </w:rPr>
                <w:t>107</w:t>
              </w:r>
            </w:hyperlink>
          </w:p>
        </w:tc>
      </w:tr>
    </w:tbl>
    <w:p>
      <w:pPr>
        <w:pStyle w:val="ListParagraph"/>
        <w:numPr>
          <w:ilvl w:val="0"/>
          <w:numId w:val="1"/>
        </w:numPr>
        <w:tabs>
          <w:tab w:pos="919" w:val="left" w:leader="none"/>
        </w:tabs>
        <w:spacing w:line="240" w:lineRule="auto" w:before="14" w:after="0"/>
        <w:ind w:left="918" w:right="0" w:hanging="153"/>
        <w:jc w:val="left"/>
        <w:rPr>
          <w:sz w:val="12"/>
        </w:rPr>
      </w:pPr>
      <w:r>
        <w:rPr>
          <w:sz w:val="12"/>
        </w:rPr>
        <w:t>The three per cent increase in the average cost ($) per application/claim processed in 2017-18 due to a slight increase in</w:t>
      </w:r>
      <w:r>
        <w:rPr>
          <w:spacing w:val="-15"/>
          <w:sz w:val="12"/>
        </w:rPr>
        <w:t> </w:t>
      </w:r>
      <w:r>
        <w:rPr>
          <w:sz w:val="12"/>
        </w:rPr>
        <w:t>costs.</w:t>
      </w:r>
    </w:p>
    <w:p>
      <w:pPr>
        <w:pStyle w:val="ListParagraph"/>
        <w:numPr>
          <w:ilvl w:val="0"/>
          <w:numId w:val="1"/>
        </w:numPr>
        <w:tabs>
          <w:tab w:pos="926" w:val="left" w:leader="none"/>
        </w:tabs>
        <w:spacing w:line="240" w:lineRule="auto" w:before="6" w:after="0"/>
        <w:ind w:left="925" w:right="0" w:hanging="160"/>
        <w:jc w:val="left"/>
        <w:rPr>
          <w:sz w:val="12"/>
        </w:rPr>
      </w:pPr>
      <w:r>
        <w:rPr>
          <w:sz w:val="12"/>
        </w:rPr>
        <w:t>Average administrative cost per vehicle is lower than budget as a result of both operational and fleet</w:t>
      </w:r>
      <w:r>
        <w:rPr>
          <w:spacing w:val="-12"/>
          <w:sz w:val="12"/>
        </w:rPr>
        <w:t> </w:t>
      </w:r>
      <w:r>
        <w:rPr>
          <w:sz w:val="12"/>
        </w:rPr>
        <w:t>efficiencies.</w:t>
      </w:r>
    </w:p>
    <w:p>
      <w:pPr>
        <w:pStyle w:val="ListParagraph"/>
        <w:numPr>
          <w:ilvl w:val="0"/>
          <w:numId w:val="1"/>
        </w:numPr>
        <w:tabs>
          <w:tab w:pos="919" w:val="left" w:leader="none"/>
        </w:tabs>
        <w:spacing w:line="240" w:lineRule="auto" w:before="6" w:after="0"/>
        <w:ind w:left="918" w:right="0" w:hanging="153"/>
        <w:jc w:val="left"/>
        <w:rPr>
          <w:sz w:val="12"/>
        </w:rPr>
      </w:pPr>
      <w:r>
        <w:rPr>
          <w:sz w:val="12"/>
        </w:rPr>
        <w:t>The higher than target result is due to a reduction in CUA turnover which was partially offset by lower than estimated</w:t>
      </w:r>
      <w:r>
        <w:rPr>
          <w:spacing w:val="-14"/>
          <w:sz w:val="12"/>
        </w:rPr>
        <w:t> </w:t>
      </w:r>
      <w:r>
        <w:rPr>
          <w:sz w:val="12"/>
        </w:rPr>
        <w:t>costs.</w:t>
      </w:r>
    </w:p>
    <w:p>
      <w:pPr>
        <w:spacing w:before="4"/>
        <w:ind w:left="765" w:right="0" w:firstLine="0"/>
        <w:jc w:val="left"/>
        <w:rPr>
          <w:sz w:val="12"/>
        </w:rPr>
      </w:pPr>
      <w:r>
        <w:rPr>
          <w:sz w:val="12"/>
        </w:rPr>
        <w:t>( f ) Improvement is due to the termination of leases (21,993m</w:t>
      </w:r>
      <w:r>
        <w:rPr>
          <w:position w:val="4"/>
          <w:sz w:val="8"/>
        </w:rPr>
        <w:t>2</w:t>
      </w:r>
      <w:r>
        <w:rPr>
          <w:sz w:val="12"/>
        </w:rPr>
        <w:t>) with poor average workspace density (15.33m</w:t>
      </w:r>
      <w:r>
        <w:rPr>
          <w:position w:val="4"/>
          <w:sz w:val="8"/>
        </w:rPr>
        <w:t>2</w:t>
      </w:r>
      <w:r>
        <w:rPr>
          <w:sz w:val="12"/>
        </w:rPr>
        <w:t>/wp) and the completion of fit-out works (17,504m</w:t>
      </w:r>
      <w:r>
        <w:rPr>
          <w:position w:val="4"/>
          <w:sz w:val="8"/>
        </w:rPr>
        <w:t>2</w:t>
      </w:r>
      <w:r>
        <w:rPr>
          <w:sz w:val="12"/>
        </w:rPr>
        <w:t>) where the average workspace density was below the benchmark density (11.90m</w:t>
      </w:r>
      <w:r>
        <w:rPr>
          <w:position w:val="4"/>
          <w:sz w:val="8"/>
        </w:rPr>
        <w:t>2</w:t>
      </w:r>
      <w:r>
        <w:rPr>
          <w:sz w:val="12"/>
        </w:rPr>
        <w:t>/wp).</w:t>
      </w:r>
    </w:p>
    <w:p>
      <w:pPr>
        <w:spacing w:before="6"/>
        <w:ind w:left="765" w:right="0" w:firstLine="0"/>
        <w:jc w:val="left"/>
        <w:rPr>
          <w:sz w:val="12"/>
        </w:rPr>
      </w:pPr>
      <w:r>
        <w:rPr>
          <w:sz w:val="12"/>
        </w:rPr>
        <w:t>(g) The increase in cost as a percentage of the value of capital works projects is a result of a reduction in the overall value of the major project portfolio.</w:t>
      </w:r>
    </w:p>
    <w:p>
      <w:pPr>
        <w:spacing w:after="0"/>
        <w:jc w:val="left"/>
        <w:rPr>
          <w:sz w:val="12"/>
        </w:rPr>
        <w:sectPr>
          <w:footerReference w:type="default" r:id="rId121"/>
          <w:pgSz w:w="16840" w:h="11910" w:orient="landscape"/>
          <w:pgMar w:footer="774" w:header="0" w:top="0" w:bottom="960" w:left="0" w:right="0"/>
        </w:sectPr>
      </w:pPr>
    </w:p>
    <w:p>
      <w:pPr>
        <w:pStyle w:val="BodyText"/>
        <w:rPr>
          <w:sz w:val="20"/>
        </w:rPr>
      </w:pPr>
      <w:bookmarkStart w:name="_bookmark16" w:id="17"/>
      <w:bookmarkEnd w:id="17"/>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3"/>
        <w:rPr>
          <w:sz w:val="19"/>
        </w:rPr>
      </w:pPr>
    </w:p>
    <w:p>
      <w:pPr>
        <w:pStyle w:val="Heading1"/>
      </w:pPr>
      <w:r>
        <w:rPr/>
        <w:pict>
          <v:group style="position:absolute;margin-left:120.271004pt;margin-top:-67.374214pt;width:721.65pt;height:42.55pt;mso-position-horizontal-relative:page;mso-position-vertical-relative:paragraph;z-index:8992" coordorigin="2405,-1347" coordsize="14433,851">
            <v:rect style="position:absolute;left:14432;top:-1348;width:2406;height:851" filled="true" fillcolor="#bba1bc" stroked="false">
              <v:fill type="solid"/>
            </v:rect>
            <v:shape style="position:absolute;left:14432;top:-13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8;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8;width:2406;height:851" type="#_x0000_t202" filled="true" fillcolor="#d4d896"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pacing w:val="-8"/>
        </w:rPr>
        <w:t>Summary</w:t>
      </w:r>
      <w:r>
        <w:rPr>
          <w:color w:val="6F2770"/>
          <w:spacing w:val="-75"/>
        </w:rPr>
        <w:t> </w:t>
      </w:r>
      <w:r>
        <w:rPr>
          <w:color w:val="6F2770"/>
          <w:spacing w:val="-6"/>
        </w:rPr>
        <w:t>of</w:t>
      </w:r>
      <w:r>
        <w:rPr>
          <w:color w:val="6F2770"/>
          <w:spacing w:val="-74"/>
        </w:rPr>
        <w:t> </w:t>
      </w:r>
      <w:r>
        <w:rPr>
          <w:color w:val="6F2770"/>
          <w:spacing w:val="-10"/>
        </w:rPr>
        <w:t>Financial</w:t>
      </w:r>
      <w:r>
        <w:rPr>
          <w:color w:val="6F2770"/>
          <w:spacing w:val="-74"/>
        </w:rPr>
        <w:t> </w:t>
      </w:r>
      <w:r>
        <w:rPr>
          <w:color w:val="6F2770"/>
          <w:spacing w:val="-10"/>
        </w:rPr>
        <w:t>Performance</w:t>
      </w:r>
      <w:r>
        <w:rPr>
          <w:color w:val="6F2770"/>
          <w:spacing w:val="-74"/>
        </w:rPr>
        <w:t> </w:t>
      </w:r>
      <w:r>
        <w:rPr>
          <w:color w:val="6F2770"/>
          <w:spacing w:val="-8"/>
        </w:rPr>
        <w:t>for</w:t>
      </w:r>
      <w:r>
        <w:rPr>
          <w:color w:val="6F2770"/>
          <w:spacing w:val="-74"/>
        </w:rPr>
        <w:t> </w:t>
      </w:r>
      <w:r>
        <w:rPr>
          <w:color w:val="6F2770"/>
          <w:spacing w:val="-11"/>
        </w:rPr>
        <w:t>2017-18</w:t>
      </w:r>
    </w:p>
    <w:p>
      <w:pPr>
        <w:pStyle w:val="BodyText"/>
        <w:spacing w:line="249" w:lineRule="auto" w:before="206"/>
        <w:ind w:left="765" w:right="1480"/>
        <w:jc w:val="both"/>
      </w:pPr>
      <w:r>
        <w:rPr/>
        <w:t>The</w:t>
      </w:r>
      <w:r>
        <w:rPr>
          <w:spacing w:val="-21"/>
        </w:rPr>
        <w:t> </w:t>
      </w:r>
      <w:r>
        <w:rPr/>
        <w:t>Department</w:t>
      </w:r>
      <w:r>
        <w:rPr>
          <w:spacing w:val="-20"/>
        </w:rPr>
        <w:t> </w:t>
      </w:r>
      <w:r>
        <w:rPr/>
        <w:t>of</w:t>
      </w:r>
      <w:r>
        <w:rPr>
          <w:spacing w:val="-20"/>
        </w:rPr>
        <w:t> </w:t>
      </w:r>
      <w:r>
        <w:rPr/>
        <w:t>Finance</w:t>
      </w:r>
      <w:r>
        <w:rPr>
          <w:spacing w:val="-21"/>
        </w:rPr>
        <w:t> </w:t>
      </w:r>
      <w:r>
        <w:rPr>
          <w:spacing w:val="-14"/>
        </w:rPr>
        <w:t>2017-18</w:t>
      </w:r>
      <w:r>
        <w:rPr>
          <w:spacing w:val="-20"/>
        </w:rPr>
        <w:t> </w:t>
      </w:r>
      <w:r>
        <w:rPr/>
        <w:t>estimated</w:t>
      </w:r>
      <w:r>
        <w:rPr>
          <w:spacing w:val="-20"/>
        </w:rPr>
        <w:t> </w:t>
      </w:r>
      <w:r>
        <w:rPr/>
        <w:t>total</w:t>
      </w:r>
      <w:r>
        <w:rPr>
          <w:spacing w:val="-21"/>
        </w:rPr>
        <w:t> </w:t>
      </w:r>
      <w:r>
        <w:rPr/>
        <w:t>cost</w:t>
      </w:r>
      <w:r>
        <w:rPr>
          <w:spacing w:val="-20"/>
        </w:rPr>
        <w:t> </w:t>
      </w:r>
      <w:r>
        <w:rPr/>
        <w:t>of</w:t>
      </w:r>
      <w:r>
        <w:rPr>
          <w:spacing w:val="-20"/>
        </w:rPr>
        <w:t> </w:t>
      </w:r>
      <w:r>
        <w:rPr/>
        <w:t>services</w:t>
      </w:r>
      <w:r>
        <w:rPr>
          <w:spacing w:val="-20"/>
        </w:rPr>
        <w:t> </w:t>
      </w:r>
      <w:r>
        <w:rPr/>
        <w:t>allocation</w:t>
      </w:r>
      <w:r>
        <w:rPr>
          <w:spacing w:val="-21"/>
        </w:rPr>
        <w:t> </w:t>
      </w:r>
      <w:r>
        <w:rPr/>
        <w:t>was</w:t>
      </w:r>
      <w:r>
        <w:rPr>
          <w:spacing w:val="-20"/>
        </w:rPr>
        <w:t> </w:t>
      </w:r>
      <w:r>
        <w:rPr/>
        <w:t>approximately</w:t>
      </w:r>
      <w:r>
        <w:rPr>
          <w:spacing w:val="-20"/>
        </w:rPr>
        <w:t> </w:t>
      </w:r>
      <w:r>
        <w:rPr>
          <w:spacing w:val="-7"/>
        </w:rPr>
        <w:t>$1.44</w:t>
      </w:r>
      <w:r>
        <w:rPr>
          <w:spacing w:val="-21"/>
        </w:rPr>
        <w:t> </w:t>
      </w:r>
      <w:r>
        <w:rPr/>
        <w:t>billion,</w:t>
      </w:r>
      <w:r>
        <w:rPr>
          <w:spacing w:val="-20"/>
        </w:rPr>
        <w:t> </w:t>
      </w:r>
      <w:r>
        <w:rPr/>
        <w:t>funded</w:t>
      </w:r>
      <w:r>
        <w:rPr>
          <w:spacing w:val="-20"/>
        </w:rPr>
        <w:t> </w:t>
      </w:r>
      <w:r>
        <w:rPr/>
        <w:t>largely</w:t>
      </w:r>
      <w:r>
        <w:rPr>
          <w:spacing w:val="-21"/>
        </w:rPr>
        <w:t> </w:t>
      </w:r>
      <w:r>
        <w:rPr/>
        <w:t>through</w:t>
      </w:r>
      <w:r>
        <w:rPr>
          <w:spacing w:val="-20"/>
        </w:rPr>
        <w:t> </w:t>
      </w:r>
      <w:r>
        <w:rPr/>
        <w:t>the</w:t>
      </w:r>
      <w:r>
        <w:rPr>
          <w:spacing w:val="-20"/>
        </w:rPr>
        <w:t> </w:t>
      </w:r>
      <w:r>
        <w:rPr/>
        <w:t>charging</w:t>
      </w:r>
      <w:r>
        <w:rPr>
          <w:spacing w:val="-20"/>
        </w:rPr>
        <w:t> </w:t>
      </w:r>
      <w:r>
        <w:rPr/>
        <w:t>of</w:t>
      </w:r>
      <w:r>
        <w:rPr>
          <w:spacing w:val="-21"/>
        </w:rPr>
        <w:t> </w:t>
      </w:r>
      <w:r>
        <w:rPr/>
        <w:t>other government</w:t>
      </w:r>
      <w:r>
        <w:rPr>
          <w:spacing w:val="-22"/>
        </w:rPr>
        <w:t> </w:t>
      </w:r>
      <w:r>
        <w:rPr/>
        <w:t>departments</w:t>
      </w:r>
      <w:r>
        <w:rPr>
          <w:spacing w:val="-22"/>
        </w:rPr>
        <w:t> </w:t>
      </w:r>
      <w:r>
        <w:rPr/>
        <w:t>for</w:t>
      </w:r>
      <w:r>
        <w:rPr>
          <w:spacing w:val="-22"/>
        </w:rPr>
        <w:t> </w:t>
      </w:r>
      <w:r>
        <w:rPr/>
        <w:t>building</w:t>
      </w:r>
      <w:r>
        <w:rPr>
          <w:spacing w:val="-22"/>
        </w:rPr>
        <w:t> </w:t>
      </w:r>
      <w:r>
        <w:rPr/>
        <w:t>works,</w:t>
      </w:r>
      <w:r>
        <w:rPr>
          <w:spacing w:val="-22"/>
        </w:rPr>
        <w:t> </w:t>
      </w:r>
      <w:r>
        <w:rPr/>
        <w:t>maintenance</w:t>
      </w:r>
      <w:r>
        <w:rPr>
          <w:spacing w:val="-22"/>
        </w:rPr>
        <w:t> </w:t>
      </w:r>
      <w:r>
        <w:rPr/>
        <w:t>and</w:t>
      </w:r>
      <w:r>
        <w:rPr>
          <w:spacing w:val="-21"/>
        </w:rPr>
        <w:t> </w:t>
      </w:r>
      <w:r>
        <w:rPr/>
        <w:t>leasing.</w:t>
      </w:r>
      <w:r>
        <w:rPr>
          <w:spacing w:val="-22"/>
        </w:rPr>
        <w:t> </w:t>
      </w:r>
      <w:r>
        <w:rPr/>
        <w:t>The</w:t>
      </w:r>
      <w:r>
        <w:rPr>
          <w:spacing w:val="-22"/>
        </w:rPr>
        <w:t> </w:t>
      </w:r>
      <w:r>
        <w:rPr/>
        <w:t>other</w:t>
      </w:r>
      <w:r>
        <w:rPr>
          <w:spacing w:val="-22"/>
        </w:rPr>
        <w:t> </w:t>
      </w:r>
      <w:r>
        <w:rPr>
          <w:spacing w:val="-3"/>
        </w:rPr>
        <w:t>key</w:t>
      </w:r>
      <w:r>
        <w:rPr>
          <w:spacing w:val="-22"/>
        </w:rPr>
        <w:t> </w:t>
      </w:r>
      <w:r>
        <w:rPr/>
        <w:t>funding</w:t>
      </w:r>
      <w:r>
        <w:rPr>
          <w:spacing w:val="-22"/>
        </w:rPr>
        <w:t> </w:t>
      </w:r>
      <w:r>
        <w:rPr/>
        <w:t>sources</w:t>
      </w:r>
      <w:r>
        <w:rPr>
          <w:spacing w:val="-22"/>
        </w:rPr>
        <w:t> </w:t>
      </w:r>
      <w:r>
        <w:rPr/>
        <w:t>are</w:t>
      </w:r>
      <w:r>
        <w:rPr>
          <w:spacing w:val="-21"/>
        </w:rPr>
        <w:t> </w:t>
      </w:r>
      <w:r>
        <w:rPr/>
        <w:t>appropriations</w:t>
      </w:r>
      <w:r>
        <w:rPr>
          <w:spacing w:val="-22"/>
        </w:rPr>
        <w:t> </w:t>
      </w:r>
      <w:r>
        <w:rPr/>
        <w:t>of</w:t>
      </w:r>
      <w:r>
        <w:rPr>
          <w:spacing w:val="-22"/>
        </w:rPr>
        <w:t> </w:t>
      </w:r>
      <w:r>
        <w:rPr>
          <w:spacing w:val="-11"/>
        </w:rPr>
        <w:t>$0.17</w:t>
      </w:r>
      <w:r>
        <w:rPr>
          <w:spacing w:val="-22"/>
        </w:rPr>
        <w:t> </w:t>
      </w:r>
      <w:r>
        <w:rPr/>
        <w:t>billion</w:t>
      </w:r>
      <w:r>
        <w:rPr>
          <w:spacing w:val="-22"/>
        </w:rPr>
        <w:t> </w:t>
      </w:r>
      <w:r>
        <w:rPr/>
        <w:t>and</w:t>
      </w:r>
      <w:r>
        <w:rPr>
          <w:spacing w:val="-22"/>
        </w:rPr>
        <w:t> </w:t>
      </w:r>
      <w:r>
        <w:rPr/>
        <w:t>other</w:t>
      </w:r>
      <w:r>
        <w:rPr>
          <w:spacing w:val="-22"/>
        </w:rPr>
        <w:t> </w:t>
      </w:r>
      <w:r>
        <w:rPr/>
        <w:t>revenue sources of </w:t>
      </w:r>
      <w:r>
        <w:rPr>
          <w:spacing w:val="-10"/>
        </w:rPr>
        <w:t>$0.14</w:t>
      </w:r>
      <w:r>
        <w:rPr>
          <w:spacing w:val="-1"/>
        </w:rPr>
        <w:t> </w:t>
      </w:r>
      <w:r>
        <w:rPr/>
        <w:t>billion.</w:t>
      </w:r>
    </w:p>
    <w:p>
      <w:pPr>
        <w:pStyle w:val="BodyText"/>
        <w:spacing w:before="2"/>
        <w:rPr>
          <w:sz w:val="23"/>
        </w:rPr>
      </w:pPr>
    </w:p>
    <w:p>
      <w:pPr>
        <w:pStyle w:val="BodyText"/>
        <w:spacing w:line="249" w:lineRule="auto" w:before="1"/>
        <w:ind w:left="765" w:right="1047"/>
      </w:pPr>
      <w:r>
        <w:rPr/>
        <w:t>The</w:t>
      </w:r>
      <w:r>
        <w:rPr>
          <w:spacing w:val="-27"/>
        </w:rPr>
        <w:t> </w:t>
      </w:r>
      <w:r>
        <w:rPr>
          <w:spacing w:val="-7"/>
        </w:rPr>
        <w:t>$1.44</w:t>
      </w:r>
      <w:r>
        <w:rPr>
          <w:spacing w:val="-27"/>
        </w:rPr>
        <w:t> </w:t>
      </w:r>
      <w:r>
        <w:rPr/>
        <w:t>billion</w:t>
      </w:r>
      <w:r>
        <w:rPr>
          <w:spacing w:val="-27"/>
        </w:rPr>
        <w:t> </w:t>
      </w:r>
      <w:r>
        <w:rPr/>
        <w:t>in</w:t>
      </w:r>
      <w:r>
        <w:rPr>
          <w:spacing w:val="-27"/>
        </w:rPr>
        <w:t> </w:t>
      </w:r>
      <w:r>
        <w:rPr/>
        <w:t>expenses</w:t>
      </w:r>
      <w:r>
        <w:rPr>
          <w:spacing w:val="-27"/>
        </w:rPr>
        <w:t> </w:t>
      </w:r>
      <w:r>
        <w:rPr/>
        <w:t>estimate</w:t>
      </w:r>
      <w:r>
        <w:rPr>
          <w:spacing w:val="-27"/>
        </w:rPr>
        <w:t> </w:t>
      </w:r>
      <w:r>
        <w:rPr/>
        <w:t>primarily</w:t>
      </w:r>
      <w:r>
        <w:rPr>
          <w:spacing w:val="-27"/>
        </w:rPr>
        <w:t> </w:t>
      </w:r>
      <w:r>
        <w:rPr/>
        <w:t>relates</w:t>
      </w:r>
      <w:r>
        <w:rPr>
          <w:spacing w:val="-27"/>
        </w:rPr>
        <w:t> </w:t>
      </w:r>
      <w:r>
        <w:rPr>
          <w:spacing w:val="-3"/>
        </w:rPr>
        <w:t>to</w:t>
      </w:r>
      <w:r>
        <w:rPr>
          <w:spacing w:val="-27"/>
        </w:rPr>
        <w:t> </w:t>
      </w:r>
      <w:r>
        <w:rPr/>
        <w:t>building</w:t>
      </w:r>
      <w:r>
        <w:rPr>
          <w:spacing w:val="-27"/>
        </w:rPr>
        <w:t> </w:t>
      </w:r>
      <w:r>
        <w:rPr/>
        <w:t>works</w:t>
      </w:r>
      <w:r>
        <w:rPr>
          <w:spacing w:val="-27"/>
        </w:rPr>
        <w:t> </w:t>
      </w:r>
      <w:r>
        <w:rPr/>
        <w:t>across</w:t>
      </w:r>
      <w:r>
        <w:rPr>
          <w:spacing w:val="-27"/>
        </w:rPr>
        <w:t> </w:t>
      </w:r>
      <w:r>
        <w:rPr/>
        <w:t>the</w:t>
      </w:r>
      <w:r>
        <w:rPr>
          <w:spacing w:val="-27"/>
        </w:rPr>
        <w:t> </w:t>
      </w:r>
      <w:r>
        <w:rPr/>
        <w:t>whole-of-government</w:t>
      </w:r>
      <w:r>
        <w:rPr>
          <w:spacing w:val="-27"/>
        </w:rPr>
        <w:t> </w:t>
      </w:r>
      <w:r>
        <w:rPr>
          <w:spacing w:val="-12"/>
        </w:rPr>
        <w:t>($1.15</w:t>
      </w:r>
      <w:r>
        <w:rPr>
          <w:spacing w:val="-27"/>
        </w:rPr>
        <w:t> </w:t>
      </w:r>
      <w:r>
        <w:rPr>
          <w:spacing w:val="-3"/>
        </w:rPr>
        <w:t>billion),</w:t>
      </w:r>
      <w:r>
        <w:rPr>
          <w:spacing w:val="-27"/>
        </w:rPr>
        <w:t> </w:t>
      </w:r>
      <w:r>
        <w:rPr/>
        <w:t>employee</w:t>
      </w:r>
      <w:r>
        <w:rPr>
          <w:spacing w:val="-27"/>
        </w:rPr>
        <w:t> </w:t>
      </w:r>
      <w:r>
        <w:rPr/>
        <w:t>expenses</w:t>
      </w:r>
      <w:r>
        <w:rPr>
          <w:spacing w:val="-27"/>
        </w:rPr>
        <w:t> </w:t>
      </w:r>
      <w:r>
        <w:rPr>
          <w:spacing w:val="-9"/>
        </w:rPr>
        <w:t>($0.12</w:t>
      </w:r>
      <w:r>
        <w:rPr>
          <w:spacing w:val="-27"/>
        </w:rPr>
        <w:t> </w:t>
      </w:r>
      <w:r>
        <w:rPr/>
        <w:t>billion)</w:t>
      </w:r>
      <w:r>
        <w:rPr>
          <w:spacing w:val="-27"/>
        </w:rPr>
        <w:t> </w:t>
      </w:r>
      <w:r>
        <w:rPr/>
        <w:t>and depreciation ($0.08</w:t>
      </w:r>
      <w:r>
        <w:rPr>
          <w:spacing w:val="-2"/>
        </w:rPr>
        <w:t> </w:t>
      </w:r>
      <w:r>
        <w:rPr/>
        <w:t>billion).</w:t>
      </w:r>
    </w:p>
    <w:p>
      <w:pPr>
        <w:pStyle w:val="BodyText"/>
        <w:spacing w:before="10" w:after="1"/>
        <w:rPr>
          <w:sz w:val="27"/>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417"/>
        <w:gridCol w:w="1417"/>
        <w:gridCol w:w="1417"/>
        <w:gridCol w:w="8504"/>
      </w:tblGrid>
      <w:tr>
        <w:trPr>
          <w:trHeight w:val="514" w:hRule="atLeast"/>
        </w:trPr>
        <w:tc>
          <w:tcPr>
            <w:tcW w:w="2551" w:type="dxa"/>
            <w:tcBorders>
              <w:left w:val="single" w:sz="8" w:space="0" w:color="FFFFFF"/>
            </w:tcBorders>
            <w:shd w:val="clear" w:color="auto" w:fill="783A79"/>
          </w:tcPr>
          <w:p>
            <w:pPr>
              <w:pStyle w:val="TableParagraph"/>
              <w:spacing w:line="249" w:lineRule="auto" w:before="44"/>
              <w:ind w:left="113"/>
              <w:rPr>
                <w:b/>
                <w:sz w:val="18"/>
              </w:rPr>
            </w:pPr>
            <w:r>
              <w:rPr>
                <w:b/>
                <w:color w:val="FFFFFF"/>
                <w:sz w:val="18"/>
              </w:rPr>
              <w:t>Actual results versus estimate</w:t>
            </w:r>
          </w:p>
        </w:tc>
        <w:tc>
          <w:tcPr>
            <w:tcW w:w="1417" w:type="dxa"/>
            <w:shd w:val="clear" w:color="auto" w:fill="783A79"/>
          </w:tcPr>
          <w:p>
            <w:pPr>
              <w:pStyle w:val="TableParagraph"/>
              <w:spacing w:before="44"/>
              <w:ind w:left="441"/>
              <w:rPr>
                <w:b/>
                <w:sz w:val="10"/>
              </w:rPr>
            </w:pPr>
            <w:r>
              <w:rPr>
                <w:b/>
                <w:color w:val="FFFFFF"/>
                <w:sz w:val="18"/>
              </w:rPr>
              <w:t>Estimate</w:t>
            </w:r>
            <w:r>
              <w:rPr>
                <w:b/>
                <w:color w:val="FFFFFF"/>
                <w:position w:val="6"/>
                <w:sz w:val="10"/>
              </w:rPr>
              <w:t>(a)</w:t>
            </w:r>
          </w:p>
          <w:p>
            <w:pPr>
              <w:pStyle w:val="TableParagraph"/>
              <w:spacing w:before="9"/>
              <w:ind w:left="913"/>
              <w:rPr>
                <w:b/>
                <w:sz w:val="18"/>
              </w:rPr>
            </w:pPr>
            <w:r>
              <w:rPr>
                <w:b/>
                <w:color w:val="FFFFFF"/>
                <w:sz w:val="18"/>
              </w:rPr>
              <w:t>$000</w:t>
            </w:r>
          </w:p>
        </w:tc>
        <w:tc>
          <w:tcPr>
            <w:tcW w:w="1417" w:type="dxa"/>
            <w:shd w:val="clear" w:color="auto" w:fill="783A79"/>
          </w:tcPr>
          <w:p>
            <w:pPr>
              <w:pStyle w:val="TableParagraph"/>
              <w:spacing w:before="44"/>
              <w:ind w:left="713" w:right="48"/>
              <w:jc w:val="center"/>
              <w:rPr>
                <w:b/>
                <w:sz w:val="18"/>
              </w:rPr>
            </w:pPr>
            <w:r>
              <w:rPr>
                <w:b/>
                <w:color w:val="FFFFFF"/>
                <w:sz w:val="18"/>
              </w:rPr>
              <w:t>Actual</w:t>
            </w:r>
          </w:p>
          <w:p>
            <w:pPr>
              <w:pStyle w:val="TableParagraph"/>
              <w:spacing w:before="9"/>
              <w:ind w:left="891" w:right="80"/>
              <w:jc w:val="center"/>
              <w:rPr>
                <w:b/>
                <w:sz w:val="18"/>
              </w:rPr>
            </w:pPr>
            <w:r>
              <w:rPr>
                <w:b/>
                <w:color w:val="FFFFFF"/>
                <w:sz w:val="18"/>
              </w:rPr>
              <w:t>$000</w:t>
            </w:r>
          </w:p>
        </w:tc>
        <w:tc>
          <w:tcPr>
            <w:tcW w:w="1417" w:type="dxa"/>
            <w:shd w:val="clear" w:color="auto" w:fill="783A79"/>
          </w:tcPr>
          <w:p>
            <w:pPr>
              <w:pStyle w:val="TableParagraph"/>
              <w:spacing w:before="44"/>
              <w:ind w:left="574"/>
              <w:rPr>
                <w:b/>
                <w:sz w:val="18"/>
              </w:rPr>
            </w:pPr>
            <w:r>
              <w:rPr>
                <w:b/>
                <w:color w:val="FFFFFF"/>
                <w:sz w:val="18"/>
              </w:rPr>
              <w:t>Variance</w:t>
            </w:r>
          </w:p>
          <w:p>
            <w:pPr>
              <w:pStyle w:val="TableParagraph"/>
              <w:spacing w:before="9"/>
              <w:ind w:left="914"/>
              <w:rPr>
                <w:b/>
                <w:sz w:val="18"/>
              </w:rPr>
            </w:pPr>
            <w:r>
              <w:rPr>
                <w:b/>
                <w:color w:val="FFFFFF"/>
                <w:sz w:val="18"/>
              </w:rPr>
              <w:t>$000</w:t>
            </w:r>
          </w:p>
        </w:tc>
        <w:tc>
          <w:tcPr>
            <w:tcW w:w="8504" w:type="dxa"/>
            <w:tcBorders>
              <w:right w:val="single" w:sz="8" w:space="0" w:color="FFFFFF"/>
            </w:tcBorders>
            <w:shd w:val="clear" w:color="auto" w:fill="783A79"/>
          </w:tcPr>
          <w:p>
            <w:pPr>
              <w:pStyle w:val="TableParagraph"/>
              <w:spacing w:before="44"/>
              <w:ind w:left="124"/>
              <w:rPr>
                <w:b/>
                <w:sz w:val="18"/>
              </w:rPr>
            </w:pPr>
            <w:r>
              <w:rPr>
                <w:b/>
                <w:color w:val="FFFFFF"/>
                <w:sz w:val="18"/>
              </w:rPr>
              <w:t>Reason for significant variation between actual and estimate</w:t>
            </w:r>
          </w:p>
        </w:tc>
      </w:tr>
      <w:tr>
        <w:trPr>
          <w:trHeight w:val="504" w:hRule="atLeast"/>
        </w:trPr>
        <w:tc>
          <w:tcPr>
            <w:tcW w:w="2551" w:type="dxa"/>
            <w:tcBorders>
              <w:left w:val="single" w:sz="8" w:space="0" w:color="FFFFFF"/>
              <w:right w:val="single" w:sz="8" w:space="0" w:color="FFFFFF"/>
            </w:tcBorders>
            <w:shd w:val="clear" w:color="auto" w:fill="F4F4F4"/>
          </w:tcPr>
          <w:p>
            <w:pPr>
              <w:pStyle w:val="TableParagraph"/>
              <w:spacing w:line="249" w:lineRule="auto" w:before="44"/>
              <w:ind w:left="113" w:right="707"/>
              <w:rPr>
                <w:sz w:val="18"/>
              </w:rPr>
            </w:pPr>
            <w:r>
              <w:rPr>
                <w:sz w:val="18"/>
              </w:rPr>
              <w:t>Total cost of services (expense limit)</w:t>
            </w:r>
          </w:p>
        </w:tc>
        <w:tc>
          <w:tcPr>
            <w:tcW w:w="1417" w:type="dxa"/>
            <w:tcBorders>
              <w:left w:val="single" w:sz="8" w:space="0" w:color="FFFFFF"/>
            </w:tcBorders>
            <w:shd w:val="clear" w:color="auto" w:fill="F4F4F4"/>
          </w:tcPr>
          <w:p>
            <w:pPr>
              <w:pStyle w:val="TableParagraph"/>
              <w:spacing w:before="44"/>
              <w:ind w:right="100"/>
              <w:jc w:val="right"/>
              <w:rPr>
                <w:sz w:val="18"/>
              </w:rPr>
            </w:pPr>
            <w:r>
              <w:rPr>
                <w:w w:val="95"/>
                <w:sz w:val="18"/>
              </w:rPr>
              <w:t>1,435,195</w:t>
            </w:r>
          </w:p>
        </w:tc>
        <w:tc>
          <w:tcPr>
            <w:tcW w:w="1417" w:type="dxa"/>
            <w:shd w:val="clear" w:color="auto" w:fill="E1E4BB"/>
          </w:tcPr>
          <w:p>
            <w:pPr>
              <w:pStyle w:val="TableParagraph"/>
              <w:spacing w:before="44"/>
              <w:ind w:right="100"/>
              <w:jc w:val="right"/>
              <w:rPr>
                <w:sz w:val="18"/>
              </w:rPr>
            </w:pPr>
            <w:r>
              <w:rPr>
                <w:w w:val="95"/>
                <w:sz w:val="18"/>
              </w:rPr>
              <w:t>1,377,832</w:t>
            </w:r>
          </w:p>
        </w:tc>
        <w:tc>
          <w:tcPr>
            <w:tcW w:w="1417" w:type="dxa"/>
            <w:tcBorders>
              <w:right w:val="single" w:sz="8" w:space="0" w:color="FFFFFF"/>
            </w:tcBorders>
            <w:shd w:val="clear" w:color="auto" w:fill="F4F4F4"/>
          </w:tcPr>
          <w:p>
            <w:pPr>
              <w:pStyle w:val="TableParagraph"/>
              <w:spacing w:before="44"/>
              <w:ind w:right="90"/>
              <w:jc w:val="right"/>
              <w:rPr>
                <w:sz w:val="18"/>
              </w:rPr>
            </w:pPr>
            <w:r>
              <w:rPr>
                <w:w w:val="95"/>
                <w:sz w:val="18"/>
              </w:rPr>
              <w:t>(57,363)</w:t>
            </w:r>
          </w:p>
        </w:tc>
        <w:tc>
          <w:tcPr>
            <w:tcW w:w="8504" w:type="dxa"/>
            <w:tcBorders>
              <w:left w:val="single" w:sz="8" w:space="0" w:color="FFFFFF"/>
              <w:right w:val="single" w:sz="8" w:space="0" w:color="FFFFFF"/>
            </w:tcBorders>
            <w:shd w:val="clear" w:color="auto" w:fill="F4F4F4"/>
          </w:tcPr>
          <w:p>
            <w:pPr>
              <w:pStyle w:val="TableParagraph"/>
              <w:spacing w:line="249" w:lineRule="auto" w:before="44"/>
              <w:ind w:left="114" w:right="439"/>
              <w:rPr>
                <w:sz w:val="18"/>
              </w:rPr>
            </w:pPr>
            <w:r>
              <w:rPr>
                <w:sz w:val="18"/>
              </w:rPr>
              <w:t>Actual</w:t>
            </w:r>
            <w:r>
              <w:rPr>
                <w:spacing w:val="-16"/>
                <w:sz w:val="18"/>
              </w:rPr>
              <w:t> </w:t>
            </w:r>
            <w:r>
              <w:rPr>
                <w:sz w:val="18"/>
              </w:rPr>
              <w:t>expenditure</w:t>
            </w:r>
            <w:r>
              <w:rPr>
                <w:spacing w:val="-16"/>
                <w:sz w:val="18"/>
              </w:rPr>
              <w:t> </w:t>
            </w:r>
            <w:r>
              <w:rPr>
                <w:sz w:val="18"/>
              </w:rPr>
              <w:t>was</w:t>
            </w:r>
            <w:r>
              <w:rPr>
                <w:spacing w:val="-15"/>
                <w:sz w:val="18"/>
              </w:rPr>
              <w:t> </w:t>
            </w:r>
            <w:r>
              <w:rPr>
                <w:sz w:val="18"/>
              </w:rPr>
              <w:t>below</w:t>
            </w:r>
            <w:r>
              <w:rPr>
                <w:spacing w:val="-16"/>
                <w:sz w:val="18"/>
              </w:rPr>
              <w:t> </w:t>
            </w:r>
            <w:r>
              <w:rPr>
                <w:sz w:val="18"/>
              </w:rPr>
              <w:t>estimate</w:t>
            </w:r>
            <w:r>
              <w:rPr>
                <w:spacing w:val="-15"/>
                <w:sz w:val="18"/>
              </w:rPr>
              <w:t> </w:t>
            </w:r>
            <w:r>
              <w:rPr>
                <w:sz w:val="18"/>
              </w:rPr>
              <w:t>primarily</w:t>
            </w:r>
            <w:r>
              <w:rPr>
                <w:spacing w:val="-16"/>
                <w:sz w:val="18"/>
              </w:rPr>
              <w:t> </w:t>
            </w:r>
            <w:r>
              <w:rPr>
                <w:sz w:val="18"/>
              </w:rPr>
              <w:t>due</w:t>
            </w:r>
            <w:r>
              <w:rPr>
                <w:spacing w:val="-15"/>
                <w:sz w:val="18"/>
              </w:rPr>
              <w:t> </w:t>
            </w:r>
            <w:r>
              <w:rPr>
                <w:sz w:val="18"/>
              </w:rPr>
              <w:t>to</w:t>
            </w:r>
            <w:r>
              <w:rPr>
                <w:spacing w:val="-16"/>
                <w:sz w:val="18"/>
              </w:rPr>
              <w:t> </w:t>
            </w:r>
            <w:r>
              <w:rPr>
                <w:sz w:val="18"/>
              </w:rPr>
              <w:t>a</w:t>
            </w:r>
            <w:r>
              <w:rPr>
                <w:spacing w:val="-15"/>
                <w:sz w:val="18"/>
              </w:rPr>
              <w:t> </w:t>
            </w:r>
            <w:r>
              <w:rPr>
                <w:sz w:val="18"/>
              </w:rPr>
              <w:t>reduction</w:t>
            </w:r>
            <w:r>
              <w:rPr>
                <w:spacing w:val="-16"/>
                <w:sz w:val="18"/>
              </w:rPr>
              <w:t> </w:t>
            </w:r>
            <w:r>
              <w:rPr>
                <w:sz w:val="18"/>
              </w:rPr>
              <w:t>in</w:t>
            </w:r>
            <w:r>
              <w:rPr>
                <w:spacing w:val="-15"/>
                <w:sz w:val="18"/>
              </w:rPr>
              <w:t> </w:t>
            </w:r>
            <w:r>
              <w:rPr>
                <w:sz w:val="18"/>
              </w:rPr>
              <w:t>the</w:t>
            </w:r>
            <w:r>
              <w:rPr>
                <w:spacing w:val="-16"/>
                <w:sz w:val="18"/>
              </w:rPr>
              <w:t> </w:t>
            </w:r>
            <w:r>
              <w:rPr>
                <w:sz w:val="18"/>
              </w:rPr>
              <w:t>whole-of-government</w:t>
            </w:r>
            <w:r>
              <w:rPr>
                <w:spacing w:val="-16"/>
                <w:sz w:val="18"/>
              </w:rPr>
              <w:t> </w:t>
            </w:r>
            <w:r>
              <w:rPr>
                <w:spacing w:val="-3"/>
                <w:sz w:val="18"/>
              </w:rPr>
              <w:t>capital </w:t>
            </w:r>
            <w:r>
              <w:rPr>
                <w:sz w:val="18"/>
              </w:rPr>
              <w:t>works</w:t>
            </w:r>
            <w:r>
              <w:rPr>
                <w:spacing w:val="-11"/>
                <w:sz w:val="18"/>
              </w:rPr>
              <w:t> </w:t>
            </w:r>
            <w:r>
              <w:rPr>
                <w:sz w:val="18"/>
              </w:rPr>
              <w:t>program</w:t>
            </w:r>
            <w:r>
              <w:rPr>
                <w:spacing w:val="-11"/>
                <w:sz w:val="18"/>
              </w:rPr>
              <w:t> </w:t>
            </w:r>
            <w:r>
              <w:rPr>
                <w:sz w:val="18"/>
              </w:rPr>
              <w:t>delivered</w:t>
            </w:r>
            <w:r>
              <w:rPr>
                <w:spacing w:val="-11"/>
                <w:sz w:val="18"/>
              </w:rPr>
              <w:t> </w:t>
            </w:r>
            <w:r>
              <w:rPr>
                <w:sz w:val="18"/>
              </w:rPr>
              <w:t>by</w:t>
            </w:r>
            <w:r>
              <w:rPr>
                <w:spacing w:val="-11"/>
                <w:sz w:val="18"/>
              </w:rPr>
              <w:t> </w:t>
            </w:r>
            <w:r>
              <w:rPr>
                <w:sz w:val="18"/>
              </w:rPr>
              <w:t>Building</w:t>
            </w:r>
            <w:r>
              <w:rPr>
                <w:spacing w:val="-11"/>
                <w:sz w:val="18"/>
              </w:rPr>
              <w:t> </w:t>
            </w:r>
            <w:r>
              <w:rPr>
                <w:sz w:val="18"/>
              </w:rPr>
              <w:t>Management</w:t>
            </w:r>
            <w:r>
              <w:rPr>
                <w:spacing w:val="-11"/>
                <w:sz w:val="18"/>
              </w:rPr>
              <w:t> </w:t>
            </w:r>
            <w:r>
              <w:rPr>
                <w:sz w:val="18"/>
              </w:rPr>
              <w:t>and</w:t>
            </w:r>
            <w:r>
              <w:rPr>
                <w:spacing w:val="-11"/>
                <w:sz w:val="18"/>
              </w:rPr>
              <w:t> </w:t>
            </w:r>
            <w:r>
              <w:rPr>
                <w:sz w:val="18"/>
              </w:rPr>
              <w:t>Works</w:t>
            </w:r>
            <w:r>
              <w:rPr>
                <w:spacing w:val="-11"/>
                <w:sz w:val="18"/>
              </w:rPr>
              <w:t> </w:t>
            </w:r>
            <w:r>
              <w:rPr>
                <w:sz w:val="18"/>
              </w:rPr>
              <w:t>on</w:t>
            </w:r>
            <w:r>
              <w:rPr>
                <w:spacing w:val="-11"/>
                <w:sz w:val="18"/>
              </w:rPr>
              <w:t> </w:t>
            </w:r>
            <w:r>
              <w:rPr>
                <w:sz w:val="18"/>
              </w:rPr>
              <w:t>behalf</w:t>
            </w:r>
            <w:r>
              <w:rPr>
                <w:spacing w:val="-11"/>
                <w:sz w:val="18"/>
              </w:rPr>
              <w:t> </w:t>
            </w:r>
            <w:r>
              <w:rPr>
                <w:sz w:val="18"/>
              </w:rPr>
              <w:t>of</w:t>
            </w:r>
            <w:r>
              <w:rPr>
                <w:spacing w:val="-11"/>
                <w:sz w:val="18"/>
              </w:rPr>
              <w:t> </w:t>
            </w:r>
            <w:r>
              <w:rPr>
                <w:sz w:val="18"/>
              </w:rPr>
              <w:t>government</w:t>
            </w:r>
            <w:r>
              <w:rPr>
                <w:spacing w:val="-11"/>
                <w:sz w:val="18"/>
              </w:rPr>
              <w:t> </w:t>
            </w:r>
            <w:r>
              <w:rPr>
                <w:sz w:val="18"/>
              </w:rPr>
              <w:t>agencies.</w:t>
            </w:r>
          </w:p>
        </w:tc>
      </w:tr>
      <w:tr>
        <w:trPr>
          <w:trHeight w:val="514" w:hRule="atLeast"/>
        </w:trPr>
        <w:tc>
          <w:tcPr>
            <w:tcW w:w="2551" w:type="dxa"/>
            <w:tcBorders>
              <w:left w:val="single" w:sz="8" w:space="0" w:color="FFFFFF"/>
              <w:bottom w:val="single" w:sz="8" w:space="0" w:color="FFFFFF"/>
            </w:tcBorders>
            <w:shd w:val="clear" w:color="auto" w:fill="FAF9F9"/>
          </w:tcPr>
          <w:p>
            <w:pPr>
              <w:pStyle w:val="TableParagraph"/>
              <w:spacing w:before="54"/>
              <w:ind w:left="113"/>
              <w:rPr>
                <w:sz w:val="18"/>
              </w:rPr>
            </w:pPr>
            <w:r>
              <w:rPr>
                <w:sz w:val="18"/>
              </w:rPr>
              <w:t>Net cost of services</w:t>
            </w:r>
          </w:p>
        </w:tc>
        <w:tc>
          <w:tcPr>
            <w:tcW w:w="1417" w:type="dxa"/>
            <w:tcBorders>
              <w:bottom w:val="single" w:sz="8" w:space="0" w:color="FFFFFF"/>
            </w:tcBorders>
            <w:shd w:val="clear" w:color="auto" w:fill="FAF9F9"/>
          </w:tcPr>
          <w:p>
            <w:pPr>
              <w:pStyle w:val="TableParagraph"/>
              <w:spacing w:before="54"/>
              <w:ind w:right="100"/>
              <w:jc w:val="right"/>
              <w:rPr>
                <w:sz w:val="18"/>
              </w:rPr>
            </w:pPr>
            <w:r>
              <w:rPr>
                <w:w w:val="95"/>
                <w:sz w:val="18"/>
              </w:rPr>
              <w:t>(151,322)</w:t>
            </w:r>
          </w:p>
        </w:tc>
        <w:tc>
          <w:tcPr>
            <w:tcW w:w="1417" w:type="dxa"/>
            <w:shd w:val="clear" w:color="auto" w:fill="E1E4BB"/>
          </w:tcPr>
          <w:p>
            <w:pPr>
              <w:pStyle w:val="TableParagraph"/>
              <w:spacing w:before="54"/>
              <w:ind w:right="100"/>
              <w:jc w:val="right"/>
              <w:rPr>
                <w:sz w:val="18"/>
              </w:rPr>
            </w:pPr>
            <w:r>
              <w:rPr>
                <w:w w:val="95"/>
                <w:sz w:val="18"/>
              </w:rPr>
              <w:t>(184,722)</w:t>
            </w:r>
          </w:p>
        </w:tc>
        <w:tc>
          <w:tcPr>
            <w:tcW w:w="9921" w:type="dxa"/>
            <w:gridSpan w:val="2"/>
            <w:tcBorders>
              <w:bottom w:val="single" w:sz="8" w:space="0" w:color="FFFFFF"/>
              <w:right w:val="single" w:sz="8" w:space="0" w:color="FFFFFF"/>
            </w:tcBorders>
            <w:shd w:val="clear" w:color="auto" w:fill="FAF9F9"/>
          </w:tcPr>
          <w:p>
            <w:pPr>
              <w:pStyle w:val="TableParagraph"/>
              <w:tabs>
                <w:tab w:pos="1541" w:val="left" w:leader="none"/>
              </w:tabs>
              <w:spacing w:line="249" w:lineRule="auto" w:before="54"/>
              <w:ind w:left="1541" w:right="438" w:hanging="778"/>
              <w:rPr>
                <w:sz w:val="18"/>
              </w:rPr>
            </w:pPr>
            <w:r>
              <w:rPr>
                <w:sz w:val="18"/>
              </w:rPr>
              <w:t>33,400</w:t>
              <w:tab/>
              <w:t>The</w:t>
            </w:r>
            <w:r>
              <w:rPr>
                <w:spacing w:val="-12"/>
                <w:sz w:val="18"/>
              </w:rPr>
              <w:t> </w:t>
            </w:r>
            <w:r>
              <w:rPr>
                <w:sz w:val="18"/>
              </w:rPr>
              <w:t>2018</w:t>
            </w:r>
            <w:r>
              <w:rPr>
                <w:spacing w:val="-11"/>
                <w:sz w:val="18"/>
              </w:rPr>
              <w:t> </w:t>
            </w:r>
            <w:r>
              <w:rPr>
                <w:sz w:val="18"/>
              </w:rPr>
              <w:t>actual</w:t>
            </w:r>
            <w:r>
              <w:rPr>
                <w:spacing w:val="-12"/>
                <w:sz w:val="18"/>
              </w:rPr>
              <w:t> </w:t>
            </w:r>
            <w:r>
              <w:rPr>
                <w:sz w:val="18"/>
              </w:rPr>
              <w:t>was</w:t>
            </w:r>
            <w:r>
              <w:rPr>
                <w:spacing w:val="-11"/>
                <w:sz w:val="18"/>
              </w:rPr>
              <w:t> </w:t>
            </w:r>
            <w:r>
              <w:rPr>
                <w:sz w:val="18"/>
              </w:rPr>
              <w:t>higher</w:t>
            </w:r>
            <w:r>
              <w:rPr>
                <w:spacing w:val="-12"/>
                <w:sz w:val="18"/>
              </w:rPr>
              <w:t> </w:t>
            </w:r>
            <w:r>
              <w:rPr>
                <w:sz w:val="18"/>
              </w:rPr>
              <w:t>than</w:t>
            </w:r>
            <w:r>
              <w:rPr>
                <w:spacing w:val="-11"/>
                <w:sz w:val="18"/>
              </w:rPr>
              <w:t> </w:t>
            </w:r>
            <w:r>
              <w:rPr>
                <w:sz w:val="18"/>
              </w:rPr>
              <w:t>estimate</w:t>
            </w:r>
            <w:r>
              <w:rPr>
                <w:spacing w:val="-12"/>
                <w:sz w:val="18"/>
              </w:rPr>
              <w:t> </w:t>
            </w:r>
            <w:r>
              <w:rPr>
                <w:sz w:val="18"/>
              </w:rPr>
              <w:t>due</w:t>
            </w:r>
            <w:r>
              <w:rPr>
                <w:spacing w:val="-11"/>
                <w:sz w:val="18"/>
              </w:rPr>
              <w:t> </w:t>
            </w:r>
            <w:r>
              <w:rPr>
                <w:sz w:val="18"/>
              </w:rPr>
              <w:t>to</w:t>
            </w:r>
            <w:r>
              <w:rPr>
                <w:spacing w:val="-11"/>
                <w:sz w:val="18"/>
              </w:rPr>
              <w:t> </w:t>
            </w:r>
            <w:r>
              <w:rPr>
                <w:sz w:val="18"/>
              </w:rPr>
              <w:t>the</w:t>
            </w:r>
            <w:r>
              <w:rPr>
                <w:spacing w:val="-12"/>
                <w:sz w:val="18"/>
              </w:rPr>
              <w:t> </w:t>
            </w:r>
            <w:r>
              <w:rPr>
                <w:sz w:val="18"/>
              </w:rPr>
              <w:t>write</w:t>
            </w:r>
            <w:r>
              <w:rPr>
                <w:spacing w:val="-11"/>
                <w:sz w:val="18"/>
              </w:rPr>
              <w:t> </w:t>
            </w:r>
            <w:r>
              <w:rPr>
                <w:sz w:val="18"/>
              </w:rPr>
              <w:t>down</w:t>
            </w:r>
            <w:r>
              <w:rPr>
                <w:spacing w:val="-12"/>
                <w:sz w:val="18"/>
              </w:rPr>
              <w:t> </w:t>
            </w:r>
            <w:r>
              <w:rPr>
                <w:sz w:val="18"/>
              </w:rPr>
              <w:t>of</w:t>
            </w:r>
            <w:r>
              <w:rPr>
                <w:spacing w:val="-11"/>
                <w:sz w:val="18"/>
              </w:rPr>
              <w:t> </w:t>
            </w:r>
            <w:r>
              <w:rPr>
                <w:sz w:val="18"/>
              </w:rPr>
              <w:t>the</w:t>
            </w:r>
            <w:r>
              <w:rPr>
                <w:spacing w:val="-12"/>
                <w:sz w:val="18"/>
              </w:rPr>
              <w:t> </w:t>
            </w:r>
            <w:r>
              <w:rPr>
                <w:sz w:val="18"/>
              </w:rPr>
              <w:t>Department’s</w:t>
            </w:r>
            <w:r>
              <w:rPr>
                <w:spacing w:val="-11"/>
                <w:sz w:val="18"/>
              </w:rPr>
              <w:t> </w:t>
            </w:r>
            <w:r>
              <w:rPr>
                <w:sz w:val="18"/>
              </w:rPr>
              <w:t>land</w:t>
            </w:r>
            <w:r>
              <w:rPr>
                <w:spacing w:val="-12"/>
                <w:sz w:val="18"/>
              </w:rPr>
              <w:t> </w:t>
            </w:r>
            <w:r>
              <w:rPr>
                <w:sz w:val="18"/>
              </w:rPr>
              <w:t>and</w:t>
            </w:r>
            <w:r>
              <w:rPr>
                <w:spacing w:val="-11"/>
                <w:sz w:val="18"/>
              </w:rPr>
              <w:t> </w:t>
            </w:r>
            <w:r>
              <w:rPr>
                <w:spacing w:val="-3"/>
                <w:sz w:val="18"/>
              </w:rPr>
              <w:t>building </w:t>
            </w:r>
            <w:r>
              <w:rPr>
                <w:sz w:val="18"/>
              </w:rPr>
              <w:t>assets as a result of the annual valuation</w:t>
            </w:r>
            <w:r>
              <w:rPr>
                <w:spacing w:val="-14"/>
                <w:sz w:val="18"/>
              </w:rPr>
              <w:t> </w:t>
            </w:r>
            <w:r>
              <w:rPr>
                <w:sz w:val="18"/>
              </w:rPr>
              <w:t>process.</w:t>
            </w:r>
          </w:p>
        </w:tc>
      </w:tr>
      <w:tr>
        <w:trPr>
          <w:trHeight w:val="494" w:hRule="atLeast"/>
        </w:trPr>
        <w:tc>
          <w:tcPr>
            <w:tcW w:w="25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34"/>
              <w:ind w:left="113"/>
              <w:rPr>
                <w:sz w:val="18"/>
              </w:rPr>
            </w:pPr>
            <w:r>
              <w:rPr>
                <w:sz w:val="18"/>
              </w:rPr>
              <w:t>Total equity</w:t>
            </w:r>
          </w:p>
        </w:tc>
        <w:tc>
          <w:tcPr>
            <w:tcW w:w="1417" w:type="dxa"/>
            <w:tcBorders>
              <w:top w:val="single" w:sz="8" w:space="0" w:color="FFFFFF"/>
              <w:left w:val="single" w:sz="8" w:space="0" w:color="FFFFFF"/>
              <w:bottom w:val="single" w:sz="8" w:space="0" w:color="FFFFFF"/>
            </w:tcBorders>
            <w:shd w:val="clear" w:color="auto" w:fill="F4F4F4"/>
          </w:tcPr>
          <w:p>
            <w:pPr>
              <w:pStyle w:val="TableParagraph"/>
              <w:spacing w:before="34"/>
              <w:ind w:right="100"/>
              <w:jc w:val="right"/>
              <w:rPr>
                <w:sz w:val="18"/>
              </w:rPr>
            </w:pPr>
            <w:r>
              <w:rPr>
                <w:w w:val="95"/>
                <w:sz w:val="18"/>
              </w:rPr>
              <w:t>1,184,373</w:t>
            </w:r>
          </w:p>
        </w:tc>
        <w:tc>
          <w:tcPr>
            <w:tcW w:w="1417" w:type="dxa"/>
            <w:shd w:val="clear" w:color="auto" w:fill="E1E4BB"/>
          </w:tcPr>
          <w:p>
            <w:pPr>
              <w:pStyle w:val="TableParagraph"/>
              <w:spacing w:before="34"/>
              <w:ind w:right="100"/>
              <w:jc w:val="right"/>
              <w:rPr>
                <w:sz w:val="18"/>
              </w:rPr>
            </w:pPr>
            <w:r>
              <w:rPr>
                <w:w w:val="95"/>
                <w:sz w:val="18"/>
              </w:rPr>
              <w:t>1,094,947</w:t>
            </w:r>
          </w:p>
        </w:tc>
        <w:tc>
          <w:tcPr>
            <w:tcW w:w="1417" w:type="dxa"/>
            <w:tcBorders>
              <w:top w:val="single" w:sz="8" w:space="0" w:color="FFFFFF"/>
              <w:bottom w:val="single" w:sz="8" w:space="0" w:color="FFFFFF"/>
              <w:right w:val="single" w:sz="8" w:space="0" w:color="FFFFFF"/>
            </w:tcBorders>
            <w:shd w:val="clear" w:color="auto" w:fill="F4F4F4"/>
          </w:tcPr>
          <w:p>
            <w:pPr>
              <w:pStyle w:val="TableParagraph"/>
              <w:spacing w:before="34"/>
              <w:ind w:right="90"/>
              <w:jc w:val="right"/>
              <w:rPr>
                <w:sz w:val="18"/>
              </w:rPr>
            </w:pPr>
            <w:r>
              <w:rPr>
                <w:w w:val="95"/>
                <w:sz w:val="18"/>
              </w:rPr>
              <w:t>(89,426)</w:t>
            </w:r>
          </w:p>
        </w:tc>
        <w:tc>
          <w:tcPr>
            <w:tcW w:w="850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4"/>
              <w:ind w:left="114" w:right="532"/>
              <w:rPr>
                <w:sz w:val="18"/>
              </w:rPr>
            </w:pPr>
            <w:r>
              <w:rPr>
                <w:spacing w:val="-4"/>
                <w:sz w:val="18"/>
              </w:rPr>
              <w:t>Total</w:t>
            </w:r>
            <w:r>
              <w:rPr>
                <w:spacing w:val="-16"/>
                <w:sz w:val="18"/>
              </w:rPr>
              <w:t> </w:t>
            </w:r>
            <w:r>
              <w:rPr>
                <w:sz w:val="18"/>
              </w:rPr>
              <w:t>equity</w:t>
            </w:r>
            <w:r>
              <w:rPr>
                <w:spacing w:val="-16"/>
                <w:sz w:val="18"/>
              </w:rPr>
              <w:t> </w:t>
            </w:r>
            <w:r>
              <w:rPr>
                <w:sz w:val="18"/>
              </w:rPr>
              <w:t>has</w:t>
            </w:r>
            <w:r>
              <w:rPr>
                <w:spacing w:val="-15"/>
                <w:sz w:val="18"/>
              </w:rPr>
              <w:t> </w:t>
            </w:r>
            <w:r>
              <w:rPr>
                <w:sz w:val="18"/>
              </w:rPr>
              <w:t>been</w:t>
            </w:r>
            <w:r>
              <w:rPr>
                <w:spacing w:val="-16"/>
                <w:sz w:val="18"/>
              </w:rPr>
              <w:t> </w:t>
            </w:r>
            <w:r>
              <w:rPr>
                <w:sz w:val="18"/>
              </w:rPr>
              <w:t>reduced</w:t>
            </w:r>
            <w:r>
              <w:rPr>
                <w:spacing w:val="-15"/>
                <w:sz w:val="18"/>
              </w:rPr>
              <w:t> </w:t>
            </w:r>
            <w:r>
              <w:rPr>
                <w:sz w:val="18"/>
              </w:rPr>
              <w:t>by</w:t>
            </w:r>
            <w:r>
              <w:rPr>
                <w:spacing w:val="-16"/>
                <w:sz w:val="18"/>
              </w:rPr>
              <w:t> </w:t>
            </w:r>
            <w:r>
              <w:rPr>
                <w:sz w:val="18"/>
              </w:rPr>
              <w:t>a</w:t>
            </w:r>
            <w:r>
              <w:rPr>
                <w:spacing w:val="-15"/>
                <w:sz w:val="18"/>
              </w:rPr>
              <w:t> </w:t>
            </w:r>
            <w:r>
              <w:rPr>
                <w:sz w:val="18"/>
              </w:rPr>
              <w:t>downward</w:t>
            </w:r>
            <w:r>
              <w:rPr>
                <w:spacing w:val="-16"/>
                <w:sz w:val="18"/>
              </w:rPr>
              <w:t> </w:t>
            </w:r>
            <w:r>
              <w:rPr>
                <w:sz w:val="18"/>
              </w:rPr>
              <w:t>revaluation</w:t>
            </w:r>
            <w:r>
              <w:rPr>
                <w:spacing w:val="-15"/>
                <w:sz w:val="18"/>
              </w:rPr>
              <w:t> </w:t>
            </w:r>
            <w:r>
              <w:rPr>
                <w:sz w:val="18"/>
              </w:rPr>
              <w:t>of</w:t>
            </w:r>
            <w:r>
              <w:rPr>
                <w:spacing w:val="-16"/>
                <w:sz w:val="18"/>
              </w:rPr>
              <w:t> </w:t>
            </w:r>
            <w:r>
              <w:rPr>
                <w:sz w:val="18"/>
              </w:rPr>
              <w:t>government</w:t>
            </w:r>
            <w:r>
              <w:rPr>
                <w:spacing w:val="-15"/>
                <w:sz w:val="18"/>
              </w:rPr>
              <w:t> </w:t>
            </w:r>
            <w:r>
              <w:rPr>
                <w:sz w:val="18"/>
              </w:rPr>
              <w:t>accommodation</w:t>
            </w:r>
            <w:r>
              <w:rPr>
                <w:spacing w:val="-16"/>
                <w:sz w:val="18"/>
              </w:rPr>
              <w:t> </w:t>
            </w:r>
            <w:r>
              <w:rPr>
                <w:sz w:val="18"/>
              </w:rPr>
              <w:t>assets</w:t>
            </w:r>
            <w:r>
              <w:rPr>
                <w:spacing w:val="-15"/>
                <w:sz w:val="18"/>
              </w:rPr>
              <w:t> </w:t>
            </w:r>
            <w:r>
              <w:rPr>
                <w:spacing w:val="-5"/>
                <w:sz w:val="18"/>
              </w:rPr>
              <w:t>and </w:t>
            </w:r>
            <w:r>
              <w:rPr>
                <w:sz w:val="18"/>
              </w:rPr>
              <w:t>lower capital</w:t>
            </w:r>
            <w:r>
              <w:rPr>
                <w:spacing w:val="-1"/>
                <w:sz w:val="18"/>
              </w:rPr>
              <w:t> </w:t>
            </w:r>
            <w:r>
              <w:rPr>
                <w:sz w:val="18"/>
              </w:rPr>
              <w:t>investment.</w:t>
            </w:r>
          </w:p>
        </w:tc>
      </w:tr>
      <w:tr>
        <w:trPr>
          <w:trHeight w:val="494" w:hRule="atLeast"/>
        </w:trPr>
        <w:tc>
          <w:tcPr>
            <w:tcW w:w="2551" w:type="dxa"/>
            <w:tcBorders>
              <w:top w:val="single" w:sz="8" w:space="0" w:color="FFFFFF"/>
              <w:left w:val="single" w:sz="8" w:space="0" w:color="FFFFFF"/>
              <w:bottom w:val="single" w:sz="8" w:space="0" w:color="FFFFFF"/>
            </w:tcBorders>
            <w:shd w:val="clear" w:color="auto" w:fill="FAF9F9"/>
          </w:tcPr>
          <w:p>
            <w:pPr>
              <w:pStyle w:val="TableParagraph"/>
              <w:spacing w:line="249" w:lineRule="auto" w:before="35"/>
              <w:ind w:left="113" w:right="583"/>
              <w:rPr>
                <w:sz w:val="18"/>
              </w:rPr>
            </w:pPr>
            <w:r>
              <w:rPr>
                <w:w w:val="95"/>
                <w:sz w:val="18"/>
              </w:rPr>
              <w:t>Net increase/(decrease) </w:t>
            </w:r>
            <w:r>
              <w:rPr>
                <w:sz w:val="18"/>
              </w:rPr>
              <w:t>in cash held</w:t>
            </w:r>
          </w:p>
        </w:tc>
        <w:tc>
          <w:tcPr>
            <w:tcW w:w="1417" w:type="dxa"/>
            <w:tcBorders>
              <w:top w:val="single" w:sz="8" w:space="0" w:color="FFFFFF"/>
              <w:bottom w:val="single" w:sz="8" w:space="0" w:color="FFFFFF"/>
            </w:tcBorders>
            <w:shd w:val="clear" w:color="auto" w:fill="FAF9F9"/>
          </w:tcPr>
          <w:p>
            <w:pPr>
              <w:pStyle w:val="TableParagraph"/>
              <w:spacing w:before="35"/>
              <w:ind w:right="100"/>
              <w:jc w:val="right"/>
              <w:rPr>
                <w:sz w:val="18"/>
              </w:rPr>
            </w:pPr>
            <w:r>
              <w:rPr>
                <w:w w:val="95"/>
                <w:sz w:val="18"/>
              </w:rPr>
              <w:t>29,365</w:t>
            </w:r>
          </w:p>
        </w:tc>
        <w:tc>
          <w:tcPr>
            <w:tcW w:w="1417" w:type="dxa"/>
            <w:shd w:val="clear" w:color="auto" w:fill="E1E4BB"/>
          </w:tcPr>
          <w:p>
            <w:pPr>
              <w:pStyle w:val="TableParagraph"/>
              <w:spacing w:before="35"/>
              <w:ind w:right="100"/>
              <w:jc w:val="right"/>
              <w:rPr>
                <w:sz w:val="18"/>
              </w:rPr>
            </w:pPr>
            <w:r>
              <w:rPr>
                <w:w w:val="95"/>
                <w:sz w:val="18"/>
              </w:rPr>
              <w:t>(27,197)</w:t>
            </w:r>
          </w:p>
        </w:tc>
        <w:tc>
          <w:tcPr>
            <w:tcW w:w="9921" w:type="dxa"/>
            <w:gridSpan w:val="2"/>
            <w:tcBorders>
              <w:top w:val="single" w:sz="8" w:space="0" w:color="FFFFFF"/>
              <w:bottom w:val="single" w:sz="8" w:space="0" w:color="FFFFFF"/>
              <w:right w:val="single" w:sz="8" w:space="0" w:color="FFFFFF"/>
            </w:tcBorders>
            <w:shd w:val="clear" w:color="auto" w:fill="FAF9F9"/>
          </w:tcPr>
          <w:p>
            <w:pPr>
              <w:pStyle w:val="TableParagraph"/>
              <w:tabs>
                <w:tab w:pos="1541" w:val="left" w:leader="none"/>
              </w:tabs>
              <w:spacing w:line="249" w:lineRule="auto" w:before="35"/>
              <w:ind w:left="1541" w:right="314" w:hanging="864"/>
              <w:rPr>
                <w:sz w:val="18"/>
              </w:rPr>
            </w:pPr>
            <w:r>
              <w:rPr>
                <w:sz w:val="18"/>
              </w:rPr>
              <w:t>(56,562)</w:t>
              <w:tab/>
              <w:t>Cash</w:t>
            </w:r>
            <w:r>
              <w:rPr>
                <w:spacing w:val="-16"/>
                <w:sz w:val="18"/>
              </w:rPr>
              <w:t> </w:t>
            </w:r>
            <w:r>
              <w:rPr>
                <w:sz w:val="18"/>
              </w:rPr>
              <w:t>balances</w:t>
            </w:r>
            <w:r>
              <w:rPr>
                <w:spacing w:val="-15"/>
                <w:sz w:val="18"/>
              </w:rPr>
              <w:t> </w:t>
            </w:r>
            <w:r>
              <w:rPr>
                <w:sz w:val="18"/>
              </w:rPr>
              <w:t>are</w:t>
            </w:r>
            <w:r>
              <w:rPr>
                <w:spacing w:val="-15"/>
                <w:sz w:val="18"/>
              </w:rPr>
              <w:t> </w:t>
            </w:r>
            <w:r>
              <w:rPr>
                <w:sz w:val="18"/>
              </w:rPr>
              <w:t>lower</w:t>
            </w:r>
            <w:r>
              <w:rPr>
                <w:spacing w:val="-15"/>
                <w:sz w:val="18"/>
              </w:rPr>
              <w:t> </w:t>
            </w:r>
            <w:r>
              <w:rPr>
                <w:sz w:val="18"/>
              </w:rPr>
              <w:t>than</w:t>
            </w:r>
            <w:r>
              <w:rPr>
                <w:spacing w:val="-16"/>
                <w:sz w:val="18"/>
              </w:rPr>
              <w:t> </w:t>
            </w:r>
            <w:r>
              <w:rPr>
                <w:sz w:val="18"/>
              </w:rPr>
              <w:t>estimate</w:t>
            </w:r>
            <w:r>
              <w:rPr>
                <w:spacing w:val="-15"/>
                <w:sz w:val="18"/>
              </w:rPr>
              <w:t> </w:t>
            </w:r>
            <w:r>
              <w:rPr>
                <w:sz w:val="18"/>
              </w:rPr>
              <w:t>due</w:t>
            </w:r>
            <w:r>
              <w:rPr>
                <w:spacing w:val="-15"/>
                <w:sz w:val="18"/>
              </w:rPr>
              <w:t> </w:t>
            </w:r>
            <w:r>
              <w:rPr>
                <w:sz w:val="18"/>
              </w:rPr>
              <w:t>to</w:t>
            </w:r>
            <w:r>
              <w:rPr>
                <w:spacing w:val="-15"/>
                <w:sz w:val="18"/>
              </w:rPr>
              <w:t> </w:t>
            </w:r>
            <w:r>
              <w:rPr>
                <w:sz w:val="18"/>
              </w:rPr>
              <w:t>lower</w:t>
            </w:r>
            <w:r>
              <w:rPr>
                <w:spacing w:val="-15"/>
                <w:sz w:val="18"/>
              </w:rPr>
              <w:t> </w:t>
            </w:r>
            <w:r>
              <w:rPr>
                <w:sz w:val="18"/>
              </w:rPr>
              <w:t>than</w:t>
            </w:r>
            <w:r>
              <w:rPr>
                <w:spacing w:val="-16"/>
                <w:sz w:val="18"/>
              </w:rPr>
              <w:t> </w:t>
            </w:r>
            <w:r>
              <w:rPr>
                <w:sz w:val="18"/>
              </w:rPr>
              <w:t>forecast</w:t>
            </w:r>
            <w:r>
              <w:rPr>
                <w:spacing w:val="-15"/>
                <w:sz w:val="18"/>
              </w:rPr>
              <w:t> </w:t>
            </w:r>
            <w:r>
              <w:rPr>
                <w:sz w:val="18"/>
              </w:rPr>
              <w:t>State</w:t>
            </w:r>
            <w:r>
              <w:rPr>
                <w:spacing w:val="-15"/>
                <w:sz w:val="18"/>
              </w:rPr>
              <w:t> </w:t>
            </w:r>
            <w:r>
              <w:rPr>
                <w:sz w:val="18"/>
              </w:rPr>
              <w:t>Fleet</w:t>
            </w:r>
            <w:r>
              <w:rPr>
                <w:spacing w:val="-15"/>
                <w:sz w:val="18"/>
              </w:rPr>
              <w:t> </w:t>
            </w:r>
            <w:r>
              <w:rPr>
                <w:sz w:val="18"/>
              </w:rPr>
              <w:t>receipts</w:t>
            </w:r>
            <w:r>
              <w:rPr>
                <w:spacing w:val="-15"/>
                <w:sz w:val="18"/>
              </w:rPr>
              <w:t> </w:t>
            </w:r>
            <w:r>
              <w:rPr>
                <w:sz w:val="18"/>
              </w:rPr>
              <w:t>and</w:t>
            </w:r>
            <w:r>
              <w:rPr>
                <w:spacing w:val="-16"/>
                <w:sz w:val="18"/>
              </w:rPr>
              <w:t> </w:t>
            </w:r>
            <w:r>
              <w:rPr>
                <w:sz w:val="18"/>
              </w:rPr>
              <w:t>a</w:t>
            </w:r>
            <w:r>
              <w:rPr>
                <w:spacing w:val="-15"/>
                <w:sz w:val="18"/>
              </w:rPr>
              <w:t> </w:t>
            </w:r>
            <w:r>
              <w:rPr>
                <w:sz w:val="18"/>
              </w:rPr>
              <w:t>reduction</w:t>
            </w:r>
            <w:r>
              <w:rPr>
                <w:spacing w:val="-15"/>
                <w:sz w:val="18"/>
              </w:rPr>
              <w:t> </w:t>
            </w:r>
            <w:r>
              <w:rPr>
                <w:spacing w:val="-7"/>
                <w:sz w:val="18"/>
              </w:rPr>
              <w:t>in </w:t>
            </w:r>
            <w:r>
              <w:rPr>
                <w:sz w:val="18"/>
              </w:rPr>
              <w:t>payables.</w:t>
            </w:r>
          </w:p>
        </w:tc>
      </w:tr>
      <w:tr>
        <w:trPr>
          <w:trHeight w:val="494" w:hRule="atLeast"/>
        </w:trPr>
        <w:tc>
          <w:tcPr>
            <w:tcW w:w="25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5"/>
              <w:ind w:left="113" w:right="366"/>
              <w:rPr>
                <w:sz w:val="18"/>
              </w:rPr>
            </w:pPr>
            <w:r>
              <w:rPr>
                <w:sz w:val="18"/>
              </w:rPr>
              <w:t>Approved salary expense level</w:t>
            </w:r>
          </w:p>
        </w:tc>
        <w:tc>
          <w:tcPr>
            <w:tcW w:w="1417" w:type="dxa"/>
            <w:tcBorders>
              <w:top w:val="single" w:sz="8" w:space="0" w:color="FFFFFF"/>
              <w:left w:val="single" w:sz="8" w:space="0" w:color="FFFFFF"/>
              <w:bottom w:val="single" w:sz="8" w:space="0" w:color="FFFFFF"/>
            </w:tcBorders>
            <w:shd w:val="clear" w:color="auto" w:fill="F4F4F4"/>
          </w:tcPr>
          <w:p>
            <w:pPr>
              <w:pStyle w:val="TableParagraph"/>
              <w:spacing w:before="35"/>
              <w:ind w:right="100"/>
              <w:jc w:val="right"/>
              <w:rPr>
                <w:sz w:val="18"/>
              </w:rPr>
            </w:pPr>
            <w:r>
              <w:rPr>
                <w:w w:val="95"/>
                <w:sz w:val="18"/>
              </w:rPr>
              <w:t>120,336</w:t>
            </w:r>
          </w:p>
        </w:tc>
        <w:tc>
          <w:tcPr>
            <w:tcW w:w="1417" w:type="dxa"/>
            <w:shd w:val="clear" w:color="auto" w:fill="E1E4BB"/>
          </w:tcPr>
          <w:p>
            <w:pPr>
              <w:pStyle w:val="TableParagraph"/>
              <w:spacing w:before="35"/>
              <w:ind w:right="100"/>
              <w:jc w:val="right"/>
              <w:rPr>
                <w:sz w:val="18"/>
              </w:rPr>
            </w:pPr>
            <w:r>
              <w:rPr>
                <w:w w:val="95"/>
                <w:sz w:val="18"/>
              </w:rPr>
              <w:t>103,244</w:t>
            </w:r>
          </w:p>
        </w:tc>
        <w:tc>
          <w:tcPr>
            <w:tcW w:w="1417" w:type="dxa"/>
            <w:tcBorders>
              <w:top w:val="single" w:sz="8" w:space="0" w:color="FFFFFF"/>
              <w:bottom w:val="single" w:sz="8" w:space="0" w:color="FFFFFF"/>
              <w:right w:val="single" w:sz="8" w:space="0" w:color="FFFFFF"/>
            </w:tcBorders>
            <w:shd w:val="clear" w:color="auto" w:fill="F4F4F4"/>
          </w:tcPr>
          <w:p>
            <w:pPr>
              <w:pStyle w:val="TableParagraph"/>
              <w:spacing w:before="35"/>
              <w:ind w:right="90"/>
              <w:jc w:val="right"/>
              <w:rPr>
                <w:sz w:val="18"/>
              </w:rPr>
            </w:pPr>
            <w:r>
              <w:rPr>
                <w:w w:val="95"/>
                <w:sz w:val="18"/>
              </w:rPr>
              <w:t>(17,092)</w:t>
            </w:r>
          </w:p>
        </w:tc>
        <w:tc>
          <w:tcPr>
            <w:tcW w:w="850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5"/>
              <w:ind w:left="114" w:right="654"/>
              <w:rPr>
                <w:sz w:val="18"/>
              </w:rPr>
            </w:pPr>
            <w:r>
              <w:rPr>
                <w:sz w:val="18"/>
              </w:rPr>
              <w:t>Reduced</w:t>
            </w:r>
            <w:r>
              <w:rPr>
                <w:spacing w:val="-17"/>
                <w:sz w:val="18"/>
              </w:rPr>
              <w:t> </w:t>
            </w:r>
            <w:r>
              <w:rPr>
                <w:sz w:val="18"/>
              </w:rPr>
              <w:t>expenditure</w:t>
            </w:r>
            <w:r>
              <w:rPr>
                <w:spacing w:val="-17"/>
                <w:sz w:val="18"/>
              </w:rPr>
              <w:t> </w:t>
            </w:r>
            <w:r>
              <w:rPr>
                <w:sz w:val="18"/>
              </w:rPr>
              <w:t>on</w:t>
            </w:r>
            <w:r>
              <w:rPr>
                <w:spacing w:val="-17"/>
                <w:sz w:val="18"/>
              </w:rPr>
              <w:t> </w:t>
            </w:r>
            <w:r>
              <w:rPr>
                <w:sz w:val="18"/>
              </w:rPr>
              <w:t>salaries</w:t>
            </w:r>
            <w:r>
              <w:rPr>
                <w:spacing w:val="-17"/>
                <w:sz w:val="18"/>
              </w:rPr>
              <w:t> </w:t>
            </w:r>
            <w:r>
              <w:rPr>
                <w:sz w:val="18"/>
              </w:rPr>
              <w:t>was</w:t>
            </w:r>
            <w:r>
              <w:rPr>
                <w:spacing w:val="-17"/>
                <w:sz w:val="18"/>
              </w:rPr>
              <w:t> </w:t>
            </w:r>
            <w:r>
              <w:rPr>
                <w:sz w:val="18"/>
              </w:rPr>
              <w:t>as</w:t>
            </w:r>
            <w:r>
              <w:rPr>
                <w:spacing w:val="-17"/>
                <w:sz w:val="18"/>
              </w:rPr>
              <w:t> </w:t>
            </w:r>
            <w:r>
              <w:rPr>
                <w:sz w:val="18"/>
              </w:rPr>
              <w:t>a</w:t>
            </w:r>
            <w:r>
              <w:rPr>
                <w:spacing w:val="-17"/>
                <w:sz w:val="18"/>
              </w:rPr>
              <w:t> </w:t>
            </w:r>
            <w:r>
              <w:rPr>
                <w:sz w:val="18"/>
              </w:rPr>
              <w:t>result</w:t>
            </w:r>
            <w:r>
              <w:rPr>
                <w:spacing w:val="-17"/>
                <w:sz w:val="18"/>
              </w:rPr>
              <w:t> </w:t>
            </w:r>
            <w:r>
              <w:rPr>
                <w:sz w:val="18"/>
              </w:rPr>
              <w:t>of</w:t>
            </w:r>
            <w:r>
              <w:rPr>
                <w:spacing w:val="-17"/>
                <w:sz w:val="18"/>
              </w:rPr>
              <w:t> </w:t>
            </w:r>
            <w:r>
              <w:rPr>
                <w:sz w:val="18"/>
              </w:rPr>
              <w:t>the</w:t>
            </w:r>
            <w:r>
              <w:rPr>
                <w:spacing w:val="-17"/>
                <w:sz w:val="18"/>
              </w:rPr>
              <w:t> </w:t>
            </w:r>
            <w:r>
              <w:rPr>
                <w:sz w:val="18"/>
              </w:rPr>
              <w:t>severance</w:t>
            </w:r>
            <w:r>
              <w:rPr>
                <w:spacing w:val="-17"/>
                <w:sz w:val="18"/>
              </w:rPr>
              <w:t> </w:t>
            </w:r>
            <w:r>
              <w:rPr>
                <w:sz w:val="18"/>
              </w:rPr>
              <w:t>program</w:t>
            </w:r>
            <w:r>
              <w:rPr>
                <w:spacing w:val="-17"/>
                <w:sz w:val="18"/>
              </w:rPr>
              <w:t> </w:t>
            </w:r>
            <w:r>
              <w:rPr>
                <w:sz w:val="18"/>
              </w:rPr>
              <w:t>and</w:t>
            </w:r>
            <w:r>
              <w:rPr>
                <w:spacing w:val="-17"/>
                <w:sz w:val="18"/>
              </w:rPr>
              <w:t> </w:t>
            </w:r>
            <w:r>
              <w:rPr>
                <w:sz w:val="18"/>
              </w:rPr>
              <w:t>higher</w:t>
            </w:r>
            <w:r>
              <w:rPr>
                <w:spacing w:val="-17"/>
                <w:sz w:val="18"/>
              </w:rPr>
              <w:t> </w:t>
            </w:r>
            <w:r>
              <w:rPr>
                <w:sz w:val="18"/>
              </w:rPr>
              <w:t>than</w:t>
            </w:r>
            <w:r>
              <w:rPr>
                <w:spacing w:val="-17"/>
                <w:sz w:val="18"/>
              </w:rPr>
              <w:t> </w:t>
            </w:r>
            <w:r>
              <w:rPr>
                <w:spacing w:val="-3"/>
                <w:sz w:val="18"/>
              </w:rPr>
              <w:t>forecast </w:t>
            </w:r>
            <w:r>
              <w:rPr>
                <w:sz w:val="18"/>
              </w:rPr>
              <w:t>vacancy</w:t>
            </w:r>
            <w:r>
              <w:rPr>
                <w:spacing w:val="-1"/>
                <w:sz w:val="18"/>
              </w:rPr>
              <w:t> </w:t>
            </w:r>
            <w:r>
              <w:rPr>
                <w:sz w:val="18"/>
              </w:rPr>
              <w:t>levels.</w:t>
            </w:r>
          </w:p>
        </w:tc>
      </w:tr>
      <w:tr>
        <w:trPr>
          <w:trHeight w:val="278" w:hRule="atLeast"/>
        </w:trPr>
        <w:tc>
          <w:tcPr>
            <w:tcW w:w="2551" w:type="dxa"/>
            <w:tcBorders>
              <w:top w:val="single" w:sz="8" w:space="0" w:color="FFFFFF"/>
              <w:left w:val="single" w:sz="8" w:space="0" w:color="FFFFFF"/>
              <w:bottom w:val="single" w:sz="8" w:space="0" w:color="FFFFFF"/>
            </w:tcBorders>
            <w:shd w:val="clear" w:color="auto" w:fill="FAF9F9"/>
          </w:tcPr>
          <w:p>
            <w:pPr>
              <w:pStyle w:val="TableParagraph"/>
              <w:spacing w:before="35"/>
              <w:ind w:left="113"/>
              <w:rPr>
                <w:sz w:val="18"/>
              </w:rPr>
            </w:pPr>
            <w:r>
              <w:rPr>
                <w:sz w:val="18"/>
              </w:rPr>
              <w:t>Agreed borrowing limit</w:t>
            </w:r>
          </w:p>
        </w:tc>
        <w:tc>
          <w:tcPr>
            <w:tcW w:w="1417" w:type="dxa"/>
            <w:tcBorders>
              <w:top w:val="single" w:sz="8" w:space="0" w:color="FFFFFF"/>
              <w:bottom w:val="single" w:sz="8" w:space="0" w:color="FFFFFF"/>
            </w:tcBorders>
            <w:shd w:val="clear" w:color="auto" w:fill="FAF9F9"/>
          </w:tcPr>
          <w:p>
            <w:pPr>
              <w:pStyle w:val="TableParagraph"/>
              <w:spacing w:before="35"/>
              <w:ind w:right="100"/>
              <w:jc w:val="right"/>
              <w:rPr>
                <w:sz w:val="18"/>
              </w:rPr>
            </w:pPr>
            <w:r>
              <w:rPr>
                <w:w w:val="95"/>
                <w:sz w:val="18"/>
              </w:rPr>
              <w:t>88,597</w:t>
            </w:r>
          </w:p>
        </w:tc>
        <w:tc>
          <w:tcPr>
            <w:tcW w:w="1417" w:type="dxa"/>
            <w:shd w:val="clear" w:color="auto" w:fill="E1E4BB"/>
          </w:tcPr>
          <w:p>
            <w:pPr>
              <w:pStyle w:val="TableParagraph"/>
              <w:spacing w:before="35"/>
              <w:ind w:right="100"/>
              <w:jc w:val="right"/>
              <w:rPr>
                <w:sz w:val="18"/>
              </w:rPr>
            </w:pPr>
            <w:r>
              <w:rPr>
                <w:w w:val="95"/>
                <w:sz w:val="18"/>
              </w:rPr>
              <w:t>79,918</w:t>
            </w:r>
          </w:p>
        </w:tc>
        <w:tc>
          <w:tcPr>
            <w:tcW w:w="9921" w:type="dxa"/>
            <w:gridSpan w:val="2"/>
            <w:tcBorders>
              <w:top w:val="single" w:sz="8" w:space="0" w:color="FFFFFF"/>
              <w:bottom w:val="single" w:sz="8" w:space="0" w:color="FFFFFF"/>
              <w:right w:val="single" w:sz="8" w:space="0" w:color="FFFFFF"/>
            </w:tcBorders>
            <w:shd w:val="clear" w:color="auto" w:fill="FAF9F9"/>
          </w:tcPr>
          <w:p>
            <w:pPr>
              <w:pStyle w:val="TableParagraph"/>
              <w:tabs>
                <w:tab w:pos="1541" w:val="left" w:leader="none"/>
              </w:tabs>
              <w:spacing w:before="35"/>
              <w:ind w:left="777"/>
              <w:rPr>
                <w:sz w:val="18"/>
              </w:rPr>
            </w:pPr>
            <w:r>
              <w:rPr>
                <w:sz w:val="18"/>
              </w:rPr>
              <w:t>(8,679)</w:t>
              <w:tab/>
              <w:t>Reduction</w:t>
            </w:r>
            <w:r>
              <w:rPr>
                <w:spacing w:val="-4"/>
                <w:sz w:val="18"/>
              </w:rPr>
              <w:t> </w:t>
            </w:r>
            <w:r>
              <w:rPr>
                <w:sz w:val="18"/>
              </w:rPr>
              <w:t>due</w:t>
            </w:r>
            <w:r>
              <w:rPr>
                <w:spacing w:val="-3"/>
                <w:sz w:val="18"/>
              </w:rPr>
              <w:t> </w:t>
            </w:r>
            <w:r>
              <w:rPr>
                <w:sz w:val="18"/>
              </w:rPr>
              <w:t>to</w:t>
            </w:r>
            <w:r>
              <w:rPr>
                <w:spacing w:val="-4"/>
                <w:sz w:val="18"/>
              </w:rPr>
              <w:t> </w:t>
            </w:r>
            <w:r>
              <w:rPr>
                <w:sz w:val="18"/>
              </w:rPr>
              <w:t>State</w:t>
            </w:r>
            <w:r>
              <w:rPr>
                <w:spacing w:val="-3"/>
                <w:sz w:val="18"/>
              </w:rPr>
              <w:t> </w:t>
            </w:r>
            <w:r>
              <w:rPr>
                <w:sz w:val="18"/>
              </w:rPr>
              <w:t>Fleet</w:t>
            </w:r>
            <w:r>
              <w:rPr>
                <w:spacing w:val="-3"/>
                <w:sz w:val="18"/>
              </w:rPr>
              <w:t> </w:t>
            </w:r>
            <w:r>
              <w:rPr>
                <w:sz w:val="18"/>
              </w:rPr>
              <w:t>reforms</w:t>
            </w:r>
            <w:r>
              <w:rPr>
                <w:spacing w:val="-4"/>
                <w:sz w:val="18"/>
              </w:rPr>
              <w:t> </w:t>
            </w:r>
            <w:r>
              <w:rPr>
                <w:sz w:val="18"/>
              </w:rPr>
              <w:t>reducing</w:t>
            </w:r>
            <w:r>
              <w:rPr>
                <w:spacing w:val="-3"/>
                <w:sz w:val="18"/>
              </w:rPr>
              <w:t> </w:t>
            </w:r>
            <w:r>
              <w:rPr>
                <w:sz w:val="18"/>
              </w:rPr>
              <w:t>the</w:t>
            </w:r>
            <w:r>
              <w:rPr>
                <w:spacing w:val="-4"/>
                <w:sz w:val="18"/>
              </w:rPr>
              <w:t> </w:t>
            </w:r>
            <w:r>
              <w:rPr>
                <w:sz w:val="18"/>
              </w:rPr>
              <w:t>purchasing</w:t>
            </w:r>
            <w:r>
              <w:rPr>
                <w:spacing w:val="-3"/>
                <w:sz w:val="18"/>
              </w:rPr>
              <w:t> </w:t>
            </w:r>
            <w:r>
              <w:rPr>
                <w:sz w:val="18"/>
              </w:rPr>
              <w:t>of</w:t>
            </w:r>
            <w:r>
              <w:rPr>
                <w:spacing w:val="-3"/>
                <w:sz w:val="18"/>
              </w:rPr>
              <w:t> </w:t>
            </w:r>
            <w:r>
              <w:rPr>
                <w:sz w:val="18"/>
              </w:rPr>
              <w:t>new</w:t>
            </w:r>
            <w:r>
              <w:rPr>
                <w:spacing w:val="-4"/>
                <w:sz w:val="18"/>
              </w:rPr>
              <w:t> </w:t>
            </w:r>
            <w:r>
              <w:rPr>
                <w:sz w:val="18"/>
              </w:rPr>
              <w:t>vehicles.</w:t>
            </w:r>
          </w:p>
        </w:tc>
      </w:tr>
      <w:tr>
        <w:trPr>
          <w:trHeight w:val="504" w:hRule="atLeast"/>
        </w:trPr>
        <w:tc>
          <w:tcPr>
            <w:tcW w:w="2551" w:type="dxa"/>
            <w:tcBorders>
              <w:top w:val="single" w:sz="8" w:space="0" w:color="FFFFFF"/>
              <w:left w:val="single" w:sz="8" w:space="0" w:color="FFFFFF"/>
              <w:right w:val="single" w:sz="8" w:space="0" w:color="FFFFFF"/>
            </w:tcBorders>
            <w:shd w:val="clear" w:color="auto" w:fill="F4F4F4"/>
          </w:tcPr>
          <w:p>
            <w:pPr>
              <w:pStyle w:val="TableParagraph"/>
              <w:spacing w:before="35"/>
              <w:ind w:left="113"/>
              <w:rPr>
                <w:sz w:val="18"/>
              </w:rPr>
            </w:pPr>
            <w:r>
              <w:rPr>
                <w:sz w:val="18"/>
              </w:rPr>
              <w:t>Working cash limit</w:t>
            </w:r>
          </w:p>
        </w:tc>
        <w:tc>
          <w:tcPr>
            <w:tcW w:w="1417" w:type="dxa"/>
            <w:tcBorders>
              <w:top w:val="single" w:sz="8" w:space="0" w:color="FFFFFF"/>
              <w:left w:val="single" w:sz="8" w:space="0" w:color="FFFFFF"/>
            </w:tcBorders>
            <w:shd w:val="clear" w:color="auto" w:fill="F4F4F4"/>
          </w:tcPr>
          <w:p>
            <w:pPr>
              <w:pStyle w:val="TableParagraph"/>
              <w:spacing w:before="35"/>
              <w:ind w:right="100"/>
              <w:jc w:val="right"/>
              <w:rPr>
                <w:sz w:val="18"/>
              </w:rPr>
            </w:pPr>
            <w:r>
              <w:rPr>
                <w:w w:val="95"/>
                <w:sz w:val="18"/>
              </w:rPr>
              <w:t>66,838</w:t>
            </w:r>
          </w:p>
        </w:tc>
        <w:tc>
          <w:tcPr>
            <w:tcW w:w="1417" w:type="dxa"/>
            <w:shd w:val="clear" w:color="auto" w:fill="E1E4BB"/>
          </w:tcPr>
          <w:p>
            <w:pPr>
              <w:pStyle w:val="TableParagraph"/>
              <w:spacing w:before="35"/>
              <w:ind w:right="100"/>
              <w:jc w:val="right"/>
              <w:rPr>
                <w:sz w:val="18"/>
              </w:rPr>
            </w:pPr>
            <w:r>
              <w:rPr>
                <w:w w:val="95"/>
                <w:sz w:val="18"/>
              </w:rPr>
              <w:t>63,391</w:t>
            </w:r>
          </w:p>
        </w:tc>
        <w:tc>
          <w:tcPr>
            <w:tcW w:w="1417" w:type="dxa"/>
            <w:tcBorders>
              <w:top w:val="single" w:sz="8" w:space="0" w:color="FFFFFF"/>
              <w:right w:val="single" w:sz="8" w:space="0" w:color="FFFFFF"/>
            </w:tcBorders>
            <w:shd w:val="clear" w:color="auto" w:fill="F4F4F4"/>
          </w:tcPr>
          <w:p>
            <w:pPr>
              <w:pStyle w:val="TableParagraph"/>
              <w:spacing w:before="35"/>
              <w:ind w:right="90"/>
              <w:jc w:val="right"/>
              <w:rPr>
                <w:sz w:val="18"/>
              </w:rPr>
            </w:pPr>
            <w:r>
              <w:rPr>
                <w:w w:val="90"/>
                <w:sz w:val="18"/>
              </w:rPr>
              <w:t>(3,447)</w:t>
            </w:r>
          </w:p>
        </w:tc>
        <w:tc>
          <w:tcPr>
            <w:tcW w:w="8504" w:type="dxa"/>
            <w:tcBorders>
              <w:top w:val="single" w:sz="8" w:space="0" w:color="FFFFFF"/>
              <w:left w:val="single" w:sz="8" w:space="0" w:color="FFFFFF"/>
              <w:right w:val="single" w:sz="8" w:space="0" w:color="FFFFFF"/>
            </w:tcBorders>
            <w:shd w:val="clear" w:color="auto" w:fill="F4F4F4"/>
          </w:tcPr>
          <w:p>
            <w:pPr>
              <w:pStyle w:val="TableParagraph"/>
              <w:spacing w:line="249" w:lineRule="auto" w:before="35"/>
              <w:ind w:left="114" w:right="331"/>
              <w:rPr>
                <w:sz w:val="18"/>
              </w:rPr>
            </w:pPr>
            <w:r>
              <w:rPr>
                <w:sz w:val="18"/>
              </w:rPr>
              <w:t>The</w:t>
            </w:r>
            <w:r>
              <w:rPr>
                <w:spacing w:val="-19"/>
                <w:sz w:val="18"/>
              </w:rPr>
              <w:t> </w:t>
            </w:r>
            <w:r>
              <w:rPr>
                <w:sz w:val="18"/>
              </w:rPr>
              <w:t>working</w:t>
            </w:r>
            <w:r>
              <w:rPr>
                <w:spacing w:val="-18"/>
                <w:sz w:val="18"/>
              </w:rPr>
              <w:t> </w:t>
            </w:r>
            <w:r>
              <w:rPr>
                <w:sz w:val="18"/>
              </w:rPr>
              <w:t>cash</w:t>
            </w:r>
            <w:r>
              <w:rPr>
                <w:spacing w:val="-19"/>
                <w:sz w:val="18"/>
              </w:rPr>
              <w:t> </w:t>
            </w:r>
            <w:r>
              <w:rPr>
                <w:sz w:val="18"/>
              </w:rPr>
              <w:t>limit</w:t>
            </w:r>
            <w:r>
              <w:rPr>
                <w:spacing w:val="-18"/>
                <w:sz w:val="18"/>
              </w:rPr>
              <w:t> </w:t>
            </w:r>
            <w:r>
              <w:rPr>
                <w:sz w:val="18"/>
              </w:rPr>
              <w:t>is</w:t>
            </w:r>
            <w:r>
              <w:rPr>
                <w:spacing w:val="-18"/>
                <w:sz w:val="18"/>
              </w:rPr>
              <w:t> </w:t>
            </w:r>
            <w:r>
              <w:rPr>
                <w:sz w:val="18"/>
              </w:rPr>
              <w:t>5%</w:t>
            </w:r>
            <w:r>
              <w:rPr>
                <w:spacing w:val="-19"/>
                <w:sz w:val="18"/>
              </w:rPr>
              <w:t> </w:t>
            </w:r>
            <w:r>
              <w:rPr>
                <w:sz w:val="18"/>
              </w:rPr>
              <w:t>of</w:t>
            </w:r>
            <w:r>
              <w:rPr>
                <w:spacing w:val="-18"/>
                <w:sz w:val="18"/>
              </w:rPr>
              <w:t> </w:t>
            </w:r>
            <w:r>
              <w:rPr>
                <w:sz w:val="18"/>
              </w:rPr>
              <w:t>budgeted</w:t>
            </w:r>
            <w:r>
              <w:rPr>
                <w:spacing w:val="-18"/>
                <w:sz w:val="18"/>
              </w:rPr>
              <w:t> </w:t>
            </w:r>
            <w:r>
              <w:rPr>
                <w:sz w:val="18"/>
              </w:rPr>
              <w:t>recurrent</w:t>
            </w:r>
            <w:r>
              <w:rPr>
                <w:spacing w:val="-19"/>
                <w:sz w:val="18"/>
              </w:rPr>
              <w:t> </w:t>
            </w:r>
            <w:r>
              <w:rPr>
                <w:sz w:val="18"/>
              </w:rPr>
              <w:t>payments</w:t>
            </w:r>
            <w:r>
              <w:rPr>
                <w:spacing w:val="-18"/>
                <w:sz w:val="18"/>
              </w:rPr>
              <w:t> </w:t>
            </w:r>
            <w:r>
              <w:rPr>
                <w:sz w:val="18"/>
              </w:rPr>
              <w:t>(operating</w:t>
            </w:r>
            <w:r>
              <w:rPr>
                <w:spacing w:val="-18"/>
                <w:sz w:val="18"/>
              </w:rPr>
              <w:t> </w:t>
            </w:r>
            <w:r>
              <w:rPr>
                <w:sz w:val="18"/>
              </w:rPr>
              <w:t>and</w:t>
            </w:r>
            <w:r>
              <w:rPr>
                <w:spacing w:val="-19"/>
                <w:sz w:val="18"/>
              </w:rPr>
              <w:t> </w:t>
            </w:r>
            <w:r>
              <w:rPr>
                <w:sz w:val="18"/>
              </w:rPr>
              <w:t>financing)</w:t>
            </w:r>
            <w:r>
              <w:rPr>
                <w:spacing w:val="-18"/>
                <w:sz w:val="18"/>
              </w:rPr>
              <w:t> </w:t>
            </w:r>
            <w:r>
              <w:rPr>
                <w:sz w:val="18"/>
              </w:rPr>
              <w:t>and</w:t>
            </w:r>
            <w:r>
              <w:rPr>
                <w:spacing w:val="-18"/>
                <w:sz w:val="18"/>
              </w:rPr>
              <w:t> </w:t>
            </w:r>
            <w:r>
              <w:rPr>
                <w:sz w:val="18"/>
              </w:rPr>
              <w:t>the</w:t>
            </w:r>
            <w:r>
              <w:rPr>
                <w:spacing w:val="-19"/>
                <w:sz w:val="18"/>
              </w:rPr>
              <w:t> </w:t>
            </w:r>
            <w:r>
              <w:rPr>
                <w:sz w:val="18"/>
              </w:rPr>
              <w:t>variation reflects the reduction in cost of</w:t>
            </w:r>
            <w:r>
              <w:rPr>
                <w:spacing w:val="-6"/>
                <w:sz w:val="18"/>
              </w:rPr>
              <w:t> </w:t>
            </w:r>
            <w:r>
              <w:rPr>
                <w:sz w:val="18"/>
              </w:rPr>
              <w:t>services.</w:t>
            </w:r>
          </w:p>
        </w:tc>
      </w:tr>
    </w:tbl>
    <w:p>
      <w:pPr>
        <w:spacing w:before="84"/>
        <w:ind w:left="765" w:right="0" w:firstLine="0"/>
        <w:jc w:val="both"/>
        <w:rPr>
          <w:sz w:val="12"/>
        </w:rPr>
      </w:pPr>
      <w:r>
        <w:rPr>
          <w:sz w:val="12"/>
        </w:rPr>
        <w:t>(a) Approved as part of the 2017-18 State Budget process.</w:t>
      </w:r>
    </w:p>
    <w:p>
      <w:pPr>
        <w:pStyle w:val="BodyText"/>
        <w:rPr>
          <w:sz w:val="14"/>
        </w:rPr>
      </w:pPr>
    </w:p>
    <w:p>
      <w:pPr>
        <w:pStyle w:val="BodyText"/>
        <w:spacing w:before="9"/>
        <w:rPr>
          <w:sz w:val="11"/>
        </w:rPr>
      </w:pPr>
    </w:p>
    <w:p>
      <w:pPr>
        <w:pStyle w:val="BodyText"/>
        <w:ind w:left="765"/>
        <w:jc w:val="both"/>
      </w:pPr>
      <w:r>
        <w:rPr/>
        <w:t>Further explanations are contained in Note 44 of the financial statements.</w:t>
      </w:r>
    </w:p>
    <w:p>
      <w:pPr>
        <w:spacing w:after="0"/>
        <w:jc w:val="both"/>
        <w:sectPr>
          <w:footerReference w:type="default" r:id="rId122"/>
          <w:pgSz w:w="16840" w:h="11910" w:orient="landscape"/>
          <w:pgMar w:footer="774" w:header="0" w:top="0" w:bottom="960" w:left="0" w:right="0"/>
        </w:sectPr>
      </w:pPr>
    </w:p>
    <w:p>
      <w:pPr>
        <w:pStyle w:val="BodyText"/>
        <w:rPr>
          <w:sz w:val="20"/>
        </w:rPr>
      </w:pPr>
      <w:bookmarkStart w:name="_bookmark17" w:id="18"/>
      <w:bookmarkEnd w:id="18"/>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3"/>
        <w:rPr>
          <w:sz w:val="20"/>
        </w:rPr>
      </w:pPr>
    </w:p>
    <w:p>
      <w:pPr>
        <w:pStyle w:val="Heading2"/>
        <w:tabs>
          <w:tab w:pos="8628" w:val="left" w:leader="none"/>
        </w:tabs>
      </w:pPr>
      <w:r>
        <w:rPr/>
        <w:pict>
          <v:group style="position:absolute;margin-left:38.518002pt;margin-top:42.429092pt;width:372.05pt;height:416.05pt;mso-position-horizontal-relative:page;mso-position-vertical-relative:paragraph;z-index:7088;mso-wrap-distance-left:0;mso-wrap-distance-right:0" coordorigin="770,849" coordsize="7441,8321">
            <v:rect style="position:absolute;left:770;top:848;width:7441;height:8321" filled="true" fillcolor="#f1f0dd" stroked="false">
              <v:fill type="solid"/>
            </v:rect>
            <v:shape style="position:absolute;left:5393;top:5465;width:2198;height:743" type="#_x0000_t75" stroked="false">
              <v:imagedata r:id="rId124" o:title=""/>
            </v:shape>
            <v:shape style="position:absolute;left:1031;top:5546;width:1928;height:545" type="#_x0000_t75" stroked="false">
              <v:imagedata r:id="rId9" o:title=""/>
            </v:shape>
            <v:shape style="position:absolute;left:5452;top:6267;width:1977;height:788" type="#_x0000_t202" filled="false" stroked="false">
              <v:textbox inset="0,0,0,0">
                <w:txbxContent>
                  <w:p>
                    <w:pPr>
                      <w:spacing w:line="249" w:lineRule="auto" w:before="6"/>
                      <w:ind w:left="0" w:right="-7" w:firstLine="0"/>
                      <w:jc w:val="left"/>
                      <w:rPr>
                        <w:sz w:val="22"/>
                      </w:rPr>
                    </w:pPr>
                    <w:r>
                      <w:rPr>
                        <w:sz w:val="22"/>
                      </w:rPr>
                      <w:t>Dominick Geraghty </w:t>
                    </w:r>
                    <w:r>
                      <w:rPr>
                        <w:w w:val="95"/>
                        <w:sz w:val="22"/>
                      </w:rPr>
                      <w:t>Chief Finance Officer </w:t>
                    </w:r>
                    <w:r>
                      <w:rPr>
                        <w:sz w:val="22"/>
                      </w:rPr>
                      <w:t>20 August 2018</w:t>
                    </w:r>
                  </w:p>
                </w:txbxContent>
              </v:textbox>
              <w10:wrap type="none"/>
            </v:shape>
            <v:shape style="position:absolute;left:1048;top:6267;width:2217;height:788" type="#_x0000_t202" filled="false" stroked="false">
              <v:textbox inset="0,0,0,0">
                <w:txbxContent>
                  <w:p>
                    <w:pPr>
                      <w:spacing w:before="6"/>
                      <w:ind w:left="0" w:right="0" w:firstLine="0"/>
                      <w:jc w:val="left"/>
                      <w:rPr>
                        <w:sz w:val="22"/>
                      </w:rPr>
                    </w:pPr>
                    <w:r>
                      <w:rPr>
                        <w:w w:val="95"/>
                        <w:sz w:val="22"/>
                      </w:rPr>
                      <w:t>Stephanie</w:t>
                    </w:r>
                    <w:r>
                      <w:rPr>
                        <w:spacing w:val="26"/>
                        <w:w w:val="95"/>
                        <w:sz w:val="22"/>
                      </w:rPr>
                      <w:t> </w:t>
                    </w:r>
                    <w:r>
                      <w:rPr>
                        <w:w w:val="95"/>
                        <w:sz w:val="22"/>
                      </w:rPr>
                      <w:t>Black</w:t>
                    </w:r>
                  </w:p>
                  <w:p>
                    <w:pPr>
                      <w:spacing w:line="249" w:lineRule="auto" w:before="11"/>
                      <w:ind w:left="0" w:right="6" w:firstLine="0"/>
                      <w:jc w:val="left"/>
                      <w:rPr>
                        <w:sz w:val="22"/>
                      </w:rPr>
                    </w:pPr>
                    <w:r>
                      <w:rPr>
                        <w:sz w:val="22"/>
                      </w:rPr>
                      <w:t>Acting</w:t>
                    </w:r>
                    <w:r>
                      <w:rPr>
                        <w:spacing w:val="-38"/>
                        <w:sz w:val="22"/>
                      </w:rPr>
                      <w:t> </w:t>
                    </w:r>
                    <w:r>
                      <w:rPr>
                        <w:sz w:val="22"/>
                      </w:rPr>
                      <w:t>Director</w:t>
                    </w:r>
                    <w:r>
                      <w:rPr>
                        <w:spacing w:val="-37"/>
                        <w:sz w:val="22"/>
                      </w:rPr>
                      <w:t> </w:t>
                    </w:r>
                    <w:r>
                      <w:rPr>
                        <w:spacing w:val="-3"/>
                        <w:sz w:val="22"/>
                      </w:rPr>
                      <w:t>General </w:t>
                    </w:r>
                    <w:r>
                      <w:rPr>
                        <w:sz w:val="22"/>
                      </w:rPr>
                      <w:t>20 August</w:t>
                    </w:r>
                    <w:r>
                      <w:rPr>
                        <w:spacing w:val="-3"/>
                        <w:sz w:val="22"/>
                      </w:rPr>
                      <w:t> </w:t>
                    </w:r>
                    <w:r>
                      <w:rPr>
                        <w:sz w:val="22"/>
                      </w:rPr>
                      <w:t>2018</w:t>
                    </w:r>
                  </w:p>
                </w:txbxContent>
              </v:textbox>
              <w10:wrap type="none"/>
            </v:shape>
            <v:shape style="position:absolute;left:1048;top:1457;width:6748;height:2958" type="#_x0000_t202" filled="false" stroked="false">
              <v:textbox inset="0,0,0,0">
                <w:txbxContent>
                  <w:p>
                    <w:pPr>
                      <w:spacing w:before="8"/>
                      <w:ind w:left="0" w:right="0" w:firstLine="0"/>
                      <w:jc w:val="left"/>
                      <w:rPr>
                        <w:sz w:val="28"/>
                      </w:rPr>
                    </w:pPr>
                    <w:r>
                      <w:rPr>
                        <w:color w:val="6F2770"/>
                        <w:sz w:val="28"/>
                      </w:rPr>
                      <w:t>For the year ended 30 June 2018</w:t>
                    </w:r>
                  </w:p>
                  <w:p>
                    <w:pPr>
                      <w:spacing w:line="249" w:lineRule="auto" w:before="262"/>
                      <w:ind w:left="0" w:right="181" w:firstLine="0"/>
                      <w:jc w:val="left"/>
                      <w:rPr>
                        <w:sz w:val="22"/>
                      </w:rPr>
                    </w:pPr>
                    <w:r>
                      <w:rPr>
                        <w:sz w:val="22"/>
                      </w:rPr>
                      <w:t>The</w:t>
                    </w:r>
                    <w:r>
                      <w:rPr>
                        <w:spacing w:val="-26"/>
                        <w:sz w:val="22"/>
                      </w:rPr>
                      <w:t> </w:t>
                    </w:r>
                    <w:r>
                      <w:rPr>
                        <w:sz w:val="22"/>
                      </w:rPr>
                      <w:t>accompanying</w:t>
                    </w:r>
                    <w:r>
                      <w:rPr>
                        <w:spacing w:val="-26"/>
                        <w:sz w:val="22"/>
                      </w:rPr>
                      <w:t> </w:t>
                    </w:r>
                    <w:r>
                      <w:rPr>
                        <w:sz w:val="22"/>
                      </w:rPr>
                      <w:t>financial</w:t>
                    </w:r>
                    <w:r>
                      <w:rPr>
                        <w:spacing w:val="-26"/>
                        <w:sz w:val="22"/>
                      </w:rPr>
                      <w:t> </w:t>
                    </w:r>
                    <w:r>
                      <w:rPr>
                        <w:sz w:val="22"/>
                      </w:rPr>
                      <w:t>statements</w:t>
                    </w:r>
                    <w:r>
                      <w:rPr>
                        <w:spacing w:val="-26"/>
                        <w:sz w:val="22"/>
                      </w:rPr>
                      <w:t> </w:t>
                    </w:r>
                    <w:r>
                      <w:rPr>
                        <w:sz w:val="22"/>
                      </w:rPr>
                      <w:t>of</w:t>
                    </w:r>
                    <w:r>
                      <w:rPr>
                        <w:spacing w:val="-25"/>
                        <w:sz w:val="22"/>
                      </w:rPr>
                      <w:t> </w:t>
                    </w:r>
                    <w:r>
                      <w:rPr>
                        <w:sz w:val="22"/>
                      </w:rPr>
                      <w:t>the</w:t>
                    </w:r>
                    <w:r>
                      <w:rPr>
                        <w:spacing w:val="-26"/>
                        <w:sz w:val="22"/>
                      </w:rPr>
                      <w:t> </w:t>
                    </w:r>
                    <w:r>
                      <w:rPr>
                        <w:sz w:val="22"/>
                      </w:rPr>
                      <w:t>Department</w:t>
                    </w:r>
                    <w:r>
                      <w:rPr>
                        <w:spacing w:val="-26"/>
                        <w:sz w:val="22"/>
                      </w:rPr>
                      <w:t> </w:t>
                    </w:r>
                    <w:r>
                      <w:rPr>
                        <w:sz w:val="22"/>
                      </w:rPr>
                      <w:t>of</w:t>
                    </w:r>
                    <w:r>
                      <w:rPr>
                        <w:spacing w:val="-26"/>
                        <w:sz w:val="22"/>
                      </w:rPr>
                      <w:t> </w:t>
                    </w:r>
                    <w:r>
                      <w:rPr>
                        <w:spacing w:val="-3"/>
                        <w:sz w:val="22"/>
                      </w:rPr>
                      <w:t>Finance </w:t>
                    </w:r>
                    <w:r>
                      <w:rPr>
                        <w:sz w:val="22"/>
                      </w:rPr>
                      <w:t>have been prepared in compliance with the provisions of the </w:t>
                    </w:r>
                    <w:r>
                      <w:rPr>
                        <w:i/>
                        <w:sz w:val="22"/>
                      </w:rPr>
                      <w:t>Financial</w:t>
                    </w:r>
                    <w:r>
                      <w:rPr>
                        <w:i/>
                        <w:spacing w:val="-14"/>
                        <w:sz w:val="22"/>
                      </w:rPr>
                      <w:t> </w:t>
                    </w:r>
                    <w:r>
                      <w:rPr>
                        <w:i/>
                        <w:sz w:val="22"/>
                      </w:rPr>
                      <w:t>Management</w:t>
                    </w:r>
                    <w:r>
                      <w:rPr>
                        <w:i/>
                        <w:spacing w:val="-14"/>
                        <w:sz w:val="22"/>
                      </w:rPr>
                      <w:t> </w:t>
                    </w:r>
                    <w:r>
                      <w:rPr>
                        <w:i/>
                        <w:sz w:val="22"/>
                      </w:rPr>
                      <w:t>Act</w:t>
                    </w:r>
                    <w:r>
                      <w:rPr>
                        <w:i/>
                        <w:spacing w:val="-14"/>
                        <w:sz w:val="22"/>
                      </w:rPr>
                      <w:t> </w:t>
                    </w:r>
                    <w:r>
                      <w:rPr>
                        <w:i/>
                        <w:sz w:val="22"/>
                      </w:rPr>
                      <w:t>2006</w:t>
                    </w:r>
                    <w:r>
                      <w:rPr>
                        <w:i/>
                        <w:spacing w:val="-14"/>
                        <w:sz w:val="22"/>
                      </w:rPr>
                      <w:t> </w:t>
                    </w:r>
                    <w:r>
                      <w:rPr>
                        <w:sz w:val="22"/>
                      </w:rPr>
                      <w:t>from</w:t>
                    </w:r>
                    <w:r>
                      <w:rPr>
                        <w:spacing w:val="-14"/>
                        <w:sz w:val="22"/>
                      </w:rPr>
                      <w:t> </w:t>
                    </w:r>
                    <w:r>
                      <w:rPr>
                        <w:sz w:val="22"/>
                      </w:rPr>
                      <w:t>proper</w:t>
                    </w:r>
                    <w:r>
                      <w:rPr>
                        <w:spacing w:val="-14"/>
                        <w:sz w:val="22"/>
                      </w:rPr>
                      <w:t> </w:t>
                    </w:r>
                    <w:r>
                      <w:rPr>
                        <w:sz w:val="22"/>
                      </w:rPr>
                      <w:t>accounts</w:t>
                    </w:r>
                    <w:r>
                      <w:rPr>
                        <w:spacing w:val="-14"/>
                        <w:sz w:val="22"/>
                      </w:rPr>
                      <w:t> </w:t>
                    </w:r>
                    <w:r>
                      <w:rPr>
                        <w:sz w:val="22"/>
                      </w:rPr>
                      <w:t>and</w:t>
                    </w:r>
                    <w:r>
                      <w:rPr>
                        <w:spacing w:val="-14"/>
                        <w:sz w:val="22"/>
                      </w:rPr>
                      <w:t> </w:t>
                    </w:r>
                    <w:r>
                      <w:rPr>
                        <w:sz w:val="22"/>
                      </w:rPr>
                      <w:t>records</w:t>
                    </w:r>
                  </w:p>
                  <w:p>
                    <w:pPr>
                      <w:spacing w:line="249" w:lineRule="auto" w:before="3"/>
                      <w:ind w:left="0" w:right="11" w:firstLine="0"/>
                      <w:jc w:val="left"/>
                      <w:rPr>
                        <w:sz w:val="22"/>
                      </w:rPr>
                    </w:pPr>
                    <w:r>
                      <w:rPr>
                        <w:sz w:val="22"/>
                      </w:rPr>
                      <w:t>to</w:t>
                    </w:r>
                    <w:r>
                      <w:rPr>
                        <w:spacing w:val="-21"/>
                        <w:sz w:val="22"/>
                      </w:rPr>
                      <w:t> </w:t>
                    </w:r>
                    <w:r>
                      <w:rPr>
                        <w:sz w:val="22"/>
                      </w:rPr>
                      <w:t>present</w:t>
                    </w:r>
                    <w:r>
                      <w:rPr>
                        <w:spacing w:val="-21"/>
                        <w:sz w:val="22"/>
                      </w:rPr>
                      <w:t> </w:t>
                    </w:r>
                    <w:r>
                      <w:rPr>
                        <w:sz w:val="22"/>
                      </w:rPr>
                      <w:t>fairly</w:t>
                    </w:r>
                    <w:r>
                      <w:rPr>
                        <w:spacing w:val="-21"/>
                        <w:sz w:val="22"/>
                      </w:rPr>
                      <w:t> </w:t>
                    </w:r>
                    <w:r>
                      <w:rPr>
                        <w:sz w:val="22"/>
                      </w:rPr>
                      <w:t>the</w:t>
                    </w:r>
                    <w:r>
                      <w:rPr>
                        <w:spacing w:val="-21"/>
                        <w:sz w:val="22"/>
                      </w:rPr>
                      <w:t> </w:t>
                    </w:r>
                    <w:r>
                      <w:rPr>
                        <w:sz w:val="22"/>
                      </w:rPr>
                      <w:t>financial</w:t>
                    </w:r>
                    <w:r>
                      <w:rPr>
                        <w:spacing w:val="-21"/>
                        <w:sz w:val="22"/>
                      </w:rPr>
                      <w:t> </w:t>
                    </w:r>
                    <w:r>
                      <w:rPr>
                        <w:sz w:val="22"/>
                      </w:rPr>
                      <w:t>transactions</w:t>
                    </w:r>
                    <w:r>
                      <w:rPr>
                        <w:spacing w:val="-21"/>
                        <w:sz w:val="22"/>
                      </w:rPr>
                      <w:t> </w:t>
                    </w:r>
                    <w:r>
                      <w:rPr>
                        <w:sz w:val="22"/>
                      </w:rPr>
                      <w:t>for</w:t>
                    </w:r>
                    <w:r>
                      <w:rPr>
                        <w:spacing w:val="-21"/>
                        <w:sz w:val="22"/>
                      </w:rPr>
                      <w:t> </w:t>
                    </w:r>
                    <w:r>
                      <w:rPr>
                        <w:sz w:val="22"/>
                      </w:rPr>
                      <w:t>the</w:t>
                    </w:r>
                    <w:r>
                      <w:rPr>
                        <w:spacing w:val="-21"/>
                        <w:sz w:val="22"/>
                      </w:rPr>
                      <w:t> </w:t>
                    </w:r>
                    <w:r>
                      <w:rPr>
                        <w:sz w:val="22"/>
                      </w:rPr>
                      <w:t>reporting</w:t>
                    </w:r>
                    <w:r>
                      <w:rPr>
                        <w:spacing w:val="-21"/>
                        <w:sz w:val="22"/>
                      </w:rPr>
                      <w:t> </w:t>
                    </w:r>
                    <w:r>
                      <w:rPr>
                        <w:sz w:val="22"/>
                      </w:rPr>
                      <w:t>period</w:t>
                    </w:r>
                    <w:r>
                      <w:rPr>
                        <w:spacing w:val="-21"/>
                        <w:sz w:val="22"/>
                      </w:rPr>
                      <w:t> </w:t>
                    </w:r>
                    <w:r>
                      <w:rPr>
                        <w:spacing w:val="-4"/>
                        <w:sz w:val="22"/>
                      </w:rPr>
                      <w:t>ended </w:t>
                    </w:r>
                    <w:r>
                      <w:rPr>
                        <w:sz w:val="22"/>
                      </w:rPr>
                      <w:t>30</w:t>
                    </w:r>
                    <w:r>
                      <w:rPr>
                        <w:spacing w:val="-5"/>
                        <w:sz w:val="22"/>
                      </w:rPr>
                      <w:t> </w:t>
                    </w:r>
                    <w:r>
                      <w:rPr>
                        <w:sz w:val="22"/>
                      </w:rPr>
                      <w:t>June</w:t>
                    </w:r>
                    <w:r>
                      <w:rPr>
                        <w:spacing w:val="-5"/>
                        <w:sz w:val="22"/>
                      </w:rPr>
                      <w:t> </w:t>
                    </w:r>
                    <w:r>
                      <w:rPr>
                        <w:sz w:val="22"/>
                      </w:rPr>
                      <w:t>2018</w:t>
                    </w:r>
                    <w:r>
                      <w:rPr>
                        <w:spacing w:val="-5"/>
                        <w:sz w:val="22"/>
                      </w:rPr>
                      <w:t> </w:t>
                    </w:r>
                    <w:r>
                      <w:rPr>
                        <w:sz w:val="22"/>
                      </w:rPr>
                      <w:t>and</w:t>
                    </w:r>
                    <w:r>
                      <w:rPr>
                        <w:spacing w:val="-4"/>
                        <w:sz w:val="22"/>
                      </w:rPr>
                      <w:t> </w:t>
                    </w:r>
                    <w:r>
                      <w:rPr>
                        <w:sz w:val="22"/>
                      </w:rPr>
                      <w:t>the</w:t>
                    </w:r>
                    <w:r>
                      <w:rPr>
                        <w:spacing w:val="-5"/>
                        <w:sz w:val="22"/>
                      </w:rPr>
                      <w:t> </w:t>
                    </w:r>
                    <w:r>
                      <w:rPr>
                        <w:sz w:val="22"/>
                      </w:rPr>
                      <w:t>financial</w:t>
                    </w:r>
                    <w:r>
                      <w:rPr>
                        <w:spacing w:val="-5"/>
                        <w:sz w:val="22"/>
                      </w:rPr>
                      <w:t> </w:t>
                    </w:r>
                    <w:r>
                      <w:rPr>
                        <w:sz w:val="22"/>
                      </w:rPr>
                      <w:t>position</w:t>
                    </w:r>
                    <w:r>
                      <w:rPr>
                        <w:spacing w:val="-4"/>
                        <w:sz w:val="22"/>
                      </w:rPr>
                      <w:t> </w:t>
                    </w:r>
                    <w:r>
                      <w:rPr>
                        <w:sz w:val="22"/>
                      </w:rPr>
                      <w:t>as</w:t>
                    </w:r>
                    <w:r>
                      <w:rPr>
                        <w:spacing w:val="-5"/>
                        <w:sz w:val="22"/>
                      </w:rPr>
                      <w:t> </w:t>
                    </w:r>
                    <w:r>
                      <w:rPr>
                        <w:sz w:val="22"/>
                      </w:rPr>
                      <w:t>at</w:t>
                    </w:r>
                    <w:r>
                      <w:rPr>
                        <w:spacing w:val="-5"/>
                        <w:sz w:val="22"/>
                      </w:rPr>
                      <w:t> </w:t>
                    </w:r>
                    <w:r>
                      <w:rPr>
                        <w:sz w:val="22"/>
                      </w:rPr>
                      <w:t>30</w:t>
                    </w:r>
                    <w:r>
                      <w:rPr>
                        <w:spacing w:val="-5"/>
                        <w:sz w:val="22"/>
                      </w:rPr>
                      <w:t> </w:t>
                    </w:r>
                    <w:r>
                      <w:rPr>
                        <w:sz w:val="22"/>
                      </w:rPr>
                      <w:t>June</w:t>
                    </w:r>
                    <w:r>
                      <w:rPr>
                        <w:spacing w:val="-4"/>
                        <w:sz w:val="22"/>
                      </w:rPr>
                      <w:t> </w:t>
                    </w:r>
                    <w:r>
                      <w:rPr>
                        <w:sz w:val="22"/>
                      </w:rPr>
                      <w:t>2018.</w:t>
                    </w:r>
                  </w:p>
                  <w:p>
                    <w:pPr>
                      <w:spacing w:line="240" w:lineRule="auto" w:before="1"/>
                      <w:rPr>
                        <w:sz w:val="23"/>
                      </w:rPr>
                    </w:pPr>
                  </w:p>
                  <w:p>
                    <w:pPr>
                      <w:spacing w:line="249" w:lineRule="auto" w:before="0"/>
                      <w:ind w:left="0" w:right="351" w:firstLine="0"/>
                      <w:jc w:val="left"/>
                      <w:rPr>
                        <w:sz w:val="22"/>
                      </w:rPr>
                    </w:pPr>
                    <w:r>
                      <w:rPr>
                        <w:sz w:val="22"/>
                      </w:rPr>
                      <w:t>At</w:t>
                    </w:r>
                    <w:r>
                      <w:rPr>
                        <w:spacing w:val="-15"/>
                        <w:sz w:val="22"/>
                      </w:rPr>
                      <w:t> </w:t>
                    </w:r>
                    <w:r>
                      <w:rPr>
                        <w:sz w:val="22"/>
                      </w:rPr>
                      <w:t>the</w:t>
                    </w:r>
                    <w:r>
                      <w:rPr>
                        <w:spacing w:val="-14"/>
                        <w:sz w:val="22"/>
                      </w:rPr>
                      <w:t> </w:t>
                    </w:r>
                    <w:r>
                      <w:rPr>
                        <w:sz w:val="22"/>
                      </w:rPr>
                      <w:t>date</w:t>
                    </w:r>
                    <w:r>
                      <w:rPr>
                        <w:spacing w:val="-14"/>
                        <w:sz w:val="22"/>
                      </w:rPr>
                      <w:t> </w:t>
                    </w:r>
                    <w:r>
                      <w:rPr>
                        <w:sz w:val="22"/>
                      </w:rPr>
                      <w:t>of</w:t>
                    </w:r>
                    <w:r>
                      <w:rPr>
                        <w:spacing w:val="-14"/>
                        <w:sz w:val="22"/>
                      </w:rPr>
                      <w:t> </w:t>
                    </w:r>
                    <w:r>
                      <w:rPr>
                        <w:sz w:val="22"/>
                      </w:rPr>
                      <w:t>signing</w:t>
                    </w:r>
                    <w:r>
                      <w:rPr>
                        <w:spacing w:val="-14"/>
                        <w:sz w:val="22"/>
                      </w:rPr>
                      <w:t> </w:t>
                    </w:r>
                    <w:r>
                      <w:rPr>
                        <w:sz w:val="22"/>
                      </w:rPr>
                      <w:t>we</w:t>
                    </w:r>
                    <w:r>
                      <w:rPr>
                        <w:spacing w:val="-14"/>
                        <w:sz w:val="22"/>
                      </w:rPr>
                      <w:t> </w:t>
                    </w:r>
                    <w:r>
                      <w:rPr>
                        <w:sz w:val="22"/>
                      </w:rPr>
                      <w:t>are</w:t>
                    </w:r>
                    <w:r>
                      <w:rPr>
                        <w:spacing w:val="-14"/>
                        <w:sz w:val="22"/>
                      </w:rPr>
                      <w:t> </w:t>
                    </w:r>
                    <w:r>
                      <w:rPr>
                        <w:sz w:val="22"/>
                      </w:rPr>
                      <w:t>not</w:t>
                    </w:r>
                    <w:r>
                      <w:rPr>
                        <w:spacing w:val="-14"/>
                        <w:sz w:val="22"/>
                      </w:rPr>
                      <w:t> </w:t>
                    </w:r>
                    <w:r>
                      <w:rPr>
                        <w:sz w:val="22"/>
                      </w:rPr>
                      <w:t>aware</w:t>
                    </w:r>
                    <w:r>
                      <w:rPr>
                        <w:spacing w:val="-14"/>
                        <w:sz w:val="22"/>
                      </w:rPr>
                      <w:t> </w:t>
                    </w:r>
                    <w:r>
                      <w:rPr>
                        <w:sz w:val="22"/>
                      </w:rPr>
                      <w:t>of</w:t>
                    </w:r>
                    <w:r>
                      <w:rPr>
                        <w:spacing w:val="-14"/>
                        <w:sz w:val="22"/>
                      </w:rPr>
                      <w:t> </w:t>
                    </w:r>
                    <w:r>
                      <w:rPr>
                        <w:sz w:val="22"/>
                      </w:rPr>
                      <w:t>any</w:t>
                    </w:r>
                    <w:r>
                      <w:rPr>
                        <w:spacing w:val="-15"/>
                        <w:sz w:val="22"/>
                      </w:rPr>
                      <w:t> </w:t>
                    </w:r>
                    <w:r>
                      <w:rPr>
                        <w:sz w:val="22"/>
                      </w:rPr>
                      <w:t>circumstances</w:t>
                    </w:r>
                    <w:r>
                      <w:rPr>
                        <w:spacing w:val="-14"/>
                        <w:sz w:val="22"/>
                      </w:rPr>
                      <w:t> </w:t>
                    </w:r>
                    <w:r>
                      <w:rPr>
                        <w:spacing w:val="-4"/>
                        <w:sz w:val="22"/>
                      </w:rPr>
                      <w:t>which </w:t>
                    </w:r>
                    <w:r>
                      <w:rPr>
                        <w:sz w:val="22"/>
                      </w:rPr>
                      <w:t>would render the particulars included in the financial statements misleading or</w:t>
                    </w:r>
                    <w:r>
                      <w:rPr>
                        <w:spacing w:val="-3"/>
                        <w:sz w:val="22"/>
                      </w:rPr>
                      <w:t> </w:t>
                    </w:r>
                    <w:r>
                      <w:rPr>
                        <w:sz w:val="22"/>
                      </w:rPr>
                      <w:t>inaccurate.</w:t>
                    </w:r>
                  </w:p>
                </w:txbxContent>
              </v:textbox>
              <w10:wrap type="none"/>
            </v:shape>
            <w10:wrap type="topAndBottom"/>
          </v:group>
        </w:pict>
      </w:r>
      <w:r>
        <w:rPr/>
        <w:pict>
          <v:group style="position:absolute;margin-left:431.450012pt;margin-top:42.304092pt;width:372.3pt;height:416.3pt;mso-position-horizontal-relative:page;mso-position-vertical-relative:paragraph;z-index:7112;mso-wrap-distance-left:0;mso-wrap-distance-right:0" coordorigin="8629,846" coordsize="7446,8326">
            <v:shape style="position:absolute;left:9900;top:1084;width:4800;height:7999" type="#_x0000_t75" stroked="false">
              <v:imagedata r:id="rId125" o:title=""/>
            </v:shape>
            <v:rect style="position:absolute;left:8631;top:848;width:7441;height:8321" filled="false" stroked="true" strokeweight=".25pt" strokecolor="#939598">
              <v:stroke dashstyle="solid"/>
            </v:rect>
            <w10:wrap type="topAndBottom"/>
          </v:group>
        </w:pict>
      </w:r>
      <w:r>
        <w:rPr/>
        <w:pict>
          <v:group style="position:absolute;margin-left:120.271004pt;margin-top:-67.450905pt;width:721.65pt;height:42.55pt;mso-position-horizontal-relative:page;mso-position-vertical-relative:paragraph;z-index:9328" coordorigin="2405,-1349" coordsize="14433,851">
            <v:rect style="position:absolute;left:14432;top:-1350;width:2406;height:851" filled="true" fillcolor="#bba1bc" stroked="false">
              <v:fill type="solid"/>
            </v:rect>
            <v:shape style="position:absolute;left:14432;top:-1350;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0;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0;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0;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0;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0;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pacing w:val="-12"/>
          <w:w w:val="95"/>
        </w:rPr>
        <w:t>Certification of</w:t>
      </w:r>
      <w:r>
        <w:rPr>
          <w:color w:val="6F2770"/>
          <w:spacing w:val="-119"/>
          <w:w w:val="95"/>
        </w:rPr>
        <w:t> </w:t>
      </w:r>
      <w:r>
        <w:rPr>
          <w:color w:val="6F2770"/>
          <w:spacing w:val="-14"/>
          <w:w w:val="95"/>
        </w:rPr>
        <w:t>Financial</w:t>
      </w:r>
      <w:r>
        <w:rPr>
          <w:color w:val="6F2770"/>
          <w:spacing w:val="-65"/>
          <w:w w:val="95"/>
        </w:rPr>
        <w:t> </w:t>
      </w:r>
      <w:r>
        <w:rPr>
          <w:color w:val="6F2770"/>
          <w:spacing w:val="-17"/>
          <w:w w:val="95"/>
        </w:rPr>
        <w:t>Statements</w:t>
        <w:tab/>
      </w:r>
      <w:r>
        <w:rPr>
          <w:color w:val="6F2770"/>
          <w:spacing w:val="-14"/>
        </w:rPr>
        <w:t>Independent </w:t>
      </w:r>
      <w:r>
        <w:rPr>
          <w:color w:val="6F2770"/>
          <w:spacing w:val="-13"/>
        </w:rPr>
        <w:t>Audit</w:t>
      </w:r>
      <w:r>
        <w:rPr>
          <w:color w:val="6F2770"/>
          <w:spacing w:val="-68"/>
        </w:rPr>
        <w:t> </w:t>
      </w:r>
      <w:r>
        <w:rPr>
          <w:color w:val="6F2770"/>
          <w:spacing w:val="-13"/>
        </w:rPr>
        <w:t>Opinion</w:t>
      </w:r>
    </w:p>
    <w:p>
      <w:pPr>
        <w:spacing w:after="0"/>
        <w:sectPr>
          <w:footerReference w:type="default" r:id="rId123"/>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4"/>
        <w:rPr>
          <w:sz w:val="19"/>
        </w:rPr>
      </w:pPr>
    </w:p>
    <w:p>
      <w:pPr>
        <w:spacing w:before="95"/>
        <w:ind w:left="765" w:right="0" w:firstLine="0"/>
        <w:jc w:val="left"/>
        <w:rPr>
          <w:sz w:val="54"/>
        </w:rPr>
      </w:pPr>
      <w:r>
        <w:rPr/>
        <w:pict>
          <v:group style="position:absolute;margin-left:38.268002pt;margin-top:42.354092pt;width:248.05pt;height:416.3pt;mso-position-horizontal-relative:page;mso-position-vertical-relative:paragraph;z-index:7352;mso-wrap-distance-left:0;mso-wrap-distance-right:0" coordorigin="765,847" coordsize="4961,8326">
            <v:shape style="position:absolute;left:773;top:1534;width:4890;height:7430" type="#_x0000_t75" stroked="false">
              <v:imagedata r:id="rId127" o:title=""/>
            </v:shape>
            <v:rect style="position:absolute;left:767;top:849;width:4956;height:8321" filled="false" stroked="true" strokeweight=".25pt" strokecolor="#939598">
              <v:stroke dashstyle="solid"/>
            </v:rect>
            <w10:wrap type="topAndBottom"/>
          </v:group>
        </w:pict>
      </w:r>
      <w:r>
        <w:rPr/>
        <w:pict>
          <v:group style="position:absolute;margin-left:296.928986pt;margin-top:42.354092pt;width:248.05pt;height:416.3pt;mso-position-horizontal-relative:page;mso-position-vertical-relative:paragraph;z-index:7376;mso-wrap-distance-left:0;mso-wrap-distance-right:0" coordorigin="5939,847" coordsize="4961,8326">
            <v:shape style="position:absolute;left:6066;top:1534;width:4770;height:7430" type="#_x0000_t75" stroked="false">
              <v:imagedata r:id="rId128" o:title=""/>
            </v:shape>
            <v:rect style="position:absolute;left:5941;top:849;width:4956;height:8321" filled="false" stroked="true" strokeweight=".25pt" strokecolor="#939598">
              <v:stroke dashstyle="solid"/>
            </v:rect>
            <w10:wrap type="topAndBottom"/>
          </v:group>
        </w:pict>
      </w:r>
      <w:r>
        <w:rPr/>
        <w:pict>
          <v:group style="position:absolute;margin-left:555.591003pt;margin-top:42.354092pt;width:248.05pt;height:416.3pt;mso-position-horizontal-relative:page;mso-position-vertical-relative:paragraph;z-index:7400;mso-wrap-distance-left:0;mso-wrap-distance-right:0" coordorigin="11112,847" coordsize="4961,8326">
            <v:shape style="position:absolute;left:11120;top:1415;width:4890;height:7549" type="#_x0000_t75" stroked="false">
              <v:imagedata r:id="rId129" o:title=""/>
            </v:shape>
            <v:rect style="position:absolute;left:11114;top:849;width:4956;height:8321" filled="false" stroked="true" strokeweight=".25pt" strokecolor="#939598">
              <v:stroke dashstyle="solid"/>
            </v:rect>
            <w10:wrap type="topAndBottom"/>
          </v:group>
        </w:pict>
      </w:r>
      <w:r>
        <w:rPr/>
        <w:pict>
          <v:group style="position:absolute;margin-left:120.271004pt;margin-top:-67.400909pt;width:721.65pt;height:42.55pt;mso-position-horizontal-relative:page;mso-position-vertical-relative:paragraph;z-index:9616" coordorigin="2405,-1348" coordsize="14433,851">
            <v:rect style="position:absolute;left:14432;top:-1349;width:2406;height:851" filled="true" fillcolor="#bba1bc" stroked="false">
              <v:fill type="solid"/>
            </v:rect>
            <v:shape style="position:absolute;left:14432;top:-1349;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9;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9;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9;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9;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9;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54"/>
        </w:rPr>
        <w:t>Independent Audit Opinion (continued)</w:t>
      </w:r>
    </w:p>
    <w:p>
      <w:pPr>
        <w:spacing w:after="0"/>
        <w:jc w:val="left"/>
        <w:rPr>
          <w:sz w:val="54"/>
        </w:rPr>
        <w:sectPr>
          <w:footerReference w:type="default" r:id="rId126"/>
          <w:pgSz w:w="16840" w:h="11910" w:orient="landscape"/>
          <w:pgMar w:footer="774" w:header="0" w:top="0" w:bottom="960" w:left="0" w:right="0"/>
        </w:sectPr>
      </w:pPr>
    </w:p>
    <w:p>
      <w:pPr>
        <w:pStyle w:val="BodyText"/>
        <w:rPr>
          <w:sz w:val="20"/>
        </w:rPr>
      </w:pPr>
      <w:bookmarkStart w:name="_bookmark18" w:id="19"/>
      <w:bookmarkEnd w:id="19"/>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8"/>
        <w:rPr>
          <w:sz w:val="20"/>
        </w:rPr>
      </w:pPr>
    </w:p>
    <w:p>
      <w:pPr>
        <w:pStyle w:val="Heading2"/>
        <w:spacing w:before="95"/>
      </w:pPr>
      <w:r>
        <w:rPr/>
        <w:pict>
          <v:group style="position:absolute;margin-left:120.271004pt;margin-top:-67.671722pt;width:721.65pt;height:42.55pt;mso-position-horizontal-relative:page;mso-position-vertical-relative:paragraph;z-index:9856" coordorigin="2405,-1353" coordsize="14433,851">
            <v:rect style="position:absolute;left:14432;top:-1354;width:2406;height:851" filled="true" fillcolor="#bba1bc"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4;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4;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4;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4;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4;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Statement of Comprehensive Income</w:t>
      </w:r>
    </w:p>
    <w:p>
      <w:pPr>
        <w:pStyle w:val="Heading4"/>
        <w:spacing w:before="28"/>
      </w:pPr>
      <w:r>
        <w:rPr>
          <w:color w:val="6F2770"/>
        </w:rPr>
        <w:t>For the year ended 30 June 2018</w:t>
      </w:r>
    </w:p>
    <w:p>
      <w:pPr>
        <w:pStyle w:val="BodyText"/>
        <w:spacing w:before="10"/>
        <w:rPr>
          <w:sz w:val="7"/>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gridCol w:w="459"/>
        <w:gridCol w:w="4210"/>
        <w:gridCol w:w="766"/>
        <w:gridCol w:w="1220"/>
        <w:gridCol w:w="1220"/>
      </w:tblGrid>
      <w:tr>
        <w:trPr>
          <w:trHeight w:val="227" w:hRule="atLeast"/>
        </w:trPr>
        <w:tc>
          <w:tcPr>
            <w:tcW w:w="4209" w:type="dxa"/>
          </w:tcPr>
          <w:p>
            <w:pPr>
              <w:pStyle w:val="TableParagraph"/>
              <w:spacing w:before="0"/>
              <w:rPr>
                <w:rFonts w:ascii="Times New Roman"/>
                <w:sz w:val="16"/>
              </w:rPr>
            </w:pPr>
          </w:p>
        </w:tc>
        <w:tc>
          <w:tcPr>
            <w:tcW w:w="765" w:type="dxa"/>
          </w:tcPr>
          <w:p>
            <w:pPr>
              <w:pStyle w:val="TableParagraph"/>
              <w:spacing w:line="200" w:lineRule="exact" w:before="7"/>
              <w:ind w:left="166"/>
              <w:rPr>
                <w:b/>
                <w:sz w:val="19"/>
              </w:rPr>
            </w:pPr>
            <w:r>
              <w:rPr>
                <w:b/>
                <w:w w:val="105"/>
                <w:sz w:val="19"/>
              </w:rPr>
              <w:t>Note</w:t>
            </w:r>
          </w:p>
        </w:tc>
        <w:tc>
          <w:tcPr>
            <w:tcW w:w="1219" w:type="dxa"/>
          </w:tcPr>
          <w:p>
            <w:pPr>
              <w:pStyle w:val="TableParagraph"/>
              <w:spacing w:line="200" w:lineRule="exact" w:before="7"/>
              <w:ind w:right="110"/>
              <w:jc w:val="right"/>
              <w:rPr>
                <w:b/>
                <w:sz w:val="19"/>
              </w:rPr>
            </w:pPr>
            <w:r>
              <w:rPr>
                <w:b/>
                <w:w w:val="95"/>
                <w:sz w:val="19"/>
              </w:rPr>
              <w:t>2018</w:t>
            </w:r>
          </w:p>
        </w:tc>
        <w:tc>
          <w:tcPr>
            <w:tcW w:w="1219" w:type="dxa"/>
          </w:tcPr>
          <w:p>
            <w:pPr>
              <w:pStyle w:val="TableParagraph"/>
              <w:spacing w:line="200" w:lineRule="exact" w:before="7"/>
              <w:ind w:right="110"/>
              <w:jc w:val="right"/>
              <w:rPr>
                <w:b/>
                <w:sz w:val="19"/>
              </w:rPr>
            </w:pPr>
            <w:r>
              <w:rPr>
                <w:b/>
                <w:w w:val="95"/>
                <w:sz w:val="19"/>
              </w:rPr>
              <w:t>2017</w:t>
            </w:r>
          </w:p>
        </w:tc>
        <w:tc>
          <w:tcPr>
            <w:tcW w:w="459" w:type="dxa"/>
          </w:tcPr>
          <w:p>
            <w:pPr>
              <w:pStyle w:val="TableParagraph"/>
              <w:spacing w:before="0"/>
              <w:rPr>
                <w:rFonts w:ascii="Times New Roman"/>
                <w:sz w:val="16"/>
              </w:rPr>
            </w:pPr>
          </w:p>
        </w:tc>
        <w:tc>
          <w:tcPr>
            <w:tcW w:w="4210" w:type="dxa"/>
          </w:tcPr>
          <w:p>
            <w:pPr>
              <w:pStyle w:val="TableParagraph"/>
              <w:spacing w:before="0"/>
              <w:rPr>
                <w:rFonts w:ascii="Times New Roman"/>
                <w:sz w:val="16"/>
              </w:rPr>
            </w:pPr>
          </w:p>
        </w:tc>
        <w:tc>
          <w:tcPr>
            <w:tcW w:w="766" w:type="dxa"/>
          </w:tcPr>
          <w:p>
            <w:pPr>
              <w:pStyle w:val="TableParagraph"/>
              <w:spacing w:line="200" w:lineRule="exact" w:before="7"/>
              <w:ind w:left="165"/>
              <w:rPr>
                <w:b/>
                <w:sz w:val="19"/>
              </w:rPr>
            </w:pPr>
            <w:r>
              <w:rPr>
                <w:b/>
                <w:w w:val="105"/>
                <w:sz w:val="19"/>
              </w:rPr>
              <w:t>Note</w:t>
            </w:r>
          </w:p>
        </w:tc>
        <w:tc>
          <w:tcPr>
            <w:tcW w:w="1220" w:type="dxa"/>
          </w:tcPr>
          <w:p>
            <w:pPr>
              <w:pStyle w:val="TableParagraph"/>
              <w:spacing w:line="200" w:lineRule="exact" w:before="7"/>
              <w:ind w:right="113"/>
              <w:jc w:val="right"/>
              <w:rPr>
                <w:b/>
                <w:sz w:val="19"/>
              </w:rPr>
            </w:pPr>
            <w:r>
              <w:rPr>
                <w:b/>
                <w:w w:val="95"/>
                <w:sz w:val="19"/>
              </w:rPr>
              <w:t>2018</w:t>
            </w:r>
          </w:p>
        </w:tc>
        <w:tc>
          <w:tcPr>
            <w:tcW w:w="1220" w:type="dxa"/>
          </w:tcPr>
          <w:p>
            <w:pPr>
              <w:pStyle w:val="TableParagraph"/>
              <w:spacing w:line="200" w:lineRule="exact" w:before="7"/>
              <w:ind w:right="114"/>
              <w:jc w:val="right"/>
              <w:rPr>
                <w:b/>
                <w:sz w:val="19"/>
              </w:rPr>
            </w:pPr>
            <w:r>
              <w:rPr>
                <w:b/>
                <w:w w:val="95"/>
                <w:sz w:val="19"/>
              </w:rPr>
              <w:t>2017</w:t>
            </w:r>
          </w:p>
        </w:tc>
      </w:tr>
      <w:tr>
        <w:trPr>
          <w:trHeight w:val="265" w:hRule="atLeast"/>
        </w:trPr>
        <w:tc>
          <w:tcPr>
            <w:tcW w:w="4209" w:type="dxa"/>
          </w:tcPr>
          <w:p>
            <w:pPr>
              <w:pStyle w:val="TableParagraph"/>
              <w:spacing w:before="7"/>
              <w:ind w:left="113"/>
              <w:rPr>
                <w:b/>
                <w:sz w:val="19"/>
              </w:rPr>
            </w:pPr>
            <w:r>
              <w:rPr>
                <w:b/>
                <w:sz w:val="19"/>
              </w:rPr>
              <w:t>COST OF SERVICES</w:t>
            </w:r>
          </w:p>
        </w:tc>
        <w:tc>
          <w:tcPr>
            <w:tcW w:w="765" w:type="dxa"/>
          </w:tcPr>
          <w:p>
            <w:pPr>
              <w:pStyle w:val="TableParagraph"/>
              <w:spacing w:before="0"/>
              <w:rPr>
                <w:rFonts w:ascii="Times New Roman"/>
                <w:sz w:val="18"/>
              </w:rPr>
            </w:pPr>
          </w:p>
        </w:tc>
        <w:tc>
          <w:tcPr>
            <w:tcW w:w="1219" w:type="dxa"/>
          </w:tcPr>
          <w:p>
            <w:pPr>
              <w:pStyle w:val="TableParagraph"/>
              <w:spacing w:before="7"/>
              <w:ind w:right="110"/>
              <w:jc w:val="right"/>
              <w:rPr>
                <w:b/>
                <w:sz w:val="19"/>
              </w:rPr>
            </w:pPr>
            <w:r>
              <w:rPr>
                <w:b/>
                <w:w w:val="95"/>
                <w:sz w:val="19"/>
              </w:rPr>
              <w:t>$000</w:t>
            </w:r>
          </w:p>
        </w:tc>
        <w:tc>
          <w:tcPr>
            <w:tcW w:w="1219" w:type="dxa"/>
          </w:tcPr>
          <w:p>
            <w:pPr>
              <w:pStyle w:val="TableParagraph"/>
              <w:spacing w:before="7"/>
              <w:ind w:right="110"/>
              <w:jc w:val="right"/>
              <w:rPr>
                <w:b/>
                <w:sz w:val="19"/>
              </w:rPr>
            </w:pPr>
            <w:r>
              <w:rPr>
                <w:b/>
                <w:w w:val="95"/>
                <w:sz w:val="19"/>
              </w:rPr>
              <w:t>$000</w:t>
            </w:r>
          </w:p>
        </w:tc>
        <w:tc>
          <w:tcPr>
            <w:tcW w:w="459" w:type="dxa"/>
          </w:tcPr>
          <w:p>
            <w:pPr>
              <w:pStyle w:val="TableParagraph"/>
              <w:spacing w:before="0"/>
              <w:rPr>
                <w:rFonts w:ascii="Times New Roman"/>
                <w:sz w:val="18"/>
              </w:rPr>
            </w:pPr>
          </w:p>
        </w:tc>
        <w:tc>
          <w:tcPr>
            <w:tcW w:w="4210" w:type="dxa"/>
          </w:tcPr>
          <w:p>
            <w:pPr>
              <w:pStyle w:val="TableParagraph"/>
              <w:spacing w:before="0"/>
              <w:rPr>
                <w:rFonts w:ascii="Times New Roman"/>
                <w:sz w:val="18"/>
              </w:rPr>
            </w:pPr>
          </w:p>
        </w:tc>
        <w:tc>
          <w:tcPr>
            <w:tcW w:w="766" w:type="dxa"/>
          </w:tcPr>
          <w:p>
            <w:pPr>
              <w:pStyle w:val="TableParagraph"/>
              <w:spacing w:before="0"/>
              <w:rPr>
                <w:rFonts w:ascii="Times New Roman"/>
                <w:sz w:val="18"/>
              </w:rPr>
            </w:pPr>
          </w:p>
        </w:tc>
        <w:tc>
          <w:tcPr>
            <w:tcW w:w="1220" w:type="dxa"/>
          </w:tcPr>
          <w:p>
            <w:pPr>
              <w:pStyle w:val="TableParagraph"/>
              <w:spacing w:before="7"/>
              <w:ind w:right="113"/>
              <w:jc w:val="right"/>
              <w:rPr>
                <w:b/>
                <w:sz w:val="19"/>
              </w:rPr>
            </w:pPr>
            <w:r>
              <w:rPr>
                <w:b/>
                <w:w w:val="95"/>
                <w:sz w:val="19"/>
              </w:rPr>
              <w:t>$000</w:t>
            </w:r>
          </w:p>
        </w:tc>
        <w:tc>
          <w:tcPr>
            <w:tcW w:w="1220" w:type="dxa"/>
          </w:tcPr>
          <w:p>
            <w:pPr>
              <w:pStyle w:val="TableParagraph"/>
              <w:spacing w:before="7"/>
              <w:ind w:right="114"/>
              <w:jc w:val="right"/>
              <w:rPr>
                <w:b/>
                <w:sz w:val="19"/>
              </w:rPr>
            </w:pPr>
            <w:r>
              <w:rPr>
                <w:b/>
                <w:w w:val="95"/>
                <w:sz w:val="19"/>
              </w:rPr>
              <w:t>$000</w:t>
            </w:r>
          </w:p>
        </w:tc>
      </w:tr>
      <w:tr>
        <w:trPr>
          <w:trHeight w:val="313" w:hRule="atLeast"/>
        </w:trPr>
        <w:tc>
          <w:tcPr>
            <w:tcW w:w="4209" w:type="dxa"/>
            <w:shd w:val="clear" w:color="auto" w:fill="783A79"/>
          </w:tcPr>
          <w:p>
            <w:pPr>
              <w:pStyle w:val="TableParagraph"/>
              <w:spacing w:before="0"/>
              <w:rPr>
                <w:rFonts w:ascii="Times New Roman"/>
                <w:sz w:val="20"/>
              </w:rPr>
            </w:pPr>
          </w:p>
        </w:tc>
        <w:tc>
          <w:tcPr>
            <w:tcW w:w="765" w:type="dxa"/>
            <w:shd w:val="clear" w:color="auto" w:fill="783A79"/>
          </w:tcPr>
          <w:p>
            <w:pPr>
              <w:pStyle w:val="TableParagraph"/>
              <w:spacing w:before="0"/>
              <w:rPr>
                <w:rFonts w:ascii="Times New Roman"/>
                <w:sz w:val="20"/>
              </w:rPr>
            </w:pPr>
          </w:p>
        </w:tc>
        <w:tc>
          <w:tcPr>
            <w:tcW w:w="1219" w:type="dxa"/>
            <w:shd w:val="clear" w:color="auto" w:fill="783A79"/>
          </w:tcPr>
          <w:p>
            <w:pPr>
              <w:pStyle w:val="TableParagraph"/>
              <w:spacing w:before="0"/>
              <w:rPr>
                <w:rFonts w:ascii="Times New Roman"/>
                <w:sz w:val="20"/>
              </w:rPr>
            </w:pPr>
          </w:p>
        </w:tc>
        <w:tc>
          <w:tcPr>
            <w:tcW w:w="1219" w:type="dxa"/>
            <w:shd w:val="clear" w:color="auto" w:fill="783A79"/>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14"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2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28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2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28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1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0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tcPr>
          <w:p>
            <w:pPr>
              <w:pStyle w:val="TableParagraph"/>
              <w:spacing w:before="0"/>
              <w:rPr>
                <w:rFonts w:ascii="Times New Roman"/>
                <w:sz w:val="20"/>
              </w:rPr>
            </w:pPr>
          </w:p>
        </w:tc>
        <w:tc>
          <w:tcPr>
            <w:tcW w:w="766"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c>
          <w:tcPr>
            <w:tcW w:w="1220" w:type="dxa"/>
          </w:tcPr>
          <w:p>
            <w:pPr>
              <w:pStyle w:val="TableParagraph"/>
              <w:spacing w:before="0"/>
              <w:rPr>
                <w:rFonts w:ascii="Times New Roman"/>
                <w:sz w:val="20"/>
              </w:rPr>
            </w:pPr>
          </w:p>
        </w:tc>
      </w:tr>
      <w:tr>
        <w:trPr>
          <w:trHeight w:val="315" w:hRule="atLeast"/>
        </w:trPr>
        <w:tc>
          <w:tcPr>
            <w:tcW w:w="4209" w:type="dxa"/>
          </w:tcPr>
          <w:p>
            <w:pPr>
              <w:pStyle w:val="TableParagraph"/>
              <w:spacing w:before="0"/>
              <w:rPr>
                <w:rFonts w:ascii="Times New Roman"/>
                <w:sz w:val="20"/>
              </w:rPr>
            </w:pPr>
          </w:p>
        </w:tc>
        <w:tc>
          <w:tcPr>
            <w:tcW w:w="765"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1219" w:type="dxa"/>
          </w:tcPr>
          <w:p>
            <w:pPr>
              <w:pStyle w:val="TableParagraph"/>
              <w:spacing w:before="0"/>
              <w:rPr>
                <w:rFonts w:ascii="Times New Roman"/>
                <w:sz w:val="20"/>
              </w:rPr>
            </w:pPr>
          </w:p>
        </w:tc>
        <w:tc>
          <w:tcPr>
            <w:tcW w:w="459" w:type="dxa"/>
          </w:tcPr>
          <w:p>
            <w:pPr>
              <w:pStyle w:val="TableParagraph"/>
              <w:spacing w:before="0"/>
              <w:rPr>
                <w:rFonts w:ascii="Times New Roman"/>
                <w:sz w:val="20"/>
              </w:rPr>
            </w:pPr>
          </w:p>
        </w:tc>
        <w:tc>
          <w:tcPr>
            <w:tcW w:w="4210" w:type="dxa"/>
            <w:shd w:val="clear" w:color="auto" w:fill="FAF9F9"/>
          </w:tcPr>
          <w:p>
            <w:pPr>
              <w:pStyle w:val="TableParagraph"/>
              <w:spacing w:before="0"/>
              <w:rPr>
                <w:rFonts w:ascii="Times New Roman"/>
                <w:sz w:val="20"/>
              </w:rPr>
            </w:pPr>
          </w:p>
        </w:tc>
        <w:tc>
          <w:tcPr>
            <w:tcW w:w="766" w:type="dxa"/>
            <w:shd w:val="clear" w:color="auto" w:fill="FAF9F9"/>
          </w:tcPr>
          <w:p>
            <w:pPr>
              <w:pStyle w:val="TableParagraph"/>
              <w:spacing w:before="0"/>
              <w:rPr>
                <w:rFonts w:ascii="Times New Roman"/>
                <w:sz w:val="20"/>
              </w:rPr>
            </w:pPr>
          </w:p>
        </w:tc>
        <w:tc>
          <w:tcPr>
            <w:tcW w:w="1220" w:type="dxa"/>
            <w:shd w:val="clear" w:color="auto" w:fill="E1E4BB"/>
          </w:tcPr>
          <w:p>
            <w:pPr>
              <w:pStyle w:val="TableParagraph"/>
              <w:spacing w:before="0"/>
              <w:rPr>
                <w:rFonts w:ascii="Times New Roman"/>
                <w:sz w:val="20"/>
              </w:rPr>
            </w:pPr>
          </w:p>
        </w:tc>
        <w:tc>
          <w:tcPr>
            <w:tcW w:w="1220" w:type="dxa"/>
            <w:shd w:val="clear" w:color="auto" w:fill="FAF9F9"/>
          </w:tcPr>
          <w:p>
            <w:pPr>
              <w:pStyle w:val="TableParagraph"/>
              <w:spacing w:before="0"/>
              <w:rPr>
                <w:rFonts w:ascii="Times New Roman"/>
                <w:sz w:val="20"/>
              </w:rPr>
            </w:pPr>
          </w:p>
        </w:tc>
      </w:tr>
      <w:tr>
        <w:trPr>
          <w:trHeight w:val="218" w:hRule="atLeast"/>
        </w:trPr>
        <w:tc>
          <w:tcPr>
            <w:tcW w:w="4209" w:type="dxa"/>
            <w:shd w:val="clear" w:color="auto" w:fill="F4F4F4"/>
          </w:tcPr>
          <w:p>
            <w:pPr>
              <w:pStyle w:val="TableParagraph"/>
              <w:spacing w:before="0"/>
              <w:rPr>
                <w:rFonts w:ascii="Times New Roman"/>
                <w:sz w:val="14"/>
              </w:rPr>
            </w:pPr>
          </w:p>
        </w:tc>
        <w:tc>
          <w:tcPr>
            <w:tcW w:w="765" w:type="dxa"/>
            <w:shd w:val="clear" w:color="auto" w:fill="F4F4F4"/>
          </w:tcPr>
          <w:p>
            <w:pPr>
              <w:pStyle w:val="TableParagraph"/>
              <w:spacing w:before="0"/>
              <w:rPr>
                <w:rFonts w:ascii="Times New Roman"/>
                <w:sz w:val="14"/>
              </w:rPr>
            </w:pPr>
          </w:p>
        </w:tc>
        <w:tc>
          <w:tcPr>
            <w:tcW w:w="1219" w:type="dxa"/>
            <w:shd w:val="clear" w:color="auto" w:fill="DFE1B8"/>
          </w:tcPr>
          <w:p>
            <w:pPr>
              <w:pStyle w:val="TableParagraph"/>
              <w:spacing w:before="0"/>
              <w:rPr>
                <w:rFonts w:ascii="Times New Roman"/>
                <w:sz w:val="14"/>
              </w:rPr>
            </w:pPr>
          </w:p>
        </w:tc>
        <w:tc>
          <w:tcPr>
            <w:tcW w:w="1219" w:type="dxa"/>
            <w:shd w:val="clear" w:color="auto" w:fill="F4F4F4"/>
          </w:tcPr>
          <w:p>
            <w:pPr>
              <w:pStyle w:val="TableParagraph"/>
              <w:spacing w:before="0"/>
              <w:rPr>
                <w:rFonts w:ascii="Times New Roman"/>
                <w:sz w:val="14"/>
              </w:rPr>
            </w:pPr>
          </w:p>
        </w:tc>
        <w:tc>
          <w:tcPr>
            <w:tcW w:w="459" w:type="dxa"/>
          </w:tcPr>
          <w:p>
            <w:pPr>
              <w:pStyle w:val="TableParagraph"/>
              <w:spacing w:before="0"/>
              <w:rPr>
                <w:rFonts w:ascii="Times New Roman"/>
                <w:sz w:val="14"/>
              </w:rPr>
            </w:pPr>
          </w:p>
        </w:tc>
        <w:tc>
          <w:tcPr>
            <w:tcW w:w="4210" w:type="dxa"/>
            <w:shd w:val="clear" w:color="auto" w:fill="FAF9F9"/>
          </w:tcPr>
          <w:p>
            <w:pPr>
              <w:pStyle w:val="TableParagraph"/>
              <w:spacing w:before="0"/>
              <w:rPr>
                <w:rFonts w:ascii="Times New Roman"/>
                <w:sz w:val="14"/>
              </w:rPr>
            </w:pPr>
          </w:p>
        </w:tc>
        <w:tc>
          <w:tcPr>
            <w:tcW w:w="766" w:type="dxa"/>
            <w:shd w:val="clear" w:color="auto" w:fill="FAF9F9"/>
          </w:tcPr>
          <w:p>
            <w:pPr>
              <w:pStyle w:val="TableParagraph"/>
              <w:spacing w:before="0"/>
              <w:rPr>
                <w:rFonts w:ascii="Times New Roman"/>
                <w:sz w:val="14"/>
              </w:rPr>
            </w:pPr>
          </w:p>
        </w:tc>
        <w:tc>
          <w:tcPr>
            <w:tcW w:w="1220" w:type="dxa"/>
            <w:shd w:val="clear" w:color="auto" w:fill="E1E4BB"/>
          </w:tcPr>
          <w:p>
            <w:pPr>
              <w:pStyle w:val="TableParagraph"/>
              <w:spacing w:before="0"/>
              <w:rPr>
                <w:rFonts w:ascii="Times New Roman"/>
                <w:sz w:val="14"/>
              </w:rPr>
            </w:pPr>
          </w:p>
        </w:tc>
        <w:tc>
          <w:tcPr>
            <w:tcW w:w="1220" w:type="dxa"/>
            <w:shd w:val="clear" w:color="auto" w:fill="FAF9F9"/>
          </w:tcPr>
          <w:p>
            <w:pPr>
              <w:pStyle w:val="TableParagraph"/>
              <w:spacing w:before="0"/>
              <w:rPr>
                <w:rFonts w:ascii="Times New Roman"/>
                <w:sz w:val="14"/>
              </w:rPr>
            </w:pPr>
          </w:p>
        </w:tc>
      </w:tr>
      <w:tr>
        <w:trPr>
          <w:trHeight w:val="77" w:hRule="atLeast"/>
        </w:trPr>
        <w:tc>
          <w:tcPr>
            <w:tcW w:w="4209" w:type="dxa"/>
            <w:shd w:val="clear" w:color="auto" w:fill="F4F4F4"/>
          </w:tcPr>
          <w:p>
            <w:pPr>
              <w:pStyle w:val="TableParagraph"/>
              <w:spacing w:before="0"/>
              <w:rPr>
                <w:rFonts w:ascii="Times New Roman"/>
                <w:sz w:val="2"/>
              </w:rPr>
            </w:pPr>
          </w:p>
        </w:tc>
        <w:tc>
          <w:tcPr>
            <w:tcW w:w="765" w:type="dxa"/>
            <w:shd w:val="clear" w:color="auto" w:fill="F4F4F4"/>
          </w:tcPr>
          <w:p>
            <w:pPr>
              <w:pStyle w:val="TableParagraph"/>
              <w:spacing w:before="0"/>
              <w:rPr>
                <w:rFonts w:ascii="Times New Roman"/>
                <w:sz w:val="2"/>
              </w:rPr>
            </w:pPr>
          </w:p>
        </w:tc>
        <w:tc>
          <w:tcPr>
            <w:tcW w:w="1219" w:type="dxa"/>
            <w:shd w:val="clear" w:color="auto" w:fill="DFE1B8"/>
          </w:tcPr>
          <w:p>
            <w:pPr>
              <w:pStyle w:val="TableParagraph"/>
              <w:spacing w:before="0"/>
              <w:rPr>
                <w:rFonts w:ascii="Times New Roman"/>
                <w:sz w:val="2"/>
              </w:rPr>
            </w:pPr>
          </w:p>
        </w:tc>
        <w:tc>
          <w:tcPr>
            <w:tcW w:w="1219" w:type="dxa"/>
            <w:shd w:val="clear" w:color="auto" w:fill="F4F4F4"/>
          </w:tcPr>
          <w:p>
            <w:pPr>
              <w:pStyle w:val="TableParagraph"/>
              <w:spacing w:before="0"/>
              <w:rPr>
                <w:rFonts w:ascii="Times New Roman"/>
                <w:sz w:val="2"/>
              </w:rPr>
            </w:pPr>
          </w:p>
        </w:tc>
        <w:tc>
          <w:tcPr>
            <w:tcW w:w="459" w:type="dxa"/>
          </w:tcPr>
          <w:p>
            <w:pPr>
              <w:pStyle w:val="TableParagraph"/>
              <w:spacing w:before="0"/>
              <w:rPr>
                <w:rFonts w:ascii="Times New Roman"/>
                <w:sz w:val="2"/>
              </w:rPr>
            </w:pPr>
          </w:p>
        </w:tc>
        <w:tc>
          <w:tcPr>
            <w:tcW w:w="4210" w:type="dxa"/>
          </w:tcPr>
          <w:p>
            <w:pPr>
              <w:pStyle w:val="TableParagraph"/>
              <w:spacing w:before="0"/>
              <w:rPr>
                <w:rFonts w:ascii="Times New Roman"/>
                <w:sz w:val="2"/>
              </w:rPr>
            </w:pPr>
          </w:p>
        </w:tc>
        <w:tc>
          <w:tcPr>
            <w:tcW w:w="766" w:type="dxa"/>
          </w:tcPr>
          <w:p>
            <w:pPr>
              <w:pStyle w:val="TableParagraph"/>
              <w:spacing w:before="0"/>
              <w:rPr>
                <w:rFonts w:ascii="Times New Roman"/>
                <w:sz w:val="2"/>
              </w:rPr>
            </w:pPr>
          </w:p>
        </w:tc>
        <w:tc>
          <w:tcPr>
            <w:tcW w:w="1220" w:type="dxa"/>
          </w:tcPr>
          <w:p>
            <w:pPr>
              <w:pStyle w:val="TableParagraph"/>
              <w:spacing w:before="0"/>
              <w:rPr>
                <w:rFonts w:ascii="Times New Roman"/>
                <w:sz w:val="2"/>
              </w:rPr>
            </w:pPr>
          </w:p>
        </w:tc>
        <w:tc>
          <w:tcPr>
            <w:tcW w:w="1220" w:type="dxa"/>
          </w:tcPr>
          <w:p>
            <w:pPr>
              <w:pStyle w:val="TableParagraph"/>
              <w:spacing w:before="0"/>
              <w:rPr>
                <w:rFonts w:ascii="Times New Roman"/>
                <w:sz w:val="2"/>
              </w:rPr>
            </w:pPr>
          </w:p>
        </w:tc>
      </w:tr>
    </w:tbl>
    <w:p>
      <w:pPr>
        <w:pStyle w:val="BodyText"/>
        <w:rPr>
          <w:sz w:val="21"/>
        </w:rPr>
      </w:pPr>
    </w:p>
    <w:p>
      <w:pPr>
        <w:spacing w:after="0"/>
        <w:rPr>
          <w:sz w:val="21"/>
        </w:rPr>
        <w:sectPr>
          <w:footerReference w:type="default" r:id="rId130"/>
          <w:pgSz w:w="16840" w:h="11910" w:orient="landscape"/>
          <w:pgMar w:footer="774" w:header="0" w:top="0" w:bottom="960" w:left="0" w:right="0"/>
        </w:sectPr>
      </w:pPr>
    </w:p>
    <w:p>
      <w:pPr>
        <w:tabs>
          <w:tab w:pos="8177" w:val="left" w:leader="none"/>
        </w:tabs>
        <w:spacing w:before="107"/>
        <w:ind w:left="765" w:right="0" w:firstLine="0"/>
        <w:jc w:val="left"/>
        <w:rPr>
          <w:b/>
          <w:sz w:val="19"/>
        </w:rPr>
      </w:pPr>
      <w:r>
        <w:rPr/>
        <w:pict>
          <v:group style="position:absolute;margin-left:38.2677pt;margin-top:18.516592pt;width:370.65pt;height:196.35pt;mso-position-horizontal-relative:page;mso-position-vertical-relative:paragraph;z-index:9688" coordorigin="765,370" coordsize="7413,3927">
            <v:shape style="position:absolute;left:765;top:676;width:4975;height:306" coordorigin="765,676" coordsize="4975,306" path="m5740,676l4975,676,765,676,765,982,4975,982,5740,982,5740,676e" filled="true" fillcolor="#f4f4f4" stroked="false">
              <v:path arrowok="t"/>
              <v:fill type="solid"/>
            </v:shape>
            <v:shape style="position:absolute;left:765;top:370;width:4975;height:306" coordorigin="765,370" coordsize="4975,306" path="m5740,370l4975,370,765,370,765,676,4975,676,5740,676,5740,370e" filled="true" fillcolor="#faf9f9" stroked="false">
              <v:path arrowok="t"/>
              <v:fill type="solid"/>
            </v:shape>
            <v:shape style="position:absolute;left:765;top:1287;width:4975;height:306" coordorigin="765,1288" coordsize="4975,306" path="m5740,1288l4975,1288,765,1288,765,1593,4975,1593,5740,1593,5740,1288e" filled="true" fillcolor="#f4f4f4" stroked="false">
              <v:path arrowok="t"/>
              <v:fill type="solid"/>
            </v:shape>
            <v:shape style="position:absolute;left:765;top:981;width:4975;height:306" coordorigin="765,982" coordsize="4975,306" path="m5740,982l4975,982,765,982,765,1288,4975,1288,5740,1288,5740,982e" filled="true" fillcolor="#faf9f9" stroked="false">
              <v:path arrowok="t"/>
              <v:fill type="solid"/>
            </v:shape>
            <v:shape style="position:absolute;left:765;top:1899;width:4975;height:306" coordorigin="765,1899" coordsize="4975,306" path="m5740,1899l4975,1899,765,1899,765,2205,4975,2205,5740,2205,5740,1899e" filled="true" fillcolor="#f4f4f4" stroked="false">
              <v:path arrowok="t"/>
              <v:fill type="solid"/>
            </v:shape>
            <v:shape style="position:absolute;left:765;top:1593;width:4975;height:306" coordorigin="765,1593" coordsize="4975,306" path="m5740,1593l4975,1593,765,1593,765,1899,4975,1899,5740,1899,5740,1593e" filled="true" fillcolor="#faf9f9" stroked="false">
              <v:path arrowok="t"/>
              <v:fill type="solid"/>
            </v:shape>
            <v:shape style="position:absolute;left:765;top:2510;width:4975;height:306" coordorigin="765,2510" coordsize="4975,306" path="m5740,2510l4975,2510,765,2510,765,2816,4975,2816,5740,2816,5740,2510e" filled="true" fillcolor="#f4f4f4" stroked="false">
              <v:path arrowok="t"/>
              <v:fill type="solid"/>
            </v:shape>
            <v:shape style="position:absolute;left:765;top:2204;width:4975;height:306" coordorigin="765,2205" coordsize="4975,306" path="m5740,2205l4975,2205,765,2205,765,2510,4975,2510,5740,2510,5740,2205e" filled="true" fillcolor="#faf9f9" stroked="false">
              <v:path arrowok="t"/>
              <v:fill type="solid"/>
            </v:shape>
            <v:shape style="position:absolute;left:765;top:3121;width:4975;height:306" coordorigin="765,3122" coordsize="4975,306" path="m5740,3122l4975,3122,765,3122,765,3428,4975,3428,5740,3428,5740,3122e" filled="true" fillcolor="#f4f4f4" stroked="false">
              <v:path arrowok="t"/>
              <v:fill type="solid"/>
            </v:shape>
            <v:shape style="position:absolute;left:765;top:2816;width:4975;height:306" coordorigin="765,2816" coordsize="4975,306" path="m5740,2816l4975,2816,765,2816,765,3122,4975,3122,5740,3122,5740,2816e" filled="true" fillcolor="#faf9f9" stroked="false">
              <v:path arrowok="t"/>
              <v:fill type="solid"/>
            </v:shape>
            <v:shape style="position:absolute;left:765;top:3961;width:4975;height:306" coordorigin="765,3961" coordsize="4975,306" path="m5740,3961l4975,3961,765,3961,765,4267,4975,4267,5740,4267,5740,3961e" filled="true" fillcolor="#f4f4f4" stroked="false">
              <v:path arrowok="t"/>
              <v:fill type="solid"/>
            </v:shape>
            <v:shape style="position:absolute;left:765;top:3427;width:4975;height:534" coordorigin="765,3428" coordsize="4975,534" path="m5740,3428l4975,3428,765,3428,765,3961,4975,3961,5740,3961,5740,3428e" filled="true" fillcolor="#faf9f9" stroked="false">
              <v:path arrowok="t"/>
              <v:fill type="solid"/>
            </v:shape>
            <v:shape style="position:absolute;left:765;top:666;width:4975;height:20" coordorigin="765,666" coordsize="4975,20" path="m4975,666l765,666,765,686,4975,686,4975,666m5740,666l4975,666,4975,686,5740,686,5740,666e" filled="true" fillcolor="#ffffff" stroked="false">
              <v:path arrowok="t"/>
              <v:fill type="solid"/>
            </v:shape>
            <v:line style="position:absolute" from="4975,666" to="4975,375" stroked="true" strokeweight="1pt" strokecolor="#ffffff">
              <v:stroke dashstyle="solid"/>
            </v:line>
            <v:line style="position:absolute" from="5740,4292" to="6959,4292" stroked="true" strokeweight=".501pt" strokecolor="#000000">
              <v:stroke dashstyle="solid"/>
            </v:line>
            <v:line style="position:absolute" from="6959,4292" to="8178,4292" stroked="true" strokeweight=".501pt" strokecolor="#000000">
              <v:stroke dashstyle="solid"/>
            </v:line>
            <w10:wrap type="none"/>
          </v:group>
        </w:pict>
      </w:r>
      <w:r>
        <w:rPr/>
        <w:pict>
          <v:shape style="position:absolute;margin-left:38.2677pt;margin-top:-166.246109pt;width:370.65pt;height:154.450pt;mso-position-horizontal-relative:page;mso-position-vertical-relative:paragraph;z-index:98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spacing w:before="47"/>
                          <w:ind w:left="113"/>
                          <w:rPr>
                            <w:b/>
                            <w:sz w:val="19"/>
                          </w:rPr>
                        </w:pPr>
                        <w:r>
                          <w:rPr>
                            <w:b/>
                            <w:color w:val="FFFFFF"/>
                            <w:sz w:val="19"/>
                          </w:rPr>
                          <w:t>Expenses</w:t>
                        </w:r>
                      </w:p>
                    </w:tc>
                  </w:tr>
                  <w:tr>
                    <w:trPr>
                      <w:trHeight w:val="307" w:hRule="atLeast"/>
                    </w:trPr>
                    <w:tc>
                      <w:tcPr>
                        <w:tcW w:w="4209" w:type="dxa"/>
                        <w:tcBorders>
                          <w:right w:val="single" w:sz="8" w:space="0" w:color="FFFFFF"/>
                        </w:tcBorders>
                        <w:shd w:val="clear" w:color="auto" w:fill="F4F4F4"/>
                      </w:tcPr>
                      <w:p>
                        <w:pPr>
                          <w:pStyle w:val="TableParagraph"/>
                          <w:spacing w:before="42"/>
                          <w:ind w:left="113"/>
                          <w:rPr>
                            <w:sz w:val="19"/>
                          </w:rPr>
                        </w:pPr>
                        <w:r>
                          <w:rPr>
                            <w:sz w:val="19"/>
                          </w:rPr>
                          <w:t>Employee benefits expense</w:t>
                        </w:r>
                      </w:p>
                    </w:tc>
                    <w:tc>
                      <w:tcPr>
                        <w:tcW w:w="765" w:type="dxa"/>
                        <w:tcBorders>
                          <w:left w:val="single" w:sz="8" w:space="0" w:color="FFFFFF"/>
                        </w:tcBorders>
                        <w:shd w:val="clear" w:color="auto" w:fill="F4F4F4"/>
                      </w:tcPr>
                      <w:p>
                        <w:pPr>
                          <w:pStyle w:val="TableParagraph"/>
                          <w:spacing w:before="42"/>
                          <w:ind w:right="6"/>
                          <w:jc w:val="center"/>
                          <w:rPr>
                            <w:sz w:val="19"/>
                          </w:rPr>
                        </w:pPr>
                        <w:hyperlink w:history="true" w:anchor="_bookmark28">
                          <w:r>
                            <w:rPr>
                              <w:color w:val="6F2770"/>
                              <w:w w:val="99"/>
                              <w:sz w:val="19"/>
                              <w:u w:val="single" w:color="6F2770"/>
                            </w:rPr>
                            <w:t>7</w:t>
                          </w:r>
                        </w:hyperlink>
                      </w:p>
                    </w:tc>
                    <w:tc>
                      <w:tcPr>
                        <w:tcW w:w="1219" w:type="dxa"/>
                        <w:vMerge w:val="restart"/>
                        <w:tcBorders>
                          <w:bottom w:val="single" w:sz="4" w:space="0" w:color="000000"/>
                        </w:tcBorders>
                        <w:shd w:val="clear" w:color="auto" w:fill="E1E4BB"/>
                      </w:tcPr>
                      <w:p>
                        <w:pPr>
                          <w:pStyle w:val="TableParagraph"/>
                          <w:spacing w:before="42"/>
                          <w:ind w:left="384" w:right="77"/>
                          <w:jc w:val="center"/>
                          <w:rPr>
                            <w:sz w:val="19"/>
                          </w:rPr>
                        </w:pPr>
                        <w:r>
                          <w:rPr>
                            <w:sz w:val="19"/>
                          </w:rPr>
                          <w:t>115,372</w:t>
                        </w:r>
                      </w:p>
                      <w:p>
                        <w:pPr>
                          <w:pStyle w:val="TableParagraph"/>
                          <w:spacing w:before="109"/>
                          <w:ind w:right="110"/>
                          <w:jc w:val="right"/>
                          <w:rPr>
                            <w:sz w:val="19"/>
                          </w:rPr>
                        </w:pPr>
                        <w:r>
                          <w:rPr>
                            <w:w w:val="95"/>
                            <w:sz w:val="19"/>
                          </w:rPr>
                          <w:t>1,107,809</w:t>
                        </w:r>
                      </w:p>
                      <w:p>
                        <w:pPr>
                          <w:pStyle w:val="TableParagraph"/>
                          <w:spacing w:before="87"/>
                          <w:ind w:left="489" w:right="77"/>
                          <w:jc w:val="center"/>
                          <w:rPr>
                            <w:sz w:val="19"/>
                          </w:rPr>
                        </w:pPr>
                        <w:r>
                          <w:rPr>
                            <w:sz w:val="19"/>
                          </w:rPr>
                          <w:t>66,007</w:t>
                        </w:r>
                      </w:p>
                      <w:p>
                        <w:pPr>
                          <w:pStyle w:val="TableParagraph"/>
                          <w:spacing w:before="87"/>
                          <w:ind w:left="595" w:right="77"/>
                          <w:jc w:val="center"/>
                          <w:rPr>
                            <w:sz w:val="19"/>
                          </w:rPr>
                        </w:pPr>
                        <w:r>
                          <w:rPr>
                            <w:sz w:val="19"/>
                          </w:rPr>
                          <w:t>7,780</w:t>
                        </w:r>
                      </w:p>
                      <w:p>
                        <w:pPr>
                          <w:pStyle w:val="TableParagraph"/>
                          <w:spacing w:before="88"/>
                          <w:ind w:left="489" w:right="77"/>
                          <w:jc w:val="center"/>
                          <w:rPr>
                            <w:sz w:val="19"/>
                          </w:rPr>
                        </w:pPr>
                        <w:r>
                          <w:rPr>
                            <w:sz w:val="19"/>
                          </w:rPr>
                          <w:t>40,562</w:t>
                        </w:r>
                      </w:p>
                      <w:p>
                        <w:pPr>
                          <w:pStyle w:val="TableParagraph"/>
                          <w:spacing w:before="87"/>
                          <w:ind w:right="110"/>
                          <w:jc w:val="right"/>
                          <w:rPr>
                            <w:sz w:val="19"/>
                          </w:rPr>
                        </w:pPr>
                        <w:r>
                          <w:rPr>
                            <w:w w:val="95"/>
                            <w:sz w:val="19"/>
                          </w:rPr>
                          <w:t>578</w:t>
                        </w:r>
                      </w:p>
                      <w:p>
                        <w:pPr>
                          <w:pStyle w:val="TableParagraph"/>
                          <w:spacing w:before="87"/>
                          <w:ind w:right="110"/>
                          <w:jc w:val="right"/>
                          <w:rPr>
                            <w:sz w:val="19"/>
                          </w:rPr>
                        </w:pPr>
                        <w:r>
                          <w:rPr>
                            <w:w w:val="95"/>
                            <w:sz w:val="19"/>
                          </w:rPr>
                          <w:t>17</w:t>
                        </w:r>
                      </w:p>
                      <w:p>
                        <w:pPr>
                          <w:pStyle w:val="TableParagraph"/>
                          <w:spacing w:before="87"/>
                          <w:ind w:left="489" w:right="77"/>
                          <w:jc w:val="center"/>
                          <w:rPr>
                            <w:sz w:val="19"/>
                          </w:rPr>
                        </w:pPr>
                        <w:r>
                          <w:rPr>
                            <w:sz w:val="19"/>
                          </w:rPr>
                          <w:t>39,707</w:t>
                        </w:r>
                      </w:p>
                    </w:tc>
                    <w:tc>
                      <w:tcPr>
                        <w:tcW w:w="1219" w:type="dxa"/>
                        <w:tcBorders>
                          <w:bottom w:val="single" w:sz="8" w:space="0" w:color="FFFFFF"/>
                        </w:tcBorders>
                        <w:shd w:val="clear" w:color="auto" w:fill="F4F4F4"/>
                      </w:tcPr>
                      <w:p>
                        <w:pPr>
                          <w:pStyle w:val="TableParagraph"/>
                          <w:spacing w:before="42"/>
                          <w:ind w:right="110"/>
                          <w:jc w:val="right"/>
                          <w:rPr>
                            <w:sz w:val="19"/>
                          </w:rPr>
                        </w:pPr>
                        <w:r>
                          <w:rPr>
                            <w:w w:val="95"/>
                            <w:sz w:val="19"/>
                          </w:rPr>
                          <w:t>114,499</w:t>
                        </w:r>
                      </w:p>
                    </w:tc>
                  </w:tr>
                  <w:tr>
                    <w:trPr>
                      <w:trHeight w:val="285" w:hRule="atLeast"/>
                    </w:trPr>
                    <w:tc>
                      <w:tcPr>
                        <w:tcW w:w="4974" w:type="dxa"/>
                        <w:gridSpan w:val="2"/>
                        <w:tcBorders>
                          <w:bottom w:val="single" w:sz="8" w:space="0" w:color="FFFFFF"/>
                        </w:tcBorders>
                        <w:shd w:val="clear" w:color="auto" w:fill="FAF9F9"/>
                      </w:tcPr>
                      <w:p>
                        <w:pPr>
                          <w:pStyle w:val="TableParagraph"/>
                          <w:tabs>
                            <w:tab w:pos="4644" w:val="right" w:leader="none"/>
                          </w:tabs>
                          <w:spacing w:before="42"/>
                          <w:ind w:left="113"/>
                          <w:rPr>
                            <w:sz w:val="19"/>
                          </w:rPr>
                        </w:pPr>
                        <w:r>
                          <w:rPr>
                            <w:sz w:val="19"/>
                          </w:rPr>
                          <w:t>Supplies</w:t>
                        </w:r>
                        <w:r>
                          <w:rPr>
                            <w:spacing w:val="-2"/>
                            <w:sz w:val="19"/>
                          </w:rPr>
                          <w:t> </w:t>
                        </w:r>
                        <w:r>
                          <w:rPr>
                            <w:sz w:val="19"/>
                          </w:rPr>
                          <w:t>and</w:t>
                        </w:r>
                        <w:r>
                          <w:rPr>
                            <w:spacing w:val="-1"/>
                            <w:sz w:val="19"/>
                          </w:rPr>
                          <w:t> </w:t>
                        </w:r>
                        <w:r>
                          <w:rPr>
                            <w:sz w:val="19"/>
                          </w:rPr>
                          <w:t>services</w:t>
                          <w:tab/>
                        </w:r>
                        <w:hyperlink w:history="true" w:anchor="_bookmark28">
                          <w:r>
                            <w:rPr>
                              <w:color w:val="6F2770"/>
                              <w:sz w:val="19"/>
                              <w:u w:val="single" w:color="6F2770"/>
                            </w:rPr>
                            <w:t>8</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971,330</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Depreciation and amortisation expense</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right="6"/>
                          <w:jc w:val="center"/>
                          <w:rPr>
                            <w:sz w:val="19"/>
                          </w:rPr>
                        </w:pPr>
                        <w:hyperlink w:history="true" w:anchor="_bookmark28">
                          <w:r>
                            <w:rPr>
                              <w:color w:val="6F2770"/>
                              <w:w w:val="99"/>
                              <w:sz w:val="19"/>
                              <w:u w:val="single" w:color="6F2770"/>
                            </w:rPr>
                            <w:t>9</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71,513</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Finance</w:t>
                        </w:r>
                        <w:r>
                          <w:rPr>
                            <w:spacing w:val="-1"/>
                            <w:sz w:val="19"/>
                          </w:rPr>
                          <w:t> </w:t>
                        </w:r>
                        <w:r>
                          <w:rPr>
                            <w:sz w:val="19"/>
                          </w:rPr>
                          <w:t>costs</w:t>
                          <w:tab/>
                        </w:r>
                        <w:hyperlink w:history="true" w:anchor="_bookmark28">
                          <w:r>
                            <w:rPr>
                              <w:color w:val="6F2770"/>
                              <w:sz w:val="19"/>
                              <w:u w:val="single" w:color="6F2770"/>
                            </w:rPr>
                            <w:t>10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8,615</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Accommodation expenses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28">
                          <w:r>
                            <w:rPr>
                              <w:color w:val="6F2770"/>
                              <w:sz w:val="19"/>
                              <w:u w:val="single" w:color="6F2770"/>
                            </w:rPr>
                            <w:t>11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42,236</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Grants</w:t>
                        </w:r>
                        <w:r>
                          <w:rPr>
                            <w:spacing w:val="-2"/>
                            <w:sz w:val="19"/>
                          </w:rPr>
                          <w:t> </w:t>
                        </w:r>
                        <w:r>
                          <w:rPr>
                            <w:sz w:val="19"/>
                          </w:rPr>
                          <w:t>and</w:t>
                        </w:r>
                        <w:r>
                          <w:rPr>
                            <w:spacing w:val="-1"/>
                            <w:sz w:val="19"/>
                          </w:rPr>
                          <w:t> </w:t>
                        </w:r>
                        <w:r>
                          <w:rPr>
                            <w:sz w:val="19"/>
                          </w:rPr>
                          <w:t>subsidies</w:t>
                          <w:tab/>
                        </w:r>
                        <w:hyperlink w:history="true" w:anchor="_bookmark28">
                          <w:r>
                            <w:rPr>
                              <w:color w:val="6F2770"/>
                              <w:sz w:val="19"/>
                              <w:u w:val="single" w:color="6F2770"/>
                            </w:rPr>
                            <w:t>12</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754</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Loss on disposal of non-current assets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29">
                          <w:r>
                            <w:rPr>
                              <w:color w:val="6F2770"/>
                              <w:sz w:val="19"/>
                              <w:u w:val="single" w:color="6F2770"/>
                            </w:rPr>
                            <w:t>15</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10</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Other</w:t>
                        </w:r>
                        <w:r>
                          <w:rPr>
                            <w:spacing w:val="-1"/>
                            <w:sz w:val="19"/>
                          </w:rPr>
                          <w:t> </w:t>
                        </w:r>
                        <w:r>
                          <w:rPr>
                            <w:sz w:val="19"/>
                          </w:rPr>
                          <w:t>expenses</w:t>
                          <w:tab/>
                        </w:r>
                        <w:hyperlink w:history="true" w:anchor="_bookmark28">
                          <w:r>
                            <w:rPr>
                              <w:color w:val="6F2770"/>
                              <w:sz w:val="19"/>
                              <w:u w:val="single" w:color="6F2770"/>
                            </w:rPr>
                            <w:t>13</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34,021</w:t>
                        </w:r>
                      </w:p>
                    </w:tc>
                  </w:tr>
                  <w:tr>
                    <w:trPr>
                      <w:trHeight w:val="290" w:hRule="atLeast"/>
                    </w:trPr>
                    <w:tc>
                      <w:tcPr>
                        <w:tcW w:w="4209" w:type="dxa"/>
                        <w:tcBorders>
                          <w:top w:val="single" w:sz="8" w:space="0" w:color="FFFFFF"/>
                          <w:right w:val="single" w:sz="8" w:space="0" w:color="FFFFFF"/>
                        </w:tcBorders>
                        <w:shd w:val="clear" w:color="auto" w:fill="F4F4F4"/>
                      </w:tcPr>
                      <w:p>
                        <w:pPr>
                          <w:pStyle w:val="TableParagraph"/>
                          <w:ind w:left="113"/>
                          <w:rPr>
                            <w:b/>
                            <w:sz w:val="19"/>
                          </w:rPr>
                        </w:pPr>
                        <w:r>
                          <w:rPr>
                            <w:b/>
                            <w:sz w:val="19"/>
                          </w:rPr>
                          <w:t>Total cost of services</w:t>
                        </w:r>
                      </w:p>
                    </w:tc>
                    <w:tc>
                      <w:tcPr>
                        <w:tcW w:w="765" w:type="dxa"/>
                        <w:tcBorders>
                          <w:top w:val="single" w:sz="8" w:space="0" w:color="FFFFFF"/>
                          <w:left w:val="single" w:sz="8" w:space="0" w:color="FFFFFF"/>
                        </w:tcBorders>
                        <w:shd w:val="clear" w:color="auto" w:fill="F4F4F4"/>
                      </w:tcPr>
                      <w:p>
                        <w:pPr>
                          <w:pStyle w:val="TableParagraph"/>
                          <w:spacing w:before="0"/>
                          <w:rPr>
                            <w:rFonts w:ascii="Times New Roman"/>
                            <w:sz w:val="20"/>
                          </w:rPr>
                        </w:pPr>
                      </w:p>
                    </w:tc>
                    <w:tc>
                      <w:tcPr>
                        <w:tcW w:w="1219" w:type="dxa"/>
                        <w:tcBorders>
                          <w:top w:val="single" w:sz="4" w:space="0" w:color="000000"/>
                          <w:bottom w:val="single" w:sz="4" w:space="0" w:color="000000"/>
                        </w:tcBorders>
                        <w:shd w:val="clear" w:color="auto" w:fill="DFE1B8"/>
                      </w:tcPr>
                      <w:p>
                        <w:pPr>
                          <w:pStyle w:val="TableParagraph"/>
                          <w:ind w:left="261"/>
                          <w:rPr>
                            <w:b/>
                            <w:sz w:val="19"/>
                          </w:rPr>
                        </w:pPr>
                        <w:r>
                          <w:rPr>
                            <w:b/>
                            <w:sz w:val="19"/>
                          </w:rPr>
                          <w:t>1,377,832</w:t>
                        </w:r>
                      </w:p>
                    </w:tc>
                    <w:tc>
                      <w:tcPr>
                        <w:tcW w:w="1219" w:type="dxa"/>
                        <w:tcBorders>
                          <w:top w:val="single" w:sz="4" w:space="0" w:color="000000"/>
                          <w:bottom w:val="single" w:sz="4" w:space="0" w:color="000000"/>
                        </w:tcBorders>
                        <w:shd w:val="clear" w:color="auto" w:fill="F4F4F4"/>
                      </w:tcPr>
                      <w:p>
                        <w:pPr>
                          <w:pStyle w:val="TableParagraph"/>
                          <w:ind w:right="110"/>
                          <w:jc w:val="right"/>
                          <w:rPr>
                            <w:b/>
                            <w:sz w:val="19"/>
                          </w:rPr>
                        </w:pPr>
                        <w:r>
                          <w:rPr>
                            <w:b/>
                            <w:w w:val="95"/>
                            <w:sz w:val="19"/>
                          </w:rPr>
                          <w:t>1,242,978</w:t>
                        </w:r>
                      </w:p>
                    </w:tc>
                  </w:tr>
                </w:tbl>
                <w:p>
                  <w:pPr>
                    <w:pStyle w:val="BodyText"/>
                  </w:pPr>
                </w:p>
              </w:txbxContent>
            </v:textbox>
            <w10:wrap type="none"/>
          </v:shape>
        </w:pict>
      </w:r>
      <w:r>
        <w:rPr/>
        <w:pict>
          <v:shape style="position:absolute;margin-left:431.825012pt;margin-top:-166.246109pt;width:370.65pt;height:150.85pt;mso-position-horizontal-relative:page;mso-position-vertical-relative:paragraph;z-index:990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tcBorders>
                          <w:top w:val="nil"/>
                          <w:left w:val="nil"/>
                          <w:bottom w:val="nil"/>
                          <w:right w:val="nil"/>
                        </w:tcBorders>
                        <w:shd w:val="clear" w:color="auto" w:fill="783A79"/>
                      </w:tcPr>
                      <w:p>
                        <w:pPr>
                          <w:pStyle w:val="TableParagraph"/>
                          <w:tabs>
                            <w:tab w:pos="4697" w:val="right" w:leader="none"/>
                          </w:tabs>
                          <w:spacing w:before="47"/>
                          <w:ind w:left="113"/>
                          <w:rPr>
                            <w:sz w:val="19"/>
                          </w:rPr>
                        </w:pPr>
                        <w:r>
                          <w:rPr>
                            <w:b/>
                            <w:color w:val="FFFFFF"/>
                            <w:sz w:val="19"/>
                          </w:rPr>
                          <w:t>Income from</w:t>
                        </w:r>
                        <w:r>
                          <w:rPr>
                            <w:b/>
                            <w:color w:val="FFFFFF"/>
                            <w:spacing w:val="1"/>
                            <w:sz w:val="19"/>
                          </w:rPr>
                          <w:t> </w:t>
                        </w:r>
                        <w:r>
                          <w:rPr>
                            <w:b/>
                            <w:color w:val="FFFFFF"/>
                            <w:sz w:val="19"/>
                          </w:rPr>
                          <w:t>State Government</w:t>
                          <w:tab/>
                        </w:r>
                        <w:hyperlink w:history="true" w:anchor="_bookmark29">
                          <w:r>
                            <w:rPr>
                              <w:color w:val="FFFFFF"/>
                              <w:sz w:val="19"/>
                              <w:u w:val="single" w:color="FFFFFF"/>
                            </w:rPr>
                            <w:t>17</w:t>
                          </w:r>
                        </w:hyperlink>
                      </w:p>
                    </w:tc>
                  </w:tr>
                  <w:tr>
                    <w:trPr>
                      <w:trHeight w:val="317" w:hRule="atLeast"/>
                    </w:trPr>
                    <w:tc>
                      <w:tcPr>
                        <w:tcW w:w="4209" w:type="dxa"/>
                        <w:tcBorders>
                          <w:top w:val="nil"/>
                          <w:left w:val="nil"/>
                        </w:tcBorders>
                        <w:shd w:val="clear" w:color="auto" w:fill="F4F4F4"/>
                      </w:tcPr>
                      <w:p>
                        <w:pPr>
                          <w:pStyle w:val="TableParagraph"/>
                          <w:spacing w:before="42"/>
                          <w:ind w:left="113"/>
                          <w:rPr>
                            <w:sz w:val="19"/>
                          </w:rPr>
                        </w:pPr>
                        <w:r>
                          <w:rPr>
                            <w:sz w:val="19"/>
                          </w:rPr>
                          <w:t>Service appropriations</w:t>
                        </w:r>
                      </w:p>
                    </w:tc>
                    <w:tc>
                      <w:tcPr>
                        <w:tcW w:w="765" w:type="dxa"/>
                        <w:tcBorders>
                          <w:top w:val="nil"/>
                          <w:right w:val="nil"/>
                        </w:tcBorders>
                        <w:shd w:val="clear" w:color="auto" w:fill="F4F4F4"/>
                      </w:tcPr>
                      <w:p>
                        <w:pPr>
                          <w:pStyle w:val="TableParagraph"/>
                          <w:spacing w:before="0"/>
                          <w:rPr>
                            <w:rFonts w:ascii="Times New Roman"/>
                            <w:sz w:val="20"/>
                          </w:rPr>
                        </w:pPr>
                      </w:p>
                    </w:tc>
                    <w:tc>
                      <w:tcPr>
                        <w:tcW w:w="1219" w:type="dxa"/>
                        <w:vMerge w:val="restart"/>
                        <w:tcBorders>
                          <w:top w:val="nil"/>
                          <w:left w:val="nil"/>
                          <w:bottom w:val="single" w:sz="4" w:space="0" w:color="000000"/>
                          <w:right w:val="nil"/>
                        </w:tcBorders>
                        <w:shd w:val="clear" w:color="auto" w:fill="E1E4BB"/>
                      </w:tcPr>
                      <w:p>
                        <w:pPr>
                          <w:pStyle w:val="TableParagraph"/>
                          <w:spacing w:before="42"/>
                          <w:ind w:left="384" w:right="77"/>
                          <w:jc w:val="center"/>
                          <w:rPr>
                            <w:sz w:val="19"/>
                          </w:rPr>
                        </w:pPr>
                        <w:r>
                          <w:rPr>
                            <w:sz w:val="19"/>
                          </w:rPr>
                          <w:t>150,900</w:t>
                        </w:r>
                      </w:p>
                      <w:p>
                        <w:pPr>
                          <w:pStyle w:val="TableParagraph"/>
                          <w:spacing w:before="109"/>
                          <w:ind w:left="489" w:right="77"/>
                          <w:jc w:val="center"/>
                          <w:rPr>
                            <w:sz w:val="19"/>
                          </w:rPr>
                        </w:pPr>
                        <w:r>
                          <w:rPr>
                            <w:sz w:val="19"/>
                          </w:rPr>
                          <w:t>13,511</w:t>
                        </w:r>
                      </w:p>
                      <w:p>
                        <w:pPr>
                          <w:pStyle w:val="TableParagraph"/>
                          <w:spacing w:before="87"/>
                          <w:ind w:left="789"/>
                          <w:rPr>
                            <w:sz w:val="19"/>
                          </w:rPr>
                        </w:pPr>
                        <w:r>
                          <w:rPr>
                            <w:sz w:val="19"/>
                          </w:rPr>
                          <w:t>106</w:t>
                        </w:r>
                      </w:p>
                    </w:tc>
                    <w:tc>
                      <w:tcPr>
                        <w:tcW w:w="1219" w:type="dxa"/>
                        <w:tcBorders>
                          <w:top w:val="nil"/>
                          <w:left w:val="nil"/>
                          <w:right w:val="nil"/>
                        </w:tcBorders>
                        <w:shd w:val="clear" w:color="auto" w:fill="F4F4F4"/>
                      </w:tcPr>
                      <w:p>
                        <w:pPr>
                          <w:pStyle w:val="TableParagraph"/>
                          <w:spacing w:before="42"/>
                          <w:ind w:right="110"/>
                          <w:jc w:val="right"/>
                          <w:rPr>
                            <w:sz w:val="19"/>
                          </w:rPr>
                        </w:pPr>
                        <w:r>
                          <w:rPr>
                            <w:w w:val="95"/>
                            <w:sz w:val="19"/>
                          </w:rPr>
                          <w:t>167,150</w:t>
                        </w:r>
                      </w:p>
                    </w:tc>
                  </w:tr>
                  <w:tr>
                    <w:trPr>
                      <w:trHeight w:val="285" w:hRule="atLeast"/>
                    </w:trPr>
                    <w:tc>
                      <w:tcPr>
                        <w:tcW w:w="4209" w:type="dxa"/>
                        <w:tcBorders>
                          <w:left w:val="nil"/>
                        </w:tcBorders>
                        <w:shd w:val="clear" w:color="auto" w:fill="FAF9F9"/>
                      </w:tcPr>
                      <w:p>
                        <w:pPr>
                          <w:pStyle w:val="TableParagraph"/>
                          <w:ind w:left="113"/>
                          <w:rPr>
                            <w:sz w:val="19"/>
                          </w:rPr>
                        </w:pPr>
                        <w:r>
                          <w:rPr>
                            <w:sz w:val="19"/>
                          </w:rPr>
                          <w:t>Services received free of charge</w:t>
                        </w:r>
                      </w:p>
                    </w:tc>
                    <w:tc>
                      <w:tcPr>
                        <w:tcW w:w="765" w:type="dxa"/>
                        <w:tcBorders>
                          <w:right w:val="nil"/>
                        </w:tcBorders>
                        <w:shd w:val="clear" w:color="auto" w:fill="FAF9F9"/>
                      </w:tcPr>
                      <w:p>
                        <w:pPr>
                          <w:pStyle w:val="TableParagraph"/>
                          <w:spacing w:before="0"/>
                          <w:rPr>
                            <w:rFonts w:ascii="Times New Roman"/>
                            <w:sz w:val="20"/>
                          </w:rPr>
                        </w:pPr>
                      </w:p>
                    </w:tc>
                    <w:tc>
                      <w:tcPr>
                        <w:tcW w:w="1219" w:type="dxa"/>
                        <w:vMerge/>
                        <w:tcBorders>
                          <w:top w:val="nil"/>
                          <w:left w:val="nil"/>
                          <w:bottom w:val="single" w:sz="4" w:space="0" w:color="000000"/>
                          <w:right w:val="nil"/>
                        </w:tcBorders>
                        <w:shd w:val="clear" w:color="auto" w:fill="E1E4BB"/>
                      </w:tcPr>
                      <w:p>
                        <w:pPr>
                          <w:rPr>
                            <w:sz w:val="2"/>
                            <w:szCs w:val="2"/>
                          </w:rPr>
                        </w:pPr>
                      </w:p>
                    </w:tc>
                    <w:tc>
                      <w:tcPr>
                        <w:tcW w:w="1219" w:type="dxa"/>
                        <w:tcBorders>
                          <w:left w:val="nil"/>
                          <w:right w:val="nil"/>
                        </w:tcBorders>
                        <w:shd w:val="clear" w:color="auto" w:fill="FAF9F9"/>
                      </w:tcPr>
                      <w:p>
                        <w:pPr>
                          <w:pStyle w:val="TableParagraph"/>
                          <w:ind w:right="110"/>
                          <w:jc w:val="right"/>
                          <w:rPr>
                            <w:sz w:val="19"/>
                          </w:rPr>
                        </w:pPr>
                        <w:r>
                          <w:rPr>
                            <w:w w:val="95"/>
                            <w:sz w:val="19"/>
                          </w:rPr>
                          <w:t>13,303</w:t>
                        </w:r>
                      </w:p>
                    </w:tc>
                  </w:tr>
                  <w:tr>
                    <w:trPr>
                      <w:trHeight w:val="285" w:hRule="atLeast"/>
                    </w:trPr>
                    <w:tc>
                      <w:tcPr>
                        <w:tcW w:w="4209" w:type="dxa"/>
                        <w:tcBorders>
                          <w:left w:val="nil"/>
                        </w:tcBorders>
                        <w:shd w:val="clear" w:color="auto" w:fill="F4F4F4"/>
                      </w:tcPr>
                      <w:p>
                        <w:pPr>
                          <w:pStyle w:val="TableParagraph"/>
                          <w:ind w:left="113"/>
                          <w:rPr>
                            <w:sz w:val="19"/>
                          </w:rPr>
                        </w:pPr>
                        <w:r>
                          <w:rPr>
                            <w:sz w:val="19"/>
                          </w:rPr>
                          <w:t>Royalties for Regions Fund</w:t>
                        </w:r>
                      </w:p>
                    </w:tc>
                    <w:tc>
                      <w:tcPr>
                        <w:tcW w:w="765" w:type="dxa"/>
                        <w:tcBorders>
                          <w:right w:val="nil"/>
                        </w:tcBorders>
                        <w:shd w:val="clear" w:color="auto" w:fill="F4F4F4"/>
                      </w:tcPr>
                      <w:p>
                        <w:pPr>
                          <w:pStyle w:val="TableParagraph"/>
                          <w:spacing w:before="0"/>
                          <w:rPr>
                            <w:rFonts w:ascii="Times New Roman"/>
                            <w:sz w:val="20"/>
                          </w:rPr>
                        </w:pPr>
                      </w:p>
                    </w:tc>
                    <w:tc>
                      <w:tcPr>
                        <w:tcW w:w="1219" w:type="dxa"/>
                        <w:vMerge/>
                        <w:tcBorders>
                          <w:top w:val="nil"/>
                          <w:left w:val="nil"/>
                          <w:bottom w:val="single" w:sz="4" w:space="0" w:color="000000"/>
                          <w:right w:val="nil"/>
                        </w:tcBorders>
                        <w:shd w:val="clear" w:color="auto" w:fill="E1E4BB"/>
                      </w:tcPr>
                      <w:p>
                        <w:pPr>
                          <w:rPr>
                            <w:sz w:val="2"/>
                            <w:szCs w:val="2"/>
                          </w:rPr>
                        </w:pPr>
                      </w:p>
                    </w:tc>
                    <w:tc>
                      <w:tcPr>
                        <w:tcW w:w="1219" w:type="dxa"/>
                        <w:tcBorders>
                          <w:left w:val="nil"/>
                          <w:bottom w:val="single" w:sz="4" w:space="0" w:color="000000"/>
                          <w:right w:val="nil"/>
                        </w:tcBorders>
                        <w:shd w:val="clear" w:color="auto" w:fill="F4F4F4"/>
                      </w:tcPr>
                      <w:p>
                        <w:pPr>
                          <w:pStyle w:val="TableParagraph"/>
                          <w:ind w:right="110"/>
                          <w:jc w:val="right"/>
                          <w:rPr>
                            <w:sz w:val="19"/>
                          </w:rPr>
                        </w:pPr>
                        <w:r>
                          <w:rPr>
                            <w:w w:val="95"/>
                            <w:sz w:val="19"/>
                          </w:rPr>
                          <w:t>125</w:t>
                        </w:r>
                      </w:p>
                    </w:tc>
                  </w:tr>
                  <w:tr>
                    <w:trPr>
                      <w:trHeight w:val="285" w:hRule="atLeast"/>
                    </w:trPr>
                    <w:tc>
                      <w:tcPr>
                        <w:tcW w:w="4209" w:type="dxa"/>
                        <w:tcBorders>
                          <w:left w:val="nil"/>
                        </w:tcBorders>
                        <w:shd w:val="clear" w:color="auto" w:fill="FAF9F9"/>
                      </w:tcPr>
                      <w:p>
                        <w:pPr>
                          <w:pStyle w:val="TableParagraph"/>
                          <w:ind w:left="113"/>
                          <w:rPr>
                            <w:b/>
                            <w:sz w:val="19"/>
                          </w:rPr>
                        </w:pPr>
                        <w:r>
                          <w:rPr>
                            <w:b/>
                            <w:sz w:val="19"/>
                          </w:rPr>
                          <w:t>Total income from State Government</w:t>
                        </w:r>
                      </w:p>
                    </w:tc>
                    <w:tc>
                      <w:tcPr>
                        <w:tcW w:w="765" w:type="dxa"/>
                        <w:tcBorders>
                          <w:right w:val="nil"/>
                        </w:tcBorders>
                        <w:shd w:val="clear" w:color="auto" w:fill="FAF9F9"/>
                      </w:tcPr>
                      <w:p>
                        <w:pPr>
                          <w:pStyle w:val="TableParagraph"/>
                          <w:spacing w:before="0"/>
                          <w:rPr>
                            <w:rFonts w:ascii="Times New Roman"/>
                            <w:sz w:val="20"/>
                          </w:rPr>
                        </w:pPr>
                      </w:p>
                    </w:tc>
                    <w:tc>
                      <w:tcPr>
                        <w:tcW w:w="1219" w:type="dxa"/>
                        <w:tcBorders>
                          <w:top w:val="single" w:sz="4" w:space="0" w:color="000000"/>
                          <w:left w:val="nil"/>
                          <w:bottom w:val="single" w:sz="4" w:space="0" w:color="000000"/>
                          <w:right w:val="nil"/>
                        </w:tcBorders>
                        <w:shd w:val="clear" w:color="auto" w:fill="E1E4BB"/>
                      </w:tcPr>
                      <w:p>
                        <w:pPr>
                          <w:pStyle w:val="TableParagraph"/>
                          <w:ind w:right="110"/>
                          <w:jc w:val="right"/>
                          <w:rPr>
                            <w:b/>
                            <w:sz w:val="19"/>
                          </w:rPr>
                        </w:pPr>
                        <w:r>
                          <w:rPr>
                            <w:b/>
                            <w:w w:val="95"/>
                            <w:sz w:val="19"/>
                          </w:rPr>
                          <w:t>164,517</w:t>
                        </w:r>
                      </w:p>
                    </w:tc>
                    <w:tc>
                      <w:tcPr>
                        <w:tcW w:w="1219" w:type="dxa"/>
                        <w:tcBorders>
                          <w:top w:val="single" w:sz="4" w:space="0" w:color="000000"/>
                          <w:left w:val="nil"/>
                          <w:bottom w:val="single" w:sz="4" w:space="0" w:color="000000"/>
                          <w:right w:val="nil"/>
                        </w:tcBorders>
                        <w:shd w:val="clear" w:color="auto" w:fill="FAF9F9"/>
                      </w:tcPr>
                      <w:p>
                        <w:pPr>
                          <w:pStyle w:val="TableParagraph"/>
                          <w:ind w:right="110"/>
                          <w:jc w:val="right"/>
                          <w:rPr>
                            <w:b/>
                            <w:sz w:val="19"/>
                          </w:rPr>
                        </w:pPr>
                        <w:r>
                          <w:rPr>
                            <w:b/>
                            <w:w w:val="95"/>
                            <w:sz w:val="19"/>
                          </w:rPr>
                          <w:t>180,578</w:t>
                        </w:r>
                      </w:p>
                    </w:tc>
                  </w:tr>
                  <w:tr>
                    <w:trPr>
                      <w:trHeight w:val="285" w:hRule="atLeast"/>
                    </w:trPr>
                    <w:tc>
                      <w:tcPr>
                        <w:tcW w:w="4209" w:type="dxa"/>
                        <w:tcBorders>
                          <w:left w:val="nil"/>
                        </w:tcBorders>
                        <w:shd w:val="clear" w:color="auto" w:fill="F4F4F4"/>
                      </w:tcPr>
                      <w:p>
                        <w:pPr>
                          <w:pStyle w:val="TableParagraph"/>
                          <w:spacing w:before="0"/>
                          <w:rPr>
                            <w:rFonts w:ascii="Times New Roman"/>
                            <w:sz w:val="20"/>
                          </w:rPr>
                        </w:pPr>
                      </w:p>
                    </w:tc>
                    <w:tc>
                      <w:tcPr>
                        <w:tcW w:w="765" w:type="dxa"/>
                        <w:tcBorders>
                          <w:right w:val="nil"/>
                        </w:tcBorders>
                        <w:shd w:val="clear" w:color="auto" w:fill="F4F4F4"/>
                      </w:tcPr>
                      <w:p>
                        <w:pPr>
                          <w:pStyle w:val="TableParagraph"/>
                          <w:spacing w:before="0"/>
                          <w:rPr>
                            <w:rFonts w:ascii="Times New Roman"/>
                            <w:sz w:val="20"/>
                          </w:rPr>
                        </w:pPr>
                      </w:p>
                    </w:tc>
                    <w:tc>
                      <w:tcPr>
                        <w:tcW w:w="1219" w:type="dxa"/>
                        <w:tcBorders>
                          <w:top w:val="single" w:sz="4" w:space="0" w:color="000000"/>
                          <w:left w:val="nil"/>
                          <w:bottom w:val="single" w:sz="4" w:space="0" w:color="000000"/>
                          <w:right w:val="nil"/>
                        </w:tcBorders>
                        <w:shd w:val="clear" w:color="auto" w:fill="DFE1B8"/>
                      </w:tcPr>
                      <w:p>
                        <w:pPr>
                          <w:pStyle w:val="TableParagraph"/>
                          <w:spacing w:before="0"/>
                          <w:rPr>
                            <w:rFonts w:ascii="Times New Roman"/>
                            <w:sz w:val="20"/>
                          </w:rPr>
                        </w:pPr>
                      </w:p>
                    </w:tc>
                    <w:tc>
                      <w:tcPr>
                        <w:tcW w:w="1219" w:type="dxa"/>
                        <w:tcBorders>
                          <w:top w:val="single" w:sz="4" w:space="0" w:color="000000"/>
                          <w:left w:val="nil"/>
                          <w:bottom w:val="single" w:sz="4" w:space="0" w:color="000000"/>
                          <w:right w:val="nil"/>
                        </w:tcBorders>
                        <w:shd w:val="clear" w:color="auto" w:fill="F4F4F4"/>
                      </w:tcPr>
                      <w:p>
                        <w:pPr>
                          <w:pStyle w:val="TableParagraph"/>
                          <w:spacing w:before="0"/>
                          <w:rPr>
                            <w:rFonts w:ascii="Times New Roman"/>
                            <w:sz w:val="20"/>
                          </w:rPr>
                        </w:pPr>
                      </w:p>
                    </w:tc>
                  </w:tr>
                  <w:tr>
                    <w:trPr>
                      <w:trHeight w:val="273" w:hRule="atLeast"/>
                    </w:trPr>
                    <w:tc>
                      <w:tcPr>
                        <w:tcW w:w="4209" w:type="dxa"/>
                        <w:tcBorders>
                          <w:left w:val="nil"/>
                        </w:tcBorders>
                        <w:shd w:val="clear" w:color="auto" w:fill="FAF9F9"/>
                      </w:tcPr>
                      <w:p>
                        <w:pPr>
                          <w:pStyle w:val="TableParagraph"/>
                          <w:ind w:left="113"/>
                          <w:rPr>
                            <w:b/>
                            <w:sz w:val="19"/>
                          </w:rPr>
                        </w:pPr>
                        <w:r>
                          <w:rPr>
                            <w:b/>
                            <w:sz w:val="19"/>
                          </w:rPr>
                          <w:t>SURPLUS/(DEFICIT) FOR THE PERIOD</w:t>
                        </w:r>
                      </w:p>
                    </w:tc>
                    <w:tc>
                      <w:tcPr>
                        <w:tcW w:w="765" w:type="dxa"/>
                        <w:tcBorders>
                          <w:right w:val="nil"/>
                        </w:tcBorders>
                        <w:shd w:val="clear" w:color="auto" w:fill="FAF9F9"/>
                      </w:tcPr>
                      <w:p>
                        <w:pPr>
                          <w:pStyle w:val="TableParagraph"/>
                          <w:spacing w:before="0"/>
                          <w:rPr>
                            <w:rFonts w:ascii="Times New Roman"/>
                            <w:sz w:val="20"/>
                          </w:rPr>
                        </w:pPr>
                      </w:p>
                    </w:tc>
                    <w:tc>
                      <w:tcPr>
                        <w:tcW w:w="1219" w:type="dxa"/>
                        <w:tcBorders>
                          <w:top w:val="single" w:sz="4" w:space="0" w:color="000000"/>
                          <w:left w:val="nil"/>
                          <w:bottom w:val="double" w:sz="2" w:space="0" w:color="000000"/>
                          <w:right w:val="nil"/>
                        </w:tcBorders>
                        <w:shd w:val="clear" w:color="auto" w:fill="E1E4BB"/>
                      </w:tcPr>
                      <w:p>
                        <w:pPr>
                          <w:pStyle w:val="TableParagraph"/>
                          <w:ind w:right="110"/>
                          <w:jc w:val="right"/>
                          <w:rPr>
                            <w:b/>
                            <w:sz w:val="19"/>
                          </w:rPr>
                        </w:pPr>
                        <w:r>
                          <w:rPr>
                            <w:b/>
                            <w:w w:val="95"/>
                            <w:sz w:val="19"/>
                          </w:rPr>
                          <w:t>(20,205)</w:t>
                        </w:r>
                      </w:p>
                    </w:tc>
                    <w:tc>
                      <w:tcPr>
                        <w:tcW w:w="1219" w:type="dxa"/>
                        <w:tcBorders>
                          <w:top w:val="single" w:sz="4" w:space="0" w:color="000000"/>
                          <w:left w:val="nil"/>
                          <w:bottom w:val="double" w:sz="2" w:space="0" w:color="000000"/>
                          <w:right w:val="nil"/>
                        </w:tcBorders>
                        <w:shd w:val="clear" w:color="auto" w:fill="FAF9F9"/>
                      </w:tcPr>
                      <w:p>
                        <w:pPr>
                          <w:pStyle w:val="TableParagraph"/>
                          <w:ind w:right="110"/>
                          <w:jc w:val="right"/>
                          <w:rPr>
                            <w:b/>
                            <w:sz w:val="19"/>
                          </w:rPr>
                        </w:pPr>
                        <w:r>
                          <w:rPr>
                            <w:b/>
                            <w:w w:val="95"/>
                            <w:sz w:val="19"/>
                          </w:rPr>
                          <w:t>10,841</w:t>
                        </w:r>
                      </w:p>
                    </w:tc>
                  </w:tr>
                  <w:tr>
                    <w:trPr>
                      <w:trHeight w:val="273" w:hRule="atLeast"/>
                    </w:trPr>
                    <w:tc>
                      <w:tcPr>
                        <w:tcW w:w="4974" w:type="dxa"/>
                        <w:gridSpan w:val="2"/>
                        <w:tcBorders>
                          <w:left w:val="nil"/>
                          <w:right w:val="nil"/>
                        </w:tcBorders>
                        <w:shd w:val="clear" w:color="auto" w:fill="F4F4F4"/>
                      </w:tcPr>
                      <w:p>
                        <w:pPr>
                          <w:pStyle w:val="TableParagraph"/>
                          <w:spacing w:before="0"/>
                          <w:rPr>
                            <w:rFonts w:ascii="Times New Roman"/>
                            <w:sz w:val="20"/>
                          </w:rPr>
                        </w:pPr>
                      </w:p>
                    </w:tc>
                    <w:tc>
                      <w:tcPr>
                        <w:tcW w:w="1219" w:type="dxa"/>
                        <w:tcBorders>
                          <w:top w:val="double" w:sz="2" w:space="0" w:color="000000"/>
                          <w:left w:val="nil"/>
                          <w:bottom w:val="single" w:sz="4" w:space="0" w:color="000000"/>
                          <w:right w:val="nil"/>
                        </w:tcBorders>
                        <w:shd w:val="clear" w:color="auto" w:fill="DFE1B8"/>
                      </w:tcPr>
                      <w:p>
                        <w:pPr>
                          <w:pStyle w:val="TableParagraph"/>
                          <w:spacing w:before="0"/>
                          <w:rPr>
                            <w:rFonts w:ascii="Times New Roman"/>
                            <w:sz w:val="20"/>
                          </w:rPr>
                        </w:pPr>
                      </w:p>
                    </w:tc>
                    <w:tc>
                      <w:tcPr>
                        <w:tcW w:w="1219" w:type="dxa"/>
                        <w:tcBorders>
                          <w:top w:val="double" w:sz="2" w:space="0" w:color="000000"/>
                          <w:left w:val="nil"/>
                          <w:bottom w:val="single" w:sz="4" w:space="0" w:color="000000"/>
                          <w:right w:val="nil"/>
                        </w:tcBorders>
                        <w:shd w:val="clear" w:color="auto" w:fill="F4F4F4"/>
                      </w:tcPr>
                      <w:p>
                        <w:pPr>
                          <w:pStyle w:val="TableParagraph"/>
                          <w:spacing w:before="0"/>
                          <w:rPr>
                            <w:rFonts w:ascii="Times New Roman"/>
                            <w:sz w:val="20"/>
                          </w:rPr>
                        </w:pPr>
                      </w:p>
                    </w:tc>
                  </w:tr>
                  <w:tr>
                    <w:trPr>
                      <w:trHeight w:val="501" w:hRule="atLeast"/>
                    </w:trPr>
                    <w:tc>
                      <w:tcPr>
                        <w:tcW w:w="4209" w:type="dxa"/>
                        <w:tcBorders>
                          <w:left w:val="nil"/>
                        </w:tcBorders>
                        <w:shd w:val="clear" w:color="auto" w:fill="FAF9F9"/>
                      </w:tcPr>
                      <w:p>
                        <w:pPr>
                          <w:pStyle w:val="TableParagraph"/>
                          <w:spacing w:line="220" w:lineRule="atLeast" w:before="30"/>
                          <w:ind w:left="113" w:right="445"/>
                          <w:rPr>
                            <w:b/>
                            <w:sz w:val="19"/>
                          </w:rPr>
                        </w:pPr>
                        <w:r>
                          <w:rPr>
                            <w:b/>
                            <w:sz w:val="19"/>
                          </w:rPr>
                          <w:t>TOTAL COMPREHENSIVE INCOME FOR THE PERIOD</w:t>
                        </w:r>
                      </w:p>
                    </w:tc>
                    <w:tc>
                      <w:tcPr>
                        <w:tcW w:w="765" w:type="dxa"/>
                        <w:tcBorders>
                          <w:right w:val="nil"/>
                        </w:tcBorders>
                        <w:shd w:val="clear" w:color="auto" w:fill="FAF9F9"/>
                      </w:tcPr>
                      <w:p>
                        <w:pPr>
                          <w:pStyle w:val="TableParagraph"/>
                          <w:spacing w:before="0"/>
                          <w:rPr>
                            <w:rFonts w:ascii="Times New Roman"/>
                            <w:sz w:val="20"/>
                          </w:rPr>
                        </w:pPr>
                      </w:p>
                    </w:tc>
                    <w:tc>
                      <w:tcPr>
                        <w:tcW w:w="1219" w:type="dxa"/>
                        <w:tcBorders>
                          <w:top w:val="single" w:sz="4" w:space="0" w:color="000000"/>
                          <w:left w:val="nil"/>
                          <w:bottom w:val="double" w:sz="2" w:space="0" w:color="000000"/>
                          <w:right w:val="nil"/>
                        </w:tcBorders>
                        <w:shd w:val="clear" w:color="auto" w:fill="E1E4BB"/>
                      </w:tcPr>
                      <w:p>
                        <w:pPr>
                          <w:pStyle w:val="TableParagraph"/>
                          <w:ind w:right="110"/>
                          <w:jc w:val="right"/>
                          <w:rPr>
                            <w:b/>
                            <w:sz w:val="19"/>
                          </w:rPr>
                        </w:pPr>
                        <w:r>
                          <w:rPr>
                            <w:b/>
                            <w:w w:val="95"/>
                            <w:sz w:val="19"/>
                          </w:rPr>
                          <w:t>(20,205)</w:t>
                        </w:r>
                      </w:p>
                    </w:tc>
                    <w:tc>
                      <w:tcPr>
                        <w:tcW w:w="1219" w:type="dxa"/>
                        <w:tcBorders>
                          <w:top w:val="single" w:sz="4" w:space="0" w:color="000000"/>
                          <w:left w:val="nil"/>
                          <w:bottom w:val="double" w:sz="2" w:space="0" w:color="000000"/>
                          <w:right w:val="nil"/>
                        </w:tcBorders>
                        <w:shd w:val="clear" w:color="auto" w:fill="FAF9F9"/>
                      </w:tcPr>
                      <w:p>
                        <w:pPr>
                          <w:pStyle w:val="TableParagraph"/>
                          <w:ind w:right="110"/>
                          <w:jc w:val="right"/>
                          <w:rPr>
                            <w:b/>
                            <w:sz w:val="19"/>
                          </w:rPr>
                        </w:pPr>
                        <w:r>
                          <w:rPr>
                            <w:b/>
                            <w:w w:val="95"/>
                            <w:sz w:val="19"/>
                          </w:rPr>
                          <w:t>10,841</w:t>
                        </w:r>
                      </w:p>
                    </w:tc>
                  </w:tr>
                </w:tbl>
                <w:p>
                  <w:pPr>
                    <w:pStyle w:val="BodyText"/>
                  </w:pPr>
                </w:p>
              </w:txbxContent>
            </v:textbox>
            <w10:wrap type="none"/>
          </v:shape>
        </w:pict>
      </w:r>
      <w:r>
        <w:rPr/>
        <w:pict>
          <v:shape style="position:absolute;margin-left:37.7677pt;margin-top:18.516592pt;width:371.15pt;height:196.35pt;mso-position-horizontal-relative:page;mso-position-vertical-relative:paragraph;z-index:992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9"/>
                    <w:gridCol w:w="765"/>
                    <w:gridCol w:w="1219"/>
                    <w:gridCol w:w="1219"/>
                  </w:tblGrid>
                  <w:tr>
                    <w:trPr>
                      <w:trHeight w:val="305" w:hRule="atLeast"/>
                    </w:trPr>
                    <w:tc>
                      <w:tcPr>
                        <w:tcW w:w="4974" w:type="dxa"/>
                        <w:gridSpan w:val="2"/>
                        <w:tcBorders>
                          <w:top w:val="nil"/>
                          <w:left w:val="nil"/>
                          <w:bottom w:val="nil"/>
                          <w:right w:val="nil"/>
                        </w:tcBorders>
                      </w:tcPr>
                      <w:p>
                        <w:pPr>
                          <w:pStyle w:val="TableParagraph"/>
                          <w:tabs>
                            <w:tab w:pos="4707" w:val="right" w:leader="none"/>
                          </w:tabs>
                          <w:spacing w:before="42"/>
                          <w:ind w:left="123"/>
                          <w:rPr>
                            <w:sz w:val="19"/>
                          </w:rPr>
                        </w:pPr>
                        <w:r>
                          <w:rPr>
                            <w:i/>
                            <w:color w:val="6F2770"/>
                            <w:sz w:val="19"/>
                          </w:rPr>
                          <w:t>Revenue</w:t>
                          <w:tab/>
                        </w:r>
                        <w:hyperlink w:history="true" w:anchor="_bookmark29">
                          <w:r>
                            <w:rPr>
                              <w:color w:val="6F2770"/>
                              <w:sz w:val="19"/>
                              <w:u w:val="single" w:color="6F2770"/>
                            </w:rPr>
                            <w:t>14</w:t>
                          </w:r>
                        </w:hyperlink>
                      </w:p>
                    </w:tc>
                    <w:tc>
                      <w:tcPr>
                        <w:tcW w:w="1219" w:type="dxa"/>
                        <w:vMerge w:val="restart"/>
                        <w:tcBorders>
                          <w:top w:val="nil"/>
                          <w:left w:val="nil"/>
                          <w:right w:val="nil"/>
                        </w:tcBorders>
                        <w:shd w:val="clear" w:color="auto" w:fill="E1E4BB"/>
                      </w:tcPr>
                      <w:p>
                        <w:pPr>
                          <w:pStyle w:val="TableParagraph"/>
                          <w:spacing w:before="3"/>
                          <w:rPr>
                            <w:sz w:val="30"/>
                          </w:rPr>
                        </w:pPr>
                      </w:p>
                      <w:p>
                        <w:pPr>
                          <w:pStyle w:val="TableParagraph"/>
                          <w:spacing w:before="0"/>
                          <w:ind w:left="271"/>
                          <w:rPr>
                            <w:sz w:val="19"/>
                          </w:rPr>
                        </w:pPr>
                        <w:r>
                          <w:rPr>
                            <w:sz w:val="19"/>
                          </w:rPr>
                          <w:t>1,176,982</w:t>
                        </w:r>
                      </w:p>
                      <w:p>
                        <w:pPr>
                          <w:pStyle w:val="TableParagraph"/>
                          <w:spacing w:before="87"/>
                          <w:ind w:left="610" w:right="72"/>
                          <w:jc w:val="center"/>
                          <w:rPr>
                            <w:sz w:val="19"/>
                          </w:rPr>
                        </w:pPr>
                        <w:r>
                          <w:rPr>
                            <w:sz w:val="19"/>
                          </w:rPr>
                          <w:t>7,085</w:t>
                        </w:r>
                      </w:p>
                      <w:p>
                        <w:pPr>
                          <w:pStyle w:val="TableParagraph"/>
                          <w:spacing w:before="87"/>
                          <w:ind w:left="773" w:right="77"/>
                          <w:jc w:val="center"/>
                          <w:rPr>
                            <w:sz w:val="19"/>
                          </w:rPr>
                        </w:pPr>
                        <w:r>
                          <w:rPr>
                            <w:sz w:val="19"/>
                          </w:rPr>
                          <w:t>298</w:t>
                        </w:r>
                      </w:p>
                      <w:p>
                        <w:pPr>
                          <w:pStyle w:val="TableParagraph"/>
                          <w:spacing w:before="88"/>
                          <w:ind w:left="610" w:right="72"/>
                          <w:jc w:val="center"/>
                          <w:rPr>
                            <w:sz w:val="19"/>
                          </w:rPr>
                        </w:pPr>
                        <w:r>
                          <w:rPr>
                            <w:sz w:val="19"/>
                          </w:rPr>
                          <w:t>6,566</w:t>
                        </w:r>
                      </w:p>
                    </w:tc>
                    <w:tc>
                      <w:tcPr>
                        <w:tcW w:w="1219" w:type="dxa"/>
                        <w:vMerge w:val="restart"/>
                        <w:tcBorders>
                          <w:top w:val="nil"/>
                          <w:left w:val="nil"/>
                          <w:bottom w:val="single" w:sz="8" w:space="0" w:color="FFFFFF"/>
                          <w:right w:val="nil"/>
                        </w:tcBorders>
                        <w:shd w:val="clear" w:color="auto" w:fill="FAF9F9"/>
                      </w:tcPr>
                      <w:p>
                        <w:pPr>
                          <w:pStyle w:val="TableParagraph"/>
                          <w:spacing w:before="3"/>
                          <w:rPr>
                            <w:sz w:val="30"/>
                          </w:rPr>
                        </w:pPr>
                      </w:p>
                      <w:p>
                        <w:pPr>
                          <w:pStyle w:val="TableParagraph"/>
                          <w:spacing w:before="0"/>
                          <w:ind w:left="271"/>
                          <w:rPr>
                            <w:sz w:val="19"/>
                          </w:rPr>
                        </w:pPr>
                        <w:r>
                          <w:rPr>
                            <w:sz w:val="19"/>
                          </w:rPr>
                          <w:t>1,058,030</w:t>
                        </w:r>
                      </w:p>
                    </w:tc>
                  </w:tr>
                  <w:tr>
                    <w:trPr>
                      <w:trHeight w:val="275" w:hRule="atLeast"/>
                    </w:trPr>
                    <w:tc>
                      <w:tcPr>
                        <w:tcW w:w="4209" w:type="dxa"/>
                        <w:tcBorders>
                          <w:top w:val="nil"/>
                          <w:left w:val="nil"/>
                          <w:bottom w:val="single" w:sz="8" w:space="0" w:color="FFFFFF"/>
                          <w:right w:val="single" w:sz="8" w:space="0" w:color="FFFFFF"/>
                        </w:tcBorders>
                        <w:shd w:val="clear" w:color="auto" w:fill="F4F4F4"/>
                      </w:tcPr>
                      <w:p>
                        <w:pPr>
                          <w:pStyle w:val="TableParagraph"/>
                          <w:spacing w:before="22"/>
                          <w:ind w:left="123"/>
                          <w:rPr>
                            <w:sz w:val="19"/>
                          </w:rPr>
                        </w:pPr>
                        <w:r>
                          <w:rPr>
                            <w:sz w:val="19"/>
                          </w:rPr>
                          <w:t>User charges and fees</w:t>
                        </w:r>
                      </w:p>
                    </w:tc>
                    <w:tc>
                      <w:tcPr>
                        <w:tcW w:w="765" w:type="dxa"/>
                        <w:tcBorders>
                          <w:top w:val="nil"/>
                          <w:left w:val="single" w:sz="8" w:space="0" w:color="FFFFFF"/>
                          <w:bottom w:val="single" w:sz="8" w:space="0" w:color="FFFFFF"/>
                          <w:right w:val="nil"/>
                        </w:tcBorders>
                        <w:shd w:val="clear" w:color="auto" w:fill="F4F4F4"/>
                      </w:tcPr>
                      <w:p>
                        <w:pPr>
                          <w:pStyle w:val="TableParagraph"/>
                          <w:spacing w:before="0"/>
                          <w:rPr>
                            <w:rFonts w:ascii="Times New Roman"/>
                            <w:sz w:val="20"/>
                          </w:rPr>
                        </w:pPr>
                      </w:p>
                    </w:tc>
                    <w:tc>
                      <w:tcPr>
                        <w:tcW w:w="1219" w:type="dxa"/>
                        <w:vMerge/>
                        <w:tcBorders>
                          <w:top w:val="nil"/>
                          <w:left w:val="nil"/>
                          <w:right w:val="nil"/>
                        </w:tcBorders>
                        <w:shd w:val="clear" w:color="auto" w:fill="E1E4BB"/>
                      </w:tcPr>
                      <w:p>
                        <w:pPr>
                          <w:rPr>
                            <w:sz w:val="2"/>
                            <w:szCs w:val="2"/>
                          </w:rPr>
                        </w:pPr>
                      </w:p>
                    </w:tc>
                    <w:tc>
                      <w:tcPr>
                        <w:tcW w:w="1219" w:type="dxa"/>
                        <w:vMerge/>
                        <w:tcBorders>
                          <w:top w:val="nil"/>
                          <w:left w:val="nil"/>
                          <w:bottom w:val="single" w:sz="8" w:space="0" w:color="FFFFFF"/>
                          <w:right w:val="nil"/>
                        </w:tcBorders>
                        <w:shd w:val="clear" w:color="auto" w:fill="FAF9F9"/>
                      </w:tcPr>
                      <w:p>
                        <w:pPr>
                          <w:rPr>
                            <w:sz w:val="2"/>
                            <w:szCs w:val="2"/>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23"/>
                          <w:rPr>
                            <w:sz w:val="19"/>
                          </w:rPr>
                        </w:pPr>
                        <w:r>
                          <w:rPr>
                            <w:sz w:val="19"/>
                          </w:rPr>
                          <w:t>Commonwealth grants and contributions</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20"/>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bottom w:val="single" w:sz="8" w:space="0" w:color="FFFFFF"/>
                          <w:right w:val="nil"/>
                        </w:tcBorders>
                        <w:shd w:val="clear" w:color="auto" w:fill="FAF9F9"/>
                      </w:tcPr>
                      <w:p>
                        <w:pPr>
                          <w:pStyle w:val="TableParagraph"/>
                          <w:ind w:right="100"/>
                          <w:jc w:val="right"/>
                          <w:rPr>
                            <w:sz w:val="19"/>
                          </w:rPr>
                        </w:pPr>
                        <w:r>
                          <w:rPr>
                            <w:w w:val="95"/>
                            <w:sz w:val="19"/>
                          </w:rPr>
                          <w:t>3,492</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23"/>
                          <w:rPr>
                            <w:sz w:val="19"/>
                          </w:rPr>
                        </w:pPr>
                        <w:r>
                          <w:rPr>
                            <w:sz w:val="19"/>
                          </w:rPr>
                          <w:t>Interest revenue</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20"/>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bottom w:val="single" w:sz="8" w:space="0" w:color="FFFFFF"/>
                          <w:right w:val="nil"/>
                        </w:tcBorders>
                        <w:shd w:val="clear" w:color="auto" w:fill="F4F4F4"/>
                      </w:tcPr>
                      <w:p>
                        <w:pPr>
                          <w:pStyle w:val="TableParagraph"/>
                          <w:ind w:right="100"/>
                          <w:jc w:val="right"/>
                          <w:rPr>
                            <w:sz w:val="19"/>
                          </w:rPr>
                        </w:pPr>
                        <w:r>
                          <w:rPr>
                            <w:w w:val="95"/>
                            <w:sz w:val="19"/>
                          </w:rPr>
                          <w:t>473</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23"/>
                          <w:rPr>
                            <w:sz w:val="19"/>
                          </w:rPr>
                        </w:pPr>
                        <w:r>
                          <w:rPr>
                            <w:sz w:val="19"/>
                          </w:rPr>
                          <w:t>Other revenue</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20"/>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right w:val="nil"/>
                        </w:tcBorders>
                        <w:shd w:val="clear" w:color="auto" w:fill="FAF9F9"/>
                      </w:tcPr>
                      <w:p>
                        <w:pPr>
                          <w:pStyle w:val="TableParagraph"/>
                          <w:ind w:right="100"/>
                          <w:jc w:val="right"/>
                          <w:rPr>
                            <w:sz w:val="19"/>
                          </w:rPr>
                        </w:pPr>
                        <w:r>
                          <w:rPr>
                            <w:w w:val="95"/>
                            <w:sz w:val="19"/>
                          </w:rPr>
                          <w:t>10,615</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23"/>
                          <w:rPr>
                            <w:b/>
                            <w:sz w:val="19"/>
                          </w:rPr>
                        </w:pPr>
                        <w:r>
                          <w:rPr>
                            <w:b/>
                            <w:sz w:val="19"/>
                          </w:rPr>
                          <w:t>Total revenue</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20"/>
                          </w:rPr>
                        </w:pPr>
                      </w:p>
                    </w:tc>
                    <w:tc>
                      <w:tcPr>
                        <w:tcW w:w="1219" w:type="dxa"/>
                        <w:tcBorders>
                          <w:left w:val="nil"/>
                          <w:right w:val="nil"/>
                        </w:tcBorders>
                        <w:shd w:val="clear" w:color="auto" w:fill="DFE1B8"/>
                      </w:tcPr>
                      <w:p>
                        <w:pPr>
                          <w:pStyle w:val="TableParagraph"/>
                          <w:ind w:right="100"/>
                          <w:jc w:val="right"/>
                          <w:rPr>
                            <w:b/>
                            <w:sz w:val="19"/>
                          </w:rPr>
                        </w:pPr>
                        <w:r>
                          <w:rPr>
                            <w:b/>
                            <w:w w:val="95"/>
                            <w:sz w:val="19"/>
                          </w:rPr>
                          <w:t>1,190,931</w:t>
                        </w:r>
                      </w:p>
                    </w:tc>
                    <w:tc>
                      <w:tcPr>
                        <w:tcW w:w="1219" w:type="dxa"/>
                        <w:tcBorders>
                          <w:left w:val="nil"/>
                          <w:right w:val="nil"/>
                        </w:tcBorders>
                        <w:shd w:val="clear" w:color="auto" w:fill="F4F4F4"/>
                      </w:tcPr>
                      <w:p>
                        <w:pPr>
                          <w:pStyle w:val="TableParagraph"/>
                          <w:ind w:right="100"/>
                          <w:jc w:val="right"/>
                          <w:rPr>
                            <w:b/>
                            <w:sz w:val="19"/>
                          </w:rPr>
                        </w:pPr>
                        <w:r>
                          <w:rPr>
                            <w:b/>
                            <w:w w:val="95"/>
                            <w:sz w:val="19"/>
                          </w:rPr>
                          <w:t>1,072,610</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spacing w:before="0"/>
                          <w:rPr>
                            <w:rFonts w:ascii="Times New Roman"/>
                            <w:sz w:val="20"/>
                          </w:rPr>
                        </w:pP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20"/>
                          </w:rPr>
                        </w:pPr>
                      </w:p>
                    </w:tc>
                    <w:tc>
                      <w:tcPr>
                        <w:tcW w:w="1219" w:type="dxa"/>
                        <w:vMerge w:val="restart"/>
                        <w:tcBorders>
                          <w:left w:val="nil"/>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138"/>
                          <w:ind w:left="641"/>
                          <w:rPr>
                            <w:sz w:val="19"/>
                          </w:rPr>
                        </w:pPr>
                        <w:r>
                          <w:rPr>
                            <w:sz w:val="19"/>
                          </w:rPr>
                          <w:t>2,179</w:t>
                        </w:r>
                      </w:p>
                    </w:tc>
                    <w:tc>
                      <w:tcPr>
                        <w:tcW w:w="1219" w:type="dxa"/>
                        <w:tcBorders>
                          <w:left w:val="nil"/>
                          <w:bottom w:val="single" w:sz="8" w:space="0" w:color="FFFFFF"/>
                          <w:right w:val="nil"/>
                        </w:tcBorders>
                        <w:shd w:val="clear" w:color="auto" w:fill="FAF9F9"/>
                      </w:tcPr>
                      <w:p>
                        <w:pPr>
                          <w:pStyle w:val="TableParagraph"/>
                          <w:spacing w:before="0"/>
                          <w:rPr>
                            <w:rFonts w:ascii="Times New Roman"/>
                            <w:sz w:val="20"/>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23"/>
                          <w:rPr>
                            <w:i/>
                            <w:sz w:val="19"/>
                          </w:rPr>
                        </w:pPr>
                        <w:r>
                          <w:rPr>
                            <w:i/>
                            <w:color w:val="6F2770"/>
                            <w:sz w:val="19"/>
                          </w:rPr>
                          <w:t>Gains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20"/>
                          </w:rPr>
                        </w:pPr>
                      </w:p>
                    </w:tc>
                    <w:tc>
                      <w:tcPr>
                        <w:tcW w:w="1219" w:type="dxa"/>
                        <w:vMerge/>
                        <w:tcBorders>
                          <w:top w:val="nil"/>
                          <w:left w:val="nil"/>
                          <w:right w:val="nil"/>
                        </w:tcBorders>
                        <w:shd w:val="clear" w:color="auto" w:fill="DFE1B8"/>
                      </w:tcPr>
                      <w:p>
                        <w:pPr>
                          <w:rPr>
                            <w:sz w:val="2"/>
                            <w:szCs w:val="2"/>
                          </w:rPr>
                        </w:pPr>
                      </w:p>
                    </w:tc>
                    <w:tc>
                      <w:tcPr>
                        <w:tcW w:w="1219" w:type="dxa"/>
                        <w:tcBorders>
                          <w:top w:val="single" w:sz="8" w:space="0" w:color="FFFFFF"/>
                          <w:left w:val="nil"/>
                          <w:bottom w:val="single" w:sz="8" w:space="0" w:color="FFFFFF"/>
                          <w:right w:val="nil"/>
                        </w:tcBorders>
                        <w:shd w:val="clear" w:color="auto" w:fill="F4F4F4"/>
                      </w:tcPr>
                      <w:p>
                        <w:pPr>
                          <w:pStyle w:val="TableParagraph"/>
                          <w:spacing w:before="0"/>
                          <w:rPr>
                            <w:rFonts w:ascii="Times New Roman"/>
                            <w:sz w:val="20"/>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23"/>
                          <w:rPr>
                            <w:sz w:val="19"/>
                          </w:rPr>
                        </w:pPr>
                        <w:r>
                          <w:rPr>
                            <w:sz w:val="19"/>
                          </w:rPr>
                          <w:t>Gain on disposal of non-current assets</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ind w:left="248" w:right="237"/>
                          <w:jc w:val="center"/>
                          <w:rPr>
                            <w:sz w:val="19"/>
                          </w:rPr>
                        </w:pPr>
                        <w:hyperlink w:history="true" w:anchor="_bookmark29">
                          <w:r>
                            <w:rPr>
                              <w:color w:val="6F2770"/>
                              <w:sz w:val="19"/>
                              <w:u w:val="single" w:color="6F2770"/>
                            </w:rPr>
                            <w:t>15</w:t>
                          </w:r>
                        </w:hyperlink>
                      </w:p>
                    </w:tc>
                    <w:tc>
                      <w:tcPr>
                        <w:tcW w:w="1219" w:type="dxa"/>
                        <w:vMerge/>
                        <w:tcBorders>
                          <w:top w:val="nil"/>
                          <w:left w:val="nil"/>
                          <w:right w:val="nil"/>
                        </w:tcBorders>
                        <w:shd w:val="clear" w:color="auto" w:fill="DFE1B8"/>
                      </w:tcPr>
                      <w:p>
                        <w:pPr>
                          <w:rPr>
                            <w:sz w:val="2"/>
                            <w:szCs w:val="2"/>
                          </w:rPr>
                        </w:pPr>
                      </w:p>
                    </w:tc>
                    <w:tc>
                      <w:tcPr>
                        <w:tcW w:w="1219" w:type="dxa"/>
                        <w:tcBorders>
                          <w:top w:val="single" w:sz="8" w:space="0" w:color="FFFFFF"/>
                          <w:left w:val="nil"/>
                          <w:right w:val="nil"/>
                        </w:tcBorders>
                        <w:shd w:val="clear" w:color="auto" w:fill="FAF9F9"/>
                      </w:tcPr>
                      <w:p>
                        <w:pPr>
                          <w:pStyle w:val="TableParagraph"/>
                          <w:ind w:right="100"/>
                          <w:jc w:val="right"/>
                          <w:rPr>
                            <w:sz w:val="19"/>
                          </w:rPr>
                        </w:pPr>
                        <w:r>
                          <w:rPr>
                            <w:w w:val="95"/>
                            <w:sz w:val="19"/>
                          </w:rPr>
                          <w:t>631</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23"/>
                          <w:rPr>
                            <w:b/>
                            <w:sz w:val="19"/>
                          </w:rPr>
                        </w:pPr>
                        <w:r>
                          <w:rPr>
                            <w:b/>
                            <w:sz w:val="19"/>
                          </w:rPr>
                          <w:t>Total gains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20"/>
                          </w:rPr>
                        </w:pPr>
                      </w:p>
                    </w:tc>
                    <w:tc>
                      <w:tcPr>
                        <w:tcW w:w="1219" w:type="dxa"/>
                        <w:tcBorders>
                          <w:left w:val="nil"/>
                          <w:right w:val="nil"/>
                        </w:tcBorders>
                        <w:shd w:val="clear" w:color="auto" w:fill="DFE1B8"/>
                      </w:tcPr>
                      <w:p>
                        <w:pPr>
                          <w:pStyle w:val="TableParagraph"/>
                          <w:ind w:right="100"/>
                          <w:jc w:val="right"/>
                          <w:rPr>
                            <w:b/>
                            <w:sz w:val="19"/>
                          </w:rPr>
                        </w:pPr>
                        <w:r>
                          <w:rPr>
                            <w:b/>
                            <w:w w:val="95"/>
                            <w:sz w:val="19"/>
                          </w:rPr>
                          <w:t>2,179</w:t>
                        </w:r>
                      </w:p>
                    </w:tc>
                    <w:tc>
                      <w:tcPr>
                        <w:tcW w:w="1219" w:type="dxa"/>
                        <w:tcBorders>
                          <w:left w:val="nil"/>
                          <w:right w:val="nil"/>
                        </w:tcBorders>
                        <w:shd w:val="clear" w:color="auto" w:fill="F4F4F4"/>
                      </w:tcPr>
                      <w:p>
                        <w:pPr>
                          <w:pStyle w:val="TableParagraph"/>
                          <w:ind w:right="100"/>
                          <w:jc w:val="right"/>
                          <w:rPr>
                            <w:b/>
                            <w:sz w:val="19"/>
                          </w:rPr>
                        </w:pPr>
                        <w:r>
                          <w:rPr>
                            <w:b/>
                            <w:w w:val="95"/>
                            <w:sz w:val="19"/>
                          </w:rPr>
                          <w:t>631</w:t>
                        </w:r>
                      </w:p>
                    </w:tc>
                  </w:tr>
                  <w:tr>
                    <w:trPr>
                      <w:trHeight w:val="513"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spacing w:line="249" w:lineRule="auto"/>
                          <w:ind w:left="123" w:right="192"/>
                          <w:rPr>
                            <w:b/>
                            <w:sz w:val="19"/>
                          </w:rPr>
                        </w:pPr>
                        <w:r>
                          <w:rPr>
                            <w:b/>
                            <w:sz w:val="19"/>
                          </w:rPr>
                          <w:t>Total income other than income from State Government</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20"/>
                          </w:rPr>
                        </w:pPr>
                      </w:p>
                    </w:tc>
                    <w:tc>
                      <w:tcPr>
                        <w:tcW w:w="1219" w:type="dxa"/>
                        <w:tcBorders>
                          <w:left w:val="nil"/>
                          <w:right w:val="nil"/>
                        </w:tcBorders>
                        <w:shd w:val="clear" w:color="auto" w:fill="E1E4BB"/>
                      </w:tcPr>
                      <w:p>
                        <w:pPr>
                          <w:pStyle w:val="TableParagraph"/>
                          <w:ind w:right="100"/>
                          <w:jc w:val="right"/>
                          <w:rPr>
                            <w:b/>
                            <w:sz w:val="19"/>
                          </w:rPr>
                        </w:pPr>
                        <w:r>
                          <w:rPr>
                            <w:b/>
                            <w:w w:val="95"/>
                            <w:sz w:val="19"/>
                          </w:rPr>
                          <w:t>1,193,110</w:t>
                        </w:r>
                      </w:p>
                    </w:tc>
                    <w:tc>
                      <w:tcPr>
                        <w:tcW w:w="1219" w:type="dxa"/>
                        <w:tcBorders>
                          <w:left w:val="nil"/>
                          <w:right w:val="nil"/>
                        </w:tcBorders>
                        <w:shd w:val="clear" w:color="auto" w:fill="FAF9F9"/>
                      </w:tcPr>
                      <w:p>
                        <w:pPr>
                          <w:pStyle w:val="TableParagraph"/>
                          <w:ind w:right="100"/>
                          <w:jc w:val="right"/>
                          <w:rPr>
                            <w:b/>
                            <w:sz w:val="19"/>
                          </w:rPr>
                        </w:pPr>
                        <w:r>
                          <w:rPr>
                            <w:b/>
                            <w:w w:val="95"/>
                            <w:sz w:val="19"/>
                          </w:rPr>
                          <w:t>1,073,241</w:t>
                        </w:r>
                      </w:p>
                    </w:tc>
                  </w:tr>
                  <w:tr>
                    <w:trPr>
                      <w:trHeight w:val="26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spacing w:line="213" w:lineRule="exact"/>
                          <w:ind w:left="123"/>
                          <w:rPr>
                            <w:b/>
                            <w:sz w:val="19"/>
                          </w:rPr>
                        </w:pPr>
                        <w:r>
                          <w:rPr>
                            <w:b/>
                            <w:sz w:val="19"/>
                          </w:rPr>
                          <w:t>NET COST OF SERVICES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tcBorders>
                          <w:left w:val="nil"/>
                          <w:bottom w:val="single" w:sz="24" w:space="0" w:color="FFFFFF"/>
                          <w:right w:val="nil"/>
                        </w:tcBorders>
                        <w:shd w:val="clear" w:color="auto" w:fill="DFE1B8"/>
                      </w:tcPr>
                      <w:p>
                        <w:pPr>
                          <w:pStyle w:val="TableParagraph"/>
                          <w:spacing w:line="213" w:lineRule="exact"/>
                          <w:ind w:right="100"/>
                          <w:jc w:val="right"/>
                          <w:rPr>
                            <w:b/>
                            <w:sz w:val="19"/>
                          </w:rPr>
                        </w:pPr>
                        <w:r>
                          <w:rPr>
                            <w:b/>
                            <w:w w:val="95"/>
                            <w:sz w:val="19"/>
                          </w:rPr>
                          <w:t>(184,722)</w:t>
                        </w:r>
                      </w:p>
                    </w:tc>
                    <w:tc>
                      <w:tcPr>
                        <w:tcW w:w="1219" w:type="dxa"/>
                        <w:tcBorders>
                          <w:left w:val="nil"/>
                          <w:bottom w:val="single" w:sz="24" w:space="0" w:color="FFFFFF"/>
                          <w:right w:val="nil"/>
                        </w:tcBorders>
                        <w:shd w:val="clear" w:color="auto" w:fill="F4F4F4"/>
                      </w:tcPr>
                      <w:p>
                        <w:pPr>
                          <w:pStyle w:val="TableParagraph"/>
                          <w:spacing w:line="213" w:lineRule="exact"/>
                          <w:ind w:right="100"/>
                          <w:jc w:val="right"/>
                          <w:rPr>
                            <w:b/>
                            <w:sz w:val="19"/>
                          </w:rPr>
                        </w:pPr>
                        <w:r>
                          <w:rPr>
                            <w:b/>
                            <w:w w:val="95"/>
                            <w:sz w:val="19"/>
                          </w:rPr>
                          <w:t>(169,737)</w:t>
                        </w:r>
                      </w:p>
                    </w:tc>
                  </w:tr>
                </w:tbl>
                <w:p>
                  <w:pPr>
                    <w:pStyle w:val="BodyText"/>
                  </w:pPr>
                </w:p>
              </w:txbxContent>
            </v:textbox>
            <w10:wrap type="none"/>
          </v:shape>
        </w:pict>
      </w:r>
      <w:r>
        <w:rPr>
          <w:b/>
          <w:color w:val="FFFFFF"/>
          <w:w w:val="100"/>
          <w:sz w:val="19"/>
          <w:shd w:fill="783A79" w:color="auto" w:val="clear"/>
        </w:rPr>
        <w:t> </w:t>
      </w:r>
      <w:r>
        <w:rPr>
          <w:b/>
          <w:color w:val="FFFFFF"/>
          <w:spacing w:val="7"/>
          <w:sz w:val="19"/>
          <w:shd w:fill="783A79" w:color="auto" w:val="clear"/>
        </w:rPr>
        <w:t> </w:t>
      </w:r>
      <w:r>
        <w:rPr>
          <w:b/>
          <w:color w:val="FFFFFF"/>
          <w:sz w:val="19"/>
          <w:shd w:fill="783A79" w:color="auto" w:val="clear"/>
        </w:rPr>
        <w:t>Income</w:t>
        <w:tab/>
      </w:r>
    </w:p>
    <w:p>
      <w:pPr>
        <w:pStyle w:val="BodyText"/>
        <w:spacing w:before="2"/>
        <w:rPr>
          <w:b/>
        </w:rPr>
      </w:pPr>
      <w:r>
        <w:rPr/>
        <w:br w:type="column"/>
      </w:r>
      <w:r>
        <w:rPr>
          <w:b/>
        </w:rPr>
      </w:r>
    </w:p>
    <w:p>
      <w:pPr>
        <w:spacing w:before="0"/>
        <w:ind w:left="418" w:right="0" w:firstLine="0"/>
        <w:jc w:val="left"/>
        <w:rPr>
          <w:sz w:val="19"/>
        </w:rPr>
      </w:pPr>
      <w:r>
        <w:rPr>
          <w:sz w:val="19"/>
        </w:rPr>
        <w:t>See also ‘</w:t>
      </w:r>
      <w:r>
        <w:rPr>
          <w:color w:val="6F2770"/>
          <w:sz w:val="19"/>
        </w:rPr>
        <w:t>Schedule of Income and Expenses by Service</w:t>
      </w:r>
      <w:r>
        <w:rPr>
          <w:sz w:val="19"/>
        </w:rPr>
        <w:t>’ on Page </w:t>
      </w:r>
      <w:r>
        <w:rPr>
          <w:color w:val="6F2770"/>
          <w:sz w:val="19"/>
          <w:u w:val="single" w:color="6F2770"/>
        </w:rPr>
        <w:t>40</w:t>
      </w:r>
      <w:r>
        <w:rPr>
          <w:sz w:val="19"/>
        </w:rPr>
        <w:t>.</w:t>
      </w:r>
    </w:p>
    <w:p>
      <w:pPr>
        <w:pStyle w:val="BodyText"/>
        <w:spacing w:before="7"/>
        <w:rPr>
          <w:sz w:val="20"/>
        </w:rPr>
      </w:pPr>
    </w:p>
    <w:p>
      <w:pPr>
        <w:spacing w:line="249" w:lineRule="auto" w:before="0"/>
        <w:ind w:left="418" w:right="1638" w:firstLine="0"/>
        <w:jc w:val="left"/>
        <w:rPr>
          <w:sz w:val="19"/>
        </w:rPr>
      </w:pPr>
      <w:r>
        <w:rPr>
          <w:sz w:val="19"/>
        </w:rPr>
        <w:t>The</w:t>
      </w:r>
      <w:r>
        <w:rPr>
          <w:spacing w:val="-17"/>
          <w:sz w:val="19"/>
        </w:rPr>
        <w:t> </w:t>
      </w:r>
      <w:r>
        <w:rPr>
          <w:sz w:val="19"/>
        </w:rPr>
        <w:t>Statement</w:t>
      </w:r>
      <w:r>
        <w:rPr>
          <w:spacing w:val="-17"/>
          <w:sz w:val="19"/>
        </w:rPr>
        <w:t> </w:t>
      </w:r>
      <w:r>
        <w:rPr>
          <w:sz w:val="19"/>
        </w:rPr>
        <w:t>of</w:t>
      </w:r>
      <w:r>
        <w:rPr>
          <w:spacing w:val="-17"/>
          <w:sz w:val="19"/>
        </w:rPr>
        <w:t> </w:t>
      </w:r>
      <w:r>
        <w:rPr>
          <w:sz w:val="19"/>
        </w:rPr>
        <w:t>Comprehensive</w:t>
      </w:r>
      <w:r>
        <w:rPr>
          <w:spacing w:val="-16"/>
          <w:sz w:val="19"/>
        </w:rPr>
        <w:t> </w:t>
      </w:r>
      <w:r>
        <w:rPr>
          <w:sz w:val="19"/>
        </w:rPr>
        <w:t>Income</w:t>
      </w:r>
      <w:r>
        <w:rPr>
          <w:spacing w:val="-17"/>
          <w:sz w:val="19"/>
        </w:rPr>
        <w:t> </w:t>
      </w:r>
      <w:r>
        <w:rPr>
          <w:sz w:val="19"/>
        </w:rPr>
        <w:t>should</w:t>
      </w:r>
      <w:r>
        <w:rPr>
          <w:spacing w:val="-17"/>
          <w:sz w:val="19"/>
        </w:rPr>
        <w:t> </w:t>
      </w:r>
      <w:r>
        <w:rPr>
          <w:sz w:val="19"/>
        </w:rPr>
        <w:t>be</w:t>
      </w:r>
      <w:r>
        <w:rPr>
          <w:spacing w:val="-17"/>
          <w:sz w:val="19"/>
        </w:rPr>
        <w:t> </w:t>
      </w:r>
      <w:r>
        <w:rPr>
          <w:sz w:val="19"/>
        </w:rPr>
        <w:t>read</w:t>
      </w:r>
      <w:r>
        <w:rPr>
          <w:spacing w:val="-16"/>
          <w:sz w:val="19"/>
        </w:rPr>
        <w:t> </w:t>
      </w:r>
      <w:r>
        <w:rPr>
          <w:sz w:val="19"/>
        </w:rPr>
        <w:t>in</w:t>
      </w:r>
      <w:r>
        <w:rPr>
          <w:spacing w:val="-17"/>
          <w:sz w:val="19"/>
        </w:rPr>
        <w:t> </w:t>
      </w:r>
      <w:r>
        <w:rPr>
          <w:sz w:val="19"/>
        </w:rPr>
        <w:t>conjunction</w:t>
      </w:r>
      <w:r>
        <w:rPr>
          <w:spacing w:val="-17"/>
          <w:sz w:val="19"/>
        </w:rPr>
        <w:t> </w:t>
      </w:r>
      <w:r>
        <w:rPr>
          <w:sz w:val="19"/>
        </w:rPr>
        <w:t>with</w:t>
      </w:r>
      <w:r>
        <w:rPr>
          <w:spacing w:val="-17"/>
          <w:sz w:val="19"/>
        </w:rPr>
        <w:t> </w:t>
      </w:r>
      <w:r>
        <w:rPr>
          <w:spacing w:val="-6"/>
          <w:sz w:val="19"/>
        </w:rPr>
        <w:t>the </w:t>
      </w:r>
      <w:r>
        <w:rPr>
          <w:sz w:val="19"/>
        </w:rPr>
        <w:t>accompanying</w:t>
      </w:r>
      <w:r>
        <w:rPr>
          <w:spacing w:val="-1"/>
          <w:sz w:val="19"/>
        </w:rPr>
        <w:t> </w:t>
      </w:r>
      <w:r>
        <w:rPr>
          <w:sz w:val="19"/>
        </w:rPr>
        <w:t>notes.</w:t>
      </w:r>
    </w:p>
    <w:p>
      <w:pPr>
        <w:spacing w:after="0" w:line="249" w:lineRule="auto"/>
        <w:jc w:val="left"/>
        <w:rPr>
          <w:sz w:val="19"/>
        </w:rPr>
        <w:sectPr>
          <w:type w:val="continuous"/>
          <w:pgSz w:w="16840" w:h="11910" w:orient="landscape"/>
          <w:pgMar w:top="1100" w:bottom="280" w:left="0" w:right="0"/>
          <w:cols w:num="2" w:equalWidth="0">
            <w:col w:w="8178" w:space="40"/>
            <w:col w:w="8622"/>
          </w:cols>
        </w:sectPr>
      </w:pPr>
    </w:p>
    <w:p>
      <w:pPr>
        <w:pStyle w:val="BodyText"/>
        <w:rPr>
          <w:sz w:val="20"/>
        </w:rPr>
      </w:pPr>
      <w:bookmarkStart w:name="_bookmark19" w:id="20"/>
      <w:bookmarkEnd w:id="20"/>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10"/>
        <w:rPr>
          <w:sz w:val="19"/>
        </w:rPr>
      </w:pPr>
    </w:p>
    <w:p>
      <w:pPr>
        <w:pStyle w:val="Heading2"/>
      </w:pPr>
      <w:r>
        <w:rPr/>
        <w:pict>
          <v:group style="position:absolute;margin-left:120.271004pt;margin-top:-67.721718pt;width:721.65pt;height:42.55pt;mso-position-horizontal-relative:page;mso-position-vertical-relative:paragraph;z-index:10192" coordorigin="2405,-1354" coordsize="14433,851">
            <v:rect style="position:absolute;left:14432;top:-1355;width:2406;height:851" filled="true" fillcolor="#bba1bc" stroked="false">
              <v:fill type="solid"/>
            </v:rect>
            <v:shape style="position:absolute;left:14432;top:-1355;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5;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5;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5;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5;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5;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Statement of Financial Position</w:t>
      </w:r>
    </w:p>
    <w:p>
      <w:pPr>
        <w:pStyle w:val="Heading4"/>
        <w:spacing w:before="28"/>
      </w:pPr>
      <w:r>
        <w:rPr>
          <w:color w:val="6F2770"/>
        </w:rPr>
        <w:t>As at 30 June 2018</w:t>
      </w:r>
    </w:p>
    <w:p>
      <w:pPr>
        <w:spacing w:after="0"/>
        <w:sectPr>
          <w:footerReference w:type="default" r:id="rId131"/>
          <w:pgSz w:w="16840" w:h="11910" w:orient="landscape"/>
          <w:pgMar w:footer="0" w:header="0" w:top="0" w:bottom="0" w:left="0" w:right="0"/>
        </w:sectPr>
      </w:pPr>
    </w:p>
    <w:p>
      <w:pPr>
        <w:tabs>
          <w:tab w:pos="1704" w:val="right" w:leader="none"/>
        </w:tabs>
        <w:spacing w:before="87"/>
        <w:ind w:left="0" w:right="0" w:firstLine="0"/>
        <w:jc w:val="right"/>
        <w:rPr>
          <w:b/>
          <w:sz w:val="19"/>
        </w:rPr>
      </w:pPr>
      <w:r>
        <w:rPr>
          <w:b/>
          <w:sz w:val="19"/>
        </w:rPr>
        <w:t>Note</w:t>
        <w:tab/>
        <w:t>2018</w:t>
      </w:r>
    </w:p>
    <w:p>
      <w:pPr>
        <w:spacing w:before="9"/>
        <w:ind w:left="0" w:right="0" w:firstLine="0"/>
        <w:jc w:val="right"/>
        <w:rPr>
          <w:b/>
          <w:sz w:val="19"/>
        </w:rPr>
      </w:pPr>
      <w:r>
        <w:rPr/>
        <w:pict>
          <v:shape style="position:absolute;margin-left:38.268002pt;margin-top:12.79589pt;width:370.65pt;height:308.6pt;mso-position-horizontal-relative:page;mso-position-vertical-relative:paragraph;z-index:1026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tcBorders>
                          <w:top w:val="nil"/>
                          <w:left w:val="nil"/>
                          <w:bottom w:val="nil"/>
                          <w:right w:val="nil"/>
                        </w:tcBorders>
                        <w:shd w:val="clear" w:color="auto" w:fill="783A79"/>
                      </w:tcPr>
                      <w:p>
                        <w:pPr>
                          <w:pStyle w:val="TableParagraph"/>
                          <w:spacing w:before="47"/>
                          <w:ind w:left="113"/>
                          <w:rPr>
                            <w:b/>
                            <w:sz w:val="19"/>
                          </w:rPr>
                        </w:pPr>
                        <w:r>
                          <w:rPr>
                            <w:b/>
                            <w:color w:val="FFFFFF"/>
                            <w:sz w:val="19"/>
                          </w:rPr>
                          <w:t>Assets</w:t>
                        </w:r>
                      </w:p>
                    </w:tc>
                  </w:tr>
                  <w:tr>
                    <w:trPr>
                      <w:trHeight w:val="317" w:hRule="atLeast"/>
                    </w:trPr>
                    <w:tc>
                      <w:tcPr>
                        <w:tcW w:w="4209" w:type="dxa"/>
                        <w:tcBorders>
                          <w:top w:val="nil"/>
                          <w:left w:val="nil"/>
                        </w:tcBorders>
                        <w:shd w:val="clear" w:color="auto" w:fill="F4F4F4"/>
                      </w:tcPr>
                      <w:p>
                        <w:pPr>
                          <w:pStyle w:val="TableParagraph"/>
                          <w:spacing w:before="42"/>
                          <w:ind w:left="113"/>
                          <w:rPr>
                            <w:i/>
                            <w:sz w:val="19"/>
                          </w:rPr>
                        </w:pPr>
                        <w:r>
                          <w:rPr>
                            <w:i/>
                            <w:color w:val="6F2770"/>
                            <w:sz w:val="19"/>
                          </w:rPr>
                          <w:t>Current assets</w:t>
                        </w:r>
                      </w:p>
                    </w:tc>
                    <w:tc>
                      <w:tcPr>
                        <w:tcW w:w="765" w:type="dxa"/>
                        <w:tcBorders>
                          <w:top w:val="nil"/>
                          <w:right w:val="nil"/>
                        </w:tcBorders>
                        <w:shd w:val="clear" w:color="auto" w:fill="F4F4F4"/>
                      </w:tcPr>
                      <w:p>
                        <w:pPr>
                          <w:pStyle w:val="TableParagraph"/>
                          <w:spacing w:before="0"/>
                          <w:rPr>
                            <w:rFonts w:ascii="Times New Roman"/>
                            <w:sz w:val="18"/>
                          </w:rPr>
                        </w:pPr>
                      </w:p>
                    </w:tc>
                    <w:tc>
                      <w:tcPr>
                        <w:tcW w:w="1219" w:type="dxa"/>
                        <w:tcBorders>
                          <w:top w:val="nil"/>
                          <w:left w:val="nil"/>
                          <w:bottom w:val="nil"/>
                          <w:right w:val="nil"/>
                        </w:tcBorders>
                        <w:shd w:val="clear" w:color="auto" w:fill="E1E4BB"/>
                      </w:tcPr>
                      <w:p>
                        <w:pPr>
                          <w:pStyle w:val="TableParagraph"/>
                          <w:spacing w:before="0"/>
                          <w:rPr>
                            <w:rFonts w:ascii="Times New Roman"/>
                            <w:sz w:val="18"/>
                          </w:rPr>
                        </w:pPr>
                      </w:p>
                    </w:tc>
                    <w:tc>
                      <w:tcPr>
                        <w:tcW w:w="1219" w:type="dxa"/>
                        <w:tcBorders>
                          <w:top w:val="nil"/>
                          <w:left w:val="nil"/>
                          <w:right w:val="nil"/>
                        </w:tcBorders>
                        <w:shd w:val="clear" w:color="auto" w:fill="F4F4F4"/>
                      </w:tcPr>
                      <w:p>
                        <w:pPr>
                          <w:pStyle w:val="TableParagraph"/>
                          <w:spacing w:before="0"/>
                          <w:rPr>
                            <w:rFonts w:ascii="Times New Roman"/>
                            <w:sz w:val="18"/>
                          </w:rPr>
                        </w:pPr>
                      </w:p>
                    </w:tc>
                  </w:tr>
                  <w:tr>
                    <w:trPr>
                      <w:trHeight w:val="285" w:hRule="atLeast"/>
                    </w:trPr>
                    <w:tc>
                      <w:tcPr>
                        <w:tcW w:w="4209" w:type="dxa"/>
                        <w:tcBorders>
                          <w:left w:val="nil"/>
                        </w:tcBorders>
                        <w:shd w:val="clear" w:color="auto" w:fill="FAF9F9"/>
                      </w:tcPr>
                      <w:p>
                        <w:pPr>
                          <w:pStyle w:val="TableParagraph"/>
                          <w:ind w:left="113"/>
                          <w:rPr>
                            <w:sz w:val="19"/>
                          </w:rPr>
                        </w:pPr>
                        <w:r>
                          <w:rPr>
                            <w:sz w:val="19"/>
                          </w:rPr>
                          <w:t>Cash and cash equivalents</w:t>
                        </w:r>
                      </w:p>
                    </w:tc>
                    <w:tc>
                      <w:tcPr>
                        <w:tcW w:w="765" w:type="dxa"/>
                        <w:tcBorders>
                          <w:right w:val="nil"/>
                        </w:tcBorders>
                        <w:shd w:val="clear" w:color="auto" w:fill="FAF9F9"/>
                      </w:tcPr>
                      <w:p>
                        <w:pPr>
                          <w:pStyle w:val="TableParagraph"/>
                          <w:ind w:left="240" w:right="246"/>
                          <w:jc w:val="center"/>
                          <w:rPr>
                            <w:sz w:val="19"/>
                          </w:rPr>
                        </w:pPr>
                        <w:hyperlink w:history="true" w:anchor="_bookmark30">
                          <w:r>
                            <w:rPr>
                              <w:color w:val="6F2770"/>
                              <w:sz w:val="19"/>
                              <w:u w:val="single" w:color="6F2770"/>
                            </w:rPr>
                            <w:t>18</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75,890</w:t>
                        </w:r>
                      </w:p>
                    </w:tc>
                    <w:tc>
                      <w:tcPr>
                        <w:tcW w:w="1219" w:type="dxa"/>
                        <w:tcBorders>
                          <w:left w:val="nil"/>
                          <w:right w:val="nil"/>
                        </w:tcBorders>
                        <w:shd w:val="clear" w:color="auto" w:fill="FAF9F9"/>
                      </w:tcPr>
                      <w:p>
                        <w:pPr>
                          <w:pStyle w:val="TableParagraph"/>
                          <w:ind w:right="110"/>
                          <w:jc w:val="right"/>
                          <w:rPr>
                            <w:sz w:val="19"/>
                          </w:rPr>
                        </w:pPr>
                        <w:r>
                          <w:rPr>
                            <w:w w:val="95"/>
                            <w:sz w:val="19"/>
                          </w:rPr>
                          <w:t>70,618</w:t>
                        </w:r>
                      </w:p>
                    </w:tc>
                  </w:tr>
                  <w:tr>
                    <w:trPr>
                      <w:trHeight w:val="285" w:hRule="atLeast"/>
                    </w:trPr>
                    <w:tc>
                      <w:tcPr>
                        <w:tcW w:w="4209" w:type="dxa"/>
                        <w:tcBorders>
                          <w:left w:val="nil"/>
                        </w:tcBorders>
                        <w:shd w:val="clear" w:color="auto" w:fill="F4F4F4"/>
                      </w:tcPr>
                      <w:p>
                        <w:pPr>
                          <w:pStyle w:val="TableParagraph"/>
                          <w:ind w:left="113"/>
                          <w:rPr>
                            <w:sz w:val="19"/>
                          </w:rPr>
                        </w:pPr>
                        <w:r>
                          <w:rPr>
                            <w:sz w:val="19"/>
                          </w:rPr>
                          <w:t>Restricted cash and cash equivalents</w:t>
                        </w:r>
                      </w:p>
                    </w:tc>
                    <w:tc>
                      <w:tcPr>
                        <w:tcW w:w="765" w:type="dxa"/>
                        <w:tcBorders>
                          <w:right w:val="nil"/>
                        </w:tcBorders>
                        <w:shd w:val="clear" w:color="auto" w:fill="F4F4F4"/>
                      </w:tcPr>
                      <w:p>
                        <w:pPr>
                          <w:pStyle w:val="TableParagraph"/>
                          <w:ind w:left="240" w:right="246"/>
                          <w:jc w:val="center"/>
                          <w:rPr>
                            <w:sz w:val="19"/>
                          </w:rPr>
                        </w:pPr>
                        <w:hyperlink w:history="true" w:anchor="_bookmark30">
                          <w:r>
                            <w:rPr>
                              <w:color w:val="6F2770"/>
                              <w:sz w:val="19"/>
                              <w:u w:val="single" w:color="6F2770"/>
                            </w:rPr>
                            <w:t>19</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1,001</w:t>
                        </w:r>
                      </w:p>
                    </w:tc>
                    <w:tc>
                      <w:tcPr>
                        <w:tcW w:w="1219" w:type="dxa"/>
                        <w:tcBorders>
                          <w:left w:val="nil"/>
                          <w:right w:val="nil"/>
                        </w:tcBorders>
                        <w:shd w:val="clear" w:color="auto" w:fill="F4F4F4"/>
                      </w:tcPr>
                      <w:p>
                        <w:pPr>
                          <w:pStyle w:val="TableParagraph"/>
                          <w:ind w:right="110"/>
                          <w:jc w:val="right"/>
                          <w:rPr>
                            <w:sz w:val="19"/>
                          </w:rPr>
                        </w:pPr>
                        <w:r>
                          <w:rPr>
                            <w:w w:val="95"/>
                            <w:sz w:val="19"/>
                          </w:rPr>
                          <w:t>3,171</w:t>
                        </w:r>
                      </w:p>
                    </w:tc>
                  </w:tr>
                  <w:tr>
                    <w:trPr>
                      <w:trHeight w:val="285" w:hRule="atLeast"/>
                    </w:trPr>
                    <w:tc>
                      <w:tcPr>
                        <w:tcW w:w="4209" w:type="dxa"/>
                        <w:tcBorders>
                          <w:left w:val="nil"/>
                        </w:tcBorders>
                        <w:shd w:val="clear" w:color="auto" w:fill="FAF9F9"/>
                      </w:tcPr>
                      <w:p>
                        <w:pPr>
                          <w:pStyle w:val="TableParagraph"/>
                          <w:ind w:left="113"/>
                          <w:rPr>
                            <w:sz w:val="19"/>
                          </w:rPr>
                        </w:pPr>
                        <w:r>
                          <w:rPr>
                            <w:sz w:val="19"/>
                          </w:rPr>
                          <w:t>Receivables</w:t>
                        </w:r>
                      </w:p>
                    </w:tc>
                    <w:tc>
                      <w:tcPr>
                        <w:tcW w:w="765" w:type="dxa"/>
                        <w:tcBorders>
                          <w:right w:val="nil"/>
                        </w:tcBorders>
                        <w:shd w:val="clear" w:color="auto" w:fill="FAF9F9"/>
                      </w:tcPr>
                      <w:p>
                        <w:pPr>
                          <w:pStyle w:val="TableParagraph"/>
                          <w:ind w:left="240" w:right="246"/>
                          <w:jc w:val="center"/>
                          <w:rPr>
                            <w:sz w:val="19"/>
                          </w:rPr>
                        </w:pPr>
                        <w:hyperlink w:history="true" w:anchor="_bookmark30">
                          <w:r>
                            <w:rPr>
                              <w:color w:val="6F2770"/>
                              <w:sz w:val="19"/>
                              <w:u w:val="single" w:color="6F2770"/>
                            </w:rPr>
                            <w:t>20</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132,386</w:t>
                        </w:r>
                      </w:p>
                    </w:tc>
                    <w:tc>
                      <w:tcPr>
                        <w:tcW w:w="1219" w:type="dxa"/>
                        <w:tcBorders>
                          <w:left w:val="nil"/>
                          <w:right w:val="nil"/>
                        </w:tcBorders>
                        <w:shd w:val="clear" w:color="auto" w:fill="FAF9F9"/>
                      </w:tcPr>
                      <w:p>
                        <w:pPr>
                          <w:pStyle w:val="TableParagraph"/>
                          <w:ind w:right="110"/>
                          <w:jc w:val="right"/>
                          <w:rPr>
                            <w:sz w:val="19"/>
                          </w:rPr>
                        </w:pPr>
                        <w:r>
                          <w:rPr>
                            <w:w w:val="95"/>
                            <w:sz w:val="19"/>
                          </w:rPr>
                          <w:t>176,431</w:t>
                        </w:r>
                      </w:p>
                    </w:tc>
                  </w:tr>
                  <w:tr>
                    <w:trPr>
                      <w:trHeight w:val="285" w:hRule="atLeast"/>
                    </w:trPr>
                    <w:tc>
                      <w:tcPr>
                        <w:tcW w:w="4209" w:type="dxa"/>
                        <w:tcBorders>
                          <w:left w:val="nil"/>
                        </w:tcBorders>
                        <w:shd w:val="clear" w:color="auto" w:fill="F4F4F4"/>
                      </w:tcPr>
                      <w:p>
                        <w:pPr>
                          <w:pStyle w:val="TableParagraph"/>
                          <w:ind w:left="113"/>
                          <w:rPr>
                            <w:sz w:val="19"/>
                          </w:rPr>
                        </w:pPr>
                        <w:r>
                          <w:rPr>
                            <w:sz w:val="19"/>
                          </w:rPr>
                          <w:t>Finance lease receivables</w:t>
                        </w:r>
                      </w:p>
                    </w:tc>
                    <w:tc>
                      <w:tcPr>
                        <w:tcW w:w="765" w:type="dxa"/>
                        <w:tcBorders>
                          <w:right w:val="nil"/>
                        </w:tcBorders>
                        <w:shd w:val="clear" w:color="auto" w:fill="F4F4F4"/>
                      </w:tcPr>
                      <w:p>
                        <w:pPr>
                          <w:pStyle w:val="TableParagraph"/>
                          <w:ind w:left="240" w:right="246"/>
                          <w:jc w:val="center"/>
                          <w:rPr>
                            <w:sz w:val="19"/>
                          </w:rPr>
                        </w:pPr>
                        <w:hyperlink w:history="true" w:anchor="_bookmark30">
                          <w:r>
                            <w:rPr>
                              <w:color w:val="6F2770"/>
                              <w:sz w:val="19"/>
                              <w:u w:val="single" w:color="6F2770"/>
                            </w:rPr>
                            <w:t>21</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409</w:t>
                        </w:r>
                      </w:p>
                    </w:tc>
                    <w:tc>
                      <w:tcPr>
                        <w:tcW w:w="1219" w:type="dxa"/>
                        <w:tcBorders>
                          <w:left w:val="nil"/>
                          <w:right w:val="nil"/>
                        </w:tcBorders>
                        <w:shd w:val="clear" w:color="auto" w:fill="F4F4F4"/>
                      </w:tcPr>
                      <w:p>
                        <w:pPr>
                          <w:pStyle w:val="TableParagraph"/>
                          <w:ind w:right="110"/>
                          <w:jc w:val="right"/>
                          <w:rPr>
                            <w:sz w:val="19"/>
                          </w:rPr>
                        </w:pPr>
                        <w:r>
                          <w:rPr>
                            <w:w w:val="95"/>
                            <w:sz w:val="19"/>
                          </w:rPr>
                          <w:t>494</w:t>
                        </w:r>
                      </w:p>
                    </w:tc>
                  </w:tr>
                  <w:tr>
                    <w:trPr>
                      <w:trHeight w:val="285" w:hRule="atLeast"/>
                    </w:trPr>
                    <w:tc>
                      <w:tcPr>
                        <w:tcW w:w="4209" w:type="dxa"/>
                        <w:tcBorders>
                          <w:left w:val="nil"/>
                        </w:tcBorders>
                        <w:shd w:val="clear" w:color="auto" w:fill="FAF9F9"/>
                      </w:tcPr>
                      <w:p>
                        <w:pPr>
                          <w:pStyle w:val="TableParagraph"/>
                          <w:ind w:left="113"/>
                          <w:rPr>
                            <w:sz w:val="19"/>
                          </w:rPr>
                        </w:pPr>
                        <w:r>
                          <w:rPr>
                            <w:sz w:val="19"/>
                          </w:rPr>
                          <w:t>Amounts receivable for services</w:t>
                        </w:r>
                      </w:p>
                    </w:tc>
                    <w:tc>
                      <w:tcPr>
                        <w:tcW w:w="765" w:type="dxa"/>
                        <w:tcBorders>
                          <w:right w:val="nil"/>
                        </w:tcBorders>
                        <w:shd w:val="clear" w:color="auto" w:fill="FAF9F9"/>
                      </w:tcPr>
                      <w:p>
                        <w:pPr>
                          <w:pStyle w:val="TableParagraph"/>
                          <w:ind w:left="240" w:right="246"/>
                          <w:jc w:val="center"/>
                          <w:rPr>
                            <w:sz w:val="19"/>
                          </w:rPr>
                        </w:pPr>
                        <w:hyperlink w:history="true" w:anchor="_bookmark31">
                          <w:r>
                            <w:rPr>
                              <w:color w:val="6F2770"/>
                              <w:sz w:val="19"/>
                              <w:u w:val="single" w:color="6F2770"/>
                            </w:rPr>
                            <w:t>22</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779</w:t>
                        </w:r>
                      </w:p>
                    </w:tc>
                    <w:tc>
                      <w:tcPr>
                        <w:tcW w:w="1219" w:type="dxa"/>
                        <w:tcBorders>
                          <w:left w:val="nil"/>
                          <w:right w:val="nil"/>
                        </w:tcBorders>
                        <w:shd w:val="clear" w:color="auto" w:fill="FAF9F9"/>
                      </w:tcPr>
                      <w:p>
                        <w:pPr>
                          <w:pStyle w:val="TableParagraph"/>
                          <w:ind w:right="110"/>
                          <w:jc w:val="right"/>
                          <w:rPr>
                            <w:sz w:val="19"/>
                          </w:rPr>
                        </w:pPr>
                        <w:r>
                          <w:rPr>
                            <w:w w:val="95"/>
                            <w:sz w:val="19"/>
                          </w:rPr>
                          <w:t>2,250</w:t>
                        </w:r>
                      </w:p>
                    </w:tc>
                  </w:tr>
                  <w:tr>
                    <w:trPr>
                      <w:trHeight w:val="285" w:hRule="atLeast"/>
                    </w:trPr>
                    <w:tc>
                      <w:tcPr>
                        <w:tcW w:w="4209" w:type="dxa"/>
                        <w:tcBorders>
                          <w:left w:val="nil"/>
                        </w:tcBorders>
                        <w:shd w:val="clear" w:color="auto" w:fill="F4F4F4"/>
                      </w:tcPr>
                      <w:p>
                        <w:pPr>
                          <w:pStyle w:val="TableParagraph"/>
                          <w:ind w:left="113"/>
                          <w:rPr>
                            <w:sz w:val="19"/>
                          </w:rPr>
                        </w:pPr>
                        <w:r>
                          <w:rPr>
                            <w:sz w:val="19"/>
                          </w:rPr>
                          <w:t>Other current assets</w:t>
                        </w:r>
                      </w:p>
                    </w:tc>
                    <w:tc>
                      <w:tcPr>
                        <w:tcW w:w="765" w:type="dxa"/>
                        <w:tcBorders>
                          <w:right w:val="nil"/>
                        </w:tcBorders>
                        <w:shd w:val="clear" w:color="auto" w:fill="F4F4F4"/>
                      </w:tcPr>
                      <w:p>
                        <w:pPr>
                          <w:pStyle w:val="TableParagraph"/>
                          <w:ind w:left="240" w:right="246"/>
                          <w:jc w:val="center"/>
                          <w:rPr>
                            <w:sz w:val="19"/>
                          </w:rPr>
                        </w:pPr>
                        <w:hyperlink w:history="true" w:anchor="_bookmark31">
                          <w:r>
                            <w:rPr>
                              <w:color w:val="6F2770"/>
                              <w:sz w:val="19"/>
                              <w:u w:val="single" w:color="6F2770"/>
                            </w:rPr>
                            <w:t>23</w:t>
                          </w:r>
                        </w:hyperlink>
                      </w:p>
                    </w:tc>
                    <w:tc>
                      <w:tcPr>
                        <w:tcW w:w="1219" w:type="dxa"/>
                        <w:tcBorders>
                          <w:top w:val="nil"/>
                          <w:left w:val="nil"/>
                          <w:bottom w:val="single" w:sz="4" w:space="0" w:color="000000"/>
                          <w:right w:val="nil"/>
                        </w:tcBorders>
                        <w:shd w:val="clear" w:color="auto" w:fill="E1E4BB"/>
                      </w:tcPr>
                      <w:p>
                        <w:pPr>
                          <w:pStyle w:val="TableParagraph"/>
                          <w:ind w:right="110"/>
                          <w:jc w:val="right"/>
                          <w:rPr>
                            <w:sz w:val="19"/>
                          </w:rPr>
                        </w:pPr>
                        <w:r>
                          <w:rPr>
                            <w:w w:val="95"/>
                            <w:sz w:val="19"/>
                          </w:rPr>
                          <w:t>29,347</w:t>
                        </w:r>
                      </w:p>
                    </w:tc>
                    <w:tc>
                      <w:tcPr>
                        <w:tcW w:w="1219" w:type="dxa"/>
                        <w:tcBorders>
                          <w:left w:val="nil"/>
                          <w:bottom w:val="single" w:sz="4" w:space="0" w:color="000000"/>
                          <w:right w:val="nil"/>
                        </w:tcBorders>
                        <w:shd w:val="clear" w:color="auto" w:fill="F4F4F4"/>
                      </w:tcPr>
                      <w:p>
                        <w:pPr>
                          <w:pStyle w:val="TableParagraph"/>
                          <w:ind w:right="110"/>
                          <w:jc w:val="right"/>
                          <w:rPr>
                            <w:sz w:val="19"/>
                          </w:rPr>
                        </w:pPr>
                        <w:r>
                          <w:rPr>
                            <w:w w:val="95"/>
                            <w:sz w:val="19"/>
                          </w:rPr>
                          <w:t>29,254</w:t>
                        </w:r>
                      </w:p>
                    </w:tc>
                  </w:tr>
                  <w:tr>
                    <w:trPr>
                      <w:trHeight w:val="285" w:hRule="atLeast"/>
                    </w:trPr>
                    <w:tc>
                      <w:tcPr>
                        <w:tcW w:w="4209" w:type="dxa"/>
                        <w:tcBorders>
                          <w:left w:val="nil"/>
                        </w:tcBorders>
                        <w:shd w:val="clear" w:color="auto" w:fill="FAF9F9"/>
                      </w:tcPr>
                      <w:p>
                        <w:pPr>
                          <w:pStyle w:val="TableParagraph"/>
                          <w:ind w:left="113"/>
                          <w:rPr>
                            <w:b/>
                            <w:sz w:val="19"/>
                          </w:rPr>
                        </w:pPr>
                        <w:r>
                          <w:rPr>
                            <w:b/>
                            <w:sz w:val="19"/>
                          </w:rPr>
                          <w:t>Total 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single" w:sz="4" w:space="0" w:color="000000"/>
                          <w:left w:val="nil"/>
                          <w:bottom w:val="single" w:sz="4" w:space="0" w:color="000000"/>
                          <w:right w:val="nil"/>
                        </w:tcBorders>
                        <w:shd w:val="clear" w:color="auto" w:fill="E1E4BB"/>
                      </w:tcPr>
                      <w:p>
                        <w:pPr>
                          <w:pStyle w:val="TableParagraph"/>
                          <w:ind w:right="110"/>
                          <w:jc w:val="right"/>
                          <w:rPr>
                            <w:b/>
                            <w:sz w:val="19"/>
                          </w:rPr>
                        </w:pPr>
                        <w:r>
                          <w:rPr>
                            <w:b/>
                            <w:w w:val="95"/>
                            <w:sz w:val="19"/>
                          </w:rPr>
                          <w:t>239,812</w:t>
                        </w:r>
                      </w:p>
                    </w:tc>
                    <w:tc>
                      <w:tcPr>
                        <w:tcW w:w="1219" w:type="dxa"/>
                        <w:tcBorders>
                          <w:top w:val="single" w:sz="4" w:space="0" w:color="000000"/>
                          <w:left w:val="nil"/>
                          <w:bottom w:val="single" w:sz="4" w:space="0" w:color="000000"/>
                          <w:right w:val="nil"/>
                        </w:tcBorders>
                        <w:shd w:val="clear" w:color="auto" w:fill="FAF9F9"/>
                      </w:tcPr>
                      <w:p>
                        <w:pPr>
                          <w:pStyle w:val="TableParagraph"/>
                          <w:ind w:right="110"/>
                          <w:jc w:val="right"/>
                          <w:rPr>
                            <w:b/>
                            <w:sz w:val="19"/>
                          </w:rPr>
                        </w:pPr>
                        <w:r>
                          <w:rPr>
                            <w:b/>
                            <w:w w:val="95"/>
                            <w:sz w:val="19"/>
                          </w:rPr>
                          <w:t>282,218</w:t>
                        </w:r>
                      </w:p>
                    </w:tc>
                  </w:tr>
                  <w:tr>
                    <w:trPr>
                      <w:trHeight w:val="285" w:hRule="atLeast"/>
                    </w:trPr>
                    <w:tc>
                      <w:tcPr>
                        <w:tcW w:w="4209" w:type="dxa"/>
                        <w:tcBorders>
                          <w:left w:val="nil"/>
                        </w:tcBorders>
                        <w:shd w:val="clear" w:color="auto" w:fill="F4F4F4"/>
                      </w:tcPr>
                      <w:p>
                        <w:pPr>
                          <w:pStyle w:val="TableParagraph"/>
                          <w:spacing w:before="0"/>
                          <w:rPr>
                            <w:rFonts w:ascii="Times New Roman"/>
                            <w:sz w:val="18"/>
                          </w:rPr>
                        </w:pPr>
                      </w:p>
                    </w:tc>
                    <w:tc>
                      <w:tcPr>
                        <w:tcW w:w="765" w:type="dxa"/>
                        <w:tcBorders>
                          <w:right w:val="nil"/>
                        </w:tcBorders>
                        <w:shd w:val="clear" w:color="auto" w:fill="F4F4F4"/>
                      </w:tcPr>
                      <w:p>
                        <w:pPr>
                          <w:pStyle w:val="TableParagraph"/>
                          <w:spacing w:before="0"/>
                          <w:rPr>
                            <w:rFonts w:ascii="Times New Roman"/>
                            <w:sz w:val="18"/>
                          </w:rPr>
                        </w:pPr>
                      </w:p>
                    </w:tc>
                    <w:tc>
                      <w:tcPr>
                        <w:tcW w:w="1219" w:type="dxa"/>
                        <w:tcBorders>
                          <w:top w:val="single" w:sz="4" w:space="0" w:color="000000"/>
                          <w:left w:val="nil"/>
                          <w:bottom w:val="nil"/>
                          <w:right w:val="nil"/>
                        </w:tcBorders>
                        <w:shd w:val="clear" w:color="auto" w:fill="DFE1B8"/>
                      </w:tcPr>
                      <w:p>
                        <w:pPr>
                          <w:pStyle w:val="TableParagraph"/>
                          <w:spacing w:before="0"/>
                          <w:rPr>
                            <w:rFonts w:ascii="Times New Roman"/>
                            <w:sz w:val="18"/>
                          </w:rPr>
                        </w:pPr>
                      </w:p>
                    </w:tc>
                    <w:tc>
                      <w:tcPr>
                        <w:tcW w:w="1219" w:type="dxa"/>
                        <w:tcBorders>
                          <w:top w:val="single" w:sz="4" w:space="0" w:color="000000"/>
                          <w:left w:val="nil"/>
                          <w:right w:val="nil"/>
                        </w:tcBorders>
                        <w:shd w:val="clear" w:color="auto" w:fill="F4F4F4"/>
                      </w:tcPr>
                      <w:p>
                        <w:pPr>
                          <w:pStyle w:val="TableParagraph"/>
                          <w:spacing w:before="0"/>
                          <w:rPr>
                            <w:rFonts w:ascii="Times New Roman"/>
                            <w:sz w:val="18"/>
                          </w:rPr>
                        </w:pPr>
                      </w:p>
                    </w:tc>
                  </w:tr>
                  <w:tr>
                    <w:trPr>
                      <w:trHeight w:val="285" w:hRule="atLeast"/>
                    </w:trPr>
                    <w:tc>
                      <w:tcPr>
                        <w:tcW w:w="4209" w:type="dxa"/>
                        <w:tcBorders>
                          <w:left w:val="nil"/>
                        </w:tcBorders>
                        <w:shd w:val="clear" w:color="auto" w:fill="FAF9F9"/>
                      </w:tcPr>
                      <w:p>
                        <w:pPr>
                          <w:pStyle w:val="TableParagraph"/>
                          <w:ind w:left="113"/>
                          <w:rPr>
                            <w:i/>
                            <w:sz w:val="19"/>
                          </w:rPr>
                        </w:pPr>
                        <w:r>
                          <w:rPr>
                            <w:i/>
                            <w:color w:val="6F2770"/>
                            <w:sz w:val="19"/>
                          </w:rPr>
                          <w:t>Non-current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nil"/>
                          <w:left w:val="nil"/>
                          <w:bottom w:val="nil"/>
                          <w:right w:val="nil"/>
                        </w:tcBorders>
                        <w:shd w:val="clear" w:color="auto" w:fill="DFE1B8"/>
                      </w:tcPr>
                      <w:p>
                        <w:pPr>
                          <w:pStyle w:val="TableParagraph"/>
                          <w:spacing w:before="0"/>
                          <w:rPr>
                            <w:rFonts w:ascii="Times New Roman"/>
                            <w:sz w:val="18"/>
                          </w:rPr>
                        </w:pPr>
                      </w:p>
                    </w:tc>
                    <w:tc>
                      <w:tcPr>
                        <w:tcW w:w="1219" w:type="dxa"/>
                        <w:tcBorders>
                          <w:left w:val="nil"/>
                          <w:right w:val="nil"/>
                        </w:tcBorders>
                        <w:shd w:val="clear" w:color="auto" w:fill="FAF9F9"/>
                      </w:tcPr>
                      <w:p>
                        <w:pPr>
                          <w:pStyle w:val="TableParagraph"/>
                          <w:spacing w:before="0"/>
                          <w:rPr>
                            <w:rFonts w:ascii="Times New Roman"/>
                            <w:sz w:val="18"/>
                          </w:rPr>
                        </w:pPr>
                      </w:p>
                    </w:tc>
                  </w:tr>
                  <w:tr>
                    <w:trPr>
                      <w:trHeight w:val="285" w:hRule="atLeast"/>
                    </w:trPr>
                    <w:tc>
                      <w:tcPr>
                        <w:tcW w:w="4209" w:type="dxa"/>
                        <w:tcBorders>
                          <w:left w:val="nil"/>
                        </w:tcBorders>
                        <w:shd w:val="clear" w:color="auto" w:fill="F4F4F4"/>
                      </w:tcPr>
                      <w:p>
                        <w:pPr>
                          <w:pStyle w:val="TableParagraph"/>
                          <w:ind w:left="113"/>
                          <w:rPr>
                            <w:sz w:val="19"/>
                          </w:rPr>
                        </w:pPr>
                        <w:r>
                          <w:rPr>
                            <w:sz w:val="19"/>
                          </w:rPr>
                          <w:t>Restricted cash and cash equivalents</w:t>
                        </w:r>
                      </w:p>
                    </w:tc>
                    <w:tc>
                      <w:tcPr>
                        <w:tcW w:w="765" w:type="dxa"/>
                        <w:tcBorders>
                          <w:right w:val="nil"/>
                        </w:tcBorders>
                        <w:shd w:val="clear" w:color="auto" w:fill="F4F4F4"/>
                      </w:tcPr>
                      <w:p>
                        <w:pPr>
                          <w:pStyle w:val="TableParagraph"/>
                          <w:ind w:left="240" w:right="246"/>
                          <w:jc w:val="center"/>
                          <w:rPr>
                            <w:sz w:val="19"/>
                          </w:rPr>
                        </w:pPr>
                        <w:hyperlink w:history="true" w:anchor="_bookmark30">
                          <w:r>
                            <w:rPr>
                              <w:color w:val="6F2770"/>
                              <w:sz w:val="19"/>
                              <w:u w:val="single" w:color="6F2770"/>
                            </w:rPr>
                            <w:t>19</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734</w:t>
                        </w:r>
                      </w:p>
                    </w:tc>
                    <w:tc>
                      <w:tcPr>
                        <w:tcW w:w="1219" w:type="dxa"/>
                        <w:tcBorders>
                          <w:left w:val="nil"/>
                          <w:right w:val="nil"/>
                        </w:tcBorders>
                        <w:shd w:val="clear" w:color="auto" w:fill="F4F4F4"/>
                      </w:tcPr>
                      <w:p>
                        <w:pPr>
                          <w:pStyle w:val="TableParagraph"/>
                          <w:ind w:right="110"/>
                          <w:jc w:val="right"/>
                          <w:rPr>
                            <w:sz w:val="19"/>
                          </w:rPr>
                        </w:pPr>
                        <w:r>
                          <w:rPr>
                            <w:w w:val="95"/>
                            <w:sz w:val="19"/>
                          </w:rPr>
                          <w:t>398</w:t>
                        </w:r>
                      </w:p>
                    </w:tc>
                  </w:tr>
                  <w:tr>
                    <w:trPr>
                      <w:trHeight w:val="285" w:hRule="atLeast"/>
                    </w:trPr>
                    <w:tc>
                      <w:tcPr>
                        <w:tcW w:w="4209" w:type="dxa"/>
                        <w:tcBorders>
                          <w:left w:val="nil"/>
                        </w:tcBorders>
                        <w:shd w:val="clear" w:color="auto" w:fill="FAF9F9"/>
                      </w:tcPr>
                      <w:p>
                        <w:pPr>
                          <w:pStyle w:val="TableParagraph"/>
                          <w:ind w:left="113"/>
                          <w:rPr>
                            <w:sz w:val="19"/>
                          </w:rPr>
                        </w:pPr>
                        <w:r>
                          <w:rPr>
                            <w:sz w:val="19"/>
                          </w:rPr>
                          <w:t>Receivables</w:t>
                        </w:r>
                      </w:p>
                    </w:tc>
                    <w:tc>
                      <w:tcPr>
                        <w:tcW w:w="765" w:type="dxa"/>
                        <w:tcBorders>
                          <w:right w:val="nil"/>
                        </w:tcBorders>
                        <w:shd w:val="clear" w:color="auto" w:fill="FAF9F9"/>
                      </w:tcPr>
                      <w:p>
                        <w:pPr>
                          <w:pStyle w:val="TableParagraph"/>
                          <w:ind w:left="240" w:right="246"/>
                          <w:jc w:val="center"/>
                          <w:rPr>
                            <w:sz w:val="19"/>
                          </w:rPr>
                        </w:pPr>
                        <w:hyperlink w:history="true" w:anchor="_bookmark30">
                          <w:r>
                            <w:rPr>
                              <w:color w:val="6F2770"/>
                              <w:sz w:val="19"/>
                              <w:u w:val="single" w:color="6F2770"/>
                            </w:rPr>
                            <w:t>20</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535</w:t>
                        </w:r>
                      </w:p>
                    </w:tc>
                    <w:tc>
                      <w:tcPr>
                        <w:tcW w:w="1219" w:type="dxa"/>
                        <w:tcBorders>
                          <w:left w:val="nil"/>
                          <w:right w:val="nil"/>
                        </w:tcBorders>
                        <w:shd w:val="clear" w:color="auto" w:fill="FAF9F9"/>
                      </w:tcPr>
                      <w:p>
                        <w:pPr>
                          <w:pStyle w:val="TableParagraph"/>
                          <w:ind w:right="110"/>
                          <w:jc w:val="right"/>
                          <w:rPr>
                            <w:sz w:val="19"/>
                          </w:rPr>
                        </w:pPr>
                        <w:r>
                          <w:rPr>
                            <w:w w:val="95"/>
                            <w:sz w:val="19"/>
                          </w:rPr>
                          <w:t>1,948</w:t>
                        </w:r>
                      </w:p>
                    </w:tc>
                  </w:tr>
                  <w:tr>
                    <w:trPr>
                      <w:trHeight w:val="285" w:hRule="atLeast"/>
                    </w:trPr>
                    <w:tc>
                      <w:tcPr>
                        <w:tcW w:w="4209" w:type="dxa"/>
                        <w:tcBorders>
                          <w:left w:val="nil"/>
                        </w:tcBorders>
                        <w:shd w:val="clear" w:color="auto" w:fill="F4F4F4"/>
                      </w:tcPr>
                      <w:p>
                        <w:pPr>
                          <w:pStyle w:val="TableParagraph"/>
                          <w:ind w:left="113"/>
                          <w:rPr>
                            <w:sz w:val="19"/>
                          </w:rPr>
                        </w:pPr>
                        <w:r>
                          <w:rPr>
                            <w:sz w:val="19"/>
                          </w:rPr>
                          <w:t>Finance lease receivables</w:t>
                        </w:r>
                      </w:p>
                    </w:tc>
                    <w:tc>
                      <w:tcPr>
                        <w:tcW w:w="765" w:type="dxa"/>
                        <w:tcBorders>
                          <w:right w:val="nil"/>
                        </w:tcBorders>
                        <w:shd w:val="clear" w:color="auto" w:fill="F4F4F4"/>
                      </w:tcPr>
                      <w:p>
                        <w:pPr>
                          <w:pStyle w:val="TableParagraph"/>
                          <w:ind w:left="240" w:right="246"/>
                          <w:jc w:val="center"/>
                          <w:rPr>
                            <w:sz w:val="19"/>
                          </w:rPr>
                        </w:pPr>
                        <w:hyperlink w:history="true" w:anchor="_bookmark30">
                          <w:r>
                            <w:rPr>
                              <w:color w:val="6F2770"/>
                              <w:sz w:val="19"/>
                              <w:u w:val="single" w:color="6F2770"/>
                            </w:rPr>
                            <w:t>21</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248</w:t>
                        </w:r>
                      </w:p>
                    </w:tc>
                    <w:tc>
                      <w:tcPr>
                        <w:tcW w:w="1219" w:type="dxa"/>
                        <w:tcBorders>
                          <w:left w:val="nil"/>
                          <w:right w:val="nil"/>
                        </w:tcBorders>
                        <w:shd w:val="clear" w:color="auto" w:fill="F4F4F4"/>
                      </w:tcPr>
                      <w:p>
                        <w:pPr>
                          <w:pStyle w:val="TableParagraph"/>
                          <w:ind w:right="110"/>
                          <w:jc w:val="right"/>
                          <w:rPr>
                            <w:sz w:val="19"/>
                          </w:rPr>
                        </w:pPr>
                        <w:r>
                          <w:rPr>
                            <w:w w:val="95"/>
                            <w:sz w:val="19"/>
                          </w:rPr>
                          <w:t>597</w:t>
                        </w:r>
                      </w:p>
                    </w:tc>
                  </w:tr>
                  <w:tr>
                    <w:trPr>
                      <w:trHeight w:val="285" w:hRule="atLeast"/>
                    </w:trPr>
                    <w:tc>
                      <w:tcPr>
                        <w:tcW w:w="4209" w:type="dxa"/>
                        <w:tcBorders>
                          <w:left w:val="nil"/>
                        </w:tcBorders>
                        <w:shd w:val="clear" w:color="auto" w:fill="FAF9F9"/>
                      </w:tcPr>
                      <w:p>
                        <w:pPr>
                          <w:pStyle w:val="TableParagraph"/>
                          <w:ind w:left="113"/>
                          <w:rPr>
                            <w:sz w:val="19"/>
                          </w:rPr>
                        </w:pPr>
                        <w:r>
                          <w:rPr>
                            <w:sz w:val="19"/>
                          </w:rPr>
                          <w:t>Amounts receivable for services</w:t>
                        </w:r>
                      </w:p>
                    </w:tc>
                    <w:tc>
                      <w:tcPr>
                        <w:tcW w:w="765" w:type="dxa"/>
                        <w:tcBorders>
                          <w:right w:val="nil"/>
                        </w:tcBorders>
                        <w:shd w:val="clear" w:color="auto" w:fill="FAF9F9"/>
                      </w:tcPr>
                      <w:p>
                        <w:pPr>
                          <w:pStyle w:val="TableParagraph"/>
                          <w:ind w:left="240" w:right="246"/>
                          <w:jc w:val="center"/>
                          <w:rPr>
                            <w:sz w:val="19"/>
                          </w:rPr>
                        </w:pPr>
                        <w:hyperlink w:history="true" w:anchor="_bookmark31">
                          <w:r>
                            <w:rPr>
                              <w:color w:val="6F2770"/>
                              <w:sz w:val="19"/>
                              <w:u w:val="single" w:color="6F2770"/>
                            </w:rPr>
                            <w:t>22</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523,084</w:t>
                        </w:r>
                      </w:p>
                    </w:tc>
                    <w:tc>
                      <w:tcPr>
                        <w:tcW w:w="1219" w:type="dxa"/>
                        <w:tcBorders>
                          <w:left w:val="nil"/>
                          <w:right w:val="nil"/>
                        </w:tcBorders>
                        <w:shd w:val="clear" w:color="auto" w:fill="FAF9F9"/>
                      </w:tcPr>
                      <w:p>
                        <w:pPr>
                          <w:pStyle w:val="TableParagraph"/>
                          <w:ind w:right="110"/>
                          <w:jc w:val="right"/>
                          <w:rPr>
                            <w:sz w:val="19"/>
                          </w:rPr>
                        </w:pPr>
                        <w:r>
                          <w:rPr>
                            <w:w w:val="95"/>
                            <w:sz w:val="19"/>
                          </w:rPr>
                          <w:t>461,896</w:t>
                        </w:r>
                      </w:p>
                    </w:tc>
                  </w:tr>
                  <w:tr>
                    <w:trPr>
                      <w:trHeight w:val="285" w:hRule="atLeast"/>
                    </w:trPr>
                    <w:tc>
                      <w:tcPr>
                        <w:tcW w:w="4209" w:type="dxa"/>
                        <w:tcBorders>
                          <w:left w:val="nil"/>
                        </w:tcBorders>
                        <w:shd w:val="clear" w:color="auto" w:fill="F4F4F4"/>
                      </w:tcPr>
                      <w:p>
                        <w:pPr>
                          <w:pStyle w:val="TableParagraph"/>
                          <w:ind w:left="113"/>
                          <w:rPr>
                            <w:sz w:val="19"/>
                          </w:rPr>
                        </w:pPr>
                        <w:r>
                          <w:rPr>
                            <w:sz w:val="19"/>
                          </w:rPr>
                          <w:t>Property, plant, equipment and vehicles</w:t>
                        </w:r>
                      </w:p>
                    </w:tc>
                    <w:tc>
                      <w:tcPr>
                        <w:tcW w:w="765" w:type="dxa"/>
                        <w:tcBorders>
                          <w:right w:val="nil"/>
                        </w:tcBorders>
                        <w:shd w:val="clear" w:color="auto" w:fill="F4F4F4"/>
                      </w:tcPr>
                      <w:p>
                        <w:pPr>
                          <w:pStyle w:val="TableParagraph"/>
                          <w:ind w:left="240" w:right="246"/>
                          <w:jc w:val="center"/>
                          <w:rPr>
                            <w:sz w:val="19"/>
                          </w:rPr>
                        </w:pPr>
                        <w:hyperlink w:history="true" w:anchor="_bookmark31">
                          <w:r>
                            <w:rPr>
                              <w:color w:val="6F2770"/>
                              <w:sz w:val="19"/>
                              <w:u w:val="single" w:color="6F2770"/>
                            </w:rPr>
                            <w:t>24</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687,094</w:t>
                        </w:r>
                      </w:p>
                    </w:tc>
                    <w:tc>
                      <w:tcPr>
                        <w:tcW w:w="1219" w:type="dxa"/>
                        <w:tcBorders>
                          <w:left w:val="nil"/>
                          <w:right w:val="nil"/>
                        </w:tcBorders>
                        <w:shd w:val="clear" w:color="auto" w:fill="F4F4F4"/>
                      </w:tcPr>
                      <w:p>
                        <w:pPr>
                          <w:pStyle w:val="TableParagraph"/>
                          <w:ind w:right="110"/>
                          <w:jc w:val="right"/>
                          <w:rPr>
                            <w:sz w:val="19"/>
                          </w:rPr>
                        </w:pPr>
                        <w:r>
                          <w:rPr>
                            <w:w w:val="95"/>
                            <w:sz w:val="19"/>
                          </w:rPr>
                          <w:t>720,374</w:t>
                        </w:r>
                      </w:p>
                    </w:tc>
                  </w:tr>
                  <w:tr>
                    <w:trPr>
                      <w:trHeight w:val="285" w:hRule="atLeast"/>
                    </w:trPr>
                    <w:tc>
                      <w:tcPr>
                        <w:tcW w:w="4209" w:type="dxa"/>
                        <w:tcBorders>
                          <w:left w:val="nil"/>
                        </w:tcBorders>
                        <w:shd w:val="clear" w:color="auto" w:fill="FAF9F9"/>
                      </w:tcPr>
                      <w:p>
                        <w:pPr>
                          <w:pStyle w:val="TableParagraph"/>
                          <w:ind w:left="113"/>
                          <w:rPr>
                            <w:sz w:val="19"/>
                          </w:rPr>
                        </w:pPr>
                        <w:r>
                          <w:rPr>
                            <w:sz w:val="19"/>
                          </w:rPr>
                          <w:t>Intangible assets</w:t>
                        </w:r>
                      </w:p>
                    </w:tc>
                    <w:tc>
                      <w:tcPr>
                        <w:tcW w:w="765" w:type="dxa"/>
                        <w:tcBorders>
                          <w:right w:val="nil"/>
                        </w:tcBorders>
                        <w:shd w:val="clear" w:color="auto" w:fill="FAF9F9"/>
                      </w:tcPr>
                      <w:p>
                        <w:pPr>
                          <w:pStyle w:val="TableParagraph"/>
                          <w:ind w:left="240" w:right="246"/>
                          <w:jc w:val="center"/>
                          <w:rPr>
                            <w:sz w:val="19"/>
                          </w:rPr>
                        </w:pPr>
                        <w:hyperlink w:history="true" w:anchor="_bookmark32">
                          <w:r>
                            <w:rPr>
                              <w:color w:val="6F2770"/>
                              <w:sz w:val="19"/>
                              <w:u w:val="single" w:color="6F2770"/>
                            </w:rPr>
                            <w:t>26</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34,463</w:t>
                        </w:r>
                      </w:p>
                    </w:tc>
                    <w:tc>
                      <w:tcPr>
                        <w:tcW w:w="1219" w:type="dxa"/>
                        <w:tcBorders>
                          <w:left w:val="nil"/>
                          <w:right w:val="nil"/>
                        </w:tcBorders>
                        <w:shd w:val="clear" w:color="auto" w:fill="FAF9F9"/>
                      </w:tcPr>
                      <w:p>
                        <w:pPr>
                          <w:pStyle w:val="TableParagraph"/>
                          <w:ind w:right="110"/>
                          <w:jc w:val="right"/>
                          <w:rPr>
                            <w:sz w:val="19"/>
                          </w:rPr>
                        </w:pPr>
                        <w:r>
                          <w:rPr>
                            <w:w w:val="95"/>
                            <w:sz w:val="19"/>
                          </w:rPr>
                          <w:t>31,805</w:t>
                        </w:r>
                      </w:p>
                    </w:tc>
                  </w:tr>
                  <w:tr>
                    <w:trPr>
                      <w:trHeight w:val="285" w:hRule="atLeast"/>
                    </w:trPr>
                    <w:tc>
                      <w:tcPr>
                        <w:tcW w:w="4209" w:type="dxa"/>
                        <w:tcBorders>
                          <w:left w:val="nil"/>
                        </w:tcBorders>
                        <w:shd w:val="clear" w:color="auto" w:fill="F4F4F4"/>
                      </w:tcPr>
                      <w:p>
                        <w:pPr>
                          <w:pStyle w:val="TableParagraph"/>
                          <w:ind w:left="113"/>
                          <w:rPr>
                            <w:sz w:val="19"/>
                          </w:rPr>
                        </w:pPr>
                        <w:r>
                          <w:rPr>
                            <w:sz w:val="19"/>
                          </w:rPr>
                          <w:t>Other non-current assets</w:t>
                        </w:r>
                      </w:p>
                    </w:tc>
                    <w:tc>
                      <w:tcPr>
                        <w:tcW w:w="765" w:type="dxa"/>
                        <w:tcBorders>
                          <w:right w:val="nil"/>
                        </w:tcBorders>
                        <w:shd w:val="clear" w:color="auto" w:fill="F4F4F4"/>
                      </w:tcPr>
                      <w:p>
                        <w:pPr>
                          <w:pStyle w:val="TableParagraph"/>
                          <w:ind w:left="240" w:right="246"/>
                          <w:jc w:val="center"/>
                          <w:rPr>
                            <w:sz w:val="19"/>
                          </w:rPr>
                        </w:pPr>
                        <w:hyperlink w:history="true" w:anchor="_bookmark31">
                          <w:r>
                            <w:rPr>
                              <w:color w:val="6F2770"/>
                              <w:sz w:val="19"/>
                              <w:u w:val="single" w:color="6F2770"/>
                            </w:rPr>
                            <w:t>23</w:t>
                          </w:r>
                        </w:hyperlink>
                      </w:p>
                    </w:tc>
                    <w:tc>
                      <w:tcPr>
                        <w:tcW w:w="1219" w:type="dxa"/>
                        <w:tcBorders>
                          <w:top w:val="nil"/>
                          <w:left w:val="nil"/>
                          <w:bottom w:val="single" w:sz="4" w:space="0" w:color="000000"/>
                          <w:right w:val="nil"/>
                        </w:tcBorders>
                        <w:shd w:val="clear" w:color="auto" w:fill="DFE1B8"/>
                      </w:tcPr>
                      <w:p>
                        <w:pPr>
                          <w:pStyle w:val="TableParagraph"/>
                          <w:ind w:right="110"/>
                          <w:jc w:val="right"/>
                          <w:rPr>
                            <w:sz w:val="19"/>
                          </w:rPr>
                        </w:pPr>
                        <w:r>
                          <w:rPr>
                            <w:w w:val="95"/>
                            <w:sz w:val="19"/>
                          </w:rPr>
                          <w:t>4,307</w:t>
                        </w:r>
                      </w:p>
                    </w:tc>
                    <w:tc>
                      <w:tcPr>
                        <w:tcW w:w="1219" w:type="dxa"/>
                        <w:tcBorders>
                          <w:left w:val="nil"/>
                          <w:bottom w:val="single" w:sz="4" w:space="0" w:color="000000"/>
                          <w:right w:val="nil"/>
                        </w:tcBorders>
                        <w:shd w:val="clear" w:color="auto" w:fill="F4F4F4"/>
                      </w:tcPr>
                      <w:p>
                        <w:pPr>
                          <w:pStyle w:val="TableParagraph"/>
                          <w:ind w:right="110"/>
                          <w:jc w:val="right"/>
                          <w:rPr>
                            <w:sz w:val="19"/>
                          </w:rPr>
                        </w:pPr>
                        <w:r>
                          <w:rPr>
                            <w:w w:val="95"/>
                            <w:sz w:val="19"/>
                          </w:rPr>
                          <w:t>6,440</w:t>
                        </w:r>
                      </w:p>
                    </w:tc>
                  </w:tr>
                  <w:tr>
                    <w:trPr>
                      <w:trHeight w:val="285" w:hRule="atLeast"/>
                    </w:trPr>
                    <w:tc>
                      <w:tcPr>
                        <w:tcW w:w="4209" w:type="dxa"/>
                        <w:tcBorders>
                          <w:left w:val="nil"/>
                        </w:tcBorders>
                        <w:shd w:val="clear" w:color="auto" w:fill="FAF9F9"/>
                      </w:tcPr>
                      <w:p>
                        <w:pPr>
                          <w:pStyle w:val="TableParagraph"/>
                          <w:ind w:left="113"/>
                          <w:rPr>
                            <w:b/>
                            <w:sz w:val="19"/>
                          </w:rPr>
                        </w:pPr>
                        <w:r>
                          <w:rPr>
                            <w:b/>
                            <w:sz w:val="19"/>
                          </w:rPr>
                          <w:t>Total non-current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single" w:sz="4" w:space="0" w:color="000000"/>
                          <w:left w:val="nil"/>
                          <w:bottom w:val="single" w:sz="4" w:space="0" w:color="000000"/>
                          <w:right w:val="nil"/>
                        </w:tcBorders>
                        <w:shd w:val="clear" w:color="auto" w:fill="E1E4BB"/>
                      </w:tcPr>
                      <w:p>
                        <w:pPr>
                          <w:pStyle w:val="TableParagraph"/>
                          <w:ind w:right="110"/>
                          <w:jc w:val="right"/>
                          <w:rPr>
                            <w:b/>
                            <w:sz w:val="19"/>
                          </w:rPr>
                        </w:pPr>
                        <w:r>
                          <w:rPr>
                            <w:b/>
                            <w:w w:val="95"/>
                            <w:sz w:val="19"/>
                          </w:rPr>
                          <w:t>1,250,465</w:t>
                        </w:r>
                      </w:p>
                    </w:tc>
                    <w:tc>
                      <w:tcPr>
                        <w:tcW w:w="1219" w:type="dxa"/>
                        <w:tcBorders>
                          <w:top w:val="single" w:sz="4" w:space="0" w:color="000000"/>
                          <w:left w:val="nil"/>
                          <w:bottom w:val="single" w:sz="4" w:space="0" w:color="000000"/>
                          <w:right w:val="nil"/>
                        </w:tcBorders>
                        <w:shd w:val="clear" w:color="auto" w:fill="FAF9F9"/>
                      </w:tcPr>
                      <w:p>
                        <w:pPr>
                          <w:pStyle w:val="TableParagraph"/>
                          <w:ind w:right="110"/>
                          <w:jc w:val="right"/>
                          <w:rPr>
                            <w:b/>
                            <w:sz w:val="19"/>
                          </w:rPr>
                        </w:pPr>
                        <w:r>
                          <w:rPr>
                            <w:b/>
                            <w:w w:val="95"/>
                            <w:sz w:val="19"/>
                          </w:rPr>
                          <w:t>1,223,458</w:t>
                        </w:r>
                      </w:p>
                    </w:tc>
                  </w:tr>
                  <w:tr>
                    <w:trPr>
                      <w:trHeight w:val="265" w:hRule="atLeast"/>
                    </w:trPr>
                    <w:tc>
                      <w:tcPr>
                        <w:tcW w:w="4209" w:type="dxa"/>
                        <w:tcBorders>
                          <w:left w:val="nil"/>
                        </w:tcBorders>
                        <w:shd w:val="clear" w:color="auto" w:fill="F4F4F4"/>
                      </w:tcPr>
                      <w:p>
                        <w:pPr>
                          <w:pStyle w:val="TableParagraph"/>
                          <w:spacing w:line="213" w:lineRule="exact"/>
                          <w:ind w:left="113"/>
                          <w:rPr>
                            <w:b/>
                            <w:sz w:val="19"/>
                          </w:rPr>
                        </w:pPr>
                        <w:r>
                          <w:rPr>
                            <w:b/>
                            <w:sz w:val="19"/>
                          </w:rPr>
                          <w:t>TOTAL ASSETS</w:t>
                        </w:r>
                      </w:p>
                    </w:tc>
                    <w:tc>
                      <w:tcPr>
                        <w:tcW w:w="765" w:type="dxa"/>
                        <w:tcBorders>
                          <w:right w:val="nil"/>
                        </w:tcBorders>
                        <w:shd w:val="clear" w:color="auto" w:fill="F4F4F4"/>
                      </w:tcPr>
                      <w:p>
                        <w:pPr>
                          <w:pStyle w:val="TableParagraph"/>
                          <w:spacing w:before="0"/>
                          <w:rPr>
                            <w:rFonts w:ascii="Times New Roman"/>
                            <w:sz w:val="18"/>
                          </w:rPr>
                        </w:pPr>
                      </w:p>
                    </w:tc>
                    <w:tc>
                      <w:tcPr>
                        <w:tcW w:w="1219" w:type="dxa"/>
                        <w:tcBorders>
                          <w:top w:val="single" w:sz="4" w:space="0" w:color="000000"/>
                          <w:left w:val="nil"/>
                          <w:bottom w:val="single" w:sz="24" w:space="0" w:color="FFFFFF"/>
                          <w:right w:val="nil"/>
                        </w:tcBorders>
                        <w:shd w:val="clear" w:color="auto" w:fill="DFE1B8"/>
                      </w:tcPr>
                      <w:p>
                        <w:pPr>
                          <w:pStyle w:val="TableParagraph"/>
                          <w:spacing w:line="213" w:lineRule="exact"/>
                          <w:ind w:right="110"/>
                          <w:jc w:val="right"/>
                          <w:rPr>
                            <w:b/>
                            <w:sz w:val="19"/>
                          </w:rPr>
                        </w:pPr>
                        <w:r>
                          <w:rPr>
                            <w:b/>
                            <w:w w:val="95"/>
                            <w:sz w:val="19"/>
                          </w:rPr>
                          <w:t>1,490,277</w:t>
                        </w:r>
                      </w:p>
                    </w:tc>
                    <w:tc>
                      <w:tcPr>
                        <w:tcW w:w="1219" w:type="dxa"/>
                        <w:tcBorders>
                          <w:top w:val="single" w:sz="4" w:space="0" w:color="000000"/>
                          <w:left w:val="nil"/>
                          <w:bottom w:val="single" w:sz="24" w:space="0" w:color="FFFFFF"/>
                          <w:right w:val="nil"/>
                        </w:tcBorders>
                        <w:shd w:val="clear" w:color="auto" w:fill="F4F4F4"/>
                      </w:tcPr>
                      <w:p>
                        <w:pPr>
                          <w:pStyle w:val="TableParagraph"/>
                          <w:spacing w:line="213" w:lineRule="exact"/>
                          <w:ind w:right="110"/>
                          <w:jc w:val="right"/>
                          <w:rPr>
                            <w:b/>
                            <w:sz w:val="19"/>
                          </w:rPr>
                        </w:pPr>
                        <w:r>
                          <w:rPr>
                            <w:b/>
                            <w:w w:val="95"/>
                            <w:sz w:val="19"/>
                          </w:rPr>
                          <w:t>1,505,676</w:t>
                        </w:r>
                      </w:p>
                    </w:tc>
                  </w:tr>
                </w:tbl>
                <w:p>
                  <w:pPr>
                    <w:pStyle w:val="BodyText"/>
                  </w:pPr>
                </w:p>
              </w:txbxContent>
            </v:textbox>
            <w10:wrap type="none"/>
          </v:shape>
        </w:pict>
      </w:r>
      <w:r>
        <w:rPr>
          <w:b/>
          <w:w w:val="95"/>
          <w:sz w:val="19"/>
        </w:rPr>
        <w:t>$000</w:t>
      </w:r>
    </w:p>
    <w:p>
      <w:pPr>
        <w:spacing w:before="87"/>
        <w:ind w:left="756" w:right="0" w:firstLine="0"/>
        <w:jc w:val="left"/>
        <w:rPr>
          <w:b/>
          <w:sz w:val="19"/>
        </w:rPr>
      </w:pPr>
      <w:r>
        <w:rPr/>
        <w:br w:type="column"/>
      </w:r>
      <w:r>
        <w:rPr>
          <w:b/>
          <w:sz w:val="19"/>
        </w:rPr>
        <w:t>2017</w:t>
      </w:r>
    </w:p>
    <w:p>
      <w:pPr>
        <w:spacing w:before="9"/>
        <w:ind w:left="756" w:right="0" w:firstLine="0"/>
        <w:jc w:val="left"/>
        <w:rPr>
          <w:b/>
          <w:sz w:val="19"/>
        </w:rPr>
      </w:pPr>
      <w:r>
        <w:rPr>
          <w:b/>
          <w:sz w:val="19"/>
        </w:rPr>
        <w:t>$000</w:t>
      </w:r>
    </w:p>
    <w:p>
      <w:pPr>
        <w:tabs>
          <w:tab w:pos="1704" w:val="right" w:leader="none"/>
        </w:tabs>
        <w:spacing w:before="87"/>
        <w:ind w:left="0" w:right="0" w:firstLine="0"/>
        <w:jc w:val="right"/>
        <w:rPr>
          <w:b/>
          <w:sz w:val="19"/>
        </w:rPr>
      </w:pPr>
      <w:r>
        <w:rPr/>
        <w:br w:type="column"/>
      </w:r>
      <w:r>
        <w:rPr>
          <w:b/>
          <w:sz w:val="19"/>
        </w:rPr>
        <w:t>Note</w:t>
        <w:tab/>
        <w:t>2018</w:t>
      </w:r>
    </w:p>
    <w:p>
      <w:pPr>
        <w:spacing w:before="9"/>
        <w:ind w:left="0" w:right="0" w:firstLine="0"/>
        <w:jc w:val="right"/>
        <w:rPr>
          <w:b/>
          <w:sz w:val="19"/>
        </w:rPr>
      </w:pPr>
      <w:r>
        <w:rPr/>
        <w:pict>
          <v:line style="position:absolute;mso-position-horizontal-relative:page;mso-position-vertical-relative:paragraph;z-index:10000" from="642.29718pt,74.764291pt" to="642.29718pt,60.477291pt" stroked="true" strokeweight="1pt" strokecolor="#ffffff">
            <v:stroke dashstyle="solid"/>
            <w10:wrap type="none"/>
          </v:line>
        </w:pict>
      </w:r>
      <w:r>
        <w:rPr/>
        <w:pict>
          <v:shape style="position:absolute;margin-left:431.824799pt;margin-top:12.79589pt;width:370.65pt;height:262.7pt;mso-position-horizontal-relative:page;mso-position-vertical-relative:paragraph;z-index:10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spacing w:before="47"/>
                          <w:ind w:left="113"/>
                          <w:rPr>
                            <w:b/>
                            <w:sz w:val="19"/>
                          </w:rPr>
                        </w:pPr>
                        <w:r>
                          <w:rPr>
                            <w:b/>
                            <w:color w:val="FFFFFF"/>
                            <w:sz w:val="19"/>
                          </w:rPr>
                          <w:t>Liabilities</w:t>
                        </w:r>
                      </w:p>
                    </w:tc>
                  </w:tr>
                  <w:tr>
                    <w:trPr>
                      <w:trHeight w:val="307" w:hRule="atLeast"/>
                    </w:trPr>
                    <w:tc>
                      <w:tcPr>
                        <w:tcW w:w="4209" w:type="dxa"/>
                        <w:tcBorders>
                          <w:right w:val="single" w:sz="8" w:space="0" w:color="FFFFFF"/>
                        </w:tcBorders>
                        <w:shd w:val="clear" w:color="auto" w:fill="F4F4F4"/>
                      </w:tcPr>
                      <w:p>
                        <w:pPr>
                          <w:pStyle w:val="TableParagraph"/>
                          <w:spacing w:before="42"/>
                          <w:ind w:left="113"/>
                          <w:rPr>
                            <w:i/>
                            <w:sz w:val="19"/>
                          </w:rPr>
                        </w:pPr>
                        <w:r>
                          <w:rPr>
                            <w:i/>
                            <w:color w:val="6F2770"/>
                            <w:sz w:val="19"/>
                          </w:rPr>
                          <w:t>Current liabilities</w:t>
                        </w:r>
                      </w:p>
                    </w:tc>
                    <w:tc>
                      <w:tcPr>
                        <w:tcW w:w="765" w:type="dxa"/>
                        <w:tcBorders>
                          <w:left w:val="single" w:sz="8" w:space="0" w:color="FFFFFF"/>
                        </w:tcBorders>
                        <w:shd w:val="clear" w:color="auto" w:fill="F4F4F4"/>
                      </w:tcPr>
                      <w:p>
                        <w:pPr>
                          <w:pStyle w:val="TableParagraph"/>
                          <w:spacing w:before="0"/>
                          <w:rPr>
                            <w:rFonts w:ascii="Times New Roman"/>
                            <w:sz w:val="18"/>
                          </w:rPr>
                        </w:pPr>
                      </w:p>
                    </w:tc>
                    <w:tc>
                      <w:tcPr>
                        <w:tcW w:w="1219" w:type="dxa"/>
                        <w:vMerge w:val="restart"/>
                        <w:tcBorders>
                          <w:bottom w:val="single" w:sz="4" w:space="0" w:color="000000"/>
                        </w:tcBorders>
                        <w:shd w:val="clear" w:color="auto" w:fill="E1E4BB"/>
                      </w:tcPr>
                      <w:p>
                        <w:pPr>
                          <w:pStyle w:val="TableParagraph"/>
                          <w:spacing w:before="1"/>
                          <w:rPr>
                            <w:b/>
                            <w:sz w:val="32"/>
                          </w:rPr>
                        </w:pPr>
                      </w:p>
                      <w:p>
                        <w:pPr>
                          <w:pStyle w:val="TableParagraph"/>
                          <w:spacing w:before="0"/>
                          <w:ind w:left="384" w:right="77"/>
                          <w:jc w:val="center"/>
                          <w:rPr>
                            <w:sz w:val="19"/>
                          </w:rPr>
                        </w:pPr>
                        <w:r>
                          <w:rPr>
                            <w:sz w:val="19"/>
                          </w:rPr>
                          <w:t>112,770</w:t>
                        </w:r>
                      </w:p>
                      <w:p>
                        <w:pPr>
                          <w:pStyle w:val="TableParagraph"/>
                          <w:spacing w:before="88"/>
                          <w:ind w:left="489" w:right="77"/>
                          <w:jc w:val="center"/>
                          <w:rPr>
                            <w:sz w:val="19"/>
                          </w:rPr>
                        </w:pPr>
                        <w:r>
                          <w:rPr>
                            <w:sz w:val="19"/>
                          </w:rPr>
                          <w:t>23,913</w:t>
                        </w:r>
                      </w:p>
                      <w:p>
                        <w:pPr>
                          <w:pStyle w:val="TableParagraph"/>
                          <w:spacing w:before="87"/>
                          <w:ind w:left="489" w:right="77"/>
                          <w:jc w:val="center"/>
                          <w:rPr>
                            <w:sz w:val="19"/>
                          </w:rPr>
                        </w:pPr>
                        <w:r>
                          <w:rPr>
                            <w:sz w:val="19"/>
                          </w:rPr>
                          <w:t>26,212</w:t>
                        </w:r>
                      </w:p>
                      <w:p>
                        <w:pPr>
                          <w:pStyle w:val="TableParagraph"/>
                          <w:spacing w:before="87"/>
                          <w:ind w:left="489" w:right="77"/>
                          <w:jc w:val="center"/>
                          <w:rPr>
                            <w:sz w:val="19"/>
                          </w:rPr>
                        </w:pPr>
                        <w:r>
                          <w:rPr>
                            <w:sz w:val="19"/>
                          </w:rPr>
                          <w:t>16,771</w:t>
                        </w:r>
                      </w:p>
                      <w:p>
                        <w:pPr>
                          <w:pStyle w:val="TableParagraph"/>
                          <w:spacing w:before="87"/>
                          <w:ind w:left="489" w:right="77"/>
                          <w:jc w:val="center"/>
                          <w:rPr>
                            <w:sz w:val="19"/>
                          </w:rPr>
                        </w:pPr>
                        <w:r>
                          <w:rPr>
                            <w:sz w:val="19"/>
                          </w:rPr>
                          <w:t>23,058</w:t>
                        </w:r>
                      </w:p>
                    </w:tc>
                    <w:tc>
                      <w:tcPr>
                        <w:tcW w:w="1219"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4974" w:type="dxa"/>
                        <w:gridSpan w:val="2"/>
                        <w:vMerge w:val="restart"/>
                        <w:tcBorders>
                          <w:bottom w:val="single" w:sz="8" w:space="0" w:color="FFFFFF"/>
                        </w:tcBorders>
                        <w:shd w:val="clear" w:color="auto" w:fill="F4F4F4"/>
                      </w:tcPr>
                      <w:p>
                        <w:pPr>
                          <w:pStyle w:val="TableParagraph"/>
                          <w:tabs>
                            <w:tab w:pos="4697" w:val="right" w:leader="none"/>
                          </w:tabs>
                          <w:spacing w:before="42"/>
                          <w:ind w:left="113"/>
                          <w:rPr>
                            <w:sz w:val="19"/>
                          </w:rPr>
                        </w:pPr>
                        <w:r>
                          <w:rPr>
                            <w:sz w:val="19"/>
                          </w:rPr>
                          <w:t>Payables</w:t>
                          <w:tab/>
                        </w:r>
                        <w:hyperlink w:history="true" w:anchor="_bookmark33">
                          <w:r>
                            <w:rPr>
                              <w:color w:val="6F2770"/>
                              <w:sz w:val="19"/>
                              <w:u w:val="single" w:color="6F2770"/>
                            </w:rPr>
                            <w:t>28</w:t>
                          </w:r>
                        </w:hyperlink>
                      </w:p>
                      <w:p>
                        <w:pPr>
                          <w:pStyle w:val="TableParagraph"/>
                          <w:tabs>
                            <w:tab w:pos="4697" w:val="right" w:leader="none"/>
                          </w:tabs>
                          <w:spacing w:before="87"/>
                          <w:ind w:left="113"/>
                          <w:rPr>
                            <w:sz w:val="19"/>
                          </w:rPr>
                        </w:pPr>
                        <w:r>
                          <w:rPr>
                            <w:sz w:val="19"/>
                          </w:rPr>
                          <w:t>Borrowings</w:t>
                          <w:tab/>
                        </w:r>
                        <w:hyperlink w:history="true" w:anchor="_bookmark33">
                          <w:r>
                            <w:rPr>
                              <w:color w:val="6F2770"/>
                              <w:sz w:val="19"/>
                              <w:u w:val="single" w:color="6F2770"/>
                            </w:rPr>
                            <w:t>29</w:t>
                          </w:r>
                        </w:hyperlink>
                      </w:p>
                      <w:p>
                        <w:pPr>
                          <w:pStyle w:val="TableParagraph"/>
                          <w:tabs>
                            <w:tab w:pos="4697" w:val="right" w:leader="none"/>
                          </w:tabs>
                          <w:spacing w:before="88"/>
                          <w:ind w:left="113"/>
                          <w:rPr>
                            <w:sz w:val="19"/>
                          </w:rPr>
                        </w:pPr>
                        <w:r>
                          <w:rPr>
                            <w:sz w:val="19"/>
                          </w:rPr>
                          <w:t>Provisions</w:t>
                          <w:tab/>
                        </w:r>
                        <w:hyperlink w:history="true" w:anchor="_bookmark33">
                          <w:r>
                            <w:rPr>
                              <w:color w:val="6F2770"/>
                              <w:sz w:val="19"/>
                              <w:u w:val="single" w:color="6F2770"/>
                            </w:rPr>
                            <w:t>30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115,613</w:t>
                        </w:r>
                      </w:p>
                    </w:tc>
                  </w:tr>
                  <w:tr>
                    <w:trPr>
                      <w:trHeight w:val="285" w:hRule="atLeast"/>
                    </w:trPr>
                    <w:tc>
                      <w:tcPr>
                        <w:tcW w:w="4974" w:type="dxa"/>
                        <w:gridSpan w:val="2"/>
                        <w:vMerge/>
                        <w:tcBorders>
                          <w:top w:val="nil"/>
                          <w:bottom w:val="single" w:sz="8" w:space="0" w:color="FFFFFF"/>
                        </w:tcBorders>
                        <w:shd w:val="clear" w:color="auto" w:fill="F4F4F4"/>
                      </w:tcPr>
                      <w:p>
                        <w:pPr>
                          <w:rPr>
                            <w:sz w:val="2"/>
                            <w:szCs w:val="2"/>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24,040</w:t>
                        </w:r>
                      </w:p>
                    </w:tc>
                  </w:tr>
                  <w:tr>
                    <w:trPr>
                      <w:trHeight w:val="285" w:hRule="atLeast"/>
                    </w:trPr>
                    <w:tc>
                      <w:tcPr>
                        <w:tcW w:w="4974" w:type="dxa"/>
                        <w:gridSpan w:val="2"/>
                        <w:vMerge/>
                        <w:tcBorders>
                          <w:top w:val="nil"/>
                          <w:bottom w:val="single" w:sz="8" w:space="0" w:color="FFFFFF"/>
                        </w:tcBorders>
                        <w:shd w:val="clear" w:color="auto" w:fill="F4F4F4"/>
                      </w:tcPr>
                      <w:p>
                        <w:pPr>
                          <w:rPr>
                            <w:sz w:val="2"/>
                            <w:szCs w:val="2"/>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27,916</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Lease incentives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34">
                          <w:r>
                            <w:rPr>
                              <w:color w:val="6F2770"/>
                              <w:sz w:val="19"/>
                              <w:u w:val="single" w:color="6F2770"/>
                            </w:rPr>
                            <w:t>31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13,604</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Other</w:t>
                        </w:r>
                        <w:r>
                          <w:rPr>
                            <w:spacing w:val="-2"/>
                            <w:sz w:val="19"/>
                          </w:rPr>
                          <w:t> </w:t>
                        </w:r>
                        <w:r>
                          <w:rPr>
                            <w:sz w:val="19"/>
                          </w:rPr>
                          <w:t>current</w:t>
                        </w:r>
                        <w:r>
                          <w:rPr>
                            <w:spacing w:val="-2"/>
                            <w:sz w:val="19"/>
                          </w:rPr>
                          <w:t> </w:t>
                        </w:r>
                        <w:r>
                          <w:rPr>
                            <w:sz w:val="19"/>
                          </w:rPr>
                          <w:t>liabilities</w:t>
                          <w:tab/>
                        </w:r>
                        <w:hyperlink w:history="true" w:anchor="_bookmark35">
                          <w:r>
                            <w:rPr>
                              <w:color w:val="6F2770"/>
                              <w:sz w:val="19"/>
                              <w:u w:val="single" w:color="6F2770"/>
                            </w:rPr>
                            <w:t>32</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24,055</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58595B"/>
                        </w:tcBorders>
                        <w:shd w:val="clear" w:color="auto" w:fill="DFE1B8"/>
                      </w:tcPr>
                      <w:p>
                        <w:pPr>
                          <w:pStyle w:val="TableParagraph"/>
                          <w:ind w:right="110"/>
                          <w:jc w:val="right"/>
                          <w:rPr>
                            <w:b/>
                            <w:sz w:val="19"/>
                          </w:rPr>
                        </w:pPr>
                        <w:r>
                          <w:rPr>
                            <w:b/>
                            <w:w w:val="95"/>
                            <w:sz w:val="19"/>
                          </w:rPr>
                          <w:t>202,724</w:t>
                        </w:r>
                      </w:p>
                    </w:tc>
                    <w:tc>
                      <w:tcPr>
                        <w:tcW w:w="1219" w:type="dxa"/>
                        <w:tcBorders>
                          <w:top w:val="single" w:sz="4" w:space="0" w:color="000000"/>
                          <w:bottom w:val="single" w:sz="4" w:space="0" w:color="58595B"/>
                        </w:tcBorders>
                        <w:shd w:val="clear" w:color="auto" w:fill="F4F4F4"/>
                      </w:tcPr>
                      <w:p>
                        <w:pPr>
                          <w:pStyle w:val="TableParagraph"/>
                          <w:ind w:right="110"/>
                          <w:jc w:val="right"/>
                          <w:rPr>
                            <w:b/>
                            <w:sz w:val="19"/>
                          </w:rPr>
                        </w:pPr>
                        <w:r>
                          <w:rPr>
                            <w:b/>
                            <w:w w:val="95"/>
                            <w:sz w:val="19"/>
                          </w:rPr>
                          <w:t>205,228</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vMerge w:val="restart"/>
                        <w:tcBorders>
                          <w:top w:val="single" w:sz="4" w:space="0" w:color="58595B"/>
                          <w:bottom w:val="single" w:sz="4" w:space="0" w:color="000000"/>
                        </w:tcBorders>
                        <w:shd w:val="clear" w:color="auto" w:fill="E1E4BB"/>
                      </w:tcPr>
                      <w:p>
                        <w:pPr>
                          <w:pStyle w:val="TableParagraph"/>
                          <w:spacing w:before="0"/>
                          <w:rPr>
                            <w:b/>
                            <w:sz w:val="22"/>
                          </w:rPr>
                        </w:pPr>
                      </w:p>
                      <w:p>
                        <w:pPr>
                          <w:pStyle w:val="TableParagraph"/>
                          <w:spacing w:before="0"/>
                          <w:rPr>
                            <w:b/>
                            <w:sz w:val="22"/>
                          </w:rPr>
                        </w:pPr>
                      </w:p>
                      <w:p>
                        <w:pPr>
                          <w:pStyle w:val="TableParagraph"/>
                          <w:spacing w:before="138"/>
                          <w:ind w:left="489" w:right="77"/>
                          <w:jc w:val="center"/>
                          <w:rPr>
                            <w:sz w:val="19"/>
                          </w:rPr>
                        </w:pPr>
                        <w:r>
                          <w:rPr>
                            <w:sz w:val="19"/>
                          </w:rPr>
                          <w:t>56,005</w:t>
                        </w:r>
                      </w:p>
                      <w:p>
                        <w:pPr>
                          <w:pStyle w:val="TableParagraph"/>
                          <w:spacing w:before="87"/>
                          <w:ind w:left="595" w:right="77"/>
                          <w:jc w:val="center"/>
                          <w:rPr>
                            <w:sz w:val="19"/>
                          </w:rPr>
                        </w:pPr>
                        <w:r>
                          <w:rPr>
                            <w:sz w:val="19"/>
                          </w:rPr>
                          <w:t>5,352</w:t>
                        </w:r>
                      </w:p>
                      <w:p>
                        <w:pPr>
                          <w:pStyle w:val="TableParagraph"/>
                          <w:spacing w:before="87"/>
                          <w:ind w:left="384" w:right="77"/>
                          <w:jc w:val="center"/>
                          <w:rPr>
                            <w:sz w:val="19"/>
                          </w:rPr>
                        </w:pPr>
                        <w:r>
                          <w:rPr>
                            <w:sz w:val="19"/>
                          </w:rPr>
                          <w:t>131,249</w:t>
                        </w:r>
                      </w:p>
                    </w:tc>
                    <w:tc>
                      <w:tcPr>
                        <w:tcW w:w="1219" w:type="dxa"/>
                        <w:tcBorders>
                          <w:top w:val="single" w:sz="4" w:space="0" w:color="58595B"/>
                          <w:bottom w:val="single" w:sz="8" w:space="0" w:color="FFFFFF"/>
                        </w:tcBorders>
                        <w:shd w:val="clear" w:color="auto" w:fill="FAF9F9"/>
                      </w:tcPr>
                      <w:p>
                        <w:pPr>
                          <w:pStyle w:val="TableParagraph"/>
                          <w:spacing w:before="0"/>
                          <w:rPr>
                            <w:rFonts w:ascii="Times New Roman"/>
                            <w:sz w:val="18"/>
                          </w:rPr>
                        </w:pP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i/>
                            <w:sz w:val="19"/>
                          </w:rPr>
                        </w:pPr>
                        <w:r>
                          <w:rPr>
                            <w:i/>
                            <w:color w:val="6F2770"/>
                            <w:sz w:val="19"/>
                          </w:rPr>
                          <w:t>Non-current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Borrowings</w:t>
                          <w:tab/>
                        </w:r>
                        <w:hyperlink w:history="true" w:anchor="_bookmark33">
                          <w:r>
                            <w:rPr>
                              <w:color w:val="6F2770"/>
                              <w:sz w:val="19"/>
                              <w:u w:val="single" w:color="6F2770"/>
                            </w:rPr>
                            <w:t>29</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77,776</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Provisions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33">
                          <w:r>
                            <w:rPr>
                              <w:color w:val="6F2770"/>
                              <w:sz w:val="19"/>
                              <w:u w:val="single" w:color="6F2770"/>
                            </w:rPr>
                            <w:t>30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6,360</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Lease</w:t>
                        </w:r>
                        <w:r>
                          <w:rPr>
                            <w:spacing w:val="-2"/>
                            <w:sz w:val="19"/>
                          </w:rPr>
                          <w:t> </w:t>
                        </w:r>
                        <w:r>
                          <w:rPr>
                            <w:sz w:val="19"/>
                          </w:rPr>
                          <w:t>incentives</w:t>
                          <w:tab/>
                        </w:r>
                        <w:hyperlink w:history="true" w:anchor="_bookmark34">
                          <w:r>
                            <w:rPr>
                              <w:color w:val="6F2770"/>
                              <w:sz w:val="19"/>
                              <w:u w:val="single" w:color="6F2770"/>
                            </w:rPr>
                            <w:t>31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101,251</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non-current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DFE1B8"/>
                      </w:tcPr>
                      <w:p>
                        <w:pPr>
                          <w:pStyle w:val="TableParagraph"/>
                          <w:ind w:right="110"/>
                          <w:jc w:val="right"/>
                          <w:rPr>
                            <w:b/>
                            <w:sz w:val="19"/>
                          </w:rPr>
                        </w:pPr>
                        <w:r>
                          <w:rPr>
                            <w:b/>
                            <w:w w:val="95"/>
                            <w:sz w:val="19"/>
                          </w:rPr>
                          <w:t>192,606</w:t>
                        </w:r>
                      </w:p>
                    </w:tc>
                    <w:tc>
                      <w:tcPr>
                        <w:tcW w:w="1219" w:type="dxa"/>
                        <w:tcBorders>
                          <w:top w:val="single" w:sz="4" w:space="0" w:color="000000"/>
                          <w:bottom w:val="single" w:sz="4" w:space="0" w:color="000000"/>
                        </w:tcBorders>
                        <w:shd w:val="clear" w:color="auto" w:fill="F4F4F4"/>
                      </w:tcPr>
                      <w:p>
                        <w:pPr>
                          <w:pStyle w:val="TableParagraph"/>
                          <w:ind w:right="110"/>
                          <w:jc w:val="right"/>
                          <w:rPr>
                            <w:b/>
                            <w:sz w:val="19"/>
                          </w:rPr>
                        </w:pPr>
                        <w:r>
                          <w:rPr>
                            <w:b/>
                            <w:w w:val="95"/>
                            <w:sz w:val="19"/>
                          </w:rPr>
                          <w:t>185,387</w:t>
                        </w:r>
                      </w:p>
                    </w:tc>
                  </w:tr>
                  <w:tr>
                    <w:trPr>
                      <w:trHeight w:val="273" w:hRule="atLeast"/>
                    </w:trPr>
                    <w:tc>
                      <w:tcPr>
                        <w:tcW w:w="4974" w:type="dxa"/>
                        <w:gridSpan w:val="2"/>
                        <w:tcBorders>
                          <w:top w:val="single" w:sz="8" w:space="0" w:color="FFFFFF"/>
                          <w:bottom w:val="single" w:sz="8" w:space="0" w:color="FFFFFF"/>
                        </w:tcBorders>
                        <w:shd w:val="clear" w:color="auto" w:fill="FAF9F9"/>
                      </w:tcPr>
                      <w:p>
                        <w:pPr>
                          <w:pStyle w:val="TableParagraph"/>
                          <w:ind w:left="113"/>
                          <w:rPr>
                            <w:b/>
                            <w:sz w:val="19"/>
                          </w:rPr>
                        </w:pPr>
                        <w:r>
                          <w:rPr>
                            <w:b/>
                            <w:sz w:val="19"/>
                          </w:rPr>
                          <w:t>TOTAL LIABILITIES</w:t>
                        </w:r>
                      </w:p>
                    </w:tc>
                    <w:tc>
                      <w:tcPr>
                        <w:tcW w:w="1219" w:type="dxa"/>
                        <w:tcBorders>
                          <w:top w:val="single" w:sz="4" w:space="0" w:color="000000"/>
                          <w:bottom w:val="double" w:sz="2" w:space="0" w:color="000000"/>
                        </w:tcBorders>
                        <w:shd w:val="clear" w:color="auto" w:fill="DFE1B8"/>
                      </w:tcPr>
                      <w:p>
                        <w:pPr>
                          <w:pStyle w:val="TableParagraph"/>
                          <w:ind w:right="110"/>
                          <w:jc w:val="right"/>
                          <w:rPr>
                            <w:b/>
                            <w:sz w:val="19"/>
                          </w:rPr>
                        </w:pPr>
                        <w:r>
                          <w:rPr>
                            <w:b/>
                            <w:w w:val="95"/>
                            <w:sz w:val="19"/>
                          </w:rPr>
                          <w:t>395,330</w:t>
                        </w:r>
                      </w:p>
                    </w:tc>
                    <w:tc>
                      <w:tcPr>
                        <w:tcW w:w="1219" w:type="dxa"/>
                        <w:tcBorders>
                          <w:top w:val="single" w:sz="4" w:space="0" w:color="000000"/>
                          <w:bottom w:val="double" w:sz="2" w:space="0" w:color="000000"/>
                        </w:tcBorders>
                        <w:shd w:val="clear" w:color="auto" w:fill="FAF9F9"/>
                      </w:tcPr>
                      <w:p>
                        <w:pPr>
                          <w:pStyle w:val="TableParagraph"/>
                          <w:ind w:right="110"/>
                          <w:jc w:val="right"/>
                          <w:rPr>
                            <w:b/>
                            <w:sz w:val="19"/>
                          </w:rPr>
                        </w:pPr>
                        <w:r>
                          <w:rPr>
                            <w:b/>
                            <w:w w:val="95"/>
                            <w:sz w:val="19"/>
                          </w:rPr>
                          <w:t>390,615</w:t>
                        </w:r>
                      </w:p>
                    </w:tc>
                  </w:tr>
                  <w:tr>
                    <w:trPr>
                      <w:trHeight w:val="27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double" w:sz="2" w:space="0" w:color="000000"/>
                          <w:bottom w:val="single" w:sz="4" w:space="0" w:color="000000"/>
                        </w:tcBorders>
                        <w:shd w:val="clear" w:color="auto" w:fill="DFE1B8"/>
                      </w:tcPr>
                      <w:p>
                        <w:pPr>
                          <w:pStyle w:val="TableParagraph"/>
                          <w:spacing w:before="0"/>
                          <w:rPr>
                            <w:rFonts w:ascii="Times New Roman"/>
                            <w:sz w:val="18"/>
                          </w:rPr>
                        </w:pPr>
                      </w:p>
                    </w:tc>
                    <w:tc>
                      <w:tcPr>
                        <w:tcW w:w="1219" w:type="dxa"/>
                        <w:tcBorders>
                          <w:top w:val="double" w:sz="2" w:space="0" w:color="000000"/>
                          <w:bottom w:val="single" w:sz="4" w:space="0" w:color="000000"/>
                        </w:tcBorders>
                        <w:shd w:val="clear" w:color="auto" w:fill="F4F4F4"/>
                      </w:tcPr>
                      <w:p>
                        <w:pPr>
                          <w:pStyle w:val="TableParagraph"/>
                          <w:spacing w:before="0"/>
                          <w:rPr>
                            <w:rFonts w:ascii="Times New Roman"/>
                            <w:sz w:val="18"/>
                          </w:rPr>
                        </w:pPr>
                      </w:p>
                    </w:tc>
                  </w:tr>
                  <w:tr>
                    <w:trPr>
                      <w:trHeight w:val="265" w:hRule="atLeast"/>
                    </w:trPr>
                    <w:tc>
                      <w:tcPr>
                        <w:tcW w:w="4974" w:type="dxa"/>
                        <w:gridSpan w:val="2"/>
                        <w:tcBorders>
                          <w:top w:val="single" w:sz="8" w:space="0" w:color="FFFFFF"/>
                          <w:bottom w:val="single" w:sz="8" w:space="0" w:color="FFFFFF"/>
                        </w:tcBorders>
                        <w:shd w:val="clear" w:color="auto" w:fill="FAF9F9"/>
                      </w:tcPr>
                      <w:p>
                        <w:pPr>
                          <w:pStyle w:val="TableParagraph"/>
                          <w:spacing w:line="213" w:lineRule="exact"/>
                          <w:ind w:left="113"/>
                          <w:rPr>
                            <w:b/>
                            <w:sz w:val="19"/>
                          </w:rPr>
                        </w:pPr>
                        <w:r>
                          <w:rPr>
                            <w:b/>
                            <w:sz w:val="19"/>
                          </w:rPr>
                          <w:t>NET ASSETS</w:t>
                        </w:r>
                      </w:p>
                    </w:tc>
                    <w:tc>
                      <w:tcPr>
                        <w:tcW w:w="1219" w:type="dxa"/>
                        <w:tcBorders>
                          <w:top w:val="single" w:sz="4" w:space="0" w:color="000000"/>
                          <w:bottom w:val="single" w:sz="24" w:space="0" w:color="FFFFFF"/>
                        </w:tcBorders>
                        <w:shd w:val="clear" w:color="auto" w:fill="DFE1B8"/>
                      </w:tcPr>
                      <w:p>
                        <w:pPr>
                          <w:pStyle w:val="TableParagraph"/>
                          <w:spacing w:line="213" w:lineRule="exact"/>
                          <w:ind w:right="110"/>
                          <w:jc w:val="right"/>
                          <w:rPr>
                            <w:b/>
                            <w:sz w:val="19"/>
                          </w:rPr>
                        </w:pPr>
                        <w:r>
                          <w:rPr>
                            <w:b/>
                            <w:w w:val="95"/>
                            <w:sz w:val="19"/>
                          </w:rPr>
                          <w:t>1,094,947</w:t>
                        </w:r>
                      </w:p>
                    </w:tc>
                    <w:tc>
                      <w:tcPr>
                        <w:tcW w:w="1219" w:type="dxa"/>
                        <w:tcBorders>
                          <w:top w:val="single" w:sz="4" w:space="0" w:color="000000"/>
                          <w:bottom w:val="single" w:sz="24" w:space="0" w:color="FFFFFF"/>
                        </w:tcBorders>
                        <w:shd w:val="clear" w:color="auto" w:fill="FAF9F9"/>
                      </w:tcPr>
                      <w:p>
                        <w:pPr>
                          <w:pStyle w:val="TableParagraph"/>
                          <w:spacing w:line="213" w:lineRule="exact"/>
                          <w:ind w:right="110"/>
                          <w:jc w:val="right"/>
                          <w:rPr>
                            <w:b/>
                            <w:sz w:val="19"/>
                          </w:rPr>
                        </w:pPr>
                        <w:r>
                          <w:rPr>
                            <w:b/>
                            <w:w w:val="95"/>
                            <w:sz w:val="19"/>
                          </w:rPr>
                          <w:t>1,115,061</w:t>
                        </w:r>
                      </w:p>
                    </w:tc>
                  </w:tr>
                </w:tbl>
                <w:p>
                  <w:pPr>
                    <w:pStyle w:val="BodyText"/>
                  </w:pPr>
                </w:p>
              </w:txbxContent>
            </v:textbox>
            <w10:wrap type="none"/>
          </v:shape>
        </w:pict>
      </w:r>
      <w:r>
        <w:rPr>
          <w:b/>
          <w:w w:val="95"/>
          <w:sz w:val="19"/>
        </w:rPr>
        <w:t>$000</w:t>
      </w:r>
    </w:p>
    <w:p>
      <w:pPr>
        <w:spacing w:before="87"/>
        <w:ind w:left="738" w:right="881" w:firstLine="0"/>
        <w:jc w:val="center"/>
        <w:rPr>
          <w:b/>
          <w:sz w:val="19"/>
        </w:rPr>
      </w:pPr>
      <w:r>
        <w:rPr/>
        <w:br w:type="column"/>
      </w:r>
      <w:r>
        <w:rPr>
          <w:b/>
          <w:sz w:val="19"/>
        </w:rPr>
        <w:t>2017</w:t>
      </w:r>
    </w:p>
    <w:p>
      <w:pPr>
        <w:spacing w:before="9"/>
        <w:ind w:left="738" w:right="881" w:firstLine="0"/>
        <w:jc w:val="center"/>
        <w:rPr>
          <w:b/>
          <w:sz w:val="19"/>
        </w:rPr>
      </w:pPr>
      <w:r>
        <w:rPr>
          <w:b/>
          <w:sz w:val="19"/>
        </w:rPr>
        <w:t>$000</w:t>
      </w:r>
    </w:p>
    <w:p>
      <w:pPr>
        <w:spacing w:after="0"/>
        <w:jc w:val="center"/>
        <w:rPr>
          <w:sz w:val="19"/>
        </w:rPr>
        <w:sectPr>
          <w:type w:val="continuous"/>
          <w:pgSz w:w="16840" w:h="11910" w:orient="landscape"/>
          <w:pgMar w:top="1100" w:bottom="280" w:left="0" w:right="0"/>
          <w:cols w:num="4" w:equalWidth="0">
            <w:col w:w="6846" w:space="40"/>
            <w:col w:w="1179" w:space="39"/>
            <w:col w:w="6613" w:space="40"/>
            <w:col w:w="2083"/>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0"/>
        </w:rPr>
      </w:pPr>
    </w:p>
    <w:p>
      <w:pPr>
        <w:spacing w:before="0"/>
        <w:ind w:left="8636" w:right="0" w:firstLine="0"/>
        <w:jc w:val="left"/>
        <w:rPr>
          <w:sz w:val="19"/>
        </w:rPr>
      </w:pPr>
      <w:r>
        <w:rPr/>
        <w:pict>
          <v:group style="position:absolute;margin-left:680.565002pt;margin-top:-13.283514pt;width:121.9pt;height:.550pt;mso-position-horizontal-relative:page;mso-position-vertical-relative:paragraph;z-index:10024" coordorigin="13611,-266" coordsize="2438,11">
            <v:line style="position:absolute" from="13611,-261" to="14830,-261" stroked="true" strokeweight=".501pt" strokecolor="#000000">
              <v:stroke dashstyle="solid"/>
            </v:line>
            <v:line style="position:absolute" from="14830,-261" to="16049,-261" stroked="true" strokeweight=".501pt" strokecolor="#000000">
              <v:stroke dashstyle="solid"/>
            </v:line>
            <w10:wrap type="none"/>
          </v:group>
        </w:pict>
      </w:r>
      <w:r>
        <w:rPr/>
        <w:pict>
          <v:shape style="position:absolute;margin-left:431.824799pt;margin-top:-75.679916pt;width:370.65pt;height:62.9pt;mso-position-horizontal-relative:page;mso-position-vertical-relative:paragraph;z-index:10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tabs>
                            <w:tab w:pos="4697" w:val="right" w:leader="none"/>
                          </w:tabs>
                          <w:spacing w:before="47"/>
                          <w:ind w:left="113"/>
                          <w:rPr>
                            <w:sz w:val="19"/>
                          </w:rPr>
                        </w:pPr>
                        <w:r>
                          <w:rPr>
                            <w:b/>
                            <w:color w:val="FFFFFF"/>
                            <w:sz w:val="19"/>
                          </w:rPr>
                          <w:t>Equity</w:t>
                          <w:tab/>
                        </w:r>
                        <w:hyperlink w:history="true" w:anchor="_bookmark35">
                          <w:r>
                            <w:rPr>
                              <w:color w:val="FFFFFF"/>
                              <w:sz w:val="19"/>
                              <w:u w:val="single" w:color="FFFFFF"/>
                            </w:rPr>
                            <w:t>33</w:t>
                          </w:r>
                        </w:hyperlink>
                      </w:p>
                    </w:tc>
                  </w:tr>
                  <w:tr>
                    <w:trPr>
                      <w:trHeight w:val="295" w:hRule="atLeast"/>
                    </w:trPr>
                    <w:tc>
                      <w:tcPr>
                        <w:tcW w:w="4974" w:type="dxa"/>
                        <w:gridSpan w:val="2"/>
                        <w:vMerge w:val="restart"/>
                        <w:shd w:val="clear" w:color="auto" w:fill="FFFFFF"/>
                      </w:tcPr>
                      <w:p>
                        <w:pPr>
                          <w:pStyle w:val="TableParagraph"/>
                          <w:spacing w:before="42"/>
                          <w:ind w:left="113"/>
                          <w:rPr>
                            <w:sz w:val="19"/>
                          </w:rPr>
                        </w:pPr>
                        <w:r>
                          <w:rPr>
                            <w:sz w:val="19"/>
                          </w:rPr>
                          <w:t>Contributed equity</w:t>
                        </w:r>
                      </w:p>
                      <w:p>
                        <w:pPr>
                          <w:pStyle w:val="TableParagraph"/>
                          <w:spacing w:before="87"/>
                          <w:ind w:left="113"/>
                          <w:rPr>
                            <w:sz w:val="19"/>
                          </w:rPr>
                        </w:pPr>
                        <w:r>
                          <w:rPr>
                            <w:sz w:val="19"/>
                          </w:rPr>
                          <w:t>Accumulated surplus/(deficit)</w:t>
                        </w:r>
                      </w:p>
                    </w:tc>
                    <w:tc>
                      <w:tcPr>
                        <w:tcW w:w="1219" w:type="dxa"/>
                        <w:vMerge w:val="restart"/>
                        <w:tcBorders>
                          <w:bottom w:val="single" w:sz="4" w:space="0" w:color="000000"/>
                        </w:tcBorders>
                        <w:shd w:val="clear" w:color="auto" w:fill="DFE1B8"/>
                      </w:tcPr>
                      <w:p>
                        <w:pPr>
                          <w:pStyle w:val="TableParagraph"/>
                          <w:spacing w:before="42"/>
                          <w:ind w:left="261"/>
                          <w:rPr>
                            <w:sz w:val="19"/>
                          </w:rPr>
                        </w:pPr>
                        <w:r>
                          <w:rPr>
                            <w:sz w:val="19"/>
                          </w:rPr>
                          <w:t>1,056,019</w:t>
                        </w:r>
                      </w:p>
                      <w:p>
                        <w:pPr>
                          <w:pStyle w:val="TableParagraph"/>
                          <w:spacing w:before="87"/>
                          <w:ind w:left="525"/>
                          <w:rPr>
                            <w:sz w:val="19"/>
                          </w:rPr>
                        </w:pPr>
                        <w:r>
                          <w:rPr>
                            <w:sz w:val="19"/>
                          </w:rPr>
                          <w:t>38,928</w:t>
                        </w:r>
                      </w:p>
                    </w:tc>
                    <w:tc>
                      <w:tcPr>
                        <w:tcW w:w="1219" w:type="dxa"/>
                        <w:tcBorders>
                          <w:bottom w:val="single" w:sz="8" w:space="0" w:color="FFFFFF"/>
                        </w:tcBorders>
                        <w:shd w:val="clear" w:color="auto" w:fill="F4F4F4"/>
                      </w:tcPr>
                      <w:p>
                        <w:pPr>
                          <w:pStyle w:val="TableParagraph"/>
                          <w:spacing w:before="42"/>
                          <w:ind w:right="110"/>
                          <w:jc w:val="right"/>
                          <w:rPr>
                            <w:sz w:val="19"/>
                          </w:rPr>
                        </w:pPr>
                        <w:r>
                          <w:rPr>
                            <w:w w:val="95"/>
                            <w:sz w:val="19"/>
                          </w:rPr>
                          <w:t>1,055,928</w:t>
                        </w:r>
                      </w:p>
                    </w:tc>
                  </w:tr>
                  <w:tr>
                    <w:trPr>
                      <w:trHeight w:val="290" w:hRule="atLeast"/>
                    </w:trPr>
                    <w:tc>
                      <w:tcPr>
                        <w:tcW w:w="4974" w:type="dxa"/>
                        <w:gridSpan w:val="2"/>
                        <w:vMerge/>
                        <w:tcBorders>
                          <w:top w:val="nil"/>
                        </w:tcBorders>
                        <w:shd w:val="clear" w:color="auto" w:fill="FFFFFF"/>
                      </w:tcPr>
                      <w:p>
                        <w:pPr>
                          <w:rPr>
                            <w:sz w:val="2"/>
                            <w:szCs w:val="2"/>
                          </w:rPr>
                        </w:pPr>
                      </w:p>
                    </w:tc>
                    <w:tc>
                      <w:tcPr>
                        <w:tcW w:w="1219" w:type="dxa"/>
                        <w:vMerge/>
                        <w:tcBorders>
                          <w:top w:val="nil"/>
                          <w:bottom w:val="single" w:sz="4" w:space="0" w:color="000000"/>
                        </w:tcBorders>
                        <w:shd w:val="clear" w:color="auto" w:fill="DFE1B8"/>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59,133</w:t>
                        </w:r>
                      </w:p>
                    </w:tc>
                  </w:tr>
                  <w:tr>
                    <w:trPr>
                      <w:trHeight w:val="270" w:hRule="atLeast"/>
                    </w:trPr>
                    <w:tc>
                      <w:tcPr>
                        <w:tcW w:w="4209" w:type="dxa"/>
                        <w:tcBorders>
                          <w:bottom w:val="single" w:sz="8" w:space="0" w:color="FFFFFF"/>
                          <w:right w:val="single" w:sz="8" w:space="0" w:color="FFFFFF"/>
                        </w:tcBorders>
                        <w:shd w:val="clear" w:color="auto" w:fill="F4F4F4"/>
                      </w:tcPr>
                      <w:p>
                        <w:pPr>
                          <w:pStyle w:val="TableParagraph"/>
                          <w:spacing w:line="213" w:lineRule="exact" w:before="37"/>
                          <w:ind w:left="113"/>
                          <w:rPr>
                            <w:b/>
                            <w:sz w:val="19"/>
                          </w:rPr>
                        </w:pPr>
                        <w:r>
                          <w:rPr>
                            <w:b/>
                            <w:sz w:val="19"/>
                          </w:rPr>
                          <w:t>TOTAL EQUITY</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24" w:space="0" w:color="FFFFFF"/>
                        </w:tcBorders>
                        <w:shd w:val="clear" w:color="auto" w:fill="DFE1B8"/>
                      </w:tcPr>
                      <w:p>
                        <w:pPr>
                          <w:pStyle w:val="TableParagraph"/>
                          <w:spacing w:line="213" w:lineRule="exact" w:before="37"/>
                          <w:ind w:left="261"/>
                          <w:rPr>
                            <w:b/>
                            <w:sz w:val="19"/>
                          </w:rPr>
                        </w:pPr>
                        <w:r>
                          <w:rPr>
                            <w:b/>
                            <w:sz w:val="19"/>
                          </w:rPr>
                          <w:t>1,094,947</w:t>
                        </w:r>
                      </w:p>
                    </w:tc>
                    <w:tc>
                      <w:tcPr>
                        <w:tcW w:w="1219" w:type="dxa"/>
                        <w:tcBorders>
                          <w:top w:val="single" w:sz="4" w:space="0" w:color="000000"/>
                          <w:bottom w:val="single" w:sz="24" w:space="0" w:color="FFFFFF"/>
                        </w:tcBorders>
                        <w:shd w:val="clear" w:color="auto" w:fill="F4F4F4"/>
                      </w:tcPr>
                      <w:p>
                        <w:pPr>
                          <w:pStyle w:val="TableParagraph"/>
                          <w:spacing w:line="213" w:lineRule="exact" w:before="37"/>
                          <w:ind w:right="110"/>
                          <w:jc w:val="right"/>
                          <w:rPr>
                            <w:b/>
                            <w:sz w:val="19"/>
                          </w:rPr>
                        </w:pPr>
                        <w:r>
                          <w:rPr>
                            <w:b/>
                            <w:w w:val="95"/>
                            <w:sz w:val="19"/>
                          </w:rPr>
                          <w:t>1,115,061</w:t>
                        </w:r>
                      </w:p>
                    </w:tc>
                  </w:tr>
                </w:tbl>
                <w:p>
                  <w:pPr>
                    <w:pStyle w:val="BodyText"/>
                  </w:pPr>
                </w:p>
              </w:txbxContent>
            </v:textbox>
            <w10:wrap type="none"/>
          </v:shape>
        </w:pict>
      </w:r>
      <w:r>
        <w:rPr>
          <w:sz w:val="19"/>
        </w:rPr>
        <w:t>See also </w:t>
      </w:r>
      <w:r>
        <w:rPr>
          <w:color w:val="6F2770"/>
          <w:sz w:val="19"/>
        </w:rPr>
        <w:t>‘Schedule of Assets and Liabilities by Service’ </w:t>
      </w:r>
      <w:r>
        <w:rPr>
          <w:sz w:val="19"/>
        </w:rPr>
        <w:t>on Page </w:t>
      </w:r>
      <w:r>
        <w:rPr>
          <w:color w:val="6F2770"/>
          <w:sz w:val="19"/>
          <w:u w:val="single" w:color="6F2770"/>
        </w:rPr>
        <w:t>42</w:t>
      </w:r>
      <w:r>
        <w:rPr>
          <w:sz w:val="19"/>
        </w:rPr>
        <w:t>.</w:t>
      </w:r>
    </w:p>
    <w:p>
      <w:pPr>
        <w:pStyle w:val="BodyText"/>
        <w:spacing w:before="7"/>
        <w:rPr>
          <w:sz w:val="20"/>
        </w:rPr>
      </w:pPr>
    </w:p>
    <w:p>
      <w:pPr>
        <w:spacing w:line="249" w:lineRule="auto" w:before="0"/>
        <w:ind w:left="8636" w:right="909" w:firstLine="0"/>
        <w:jc w:val="left"/>
        <w:rPr>
          <w:sz w:val="19"/>
        </w:rPr>
      </w:pPr>
      <w:r>
        <w:rPr/>
        <w:pict>
          <v:group style="position:absolute;margin-left:817.839111pt;margin-top:18.217291pt;width:24.1pt;height:41.55pt;mso-position-horizontal-relative:page;mso-position-vertical-relative:paragraph;z-index:10216" coordorigin="16357,364" coordsize="482,831">
            <v:shape style="position:absolute;left:16356;top:364;width:482;height:831" coordorigin="16357,364" coordsize="482,831" path="m16772,364l16697,371,16627,390,16562,421,16504,462,16454,512,16413,570,16383,635,16363,705,16357,780,16363,854,16383,924,16413,989,16454,1047,16504,1097,16562,1138,16627,1169,16697,1188,16772,1195,16789,1194,16805,1193,16822,1191,16838,1189,16838,370,16822,368,16805,366,16789,365,16772,364xe" filled="true" fillcolor="#aebd37" stroked="false">
              <v:path arrowok="t"/>
              <v:fill opacity="13107f" type="solid"/>
            </v:shape>
            <v:shape style="position:absolute;left:16571;top:693;width:93;height:171" coordorigin="16571,694" coordsize="93,171" path="m16590,694l16582,694,16571,704,16571,712,16638,779,16638,780,16571,847,16571,855,16579,863,16582,864,16589,864,16592,863,16655,800,16662,790,16664,780,16664,779,16662,769,16655,759,16590,694xe" filled="true" fillcolor="#000000" stroked="false">
              <v:path arrowok="t"/>
              <v:fill type="solid"/>
            </v:shape>
            <w10:wrap type="none"/>
          </v:group>
        </w:pict>
      </w:r>
      <w:r>
        <w:rPr/>
        <w:pict>
          <v:group style="position:absolute;margin-left:0pt;margin-top:18.217291pt;width:24.1pt;height:41.55pt;mso-position-horizontal-relative:page;mso-position-vertical-relative:paragraph;z-index:10240" coordorigin="0,364" coordsize="482,831">
            <v:shape style="position:absolute;left:0;top:364;width:482;height:831" coordorigin="0,364" coordsize="482,831" path="m66,364l49,365,33,366,16,368,0,370,0,1189,16,1191,33,1193,49,1194,66,1195,140,1188,211,1169,275,1138,333,1097,383,1047,424,989,455,924,474,854,481,780,474,705,455,635,424,570,383,512,333,462,275,421,211,390,140,371,66,364xe" filled="true" fillcolor="#aebd37" stroked="false">
              <v:path arrowok="t"/>
              <v:fill opacity="13107f" type="solid"/>
            </v:shape>
            <v:shape style="position:absolute;left:174;top:693;width:93;height:171" coordorigin="174,694" coordsize="93,171" path="m256,694l248,694,182,759,176,769,174,779,174,780,176,790,182,800,245,863,249,864,256,864,259,863,267,855,267,847,200,780,200,779,267,712,267,704,256,694xe" filled="true" fillcolor="#000000" stroked="false">
              <v:path arrowok="t"/>
              <v:fill type="solid"/>
            </v:shape>
            <w10:wrap type="none"/>
          </v:group>
        </w:pict>
      </w:r>
      <w:r>
        <w:rPr>
          <w:sz w:val="19"/>
        </w:rPr>
        <w:t>The</w:t>
      </w:r>
      <w:r>
        <w:rPr>
          <w:spacing w:val="-18"/>
          <w:sz w:val="19"/>
        </w:rPr>
        <w:t> </w:t>
      </w:r>
      <w:r>
        <w:rPr>
          <w:sz w:val="19"/>
        </w:rPr>
        <w:t>Statement</w:t>
      </w:r>
      <w:r>
        <w:rPr>
          <w:spacing w:val="-18"/>
          <w:sz w:val="19"/>
        </w:rPr>
        <w:t> </w:t>
      </w:r>
      <w:r>
        <w:rPr>
          <w:sz w:val="19"/>
        </w:rPr>
        <w:t>of</w:t>
      </w:r>
      <w:r>
        <w:rPr>
          <w:spacing w:val="-17"/>
          <w:sz w:val="19"/>
        </w:rPr>
        <w:t> </w:t>
      </w:r>
      <w:r>
        <w:rPr>
          <w:sz w:val="19"/>
        </w:rPr>
        <w:t>Financial</w:t>
      </w:r>
      <w:r>
        <w:rPr>
          <w:spacing w:val="-18"/>
          <w:sz w:val="19"/>
        </w:rPr>
        <w:t> </w:t>
      </w:r>
      <w:r>
        <w:rPr>
          <w:sz w:val="19"/>
        </w:rPr>
        <w:t>Position</w:t>
      </w:r>
      <w:r>
        <w:rPr>
          <w:spacing w:val="-17"/>
          <w:sz w:val="19"/>
        </w:rPr>
        <w:t> </w:t>
      </w:r>
      <w:r>
        <w:rPr>
          <w:sz w:val="19"/>
        </w:rPr>
        <w:t>should</w:t>
      </w:r>
      <w:r>
        <w:rPr>
          <w:spacing w:val="-18"/>
          <w:sz w:val="19"/>
        </w:rPr>
        <w:t> </w:t>
      </w:r>
      <w:r>
        <w:rPr>
          <w:sz w:val="19"/>
        </w:rPr>
        <w:t>be</w:t>
      </w:r>
      <w:r>
        <w:rPr>
          <w:spacing w:val="-17"/>
          <w:sz w:val="19"/>
        </w:rPr>
        <w:t> </w:t>
      </w:r>
      <w:r>
        <w:rPr>
          <w:sz w:val="19"/>
        </w:rPr>
        <w:t>read</w:t>
      </w:r>
      <w:r>
        <w:rPr>
          <w:spacing w:val="-18"/>
          <w:sz w:val="19"/>
        </w:rPr>
        <w:t> </w:t>
      </w:r>
      <w:r>
        <w:rPr>
          <w:sz w:val="19"/>
        </w:rPr>
        <w:t>in</w:t>
      </w:r>
      <w:r>
        <w:rPr>
          <w:spacing w:val="-17"/>
          <w:sz w:val="19"/>
        </w:rPr>
        <w:t> </w:t>
      </w:r>
      <w:r>
        <w:rPr>
          <w:sz w:val="19"/>
        </w:rPr>
        <w:t>conjunction</w:t>
      </w:r>
      <w:r>
        <w:rPr>
          <w:spacing w:val="-18"/>
          <w:sz w:val="19"/>
        </w:rPr>
        <w:t> </w:t>
      </w:r>
      <w:r>
        <w:rPr>
          <w:sz w:val="19"/>
        </w:rPr>
        <w:t>with</w:t>
      </w:r>
      <w:r>
        <w:rPr>
          <w:spacing w:val="-17"/>
          <w:sz w:val="19"/>
        </w:rPr>
        <w:t> </w:t>
      </w:r>
      <w:r>
        <w:rPr>
          <w:sz w:val="19"/>
        </w:rPr>
        <w:t>the</w:t>
      </w:r>
      <w:r>
        <w:rPr>
          <w:spacing w:val="-18"/>
          <w:sz w:val="19"/>
        </w:rPr>
        <w:t> </w:t>
      </w:r>
      <w:r>
        <w:rPr>
          <w:spacing w:val="-2"/>
          <w:sz w:val="19"/>
        </w:rPr>
        <w:t>accompanying </w:t>
      </w:r>
      <w:r>
        <w:rPr>
          <w:sz w:val="19"/>
        </w:rPr>
        <w:t>notes.</w:t>
      </w:r>
    </w:p>
    <w:p>
      <w:pPr>
        <w:pStyle w:val="BodyText"/>
        <w:spacing w:before="8"/>
        <w:rPr>
          <w:sz w:val="8"/>
        </w:rPr>
      </w:pPr>
    </w:p>
    <w:p>
      <w:pPr>
        <w:tabs>
          <w:tab w:pos="10886" w:val="left" w:leader="none"/>
          <w:tab w:pos="11199" w:val="left" w:leader="none"/>
          <w:tab w:pos="15849" w:val="left" w:leader="none"/>
        </w:tabs>
        <w:spacing w:before="107"/>
        <w:ind w:left="765" w:right="0" w:firstLine="0"/>
        <w:jc w:val="left"/>
        <w:rPr>
          <w:b/>
          <w:sz w:val="20"/>
        </w:rPr>
      </w:pP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37</w:t>
      </w:r>
    </w:p>
    <w:p>
      <w:pPr>
        <w:spacing w:after="0"/>
        <w:jc w:val="left"/>
        <w:rPr>
          <w:sz w:val="20"/>
        </w:rPr>
        <w:sectPr>
          <w:type w:val="continuous"/>
          <w:pgSz w:w="16840" w:h="11910" w:orient="landscape"/>
          <w:pgMar w:top="1100" w:bottom="280" w:left="0" w:right="0"/>
        </w:sectPr>
      </w:pPr>
    </w:p>
    <w:p>
      <w:pPr>
        <w:pStyle w:val="BodyText"/>
        <w:rPr>
          <w:sz w:val="20"/>
        </w:rPr>
      </w:pPr>
      <w:bookmarkStart w:name="_bookmark20" w:id="21"/>
      <w:bookmarkEnd w:id="21"/>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8"/>
        <w:rPr>
          <w:b/>
          <w:sz w:val="20"/>
        </w:rPr>
      </w:pPr>
    </w:p>
    <w:p>
      <w:pPr>
        <w:pStyle w:val="Heading2"/>
        <w:spacing w:before="95"/>
      </w:pPr>
      <w:r>
        <w:rPr/>
        <w:pict>
          <v:group style="position:absolute;margin-left:120.271004pt;margin-top:-67.671722pt;width:721.65pt;height:42.55pt;mso-position-horizontal-relative:page;mso-position-vertical-relative:paragraph;z-index:10552" coordorigin="2405,-1353" coordsize="14433,851">
            <v:rect style="position:absolute;left:14432;top:-1354;width:2406;height:851" filled="true" fillcolor="#bba1bc" stroked="false">
              <v:fill type="solid"/>
            </v:rect>
            <v:shape style="position:absolute;left:14432;top:-1354;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4;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4;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4;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4;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4;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Statement of Changes in Equity</w:t>
      </w:r>
    </w:p>
    <w:p>
      <w:pPr>
        <w:pStyle w:val="Heading4"/>
        <w:spacing w:before="28"/>
      </w:pPr>
      <w:r>
        <w:rPr/>
        <w:pict>
          <v:group style="position:absolute;margin-left:38.2677pt;margin-top:53.821384pt;width:765.4pt;height:338.9pt;mso-position-horizontal-relative:page;mso-position-vertical-relative:paragraph;z-index:-702112" coordorigin="765,1076" coordsize="15308,6778">
            <v:shape style="position:absolute;left:765;top:1076;width:13040;height:939" coordorigin="765,1076" coordsize="13040,939" path="m13805,1709l10403,1709,8135,1709,6803,1709,765,1709,765,2015,6803,2015,8135,2015,10403,2015,13805,2015,13805,1709m13805,1076l10403,1076,8135,1076,6803,1076,765,1076,765,1404,6803,1404,8135,1404,10403,1404,13805,1404,13805,1076e" filled="true" fillcolor="#f4f4f4" stroked="false">
              <v:path arrowok="t"/>
              <v:fill type="solid"/>
            </v:shape>
            <v:shape style="position:absolute;left:765;top:1403;width:13040;height:306" coordorigin="765,1404" coordsize="13040,306" path="m13805,1404l10403,1404,8135,1404,6803,1404,765,1404,765,1709,6803,1709,8135,1709,10403,1709,13805,1709,13805,1404e" filled="true" fillcolor="#faf9f9" stroked="false">
              <v:path arrowok="t"/>
              <v:fill type="solid"/>
            </v:shape>
            <v:shape style="position:absolute;left:765;top:2320;width:13040;height:306" coordorigin="765,2321" coordsize="13040,306" path="m13805,2321l10403,2321,8135,2321,6803,2321,765,2321,765,2627,6803,2627,8135,2627,10403,2627,13805,2627,13805,2321e" filled="true" fillcolor="#f4f4f4" stroked="false">
              <v:path arrowok="t"/>
              <v:fill type="solid"/>
            </v:shape>
            <v:shape style="position:absolute;left:765;top:2015;width:13040;height:306" coordorigin="765,2015" coordsize="13040,306" path="m13805,2015l10403,2015,8135,2015,6803,2015,765,2015,765,2321,6803,2321,8135,2321,10403,2321,13805,2321,13805,2015e" filled="true" fillcolor="#faf9f9" stroked="false">
              <v:path arrowok="t"/>
              <v:fill type="solid"/>
            </v:shape>
            <v:shape style="position:absolute;left:765;top:2932;width:13040;height:306" coordorigin="765,2932" coordsize="13040,306" path="m13805,2932l10403,2932,8135,2932,6803,2932,765,2932,765,3238,6803,3238,8135,3238,10403,3238,13805,3238,13805,2932e" filled="true" fillcolor="#f4f4f4" stroked="false">
              <v:path arrowok="t"/>
              <v:fill type="solid"/>
            </v:shape>
            <v:shape style="position:absolute;left:765;top:2626;width:13040;height:306" coordorigin="765,2627" coordsize="13040,306" path="m13805,2627l10403,2627,8135,2627,6803,2627,765,2627,765,2932,6803,2932,8135,2932,10403,2932,13805,2932,13805,2627e" filled="true" fillcolor="#faf9f9" stroked="false">
              <v:path arrowok="t"/>
              <v:fill type="solid"/>
            </v:shape>
            <v:shape style="position:absolute;left:765;top:3543;width:13040;height:306" coordorigin="765,3544" coordsize="13040,306" path="m13805,3544l10403,3544,8135,3544,6803,3544,765,3544,765,3849,6803,3849,8135,3849,10403,3849,13805,3849,13805,3544e" filled="true" fillcolor="#f4f4f4" stroked="false">
              <v:path arrowok="t"/>
              <v:fill type="solid"/>
            </v:shape>
            <v:shape style="position:absolute;left:765;top:3238;width:13040;height:306" coordorigin="765,3238" coordsize="13040,306" path="m13805,3238l10403,3238,8135,3238,6803,3238,765,3238,765,3544,6803,3544,8135,3544,10403,3544,13805,3544,13805,3238e" filled="true" fillcolor="#faf9f9" stroked="false">
              <v:path arrowok="t"/>
              <v:fill type="solid"/>
            </v:shape>
            <v:shape style="position:absolute;left:765;top:4155;width:13040;height:306" coordorigin="765,4155" coordsize="13040,306" path="m13805,4155l10403,4155,8135,4155,6803,4155,765,4155,765,4461,6803,4461,8135,4461,10403,4461,13805,4461,13805,4155e" filled="true" fillcolor="#f4f4f4" stroked="false">
              <v:path arrowok="t"/>
              <v:fill type="solid"/>
            </v:shape>
            <v:shape style="position:absolute;left:765;top:3849;width:13040;height:306" coordorigin="765,3849" coordsize="13040,306" path="m13805,3849l10403,3849,8135,3849,6803,3849,765,3849,765,4155,6803,4155,8135,4155,10403,4155,13805,4155,13805,3849e" filled="true" fillcolor="#faf9f9" stroked="false">
              <v:path arrowok="t"/>
              <v:fill type="solid"/>
            </v:shape>
            <v:shape style="position:absolute;left:765;top:4766;width:13040;height:306" coordorigin="765,4767" coordsize="13040,306" path="m13805,4767l10403,4767,8135,4767,6803,4767,765,4767,765,5072,6803,5072,8135,5072,10403,5072,13805,5072,13805,4767e" filled="true" fillcolor="#f4f4f4" stroked="false">
              <v:path arrowok="t"/>
              <v:fill type="solid"/>
            </v:shape>
            <v:shape style="position:absolute;left:765;top:4460;width:13040;height:306" coordorigin="765,4461" coordsize="13040,306" path="m13805,4461l10403,4461,8135,4461,6803,4461,765,4461,765,4767,6803,4767,8135,4767,10403,4767,13805,4767,13805,4461e" filled="true" fillcolor="#faf9f9" stroked="false">
              <v:path arrowok="t"/>
              <v:fill type="solid"/>
            </v:shape>
            <v:shape style="position:absolute;left:765;top:5378;width:13040;height:306" coordorigin="765,5378" coordsize="13040,306" path="m13805,5378l10403,5378,8135,5378,6803,5378,765,5378,765,5684,6803,5684,8135,5684,10403,5684,13805,5684,13805,5378e" filled="true" fillcolor="#f4f4f4" stroked="false">
              <v:path arrowok="t"/>
              <v:fill type="solid"/>
            </v:shape>
            <v:shape style="position:absolute;left:765;top:5072;width:13040;height:306" coordorigin="765,5072" coordsize="13040,306" path="m13805,5072l10403,5072,8135,5072,6803,5072,765,5072,765,5378,6803,5378,8135,5378,10403,5378,13805,5378,13805,5072e" filled="true" fillcolor="#faf9f9" stroked="false">
              <v:path arrowok="t"/>
              <v:fill type="solid"/>
            </v:shape>
            <v:shape style="position:absolute;left:765;top:6295;width:13040;height:306" coordorigin="765,6295" coordsize="13040,306" path="m13805,6295l10403,6295,8135,6295,6803,6295,765,6295,765,6601,6803,6601,8135,6601,10403,6601,13805,6601,13805,6295e" filled="true" fillcolor="#f4f4f4" stroked="false">
              <v:path arrowok="t"/>
              <v:fill type="solid"/>
            </v:shape>
            <v:shape style="position:absolute;left:765;top:5683;width:13040;height:612" coordorigin="765,5684" coordsize="13040,612" path="m13805,5684l10403,5684,8135,5684,6803,5684,765,5684,765,6295,6803,6295,8135,6295,10403,6295,13805,6295,13805,5684e" filled="true" fillcolor="#faf9f9" stroked="false">
              <v:path arrowok="t"/>
              <v:fill type="solid"/>
            </v:shape>
            <v:shape style="position:absolute;left:765;top:6906;width:13040;height:306" coordorigin="765,6907" coordsize="13040,306" path="m13805,6907l10403,6907,8135,6907,6803,6907,765,6907,765,7213,6803,7213,8135,7213,10403,7213,13805,7213,13805,6907e" filled="true" fillcolor="#f4f4f4" stroked="false">
              <v:path arrowok="t"/>
              <v:fill type="solid"/>
            </v:shape>
            <v:shape style="position:absolute;left:765;top:6601;width:13040;height:918" coordorigin="765,6601" coordsize="13040,918" path="m13805,7213l10403,7213,8135,7213,6803,7213,765,7213,765,7518,6803,7518,8135,7518,10403,7518,13805,7518,13805,7213m13805,6601l10403,6601,8135,6601,6803,6601,765,6601,765,6907,6803,6907,8135,6907,10403,6907,13805,6907,13805,6601e" filled="true" fillcolor="#faf9f9" stroked="false">
              <v:path arrowok="t"/>
              <v:fill type="solid"/>
            </v:shape>
            <v:shape style="position:absolute;left:765;top:1393;width:13040;height:6135" coordorigin="765,1394" coordsize="13040,6135" path="m6793,6285l765,6285,765,6305,6793,6305,6793,6285m6793,5980l765,5980,765,6000,6793,6000,6793,5980m6793,5674l765,5674,765,5694,6793,5694,6793,5674m6793,5368l765,5368,765,5388,6793,5388,6793,5368m6793,5062l765,5062,765,5082,6793,5082,6793,5062m6793,4757l765,4757,765,4777,6793,4777,6793,4757m6793,4451l765,4451,765,4471,6793,4471,6793,4451m6793,4145l765,4145,765,4165,6793,4165,6793,4145m6793,3839l765,3839,765,3859,6793,3859,6793,3839m6793,3534l765,3534,765,3554,6793,3554,6793,3534m6793,3228l765,3228,765,3248,6793,3248,6793,3228m6793,2922l765,2922,765,2942,6793,2942,6793,2922m6793,2617l765,2617,765,2637,6793,2637,6793,2617m6793,2311l765,2311,765,2331,6793,2331,6793,2311m6793,2005l765,2005,765,2025,6793,2025,6793,2005m6793,1699l765,1699,765,1719,6793,1719,6793,1699m6793,1394l765,1394,765,1414,6793,1414,6793,1394m8125,6285l6813,6285,6813,6305,8125,6305,8125,6285m8125,5980l6813,5980,6813,6000,8125,6000,8125,5980m8125,5674l6813,5674,6813,5694,8125,5694,8125,5674m8125,5368l6813,5368,6813,5388,8125,5388,8125,5368m8125,5062l6813,5062,6813,5082,8125,5082,8125,5062m8125,4757l6813,4757,6813,4777,8125,4777,8125,4757m8125,4451l6813,4451,6813,4471,8125,4471,8125,4451m8125,4145l6813,4145,6813,4165,8125,4165,8125,4145m8125,3839l6813,3839,6813,3859,8125,3859,8125,3839m8125,3534l6813,3534,6813,3554,8125,3554,8125,3534m8125,3228l6813,3228,6813,3248,8125,3248,8125,3228m8125,2922l6813,2922,6813,2942,8125,2942,8125,2922m8125,2617l6813,2617,6813,2637,8125,2637,8125,2617m8125,2311l6813,2311,6813,2331,8125,2331,8125,2311m8125,2005l6813,2005,6813,2025,8125,2025,8125,2005m8125,1699l6813,1699,6813,1719,8125,1719,8125,1699m8125,1394l6813,1394,6813,1414,8125,1414,8125,1394m8145,7508l6803,7508,765,7508,765,7528,6803,7528,8145,7528,8145,7508m8145,7203l6803,7203,765,7203,765,7223,6803,7223,8145,7223,8145,7203m10393,6285l8145,6285,8145,6305,10393,6305,10393,6285m10393,5368l8145,5368,8145,5388,10393,5388,10393,5368m10393,5062l8145,5062,8145,5082,10393,5082,10393,5062m10393,4757l8145,4757,8145,4777,10393,4777,10393,4757m10393,3534l8145,3534,8145,3554,10393,3554,10393,3534m10393,3228l8145,3228,8145,3248,10393,3248,10393,3228m10393,2922l8145,2922,8145,2942,10393,2942,10393,2922m10393,2005l8145,2005,8145,2025,10393,2025,10393,2005m10393,1699l8145,1699,8145,1719,10393,1719,10393,1699m10393,1394l8145,1394,8145,1414,10393,1414,10393,1394m13805,6897l10403,6897,8135,6897,6803,6897,765,6897,765,6917,6803,6917,8135,6917,10403,6917,13805,6917,13805,6897m13805,6591l10403,6591,8135,6591,6803,6591,765,6591,765,6611,6803,6611,8135,6611,10403,6611,13805,6611,13805,6591m13805,6285l10413,6285,10413,6305,13805,6305,13805,6285m13805,5368l10413,5368,10413,5388,13805,5388,13805,5368m13805,5062l10413,5062,10413,5082,13805,5082,13805,5062m13805,4757l10413,4757,10413,4777,13805,4777,13805,4757m13805,3534l10413,3534,10413,3554,13805,3554,13805,3534m13805,3228l10413,3228,10413,3248,13805,3248,13805,3228m13805,2922l10413,2922,10413,2942,13805,2942,13805,2922m13805,2005l10413,2005,10413,2025,13805,2025,13805,2005m13805,1699l10413,1699,10413,1719,13805,1719,13805,1699m13805,1394l10413,1394,10413,1414,13805,1414,13805,1394e" filled="true" fillcolor="#ffffff" stroked="false">
              <v:path arrowok="t"/>
              <v:fill type="solid"/>
            </v:shape>
            <v:line style="position:absolute" from="13805,4436" to="16072,4436" stroked="true" strokeweight=".501pt" strokecolor="#000000">
              <v:stroke dashstyle="solid"/>
            </v:line>
            <v:line style="position:absolute" from="13805,4486" to="16072,4486" stroked="true" strokeweight=".501pt" strokecolor="#000000">
              <v:stroke dashstyle="solid"/>
            </v:line>
            <v:line style="position:absolute" from="6803,1404" to="6803,1081" stroked="true" strokeweight="1pt" strokecolor="#ffffff">
              <v:stroke dashstyle="solid"/>
            </v:line>
            <v:line style="position:absolute" from="8135,1404" to="8135,1081" stroked="true" strokeweight="1pt" strokecolor="#ffffff">
              <v:stroke dashstyle="solid"/>
            </v:line>
            <v:line style="position:absolute" from="10403,1404" to="10403,1081" stroked="true" strokeweight="1pt" strokecolor="#ffffff">
              <v:stroke dashstyle="solid"/>
            </v:line>
            <v:line style="position:absolute" from="6803,1709" to="6803,1404" stroked="true" strokeweight="1pt" strokecolor="#ffffff">
              <v:stroke dashstyle="solid"/>
            </v:line>
            <v:line style="position:absolute" from="8135,1709" to="8135,1404" stroked="true" strokeweight="1pt" strokecolor="#ffffff">
              <v:stroke dashstyle="solid"/>
            </v:line>
            <v:line style="position:absolute" from="10403,1709" to="10403,1404" stroked="true" strokeweight="1pt" strokecolor="#ffffff">
              <v:stroke dashstyle="solid"/>
            </v:line>
            <v:line style="position:absolute" from="6803,2015" to="6803,1709" stroked="true" strokeweight="1pt" strokecolor="#ffffff">
              <v:stroke dashstyle="solid"/>
            </v:line>
            <v:line style="position:absolute" from="8135,2015" to="8135,1709" stroked="true" strokeweight="1pt" strokecolor="#ffffff">
              <v:stroke dashstyle="solid"/>
            </v:line>
            <v:line style="position:absolute" from="10403,2015" to="10403,1709" stroked="true" strokeweight="1pt" strokecolor="#ffffff">
              <v:stroke dashstyle="solid"/>
            </v:line>
            <v:line style="position:absolute" from="6803,2321" to="6803,2015" stroked="true" strokeweight="1pt" strokecolor="#ffffff">
              <v:stroke dashstyle="solid"/>
            </v:line>
            <v:line style="position:absolute" from="8135,2321" to="8135,2015" stroked="true" strokeweight="1pt" strokecolor="#ffffff">
              <v:stroke dashstyle="solid"/>
            </v:line>
            <v:line style="position:absolute" from="10403,2316" to="10403,2015" stroked="true" strokeweight="1pt" strokecolor="#ffffff">
              <v:stroke dashstyle="solid"/>
            </v:line>
            <v:line style="position:absolute" from="6803,2627" to="6803,2321" stroked="true" strokeweight="1pt" strokecolor="#ffffff">
              <v:stroke dashstyle="solid"/>
            </v:line>
            <v:line style="position:absolute" from="8135,2627" to="8135,2321" stroked="true" strokeweight="1pt" strokecolor="#ffffff">
              <v:stroke dashstyle="solid"/>
            </v:line>
            <v:line style="position:absolute" from="6803,2932" to="6803,2627" stroked="true" strokeweight="1pt" strokecolor="#ffffff">
              <v:stroke dashstyle="solid"/>
            </v:line>
            <v:line style="position:absolute" from="8135,2932" to="8135,2627" stroked="true" strokeweight="1pt" strokecolor="#ffffff">
              <v:stroke dashstyle="solid"/>
            </v:line>
            <v:line style="position:absolute" from="10403,2932" to="10403,2632" stroked="true" strokeweight="1pt" strokecolor="#ffffff">
              <v:stroke dashstyle="solid"/>
            </v:line>
            <v:line style="position:absolute" from="6803,3238" to="6803,2932" stroked="true" strokeweight="1pt" strokecolor="#ffffff">
              <v:stroke dashstyle="solid"/>
            </v:line>
            <v:line style="position:absolute" from="8135,3238" to="8135,2932" stroked="true" strokeweight="1pt" strokecolor="#ffffff">
              <v:stroke dashstyle="solid"/>
            </v:line>
            <v:line style="position:absolute" from="10403,3238" to="10403,2932" stroked="true" strokeweight="1pt" strokecolor="#ffffff">
              <v:stroke dashstyle="solid"/>
            </v:line>
            <v:line style="position:absolute" from="6803,3544" to="6803,3238" stroked="true" strokeweight="1pt" strokecolor="#ffffff">
              <v:stroke dashstyle="solid"/>
            </v:line>
            <v:line style="position:absolute" from="8135,3544" to="8135,3238" stroked="true" strokeweight="1pt" strokecolor="#ffffff">
              <v:stroke dashstyle="solid"/>
            </v:line>
            <v:line style="position:absolute" from="10403,3544" to="10403,3238" stroked="true" strokeweight="1pt" strokecolor="#ffffff">
              <v:stroke dashstyle="solid"/>
            </v:line>
            <v:line style="position:absolute" from="6803,3849" to="6803,3544" stroked="true" strokeweight="1pt" strokecolor="#ffffff">
              <v:stroke dashstyle="solid"/>
            </v:line>
            <v:line style="position:absolute" from="8135,3849" to="8135,3544" stroked="true" strokeweight="1pt" strokecolor="#ffffff">
              <v:stroke dashstyle="solid"/>
            </v:line>
            <v:line style="position:absolute" from="10403,3844" to="10403,3544" stroked="true" strokeweight="1pt" strokecolor="#ffffff">
              <v:stroke dashstyle="solid"/>
            </v:line>
            <v:line style="position:absolute" from="6803,4155" to="6803,3849" stroked="true" strokeweight="1pt" strokecolor="#ffffff">
              <v:stroke dashstyle="solid"/>
            </v:line>
            <v:line style="position:absolute" from="8135,4155" to="8135,3849" stroked="true" strokeweight="1pt" strokecolor="#ffffff">
              <v:stroke dashstyle="solid"/>
            </v:line>
            <v:line style="position:absolute" from="6803,4461" to="6803,4155" stroked="true" strokeweight="1pt" strokecolor="#ffffff">
              <v:stroke dashstyle="solid"/>
            </v:line>
            <v:line style="position:absolute" from="8135,4461" to="8135,4155" stroked="true" strokeweight="1pt" strokecolor="#ffffff">
              <v:stroke dashstyle="solid"/>
            </v:line>
            <v:line style="position:absolute" from="6803,4767" to="6803,4461" stroked="true" strokeweight="1pt" strokecolor="#ffffff">
              <v:stroke dashstyle="solid"/>
            </v:line>
            <v:line style="position:absolute" from="8135,4767" to="8135,4461" stroked="true" strokeweight="1pt" strokecolor="#ffffff">
              <v:stroke dashstyle="solid"/>
            </v:line>
            <v:line style="position:absolute" from="10403,4767" to="10403,4491" stroked="true" strokeweight="1pt" strokecolor="#ffffff">
              <v:stroke dashstyle="solid"/>
            </v:line>
            <v:line style="position:absolute" from="6803,5072" to="6803,4767" stroked="true" strokeweight="1pt" strokecolor="#ffffff">
              <v:stroke dashstyle="solid"/>
            </v:line>
            <v:line style="position:absolute" from="8135,5072" to="8135,4767" stroked="true" strokeweight="1pt" strokecolor="#ffffff">
              <v:stroke dashstyle="solid"/>
            </v:line>
            <v:line style="position:absolute" from="10403,5072" to="10403,4767" stroked="true" strokeweight="1pt" strokecolor="#ffffff">
              <v:stroke dashstyle="solid"/>
            </v:line>
            <v:line style="position:absolute" from="6803,5378" to="6803,5072" stroked="true" strokeweight="1pt" strokecolor="#ffffff">
              <v:stroke dashstyle="solid"/>
            </v:line>
            <v:line style="position:absolute" from="8135,5378" to="8135,5072" stroked="true" strokeweight="1pt" strokecolor="#ffffff">
              <v:stroke dashstyle="solid"/>
            </v:line>
            <v:line style="position:absolute" from="10403,5378" to="10403,5072" stroked="true" strokeweight="1pt" strokecolor="#ffffff">
              <v:stroke dashstyle="solid"/>
            </v:line>
            <v:line style="position:absolute" from="6803,5684" to="6803,5378" stroked="true" strokeweight="1pt" strokecolor="#ffffff">
              <v:stroke dashstyle="solid"/>
            </v:line>
            <v:line style="position:absolute" from="8135,5684" to="8135,5378" stroked="true" strokeweight="1pt" strokecolor="#ffffff">
              <v:stroke dashstyle="solid"/>
            </v:line>
            <v:line style="position:absolute" from="10403,5679" to="10403,5378" stroked="true" strokeweight="1pt" strokecolor="#ffffff">
              <v:stroke dashstyle="solid"/>
            </v:line>
            <v:line style="position:absolute" from="6803,5990" to="6803,5684" stroked="true" strokeweight="1pt" strokecolor="#ffffff">
              <v:stroke dashstyle="solid"/>
            </v:line>
            <v:line style="position:absolute" from="8135,5990" to="8135,5684" stroked="true" strokeweight="1pt" strokecolor="#ffffff">
              <v:stroke dashstyle="solid"/>
            </v:line>
            <v:line style="position:absolute" from="6803,6295" to="6803,5990" stroked="true" strokeweight="1pt" strokecolor="#ffffff">
              <v:stroke dashstyle="solid"/>
            </v:line>
            <v:line style="position:absolute" from="8135,6295" to="8135,5990" stroked="true" strokeweight="1pt" strokecolor="#ffffff">
              <v:stroke dashstyle="solid"/>
            </v:line>
            <v:line style="position:absolute" from="10403,6295" to="10403,5995" stroked="true" strokeweight="1pt" strokecolor="#ffffff">
              <v:stroke dashstyle="solid"/>
            </v:line>
            <v:line style="position:absolute" from="6803,6591" to="6803,6295" stroked="true" strokeweight="1pt" strokecolor="#ffffff">
              <v:stroke dashstyle="solid"/>
            </v:line>
            <v:line style="position:absolute" from="8135,6591" to="8135,6295" stroked="true" strokeweight="1pt" strokecolor="#ffffff">
              <v:stroke dashstyle="solid"/>
            </v:line>
            <v:line style="position:absolute" from="10403,6591" to="10403,6295" stroked="true" strokeweight="1pt" strokecolor="#ffffff">
              <v:stroke dashstyle="solid"/>
            </v:line>
            <v:line style="position:absolute" from="6803,6897" to="6803,6611" stroked="true" strokeweight="1pt" strokecolor="#ffffff">
              <v:stroke dashstyle="solid"/>
            </v:line>
            <v:line style="position:absolute" from="8135,6897" to="8135,6611" stroked="true" strokeweight="1pt" strokecolor="#ffffff">
              <v:stroke dashstyle="solid"/>
            </v:line>
            <v:line style="position:absolute" from="10403,6897" to="10403,6611" stroked="true" strokeweight="1pt" strokecolor="#ffffff">
              <v:stroke dashstyle="solid"/>
            </v:line>
            <v:line style="position:absolute" from="6803,7203" to="6803,6917" stroked="true" strokeweight="1pt" strokecolor="#ffffff">
              <v:stroke dashstyle="solid"/>
            </v:line>
            <v:line style="position:absolute" from="8135,7203" to="8135,6917" stroked="true" strokeweight="1pt" strokecolor="#ffffff">
              <v:stroke dashstyle="solid"/>
            </v:line>
            <v:line style="position:absolute" from="10403,7208" to="10403,6917" stroked="true" strokeweight="1pt" strokecolor="#ffffff">
              <v:stroke dashstyle="solid"/>
            </v:line>
            <v:line style="position:absolute" from="6803,7508" to="6803,7223" stroked="true" strokeweight="1pt" strokecolor="#ffffff">
              <v:stroke dashstyle="solid"/>
            </v:line>
            <v:line style="position:absolute" from="8135,7508" to="8135,7223" stroked="true" strokeweight="1pt" strokecolor="#ffffff">
              <v:stroke dashstyle="solid"/>
            </v:line>
            <v:shape style="position:absolute;left:765;top:7794;width:15308;height:60" coordorigin="765,7794" coordsize="15308,60" path="m16072,7794l13805,7794,10403,7794,8145,7794,8145,7814,6803,7814,765,7814,765,7834,6803,7834,8145,7834,8145,7854,10403,7854,13805,7854,16072,7854,16072,7794e" filled="true" fillcolor="#ffffff" stroked="false">
              <v:path arrowok="t"/>
              <v:fill type="solid"/>
            </v:shape>
            <v:line style="position:absolute" from="13805,7849" to="16072,7849" stroked="true" strokeweight=".501pt" strokecolor="#000000">
              <v:stroke dashstyle="solid"/>
            </v:line>
            <v:line style="position:absolute" from="6803,7814" to="6803,7528" stroked="true" strokeweight="1pt" strokecolor="#ffffff">
              <v:stroke dashstyle="solid"/>
            </v:line>
            <v:line style="position:absolute" from="8135,7814" to="8135,7528" stroked="true" strokeweight="1pt" strokecolor="#ffffff">
              <v:stroke dashstyle="solid"/>
            </v:line>
            <v:line style="position:absolute" from="10403,2622" to="10403,2326" stroked="true" strokeweight="1pt" strokecolor="#ffffff">
              <v:stroke dashstyle="solid"/>
            </v:line>
            <v:line style="position:absolute" from="10403,4150" to="10403,3854" stroked="true" strokeweight="1pt" strokecolor="#ffffff">
              <v:stroke dashstyle="solid"/>
            </v:line>
            <v:line style="position:absolute" from="10403,4431" to="10403,4160" stroked="true" strokeweight="1pt" strokecolor="#ffffff">
              <v:stroke dashstyle="solid"/>
            </v:line>
            <v:line style="position:absolute" from="10403,5985" to="10403,5689" stroked="true" strokeweight="1pt" strokecolor="#ffffff">
              <v:stroke dashstyle="solid"/>
            </v:line>
            <v:line style="position:absolute" from="10403,7513" to="10403,7218" stroked="true" strokeweight="1pt" strokecolor="#ffffff">
              <v:stroke dashstyle="solid"/>
            </v:line>
            <v:line style="position:absolute" from="10403,7794" to="10403,7523" stroked="true" strokeweight="1pt" strokecolor="#ffffff">
              <v:stroke dashstyle="solid"/>
            </v:line>
            <v:line style="position:absolute" from="8145,4436" to="10403,4436" stroked="true" strokeweight=".501pt" strokecolor="#000000">
              <v:stroke dashstyle="solid"/>
            </v:line>
            <v:line style="position:absolute" from="8145,4486" to="10403,4486" stroked="true" strokeweight=".501pt" strokecolor="#000000">
              <v:stroke dashstyle="solid"/>
            </v:line>
            <v:line style="position:absolute" from="10403,4436" to="13805,4436" stroked="true" strokeweight=".501pt" strokecolor="#000000">
              <v:stroke dashstyle="solid"/>
            </v:line>
            <v:line style="position:absolute" from="10403,4486" to="13805,4486" stroked="true" strokeweight=".501pt" strokecolor="#000000">
              <v:stroke dashstyle="solid"/>
            </v:line>
            <v:line style="position:absolute" from="8145,7849" to="10403,7849" stroked="true" strokeweight=".501pt" strokecolor="#000000">
              <v:stroke dashstyle="solid"/>
            </v:line>
            <v:line style="position:absolute" from="10403,7849" to="13805,7849" stroked="true" strokeweight=".501pt" strokecolor="#000000">
              <v:stroke dashstyle="solid"/>
            </v:line>
            <v:line style="position:absolute" from="13805,5985" to="13805,5689" stroked="true" strokeweight=".5pt" strokecolor="#e7e8c2">
              <v:stroke dashstyle="solid"/>
            </v:line>
            <w10:wrap type="none"/>
          </v:group>
        </w:pict>
      </w:r>
      <w:r>
        <w:rPr>
          <w:color w:val="6F2770"/>
        </w:rPr>
        <w:t>For the year ended 30 June 2018</w:t>
      </w:r>
    </w:p>
    <w:p>
      <w:pPr>
        <w:pStyle w:val="BodyText"/>
        <w:spacing w:before="3"/>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2"/>
        <w:gridCol w:w="1908"/>
        <w:gridCol w:w="2512"/>
        <w:gridCol w:w="3147"/>
        <w:gridCol w:w="2267"/>
      </w:tblGrid>
      <w:tr>
        <w:trPr>
          <w:trHeight w:val="267" w:hRule="atLeast"/>
        </w:trPr>
        <w:tc>
          <w:tcPr>
            <w:tcW w:w="5472" w:type="dxa"/>
            <w:vMerge w:val="restart"/>
            <w:shd w:val="clear" w:color="auto" w:fill="783A79"/>
          </w:tcPr>
          <w:p>
            <w:pPr>
              <w:pStyle w:val="TableParagraph"/>
              <w:spacing w:before="0"/>
              <w:rPr>
                <w:rFonts w:ascii="Times New Roman"/>
                <w:sz w:val="20"/>
              </w:rPr>
            </w:pPr>
          </w:p>
        </w:tc>
        <w:tc>
          <w:tcPr>
            <w:tcW w:w="1908" w:type="dxa"/>
            <w:shd w:val="clear" w:color="auto" w:fill="783A79"/>
          </w:tcPr>
          <w:p>
            <w:pPr>
              <w:pStyle w:val="TableParagraph"/>
              <w:spacing w:line="200" w:lineRule="exact" w:before="47"/>
              <w:ind w:right="457"/>
              <w:jc w:val="right"/>
              <w:rPr>
                <w:b/>
                <w:sz w:val="19"/>
              </w:rPr>
            </w:pPr>
            <w:r>
              <w:rPr>
                <w:b/>
                <w:color w:val="FFFFFF"/>
                <w:sz w:val="19"/>
              </w:rPr>
              <w:t>Note</w:t>
            </w:r>
          </w:p>
        </w:tc>
        <w:tc>
          <w:tcPr>
            <w:tcW w:w="2512" w:type="dxa"/>
            <w:shd w:val="clear" w:color="auto" w:fill="783A79"/>
          </w:tcPr>
          <w:p>
            <w:pPr>
              <w:pStyle w:val="TableParagraph"/>
              <w:spacing w:line="200" w:lineRule="exact" w:before="47"/>
              <w:ind w:right="365"/>
              <w:jc w:val="right"/>
              <w:rPr>
                <w:b/>
                <w:sz w:val="19"/>
              </w:rPr>
            </w:pPr>
            <w:r>
              <w:rPr>
                <w:b/>
                <w:color w:val="FFFFFF"/>
                <w:sz w:val="19"/>
              </w:rPr>
              <w:t>Contributed Equity</w:t>
            </w:r>
          </w:p>
        </w:tc>
        <w:tc>
          <w:tcPr>
            <w:tcW w:w="3147" w:type="dxa"/>
            <w:shd w:val="clear" w:color="auto" w:fill="783A79"/>
          </w:tcPr>
          <w:p>
            <w:pPr>
              <w:pStyle w:val="TableParagraph"/>
              <w:spacing w:line="200" w:lineRule="exact" w:before="47"/>
              <w:ind w:right="110"/>
              <w:jc w:val="right"/>
              <w:rPr>
                <w:b/>
                <w:sz w:val="19"/>
              </w:rPr>
            </w:pPr>
            <w:r>
              <w:rPr>
                <w:b/>
                <w:color w:val="FFFFFF"/>
                <w:sz w:val="19"/>
              </w:rPr>
              <w:t>Accumulated surplus/(deficit)</w:t>
            </w:r>
          </w:p>
        </w:tc>
        <w:tc>
          <w:tcPr>
            <w:tcW w:w="2267" w:type="dxa"/>
            <w:shd w:val="clear" w:color="auto" w:fill="783A79"/>
          </w:tcPr>
          <w:p>
            <w:pPr>
              <w:pStyle w:val="TableParagraph"/>
              <w:spacing w:line="200" w:lineRule="exact" w:before="47"/>
              <w:ind w:right="110"/>
              <w:jc w:val="right"/>
              <w:rPr>
                <w:b/>
                <w:sz w:val="19"/>
              </w:rPr>
            </w:pPr>
            <w:r>
              <w:rPr>
                <w:b/>
                <w:color w:val="FFFFFF"/>
                <w:sz w:val="19"/>
              </w:rPr>
              <w:t>Total Equity</w:t>
            </w:r>
          </w:p>
        </w:tc>
      </w:tr>
      <w:tr>
        <w:trPr>
          <w:trHeight w:val="270" w:hRule="atLeast"/>
        </w:trPr>
        <w:tc>
          <w:tcPr>
            <w:tcW w:w="5472" w:type="dxa"/>
            <w:vMerge/>
            <w:tcBorders>
              <w:top w:val="nil"/>
            </w:tcBorders>
            <w:shd w:val="clear" w:color="auto" w:fill="783A79"/>
          </w:tcPr>
          <w:p>
            <w:pPr>
              <w:rPr>
                <w:sz w:val="2"/>
                <w:szCs w:val="2"/>
              </w:rPr>
            </w:pPr>
          </w:p>
        </w:tc>
        <w:tc>
          <w:tcPr>
            <w:tcW w:w="1908" w:type="dxa"/>
            <w:shd w:val="clear" w:color="auto" w:fill="783A79"/>
          </w:tcPr>
          <w:p>
            <w:pPr>
              <w:pStyle w:val="TableParagraph"/>
              <w:spacing w:before="0"/>
              <w:rPr>
                <w:rFonts w:ascii="Times New Roman"/>
                <w:sz w:val="20"/>
              </w:rPr>
            </w:pPr>
          </w:p>
        </w:tc>
        <w:tc>
          <w:tcPr>
            <w:tcW w:w="2512" w:type="dxa"/>
            <w:shd w:val="clear" w:color="auto" w:fill="783A79"/>
          </w:tcPr>
          <w:p>
            <w:pPr>
              <w:pStyle w:val="TableParagraph"/>
              <w:spacing w:before="7"/>
              <w:ind w:right="365"/>
              <w:jc w:val="right"/>
              <w:rPr>
                <w:b/>
                <w:sz w:val="19"/>
              </w:rPr>
            </w:pPr>
            <w:r>
              <w:rPr>
                <w:b/>
                <w:color w:val="FFFFFF"/>
                <w:w w:val="95"/>
                <w:sz w:val="19"/>
              </w:rPr>
              <w:t>$000</w:t>
            </w:r>
          </w:p>
        </w:tc>
        <w:tc>
          <w:tcPr>
            <w:tcW w:w="3147" w:type="dxa"/>
            <w:shd w:val="clear" w:color="auto" w:fill="783A79"/>
          </w:tcPr>
          <w:p>
            <w:pPr>
              <w:pStyle w:val="TableParagraph"/>
              <w:spacing w:before="7"/>
              <w:ind w:right="110"/>
              <w:jc w:val="right"/>
              <w:rPr>
                <w:b/>
                <w:sz w:val="19"/>
              </w:rPr>
            </w:pPr>
            <w:r>
              <w:rPr>
                <w:b/>
                <w:color w:val="FFFFFF"/>
                <w:w w:val="95"/>
                <w:sz w:val="19"/>
              </w:rPr>
              <w:t>$000</w:t>
            </w:r>
          </w:p>
        </w:tc>
        <w:tc>
          <w:tcPr>
            <w:tcW w:w="2267" w:type="dxa"/>
            <w:shd w:val="clear" w:color="auto" w:fill="783A79"/>
          </w:tcPr>
          <w:p>
            <w:pPr>
              <w:pStyle w:val="TableParagraph"/>
              <w:spacing w:before="7"/>
              <w:ind w:right="110"/>
              <w:jc w:val="right"/>
              <w:rPr>
                <w:b/>
                <w:sz w:val="19"/>
              </w:rPr>
            </w:pPr>
            <w:r>
              <w:rPr>
                <w:b/>
                <w:color w:val="FFFFFF"/>
                <w:w w:val="95"/>
                <w:sz w:val="19"/>
              </w:rPr>
              <w:t>$000</w:t>
            </w:r>
          </w:p>
        </w:tc>
      </w:tr>
      <w:tr>
        <w:trPr>
          <w:trHeight w:val="311" w:hRule="atLeast"/>
        </w:trPr>
        <w:tc>
          <w:tcPr>
            <w:tcW w:w="5472" w:type="dxa"/>
            <w:shd w:val="clear" w:color="auto" w:fill="F4F4F4"/>
          </w:tcPr>
          <w:p>
            <w:pPr>
              <w:pStyle w:val="TableParagraph"/>
              <w:spacing w:before="0"/>
              <w:rPr>
                <w:rFonts w:ascii="Times New Roman"/>
                <w:sz w:val="20"/>
              </w:rPr>
            </w:pPr>
          </w:p>
        </w:tc>
        <w:tc>
          <w:tcPr>
            <w:tcW w:w="1908" w:type="dxa"/>
            <w:shd w:val="clear" w:color="auto" w:fill="F4F4F4"/>
          </w:tcPr>
          <w:p>
            <w:pPr>
              <w:pStyle w:val="TableParagraph"/>
              <w:spacing w:before="42"/>
              <w:ind w:right="568"/>
              <w:jc w:val="right"/>
              <w:rPr>
                <w:sz w:val="19"/>
              </w:rPr>
            </w:pPr>
            <w:hyperlink w:history="true" w:anchor="_bookmark35">
              <w:r>
                <w:rPr>
                  <w:color w:val="6F2770"/>
                  <w:w w:val="95"/>
                  <w:sz w:val="19"/>
                  <w:u w:val="single" w:color="6F2770"/>
                </w:rPr>
                <w:t>33</w:t>
              </w:r>
            </w:hyperlink>
          </w:p>
        </w:tc>
        <w:tc>
          <w:tcPr>
            <w:tcW w:w="2512" w:type="dxa"/>
            <w:shd w:val="clear" w:color="auto" w:fill="F4F4F4"/>
          </w:tcPr>
          <w:p>
            <w:pPr>
              <w:pStyle w:val="TableParagraph"/>
              <w:spacing w:before="0"/>
              <w:rPr>
                <w:rFonts w:ascii="Times New Roman"/>
                <w:sz w:val="20"/>
              </w:rPr>
            </w:pPr>
          </w:p>
        </w:tc>
        <w:tc>
          <w:tcPr>
            <w:tcW w:w="3147" w:type="dxa"/>
            <w:shd w:val="clear" w:color="auto" w:fill="F4F4F4"/>
          </w:tcPr>
          <w:p>
            <w:pPr>
              <w:pStyle w:val="TableParagraph"/>
              <w:spacing w:before="0"/>
              <w:rPr>
                <w:rFonts w:ascii="Times New Roman"/>
                <w:sz w:val="20"/>
              </w:rPr>
            </w:pPr>
          </w:p>
        </w:tc>
        <w:tc>
          <w:tcPr>
            <w:tcW w:w="2267" w:type="dxa"/>
            <w:shd w:val="clear" w:color="auto" w:fill="DFE1B8"/>
          </w:tcPr>
          <w:p>
            <w:pPr>
              <w:pStyle w:val="TableParagraph"/>
              <w:spacing w:before="0"/>
              <w:rPr>
                <w:rFonts w:ascii="Times New Roman"/>
                <w:sz w:val="20"/>
              </w:rPr>
            </w:pPr>
          </w:p>
        </w:tc>
      </w:tr>
      <w:tr>
        <w:trPr>
          <w:trHeight w:val="317" w:hRule="atLeast"/>
        </w:trPr>
        <w:tc>
          <w:tcPr>
            <w:tcW w:w="5472" w:type="dxa"/>
            <w:shd w:val="clear" w:color="auto" w:fill="FAF9F9"/>
          </w:tcPr>
          <w:p>
            <w:pPr>
              <w:pStyle w:val="TableParagraph"/>
              <w:spacing w:before="57"/>
              <w:ind w:left="113"/>
              <w:rPr>
                <w:b/>
                <w:sz w:val="19"/>
              </w:rPr>
            </w:pPr>
            <w:r>
              <w:rPr>
                <w:b/>
                <w:sz w:val="19"/>
              </w:rPr>
              <w:t>Balance at 1 July 2016</w:t>
            </w:r>
          </w:p>
        </w:tc>
        <w:tc>
          <w:tcPr>
            <w:tcW w:w="1908" w:type="dxa"/>
            <w:shd w:val="clear" w:color="auto" w:fill="FAF9F9"/>
          </w:tcPr>
          <w:p>
            <w:pPr>
              <w:pStyle w:val="TableParagraph"/>
              <w:spacing w:before="0"/>
              <w:rPr>
                <w:rFonts w:ascii="Times New Roman"/>
                <w:sz w:val="20"/>
              </w:rPr>
            </w:pPr>
          </w:p>
        </w:tc>
        <w:tc>
          <w:tcPr>
            <w:tcW w:w="2512" w:type="dxa"/>
            <w:shd w:val="clear" w:color="auto" w:fill="FAF9F9"/>
          </w:tcPr>
          <w:p>
            <w:pPr>
              <w:pStyle w:val="TableParagraph"/>
              <w:spacing w:before="57"/>
              <w:ind w:right="365"/>
              <w:jc w:val="right"/>
              <w:rPr>
                <w:b/>
                <w:sz w:val="19"/>
              </w:rPr>
            </w:pPr>
            <w:r>
              <w:rPr>
                <w:b/>
                <w:w w:val="95"/>
                <w:sz w:val="19"/>
              </w:rPr>
              <w:t>1,026,944</w:t>
            </w:r>
          </w:p>
        </w:tc>
        <w:tc>
          <w:tcPr>
            <w:tcW w:w="3147" w:type="dxa"/>
            <w:shd w:val="clear" w:color="auto" w:fill="FAF9F9"/>
          </w:tcPr>
          <w:p>
            <w:pPr>
              <w:pStyle w:val="TableParagraph"/>
              <w:spacing w:before="57"/>
              <w:ind w:right="110"/>
              <w:jc w:val="right"/>
              <w:rPr>
                <w:b/>
                <w:sz w:val="19"/>
              </w:rPr>
            </w:pPr>
            <w:r>
              <w:rPr>
                <w:b/>
                <w:w w:val="95"/>
                <w:sz w:val="19"/>
              </w:rPr>
              <w:t>48,292</w:t>
            </w:r>
          </w:p>
        </w:tc>
        <w:tc>
          <w:tcPr>
            <w:tcW w:w="2267" w:type="dxa"/>
            <w:shd w:val="clear" w:color="auto" w:fill="E1E4BB"/>
          </w:tcPr>
          <w:p>
            <w:pPr>
              <w:pStyle w:val="TableParagraph"/>
              <w:spacing w:before="57"/>
              <w:ind w:right="110"/>
              <w:jc w:val="right"/>
              <w:rPr>
                <w:b/>
                <w:sz w:val="19"/>
              </w:rPr>
            </w:pPr>
            <w:r>
              <w:rPr>
                <w:b/>
                <w:w w:val="95"/>
                <w:sz w:val="19"/>
              </w:rPr>
              <w:t>1,075,236</w:t>
            </w:r>
          </w:p>
        </w:tc>
      </w:tr>
      <w:tr>
        <w:trPr>
          <w:trHeight w:val="609" w:hRule="atLeast"/>
        </w:trPr>
        <w:tc>
          <w:tcPr>
            <w:tcW w:w="5472" w:type="dxa"/>
          </w:tcPr>
          <w:p>
            <w:pPr>
              <w:pStyle w:val="TableParagraph"/>
              <w:spacing w:before="45"/>
              <w:ind w:left="271"/>
              <w:rPr>
                <w:sz w:val="19"/>
              </w:rPr>
            </w:pPr>
            <w:r>
              <w:rPr>
                <w:sz w:val="19"/>
              </w:rPr>
              <w:t>Surplus/(deficit)</w:t>
            </w:r>
          </w:p>
          <w:p>
            <w:pPr>
              <w:pStyle w:val="TableParagraph"/>
              <w:spacing w:before="88"/>
              <w:ind w:left="271"/>
              <w:rPr>
                <w:sz w:val="19"/>
              </w:rPr>
            </w:pPr>
            <w:r>
              <w:rPr>
                <w:sz w:val="19"/>
              </w:rPr>
              <w:t>Other comprehensive income</w:t>
            </w:r>
          </w:p>
        </w:tc>
        <w:tc>
          <w:tcPr>
            <w:tcW w:w="1908" w:type="dxa"/>
          </w:tcPr>
          <w:p>
            <w:pPr>
              <w:pStyle w:val="TableParagraph"/>
              <w:spacing w:before="0"/>
              <w:rPr>
                <w:rFonts w:ascii="Times New Roman"/>
                <w:sz w:val="20"/>
              </w:rPr>
            </w:pPr>
          </w:p>
        </w:tc>
        <w:tc>
          <w:tcPr>
            <w:tcW w:w="2512" w:type="dxa"/>
            <w:tcBorders>
              <w:bottom w:val="single" w:sz="4" w:space="0" w:color="000000"/>
            </w:tcBorders>
          </w:tcPr>
          <w:p>
            <w:pPr>
              <w:pStyle w:val="TableParagraph"/>
              <w:spacing w:before="45"/>
              <w:ind w:right="365"/>
              <w:jc w:val="right"/>
              <w:rPr>
                <w:sz w:val="19"/>
              </w:rPr>
            </w:pPr>
            <w:r>
              <w:rPr>
                <w:w w:val="111"/>
                <w:sz w:val="19"/>
              </w:rPr>
              <w:t>-</w:t>
            </w:r>
          </w:p>
          <w:p>
            <w:pPr>
              <w:pStyle w:val="TableParagraph"/>
              <w:spacing w:before="88"/>
              <w:ind w:right="365"/>
              <w:jc w:val="right"/>
              <w:rPr>
                <w:sz w:val="19"/>
              </w:rPr>
            </w:pPr>
            <w:r>
              <w:rPr>
                <w:w w:val="111"/>
                <w:sz w:val="19"/>
              </w:rPr>
              <w:t>-</w:t>
            </w:r>
          </w:p>
        </w:tc>
        <w:tc>
          <w:tcPr>
            <w:tcW w:w="3147" w:type="dxa"/>
            <w:tcBorders>
              <w:bottom w:val="single" w:sz="4" w:space="0" w:color="000000"/>
            </w:tcBorders>
          </w:tcPr>
          <w:p>
            <w:pPr>
              <w:pStyle w:val="TableParagraph"/>
              <w:spacing w:before="45"/>
              <w:ind w:right="110"/>
              <w:jc w:val="right"/>
              <w:rPr>
                <w:sz w:val="19"/>
              </w:rPr>
            </w:pPr>
            <w:r>
              <w:rPr>
                <w:w w:val="95"/>
                <w:sz w:val="19"/>
              </w:rPr>
              <w:t>10,841</w:t>
            </w:r>
          </w:p>
          <w:p>
            <w:pPr>
              <w:pStyle w:val="TableParagraph"/>
              <w:spacing w:before="88"/>
              <w:ind w:right="110"/>
              <w:jc w:val="right"/>
              <w:rPr>
                <w:sz w:val="19"/>
              </w:rPr>
            </w:pPr>
            <w:r>
              <w:rPr>
                <w:w w:val="111"/>
                <w:sz w:val="19"/>
              </w:rPr>
              <w:t>-</w:t>
            </w:r>
          </w:p>
        </w:tc>
        <w:tc>
          <w:tcPr>
            <w:tcW w:w="2267" w:type="dxa"/>
            <w:tcBorders>
              <w:bottom w:val="single" w:sz="4" w:space="0" w:color="000000"/>
            </w:tcBorders>
            <w:shd w:val="clear" w:color="auto" w:fill="E1E4BB"/>
          </w:tcPr>
          <w:p>
            <w:pPr>
              <w:pStyle w:val="TableParagraph"/>
              <w:spacing w:before="45"/>
              <w:ind w:right="110"/>
              <w:jc w:val="right"/>
              <w:rPr>
                <w:sz w:val="19"/>
              </w:rPr>
            </w:pPr>
            <w:r>
              <w:rPr>
                <w:w w:val="95"/>
                <w:sz w:val="19"/>
              </w:rPr>
              <w:t>10,841</w:t>
            </w:r>
          </w:p>
          <w:p>
            <w:pPr>
              <w:pStyle w:val="TableParagraph"/>
              <w:spacing w:before="88"/>
              <w:ind w:right="110"/>
              <w:jc w:val="right"/>
              <w:rPr>
                <w:sz w:val="19"/>
              </w:rPr>
            </w:pPr>
            <w:r>
              <w:rPr>
                <w:w w:val="111"/>
                <w:sz w:val="19"/>
              </w:rPr>
              <w:t>-</w:t>
            </w:r>
          </w:p>
        </w:tc>
      </w:tr>
      <w:tr>
        <w:trPr>
          <w:trHeight w:val="295" w:hRule="atLeast"/>
        </w:trPr>
        <w:tc>
          <w:tcPr>
            <w:tcW w:w="5472" w:type="dxa"/>
            <w:shd w:val="clear" w:color="auto" w:fill="F4F4F4"/>
          </w:tcPr>
          <w:p>
            <w:pPr>
              <w:pStyle w:val="TableParagraph"/>
              <w:spacing w:before="37"/>
              <w:ind w:left="113"/>
              <w:rPr>
                <w:sz w:val="19"/>
              </w:rPr>
            </w:pPr>
            <w:r>
              <w:rPr>
                <w:sz w:val="19"/>
              </w:rPr>
              <w:t>Total comprehensive income for the period</w:t>
            </w:r>
          </w:p>
        </w:tc>
        <w:tc>
          <w:tcPr>
            <w:tcW w:w="1908" w:type="dxa"/>
            <w:shd w:val="clear" w:color="auto" w:fill="F4F4F4"/>
          </w:tcPr>
          <w:p>
            <w:pPr>
              <w:pStyle w:val="TableParagraph"/>
              <w:spacing w:before="0"/>
              <w:rPr>
                <w:rFonts w:ascii="Times New Roman"/>
                <w:sz w:val="20"/>
              </w:rPr>
            </w:pPr>
          </w:p>
        </w:tc>
        <w:tc>
          <w:tcPr>
            <w:tcW w:w="2512" w:type="dxa"/>
            <w:tcBorders>
              <w:top w:val="single" w:sz="4" w:space="0" w:color="000000"/>
              <w:bottom w:val="single" w:sz="4" w:space="0" w:color="000000"/>
            </w:tcBorders>
            <w:shd w:val="clear" w:color="auto" w:fill="F4F4F4"/>
          </w:tcPr>
          <w:p>
            <w:pPr>
              <w:pStyle w:val="TableParagraph"/>
              <w:spacing w:before="37"/>
              <w:ind w:right="365"/>
              <w:jc w:val="right"/>
              <w:rPr>
                <w:sz w:val="19"/>
              </w:rPr>
            </w:pPr>
            <w:r>
              <w:rPr>
                <w:w w:val="111"/>
                <w:sz w:val="19"/>
              </w:rPr>
              <w:t>-</w:t>
            </w:r>
          </w:p>
        </w:tc>
        <w:tc>
          <w:tcPr>
            <w:tcW w:w="3147" w:type="dxa"/>
            <w:tcBorders>
              <w:top w:val="single" w:sz="4" w:space="0" w:color="000000"/>
              <w:bottom w:val="single" w:sz="4" w:space="0" w:color="000000"/>
            </w:tcBorders>
            <w:shd w:val="clear" w:color="auto" w:fill="F4F4F4"/>
          </w:tcPr>
          <w:p>
            <w:pPr>
              <w:pStyle w:val="TableParagraph"/>
              <w:spacing w:before="37"/>
              <w:ind w:right="110"/>
              <w:jc w:val="right"/>
              <w:rPr>
                <w:sz w:val="19"/>
              </w:rPr>
            </w:pPr>
            <w:r>
              <w:rPr>
                <w:w w:val="95"/>
                <w:sz w:val="19"/>
              </w:rPr>
              <w:t>10,841</w:t>
            </w:r>
          </w:p>
        </w:tc>
        <w:tc>
          <w:tcPr>
            <w:tcW w:w="2267" w:type="dxa"/>
            <w:tcBorders>
              <w:top w:val="single" w:sz="4" w:space="0" w:color="000000"/>
              <w:bottom w:val="single" w:sz="4" w:space="0" w:color="000000"/>
            </w:tcBorders>
            <w:shd w:val="clear" w:color="auto" w:fill="DFE1B8"/>
          </w:tcPr>
          <w:p>
            <w:pPr>
              <w:pStyle w:val="TableParagraph"/>
              <w:spacing w:before="37"/>
              <w:ind w:right="110"/>
              <w:jc w:val="right"/>
              <w:rPr>
                <w:sz w:val="19"/>
              </w:rPr>
            </w:pPr>
            <w:r>
              <w:rPr>
                <w:w w:val="95"/>
                <w:sz w:val="19"/>
              </w:rPr>
              <w:t>10,841</w:t>
            </w:r>
          </w:p>
        </w:tc>
      </w:tr>
      <w:tr>
        <w:trPr>
          <w:trHeight w:val="602" w:hRule="atLeast"/>
        </w:trPr>
        <w:tc>
          <w:tcPr>
            <w:tcW w:w="5472" w:type="dxa"/>
          </w:tcPr>
          <w:p>
            <w:pPr>
              <w:pStyle w:val="TableParagraph"/>
              <w:spacing w:before="37"/>
              <w:ind w:left="113"/>
              <w:rPr>
                <w:sz w:val="19"/>
              </w:rPr>
            </w:pPr>
            <w:r>
              <w:rPr>
                <w:sz w:val="19"/>
              </w:rPr>
              <w:t>Transactions with owners in their capacity as owners:</w:t>
            </w:r>
          </w:p>
          <w:p>
            <w:pPr>
              <w:pStyle w:val="TableParagraph"/>
              <w:spacing w:before="87"/>
              <w:ind w:left="271"/>
              <w:rPr>
                <w:sz w:val="19"/>
              </w:rPr>
            </w:pPr>
            <w:r>
              <w:rPr>
                <w:sz w:val="19"/>
              </w:rPr>
              <w:t>Capital appropriations</w:t>
            </w:r>
          </w:p>
        </w:tc>
        <w:tc>
          <w:tcPr>
            <w:tcW w:w="1908" w:type="dxa"/>
          </w:tcPr>
          <w:p>
            <w:pPr>
              <w:pStyle w:val="TableParagraph"/>
              <w:spacing w:before="0"/>
              <w:rPr>
                <w:rFonts w:ascii="Times New Roman"/>
                <w:sz w:val="20"/>
              </w:rPr>
            </w:pPr>
          </w:p>
        </w:tc>
        <w:tc>
          <w:tcPr>
            <w:tcW w:w="2512" w:type="dxa"/>
            <w:tcBorders>
              <w:top w:val="single" w:sz="4" w:space="0" w:color="000000"/>
            </w:tcBorders>
          </w:tcPr>
          <w:p>
            <w:pPr>
              <w:pStyle w:val="TableParagraph"/>
              <w:spacing w:before="9"/>
              <w:rPr>
                <w:sz w:val="29"/>
              </w:rPr>
            </w:pPr>
          </w:p>
          <w:p>
            <w:pPr>
              <w:pStyle w:val="TableParagraph"/>
              <w:spacing w:before="0"/>
              <w:ind w:right="365"/>
              <w:jc w:val="right"/>
              <w:rPr>
                <w:sz w:val="19"/>
              </w:rPr>
            </w:pPr>
            <w:r>
              <w:rPr>
                <w:w w:val="95"/>
                <w:sz w:val="19"/>
              </w:rPr>
              <w:t>28,763</w:t>
            </w:r>
          </w:p>
        </w:tc>
        <w:tc>
          <w:tcPr>
            <w:tcW w:w="3147" w:type="dxa"/>
            <w:tcBorders>
              <w:top w:val="single" w:sz="4" w:space="0" w:color="000000"/>
            </w:tcBorders>
          </w:tcPr>
          <w:p>
            <w:pPr>
              <w:pStyle w:val="TableParagraph"/>
              <w:spacing w:before="9"/>
              <w:rPr>
                <w:sz w:val="29"/>
              </w:rPr>
            </w:pPr>
          </w:p>
          <w:p>
            <w:pPr>
              <w:pStyle w:val="TableParagraph"/>
              <w:spacing w:before="0"/>
              <w:ind w:right="110"/>
              <w:jc w:val="right"/>
              <w:rPr>
                <w:sz w:val="19"/>
              </w:rPr>
            </w:pPr>
            <w:r>
              <w:rPr>
                <w:w w:val="111"/>
                <w:sz w:val="19"/>
              </w:rPr>
              <w:t>-</w:t>
            </w:r>
          </w:p>
        </w:tc>
        <w:tc>
          <w:tcPr>
            <w:tcW w:w="2267" w:type="dxa"/>
            <w:tcBorders>
              <w:top w:val="single" w:sz="4" w:space="0" w:color="000000"/>
            </w:tcBorders>
            <w:shd w:val="clear" w:color="auto" w:fill="E1E4BB"/>
          </w:tcPr>
          <w:p>
            <w:pPr>
              <w:pStyle w:val="TableParagraph"/>
              <w:spacing w:before="9"/>
              <w:rPr>
                <w:sz w:val="29"/>
              </w:rPr>
            </w:pPr>
          </w:p>
          <w:p>
            <w:pPr>
              <w:pStyle w:val="TableParagraph"/>
              <w:spacing w:before="0"/>
              <w:ind w:right="110"/>
              <w:jc w:val="right"/>
              <w:rPr>
                <w:sz w:val="19"/>
              </w:rPr>
            </w:pPr>
            <w:r>
              <w:rPr>
                <w:w w:val="95"/>
                <w:sz w:val="19"/>
              </w:rPr>
              <w:t>28,763</w:t>
            </w:r>
          </w:p>
        </w:tc>
      </w:tr>
      <w:tr>
        <w:trPr>
          <w:trHeight w:val="305" w:hRule="atLeast"/>
        </w:trPr>
        <w:tc>
          <w:tcPr>
            <w:tcW w:w="5472" w:type="dxa"/>
            <w:shd w:val="clear" w:color="auto" w:fill="FAF9F9"/>
          </w:tcPr>
          <w:p>
            <w:pPr>
              <w:pStyle w:val="TableParagraph"/>
              <w:spacing w:before="46"/>
              <w:ind w:left="271"/>
              <w:rPr>
                <w:sz w:val="19"/>
              </w:rPr>
            </w:pPr>
            <w:r>
              <w:rPr>
                <w:sz w:val="19"/>
              </w:rPr>
              <w:t>Contributions by owners</w:t>
            </w:r>
          </w:p>
        </w:tc>
        <w:tc>
          <w:tcPr>
            <w:tcW w:w="1908" w:type="dxa"/>
            <w:shd w:val="clear" w:color="auto" w:fill="FAF9F9"/>
          </w:tcPr>
          <w:p>
            <w:pPr>
              <w:pStyle w:val="TableParagraph"/>
              <w:spacing w:before="0"/>
              <w:rPr>
                <w:rFonts w:ascii="Times New Roman"/>
                <w:sz w:val="20"/>
              </w:rPr>
            </w:pPr>
          </w:p>
        </w:tc>
        <w:tc>
          <w:tcPr>
            <w:tcW w:w="2512" w:type="dxa"/>
            <w:shd w:val="clear" w:color="auto" w:fill="FAF9F9"/>
          </w:tcPr>
          <w:p>
            <w:pPr>
              <w:pStyle w:val="TableParagraph"/>
              <w:spacing w:before="46"/>
              <w:ind w:right="365"/>
              <w:jc w:val="right"/>
              <w:rPr>
                <w:sz w:val="19"/>
              </w:rPr>
            </w:pPr>
            <w:r>
              <w:rPr>
                <w:w w:val="95"/>
                <w:sz w:val="19"/>
              </w:rPr>
              <w:t>245</w:t>
            </w:r>
          </w:p>
        </w:tc>
        <w:tc>
          <w:tcPr>
            <w:tcW w:w="3147" w:type="dxa"/>
            <w:shd w:val="clear" w:color="auto" w:fill="FAF9F9"/>
          </w:tcPr>
          <w:p>
            <w:pPr>
              <w:pStyle w:val="TableParagraph"/>
              <w:spacing w:before="46"/>
              <w:ind w:right="110"/>
              <w:jc w:val="right"/>
              <w:rPr>
                <w:sz w:val="19"/>
              </w:rPr>
            </w:pPr>
            <w:r>
              <w:rPr>
                <w:w w:val="111"/>
                <w:sz w:val="19"/>
              </w:rPr>
              <w:t>-</w:t>
            </w:r>
          </w:p>
        </w:tc>
        <w:tc>
          <w:tcPr>
            <w:tcW w:w="2267" w:type="dxa"/>
            <w:shd w:val="clear" w:color="auto" w:fill="E1E4BB"/>
          </w:tcPr>
          <w:p>
            <w:pPr>
              <w:pStyle w:val="TableParagraph"/>
              <w:spacing w:before="46"/>
              <w:ind w:right="110"/>
              <w:jc w:val="right"/>
              <w:rPr>
                <w:sz w:val="19"/>
              </w:rPr>
            </w:pPr>
            <w:r>
              <w:rPr>
                <w:w w:val="95"/>
                <w:sz w:val="19"/>
              </w:rPr>
              <w:t>245</w:t>
            </w:r>
          </w:p>
        </w:tc>
      </w:tr>
      <w:tr>
        <w:trPr>
          <w:trHeight w:val="304" w:hRule="atLeast"/>
        </w:trPr>
        <w:tc>
          <w:tcPr>
            <w:tcW w:w="5472" w:type="dxa"/>
            <w:shd w:val="clear" w:color="auto" w:fill="F4F4F4"/>
          </w:tcPr>
          <w:p>
            <w:pPr>
              <w:pStyle w:val="TableParagraph"/>
              <w:spacing w:before="46"/>
              <w:ind w:left="271"/>
              <w:rPr>
                <w:sz w:val="19"/>
              </w:rPr>
            </w:pPr>
            <w:r>
              <w:rPr>
                <w:sz w:val="19"/>
              </w:rPr>
              <w:t>Distributions to owners</w:t>
            </w:r>
          </w:p>
        </w:tc>
        <w:tc>
          <w:tcPr>
            <w:tcW w:w="1908" w:type="dxa"/>
            <w:shd w:val="clear" w:color="auto" w:fill="F4F4F4"/>
          </w:tcPr>
          <w:p>
            <w:pPr>
              <w:pStyle w:val="TableParagraph"/>
              <w:spacing w:before="0"/>
              <w:rPr>
                <w:rFonts w:ascii="Times New Roman"/>
                <w:sz w:val="20"/>
              </w:rPr>
            </w:pPr>
          </w:p>
        </w:tc>
        <w:tc>
          <w:tcPr>
            <w:tcW w:w="2512" w:type="dxa"/>
            <w:tcBorders>
              <w:bottom w:val="single" w:sz="4" w:space="0" w:color="000000"/>
            </w:tcBorders>
            <w:shd w:val="clear" w:color="auto" w:fill="F4F4F4"/>
          </w:tcPr>
          <w:p>
            <w:pPr>
              <w:pStyle w:val="TableParagraph"/>
              <w:spacing w:before="46"/>
              <w:ind w:right="365"/>
              <w:jc w:val="right"/>
              <w:rPr>
                <w:sz w:val="19"/>
              </w:rPr>
            </w:pPr>
            <w:r>
              <w:rPr>
                <w:w w:val="85"/>
                <w:sz w:val="19"/>
              </w:rPr>
              <w:t>(24)</w:t>
            </w:r>
          </w:p>
        </w:tc>
        <w:tc>
          <w:tcPr>
            <w:tcW w:w="3147" w:type="dxa"/>
            <w:tcBorders>
              <w:bottom w:val="single" w:sz="4" w:space="0" w:color="000000"/>
            </w:tcBorders>
            <w:shd w:val="clear" w:color="auto" w:fill="F4F4F4"/>
          </w:tcPr>
          <w:p>
            <w:pPr>
              <w:pStyle w:val="TableParagraph"/>
              <w:spacing w:before="46"/>
              <w:ind w:right="110"/>
              <w:jc w:val="right"/>
              <w:rPr>
                <w:sz w:val="19"/>
              </w:rPr>
            </w:pPr>
            <w:r>
              <w:rPr>
                <w:w w:val="111"/>
                <w:sz w:val="19"/>
              </w:rPr>
              <w:t>-</w:t>
            </w:r>
          </w:p>
        </w:tc>
        <w:tc>
          <w:tcPr>
            <w:tcW w:w="2267" w:type="dxa"/>
            <w:tcBorders>
              <w:bottom w:val="single" w:sz="4" w:space="0" w:color="000000"/>
            </w:tcBorders>
            <w:shd w:val="clear" w:color="auto" w:fill="DFE1B8"/>
          </w:tcPr>
          <w:p>
            <w:pPr>
              <w:pStyle w:val="TableParagraph"/>
              <w:spacing w:before="46"/>
              <w:ind w:right="110"/>
              <w:jc w:val="right"/>
              <w:rPr>
                <w:sz w:val="19"/>
              </w:rPr>
            </w:pPr>
            <w:r>
              <w:rPr>
                <w:w w:val="85"/>
                <w:sz w:val="19"/>
              </w:rPr>
              <w:t>(24)</w:t>
            </w:r>
          </w:p>
        </w:tc>
      </w:tr>
      <w:tr>
        <w:trPr>
          <w:trHeight w:val="295" w:hRule="atLeast"/>
        </w:trPr>
        <w:tc>
          <w:tcPr>
            <w:tcW w:w="5472" w:type="dxa"/>
            <w:shd w:val="clear" w:color="auto" w:fill="FAF9F9"/>
          </w:tcPr>
          <w:p>
            <w:pPr>
              <w:pStyle w:val="TableParagraph"/>
              <w:spacing w:before="37"/>
              <w:ind w:left="113"/>
              <w:rPr>
                <w:sz w:val="19"/>
              </w:rPr>
            </w:pPr>
            <w:r>
              <w:rPr>
                <w:sz w:val="19"/>
              </w:rPr>
              <w:t>Total</w:t>
            </w:r>
          </w:p>
        </w:tc>
        <w:tc>
          <w:tcPr>
            <w:tcW w:w="1908" w:type="dxa"/>
            <w:shd w:val="clear" w:color="auto" w:fill="FAF9F9"/>
          </w:tcPr>
          <w:p>
            <w:pPr>
              <w:pStyle w:val="TableParagraph"/>
              <w:spacing w:before="0"/>
              <w:rPr>
                <w:rFonts w:ascii="Times New Roman"/>
                <w:sz w:val="20"/>
              </w:rPr>
            </w:pPr>
          </w:p>
        </w:tc>
        <w:tc>
          <w:tcPr>
            <w:tcW w:w="2512" w:type="dxa"/>
            <w:tcBorders>
              <w:top w:val="single" w:sz="4" w:space="0" w:color="000000"/>
              <w:bottom w:val="single" w:sz="4" w:space="0" w:color="000000"/>
            </w:tcBorders>
            <w:shd w:val="clear" w:color="auto" w:fill="FAF9F9"/>
          </w:tcPr>
          <w:p>
            <w:pPr>
              <w:pStyle w:val="TableParagraph"/>
              <w:spacing w:before="37"/>
              <w:ind w:right="365"/>
              <w:jc w:val="right"/>
              <w:rPr>
                <w:sz w:val="19"/>
              </w:rPr>
            </w:pPr>
            <w:r>
              <w:rPr>
                <w:w w:val="95"/>
                <w:sz w:val="19"/>
              </w:rPr>
              <w:t>28,984</w:t>
            </w:r>
          </w:p>
        </w:tc>
        <w:tc>
          <w:tcPr>
            <w:tcW w:w="3147" w:type="dxa"/>
            <w:tcBorders>
              <w:top w:val="single" w:sz="4" w:space="0" w:color="000000"/>
              <w:bottom w:val="single" w:sz="4" w:space="0" w:color="000000"/>
            </w:tcBorders>
            <w:shd w:val="clear" w:color="auto" w:fill="FAF9F9"/>
          </w:tcPr>
          <w:p>
            <w:pPr>
              <w:pStyle w:val="TableParagraph"/>
              <w:spacing w:before="37"/>
              <w:ind w:right="110"/>
              <w:jc w:val="right"/>
              <w:rPr>
                <w:sz w:val="19"/>
              </w:rPr>
            </w:pPr>
            <w:r>
              <w:rPr>
                <w:w w:val="111"/>
                <w:sz w:val="19"/>
              </w:rPr>
              <w:t>-</w:t>
            </w:r>
          </w:p>
        </w:tc>
        <w:tc>
          <w:tcPr>
            <w:tcW w:w="2267" w:type="dxa"/>
            <w:tcBorders>
              <w:top w:val="single" w:sz="4" w:space="0" w:color="000000"/>
              <w:bottom w:val="single" w:sz="4" w:space="0" w:color="000000"/>
            </w:tcBorders>
            <w:shd w:val="clear" w:color="auto" w:fill="E1E4BB"/>
          </w:tcPr>
          <w:p>
            <w:pPr>
              <w:pStyle w:val="TableParagraph"/>
              <w:spacing w:before="37"/>
              <w:ind w:right="110"/>
              <w:jc w:val="right"/>
              <w:rPr>
                <w:sz w:val="19"/>
              </w:rPr>
            </w:pPr>
            <w:r>
              <w:rPr>
                <w:w w:val="95"/>
                <w:sz w:val="19"/>
              </w:rPr>
              <w:t>28,984</w:t>
            </w:r>
          </w:p>
        </w:tc>
      </w:tr>
      <w:tr>
        <w:trPr>
          <w:trHeight w:val="275" w:hRule="atLeast"/>
        </w:trPr>
        <w:tc>
          <w:tcPr>
            <w:tcW w:w="5472" w:type="dxa"/>
            <w:shd w:val="clear" w:color="auto" w:fill="F4F4F4"/>
          </w:tcPr>
          <w:p>
            <w:pPr>
              <w:pStyle w:val="TableParagraph"/>
              <w:spacing w:before="37"/>
              <w:ind w:left="113"/>
              <w:rPr>
                <w:b/>
                <w:sz w:val="19"/>
              </w:rPr>
            </w:pPr>
            <w:r>
              <w:rPr>
                <w:b/>
                <w:sz w:val="19"/>
              </w:rPr>
              <w:t>Balance at 30 June 2017</w:t>
            </w:r>
          </w:p>
        </w:tc>
        <w:tc>
          <w:tcPr>
            <w:tcW w:w="1908" w:type="dxa"/>
            <w:shd w:val="clear" w:color="auto" w:fill="F4F4F4"/>
          </w:tcPr>
          <w:p>
            <w:pPr>
              <w:pStyle w:val="TableParagraph"/>
              <w:spacing w:before="0"/>
              <w:rPr>
                <w:rFonts w:ascii="Times New Roman"/>
                <w:sz w:val="20"/>
              </w:rPr>
            </w:pPr>
          </w:p>
        </w:tc>
        <w:tc>
          <w:tcPr>
            <w:tcW w:w="2512" w:type="dxa"/>
            <w:tcBorders>
              <w:top w:val="single" w:sz="4" w:space="0" w:color="000000"/>
            </w:tcBorders>
            <w:shd w:val="clear" w:color="auto" w:fill="F4F4F4"/>
          </w:tcPr>
          <w:p>
            <w:pPr>
              <w:pStyle w:val="TableParagraph"/>
              <w:spacing w:before="37"/>
              <w:ind w:right="365"/>
              <w:jc w:val="right"/>
              <w:rPr>
                <w:b/>
                <w:sz w:val="19"/>
              </w:rPr>
            </w:pPr>
            <w:r>
              <w:rPr>
                <w:b/>
                <w:w w:val="95"/>
                <w:sz w:val="19"/>
              </w:rPr>
              <w:t>1,055,928</w:t>
            </w:r>
          </w:p>
        </w:tc>
        <w:tc>
          <w:tcPr>
            <w:tcW w:w="3147" w:type="dxa"/>
            <w:tcBorders>
              <w:top w:val="single" w:sz="4" w:space="0" w:color="000000"/>
            </w:tcBorders>
            <w:shd w:val="clear" w:color="auto" w:fill="F4F4F4"/>
          </w:tcPr>
          <w:p>
            <w:pPr>
              <w:pStyle w:val="TableParagraph"/>
              <w:spacing w:before="37"/>
              <w:ind w:right="110"/>
              <w:jc w:val="right"/>
              <w:rPr>
                <w:b/>
                <w:sz w:val="19"/>
              </w:rPr>
            </w:pPr>
            <w:r>
              <w:rPr>
                <w:b/>
                <w:w w:val="95"/>
                <w:sz w:val="19"/>
              </w:rPr>
              <w:t>59,133</w:t>
            </w:r>
          </w:p>
        </w:tc>
        <w:tc>
          <w:tcPr>
            <w:tcW w:w="2267" w:type="dxa"/>
            <w:tcBorders>
              <w:top w:val="single" w:sz="4" w:space="0" w:color="000000"/>
            </w:tcBorders>
            <w:shd w:val="clear" w:color="auto" w:fill="DFE1B8"/>
          </w:tcPr>
          <w:p>
            <w:pPr>
              <w:pStyle w:val="TableParagraph"/>
              <w:spacing w:before="37"/>
              <w:ind w:right="110"/>
              <w:jc w:val="right"/>
              <w:rPr>
                <w:b/>
                <w:sz w:val="19"/>
              </w:rPr>
            </w:pPr>
            <w:r>
              <w:rPr>
                <w:b/>
                <w:w w:val="95"/>
                <w:sz w:val="19"/>
              </w:rPr>
              <w:t>1,115,061</w:t>
            </w:r>
          </w:p>
        </w:tc>
      </w:tr>
      <w:tr>
        <w:trPr>
          <w:trHeight w:val="632" w:hRule="atLeast"/>
        </w:trPr>
        <w:tc>
          <w:tcPr>
            <w:tcW w:w="5472" w:type="dxa"/>
          </w:tcPr>
          <w:p>
            <w:pPr>
              <w:pStyle w:val="TableParagraph"/>
              <w:spacing w:before="4"/>
              <w:rPr>
                <w:sz w:val="32"/>
              </w:rPr>
            </w:pPr>
          </w:p>
          <w:p>
            <w:pPr>
              <w:pStyle w:val="TableParagraph"/>
              <w:spacing w:before="1"/>
              <w:ind w:left="113"/>
              <w:rPr>
                <w:b/>
                <w:sz w:val="19"/>
              </w:rPr>
            </w:pPr>
            <w:r>
              <w:rPr>
                <w:b/>
                <w:sz w:val="19"/>
              </w:rPr>
              <w:t>Balance at 1 July 2017</w:t>
            </w:r>
          </w:p>
        </w:tc>
        <w:tc>
          <w:tcPr>
            <w:tcW w:w="1908" w:type="dxa"/>
          </w:tcPr>
          <w:p>
            <w:pPr>
              <w:pStyle w:val="TableParagraph"/>
              <w:spacing w:before="0"/>
              <w:rPr>
                <w:rFonts w:ascii="Times New Roman"/>
                <w:sz w:val="20"/>
              </w:rPr>
            </w:pPr>
          </w:p>
        </w:tc>
        <w:tc>
          <w:tcPr>
            <w:tcW w:w="2512" w:type="dxa"/>
          </w:tcPr>
          <w:p>
            <w:pPr>
              <w:pStyle w:val="TableParagraph"/>
              <w:spacing w:before="4"/>
              <w:rPr>
                <w:sz w:val="32"/>
              </w:rPr>
            </w:pPr>
          </w:p>
          <w:p>
            <w:pPr>
              <w:pStyle w:val="TableParagraph"/>
              <w:spacing w:before="1"/>
              <w:ind w:right="365"/>
              <w:jc w:val="right"/>
              <w:rPr>
                <w:sz w:val="19"/>
              </w:rPr>
            </w:pPr>
            <w:r>
              <w:rPr>
                <w:w w:val="95"/>
                <w:sz w:val="19"/>
              </w:rPr>
              <w:t>1,055,928</w:t>
            </w:r>
          </w:p>
        </w:tc>
        <w:tc>
          <w:tcPr>
            <w:tcW w:w="3147" w:type="dxa"/>
          </w:tcPr>
          <w:p>
            <w:pPr>
              <w:pStyle w:val="TableParagraph"/>
              <w:spacing w:before="4"/>
              <w:rPr>
                <w:sz w:val="32"/>
              </w:rPr>
            </w:pPr>
          </w:p>
          <w:p>
            <w:pPr>
              <w:pStyle w:val="TableParagraph"/>
              <w:spacing w:before="1"/>
              <w:ind w:right="110"/>
              <w:jc w:val="right"/>
              <w:rPr>
                <w:sz w:val="19"/>
              </w:rPr>
            </w:pPr>
            <w:r>
              <w:rPr>
                <w:w w:val="95"/>
                <w:sz w:val="19"/>
              </w:rPr>
              <w:t>59,133</w:t>
            </w:r>
          </w:p>
        </w:tc>
        <w:tc>
          <w:tcPr>
            <w:tcW w:w="2267" w:type="dxa"/>
            <w:shd w:val="clear" w:color="auto" w:fill="E1E4BB"/>
          </w:tcPr>
          <w:p>
            <w:pPr>
              <w:pStyle w:val="TableParagraph"/>
              <w:spacing w:before="4"/>
              <w:rPr>
                <w:sz w:val="32"/>
              </w:rPr>
            </w:pPr>
          </w:p>
          <w:p>
            <w:pPr>
              <w:pStyle w:val="TableParagraph"/>
              <w:spacing w:before="1"/>
              <w:ind w:right="110"/>
              <w:jc w:val="right"/>
              <w:rPr>
                <w:sz w:val="19"/>
              </w:rPr>
            </w:pPr>
            <w:r>
              <w:rPr>
                <w:w w:val="95"/>
                <w:sz w:val="19"/>
              </w:rPr>
              <w:t>1,115,061</w:t>
            </w:r>
          </w:p>
        </w:tc>
      </w:tr>
      <w:tr>
        <w:trPr>
          <w:trHeight w:val="610" w:hRule="atLeast"/>
        </w:trPr>
        <w:tc>
          <w:tcPr>
            <w:tcW w:w="5472" w:type="dxa"/>
          </w:tcPr>
          <w:p>
            <w:pPr>
              <w:pStyle w:val="TableParagraph"/>
              <w:spacing w:before="45"/>
              <w:ind w:left="271"/>
              <w:rPr>
                <w:sz w:val="19"/>
              </w:rPr>
            </w:pPr>
            <w:r>
              <w:rPr>
                <w:sz w:val="19"/>
              </w:rPr>
              <w:t>Surplus/(deficit)</w:t>
            </w:r>
          </w:p>
          <w:p>
            <w:pPr>
              <w:pStyle w:val="TableParagraph"/>
              <w:spacing w:before="88"/>
              <w:ind w:left="271"/>
              <w:rPr>
                <w:sz w:val="19"/>
              </w:rPr>
            </w:pPr>
            <w:r>
              <w:rPr>
                <w:sz w:val="19"/>
              </w:rPr>
              <w:t>Other comprehensive income</w:t>
            </w:r>
          </w:p>
        </w:tc>
        <w:tc>
          <w:tcPr>
            <w:tcW w:w="1908" w:type="dxa"/>
          </w:tcPr>
          <w:p>
            <w:pPr>
              <w:pStyle w:val="TableParagraph"/>
              <w:spacing w:before="0"/>
              <w:rPr>
                <w:rFonts w:ascii="Times New Roman"/>
                <w:sz w:val="20"/>
              </w:rPr>
            </w:pPr>
          </w:p>
        </w:tc>
        <w:tc>
          <w:tcPr>
            <w:tcW w:w="2512" w:type="dxa"/>
            <w:tcBorders>
              <w:bottom w:val="single" w:sz="4" w:space="0" w:color="000000"/>
            </w:tcBorders>
          </w:tcPr>
          <w:p>
            <w:pPr>
              <w:pStyle w:val="TableParagraph"/>
              <w:spacing w:before="45"/>
              <w:ind w:right="365"/>
              <w:jc w:val="right"/>
              <w:rPr>
                <w:sz w:val="19"/>
              </w:rPr>
            </w:pPr>
            <w:r>
              <w:rPr>
                <w:w w:val="111"/>
                <w:sz w:val="19"/>
              </w:rPr>
              <w:t>-</w:t>
            </w:r>
          </w:p>
          <w:p>
            <w:pPr>
              <w:pStyle w:val="TableParagraph"/>
              <w:spacing w:before="88"/>
              <w:ind w:right="365"/>
              <w:jc w:val="right"/>
              <w:rPr>
                <w:sz w:val="19"/>
              </w:rPr>
            </w:pPr>
            <w:r>
              <w:rPr>
                <w:w w:val="111"/>
                <w:sz w:val="19"/>
              </w:rPr>
              <w:t>-</w:t>
            </w:r>
          </w:p>
        </w:tc>
        <w:tc>
          <w:tcPr>
            <w:tcW w:w="3147" w:type="dxa"/>
            <w:tcBorders>
              <w:bottom w:val="single" w:sz="4" w:space="0" w:color="000000"/>
            </w:tcBorders>
          </w:tcPr>
          <w:p>
            <w:pPr>
              <w:pStyle w:val="TableParagraph"/>
              <w:spacing w:before="45"/>
              <w:ind w:right="110"/>
              <w:jc w:val="right"/>
              <w:rPr>
                <w:sz w:val="19"/>
              </w:rPr>
            </w:pPr>
            <w:r>
              <w:rPr>
                <w:w w:val="95"/>
                <w:sz w:val="19"/>
              </w:rPr>
              <w:t>(20,205)</w:t>
            </w:r>
          </w:p>
          <w:p>
            <w:pPr>
              <w:pStyle w:val="TableParagraph"/>
              <w:spacing w:before="88"/>
              <w:ind w:right="110"/>
              <w:jc w:val="right"/>
              <w:rPr>
                <w:sz w:val="19"/>
              </w:rPr>
            </w:pPr>
            <w:r>
              <w:rPr>
                <w:w w:val="111"/>
                <w:sz w:val="19"/>
              </w:rPr>
              <w:t>-</w:t>
            </w:r>
          </w:p>
        </w:tc>
        <w:tc>
          <w:tcPr>
            <w:tcW w:w="2267" w:type="dxa"/>
            <w:tcBorders>
              <w:bottom w:val="single" w:sz="4" w:space="0" w:color="000000"/>
            </w:tcBorders>
            <w:shd w:val="clear" w:color="auto" w:fill="E1E4BB"/>
          </w:tcPr>
          <w:p>
            <w:pPr>
              <w:pStyle w:val="TableParagraph"/>
              <w:spacing w:before="45"/>
              <w:ind w:right="110"/>
              <w:jc w:val="right"/>
              <w:rPr>
                <w:sz w:val="19"/>
              </w:rPr>
            </w:pPr>
            <w:r>
              <w:rPr>
                <w:w w:val="95"/>
                <w:sz w:val="19"/>
              </w:rPr>
              <w:t>(20,205)</w:t>
            </w:r>
          </w:p>
          <w:p>
            <w:pPr>
              <w:pStyle w:val="TableParagraph"/>
              <w:spacing w:before="88"/>
              <w:ind w:right="110"/>
              <w:jc w:val="right"/>
              <w:rPr>
                <w:sz w:val="19"/>
              </w:rPr>
            </w:pPr>
            <w:r>
              <w:rPr>
                <w:w w:val="111"/>
                <w:sz w:val="19"/>
              </w:rPr>
              <w:t>-</w:t>
            </w:r>
          </w:p>
        </w:tc>
      </w:tr>
      <w:tr>
        <w:trPr>
          <w:trHeight w:val="295" w:hRule="atLeast"/>
        </w:trPr>
        <w:tc>
          <w:tcPr>
            <w:tcW w:w="5472" w:type="dxa"/>
            <w:shd w:val="clear" w:color="auto" w:fill="FAF9F9"/>
          </w:tcPr>
          <w:p>
            <w:pPr>
              <w:pStyle w:val="TableParagraph"/>
              <w:spacing w:before="37"/>
              <w:ind w:left="113"/>
              <w:rPr>
                <w:sz w:val="19"/>
              </w:rPr>
            </w:pPr>
            <w:r>
              <w:rPr>
                <w:sz w:val="19"/>
              </w:rPr>
              <w:t>Total comprehensive income for the period</w:t>
            </w:r>
          </w:p>
        </w:tc>
        <w:tc>
          <w:tcPr>
            <w:tcW w:w="1908" w:type="dxa"/>
            <w:shd w:val="clear" w:color="auto" w:fill="FAF9F9"/>
          </w:tcPr>
          <w:p>
            <w:pPr>
              <w:pStyle w:val="TableParagraph"/>
              <w:spacing w:before="0"/>
              <w:rPr>
                <w:rFonts w:ascii="Times New Roman"/>
                <w:sz w:val="20"/>
              </w:rPr>
            </w:pPr>
          </w:p>
        </w:tc>
        <w:tc>
          <w:tcPr>
            <w:tcW w:w="2512" w:type="dxa"/>
            <w:tcBorders>
              <w:top w:val="single" w:sz="4" w:space="0" w:color="000000"/>
              <w:bottom w:val="single" w:sz="4" w:space="0" w:color="000000"/>
            </w:tcBorders>
            <w:shd w:val="clear" w:color="auto" w:fill="FAF9F9"/>
          </w:tcPr>
          <w:p>
            <w:pPr>
              <w:pStyle w:val="TableParagraph"/>
              <w:spacing w:before="37"/>
              <w:ind w:right="365"/>
              <w:jc w:val="right"/>
              <w:rPr>
                <w:sz w:val="19"/>
              </w:rPr>
            </w:pPr>
            <w:r>
              <w:rPr>
                <w:w w:val="111"/>
                <w:sz w:val="19"/>
              </w:rPr>
              <w:t>-</w:t>
            </w:r>
          </w:p>
        </w:tc>
        <w:tc>
          <w:tcPr>
            <w:tcW w:w="3147" w:type="dxa"/>
            <w:tcBorders>
              <w:top w:val="single" w:sz="4" w:space="0" w:color="000000"/>
              <w:bottom w:val="single" w:sz="4" w:space="0" w:color="000000"/>
            </w:tcBorders>
            <w:shd w:val="clear" w:color="auto" w:fill="FAF9F9"/>
          </w:tcPr>
          <w:p>
            <w:pPr>
              <w:pStyle w:val="TableParagraph"/>
              <w:spacing w:before="37"/>
              <w:ind w:right="110"/>
              <w:jc w:val="right"/>
              <w:rPr>
                <w:sz w:val="19"/>
              </w:rPr>
            </w:pPr>
            <w:r>
              <w:rPr>
                <w:w w:val="95"/>
                <w:sz w:val="19"/>
              </w:rPr>
              <w:t>(20,205)</w:t>
            </w:r>
          </w:p>
        </w:tc>
        <w:tc>
          <w:tcPr>
            <w:tcW w:w="2267" w:type="dxa"/>
            <w:tcBorders>
              <w:top w:val="single" w:sz="4" w:space="0" w:color="000000"/>
              <w:bottom w:val="single" w:sz="4" w:space="0" w:color="000000"/>
              <w:right w:val="single" w:sz="4" w:space="0" w:color="E7E8C2"/>
            </w:tcBorders>
            <w:shd w:val="clear" w:color="auto" w:fill="E1E4BB"/>
          </w:tcPr>
          <w:p>
            <w:pPr>
              <w:pStyle w:val="TableParagraph"/>
              <w:spacing w:before="37"/>
              <w:ind w:right="105"/>
              <w:jc w:val="right"/>
              <w:rPr>
                <w:sz w:val="19"/>
              </w:rPr>
            </w:pPr>
            <w:r>
              <w:rPr>
                <w:w w:val="95"/>
                <w:sz w:val="19"/>
              </w:rPr>
              <w:t>(20,205)</w:t>
            </w:r>
          </w:p>
        </w:tc>
      </w:tr>
      <w:tr>
        <w:trPr>
          <w:trHeight w:val="602" w:hRule="atLeast"/>
        </w:trPr>
        <w:tc>
          <w:tcPr>
            <w:tcW w:w="5472" w:type="dxa"/>
          </w:tcPr>
          <w:p>
            <w:pPr>
              <w:pStyle w:val="TableParagraph"/>
              <w:spacing w:before="37"/>
              <w:ind w:left="113"/>
              <w:rPr>
                <w:sz w:val="19"/>
              </w:rPr>
            </w:pPr>
            <w:r>
              <w:rPr>
                <w:sz w:val="19"/>
              </w:rPr>
              <w:t>Transactions with owners in their capacity as owners:</w:t>
            </w:r>
          </w:p>
          <w:p>
            <w:pPr>
              <w:pStyle w:val="TableParagraph"/>
              <w:spacing w:before="87"/>
              <w:ind w:left="271"/>
              <w:rPr>
                <w:sz w:val="19"/>
              </w:rPr>
            </w:pPr>
            <w:r>
              <w:rPr>
                <w:sz w:val="19"/>
              </w:rPr>
              <w:t>Capital appropriations</w:t>
            </w:r>
          </w:p>
        </w:tc>
        <w:tc>
          <w:tcPr>
            <w:tcW w:w="1908" w:type="dxa"/>
          </w:tcPr>
          <w:p>
            <w:pPr>
              <w:pStyle w:val="TableParagraph"/>
              <w:spacing w:before="0"/>
              <w:rPr>
                <w:rFonts w:ascii="Times New Roman"/>
                <w:sz w:val="20"/>
              </w:rPr>
            </w:pPr>
          </w:p>
        </w:tc>
        <w:tc>
          <w:tcPr>
            <w:tcW w:w="2512" w:type="dxa"/>
            <w:tcBorders>
              <w:top w:val="single" w:sz="4" w:space="0" w:color="000000"/>
            </w:tcBorders>
          </w:tcPr>
          <w:p>
            <w:pPr>
              <w:pStyle w:val="TableParagraph"/>
              <w:spacing w:before="9"/>
              <w:rPr>
                <w:sz w:val="29"/>
              </w:rPr>
            </w:pPr>
          </w:p>
          <w:p>
            <w:pPr>
              <w:pStyle w:val="TableParagraph"/>
              <w:spacing w:before="0"/>
              <w:ind w:right="365"/>
              <w:jc w:val="right"/>
              <w:rPr>
                <w:sz w:val="19"/>
              </w:rPr>
            </w:pPr>
            <w:r>
              <w:rPr>
                <w:w w:val="95"/>
                <w:sz w:val="19"/>
              </w:rPr>
              <w:t>14,902</w:t>
            </w:r>
          </w:p>
        </w:tc>
        <w:tc>
          <w:tcPr>
            <w:tcW w:w="3147" w:type="dxa"/>
            <w:tcBorders>
              <w:top w:val="single" w:sz="4" w:space="0" w:color="000000"/>
            </w:tcBorders>
          </w:tcPr>
          <w:p>
            <w:pPr>
              <w:pStyle w:val="TableParagraph"/>
              <w:spacing w:before="9"/>
              <w:rPr>
                <w:sz w:val="29"/>
              </w:rPr>
            </w:pPr>
          </w:p>
          <w:p>
            <w:pPr>
              <w:pStyle w:val="TableParagraph"/>
              <w:spacing w:before="0"/>
              <w:ind w:right="110"/>
              <w:jc w:val="right"/>
              <w:rPr>
                <w:sz w:val="19"/>
              </w:rPr>
            </w:pPr>
            <w:r>
              <w:rPr>
                <w:w w:val="111"/>
                <w:sz w:val="19"/>
              </w:rPr>
              <w:t>-</w:t>
            </w:r>
          </w:p>
        </w:tc>
        <w:tc>
          <w:tcPr>
            <w:tcW w:w="2267" w:type="dxa"/>
            <w:tcBorders>
              <w:top w:val="single" w:sz="4" w:space="0" w:color="000000"/>
            </w:tcBorders>
            <w:shd w:val="clear" w:color="auto" w:fill="E1E4BB"/>
          </w:tcPr>
          <w:p>
            <w:pPr>
              <w:pStyle w:val="TableParagraph"/>
              <w:spacing w:before="9"/>
              <w:rPr>
                <w:sz w:val="29"/>
              </w:rPr>
            </w:pPr>
          </w:p>
          <w:p>
            <w:pPr>
              <w:pStyle w:val="TableParagraph"/>
              <w:spacing w:before="0"/>
              <w:ind w:right="110"/>
              <w:jc w:val="right"/>
              <w:rPr>
                <w:sz w:val="19"/>
              </w:rPr>
            </w:pPr>
            <w:r>
              <w:rPr>
                <w:w w:val="95"/>
                <w:sz w:val="19"/>
              </w:rPr>
              <w:t>14,902</w:t>
            </w:r>
          </w:p>
        </w:tc>
      </w:tr>
      <w:tr>
        <w:trPr>
          <w:trHeight w:val="305" w:hRule="atLeast"/>
        </w:trPr>
        <w:tc>
          <w:tcPr>
            <w:tcW w:w="5472" w:type="dxa"/>
            <w:shd w:val="clear" w:color="auto" w:fill="FAF9F9"/>
          </w:tcPr>
          <w:p>
            <w:pPr>
              <w:pStyle w:val="TableParagraph"/>
              <w:spacing w:before="46"/>
              <w:ind w:left="271"/>
              <w:rPr>
                <w:sz w:val="19"/>
              </w:rPr>
            </w:pPr>
            <w:r>
              <w:rPr>
                <w:sz w:val="19"/>
              </w:rPr>
              <w:t>Contributions by owners</w:t>
            </w:r>
          </w:p>
        </w:tc>
        <w:tc>
          <w:tcPr>
            <w:tcW w:w="1908" w:type="dxa"/>
            <w:shd w:val="clear" w:color="auto" w:fill="FAF9F9"/>
          </w:tcPr>
          <w:p>
            <w:pPr>
              <w:pStyle w:val="TableParagraph"/>
              <w:spacing w:before="0"/>
              <w:rPr>
                <w:rFonts w:ascii="Times New Roman"/>
                <w:sz w:val="20"/>
              </w:rPr>
            </w:pPr>
          </w:p>
        </w:tc>
        <w:tc>
          <w:tcPr>
            <w:tcW w:w="2512" w:type="dxa"/>
            <w:shd w:val="clear" w:color="auto" w:fill="FAF9F9"/>
          </w:tcPr>
          <w:p>
            <w:pPr>
              <w:pStyle w:val="TableParagraph"/>
              <w:spacing w:before="46"/>
              <w:ind w:right="365"/>
              <w:jc w:val="right"/>
              <w:rPr>
                <w:sz w:val="19"/>
              </w:rPr>
            </w:pPr>
            <w:r>
              <w:rPr>
                <w:w w:val="95"/>
                <w:sz w:val="19"/>
              </w:rPr>
              <w:t>232</w:t>
            </w:r>
          </w:p>
        </w:tc>
        <w:tc>
          <w:tcPr>
            <w:tcW w:w="3147" w:type="dxa"/>
            <w:shd w:val="clear" w:color="auto" w:fill="FAF9F9"/>
          </w:tcPr>
          <w:p>
            <w:pPr>
              <w:pStyle w:val="TableParagraph"/>
              <w:spacing w:before="46"/>
              <w:ind w:right="110"/>
              <w:jc w:val="right"/>
              <w:rPr>
                <w:sz w:val="19"/>
              </w:rPr>
            </w:pPr>
            <w:r>
              <w:rPr>
                <w:w w:val="111"/>
                <w:sz w:val="19"/>
              </w:rPr>
              <w:t>-</w:t>
            </w:r>
          </w:p>
        </w:tc>
        <w:tc>
          <w:tcPr>
            <w:tcW w:w="2267" w:type="dxa"/>
            <w:shd w:val="clear" w:color="auto" w:fill="E1E4BB"/>
          </w:tcPr>
          <w:p>
            <w:pPr>
              <w:pStyle w:val="TableParagraph"/>
              <w:spacing w:before="46"/>
              <w:ind w:right="110"/>
              <w:jc w:val="right"/>
              <w:rPr>
                <w:sz w:val="19"/>
              </w:rPr>
            </w:pPr>
            <w:r>
              <w:rPr>
                <w:w w:val="95"/>
                <w:sz w:val="19"/>
              </w:rPr>
              <w:t>232</w:t>
            </w:r>
          </w:p>
        </w:tc>
      </w:tr>
      <w:tr>
        <w:trPr>
          <w:trHeight w:val="304" w:hRule="atLeast"/>
        </w:trPr>
        <w:tc>
          <w:tcPr>
            <w:tcW w:w="5472" w:type="dxa"/>
            <w:shd w:val="clear" w:color="auto" w:fill="F4F4F4"/>
          </w:tcPr>
          <w:p>
            <w:pPr>
              <w:pStyle w:val="TableParagraph"/>
              <w:spacing w:before="46"/>
              <w:ind w:left="271"/>
              <w:rPr>
                <w:sz w:val="19"/>
              </w:rPr>
            </w:pPr>
            <w:r>
              <w:rPr>
                <w:sz w:val="19"/>
              </w:rPr>
              <w:t>Distributions to owners</w:t>
            </w:r>
          </w:p>
        </w:tc>
        <w:tc>
          <w:tcPr>
            <w:tcW w:w="1908" w:type="dxa"/>
            <w:shd w:val="clear" w:color="auto" w:fill="F4F4F4"/>
          </w:tcPr>
          <w:p>
            <w:pPr>
              <w:pStyle w:val="TableParagraph"/>
              <w:spacing w:before="0"/>
              <w:rPr>
                <w:rFonts w:ascii="Times New Roman"/>
                <w:sz w:val="20"/>
              </w:rPr>
            </w:pPr>
          </w:p>
        </w:tc>
        <w:tc>
          <w:tcPr>
            <w:tcW w:w="2512" w:type="dxa"/>
            <w:tcBorders>
              <w:bottom w:val="single" w:sz="4" w:space="0" w:color="000000"/>
            </w:tcBorders>
            <w:shd w:val="clear" w:color="auto" w:fill="F4F4F4"/>
          </w:tcPr>
          <w:p>
            <w:pPr>
              <w:pStyle w:val="TableParagraph"/>
              <w:spacing w:before="46"/>
              <w:ind w:right="365"/>
              <w:jc w:val="right"/>
              <w:rPr>
                <w:sz w:val="19"/>
              </w:rPr>
            </w:pPr>
            <w:r>
              <w:rPr>
                <w:w w:val="95"/>
                <w:sz w:val="19"/>
              </w:rPr>
              <w:t>(15,043)</w:t>
            </w:r>
          </w:p>
        </w:tc>
        <w:tc>
          <w:tcPr>
            <w:tcW w:w="3147" w:type="dxa"/>
            <w:tcBorders>
              <w:bottom w:val="single" w:sz="4" w:space="0" w:color="000000"/>
            </w:tcBorders>
            <w:shd w:val="clear" w:color="auto" w:fill="F4F4F4"/>
          </w:tcPr>
          <w:p>
            <w:pPr>
              <w:pStyle w:val="TableParagraph"/>
              <w:spacing w:before="46"/>
              <w:ind w:right="110"/>
              <w:jc w:val="right"/>
              <w:rPr>
                <w:sz w:val="19"/>
              </w:rPr>
            </w:pPr>
            <w:r>
              <w:rPr>
                <w:w w:val="111"/>
                <w:sz w:val="19"/>
              </w:rPr>
              <w:t>-</w:t>
            </w:r>
          </w:p>
        </w:tc>
        <w:tc>
          <w:tcPr>
            <w:tcW w:w="2267" w:type="dxa"/>
            <w:tcBorders>
              <w:bottom w:val="single" w:sz="4" w:space="0" w:color="000000"/>
            </w:tcBorders>
            <w:shd w:val="clear" w:color="auto" w:fill="DFE1B8"/>
          </w:tcPr>
          <w:p>
            <w:pPr>
              <w:pStyle w:val="TableParagraph"/>
              <w:spacing w:before="46"/>
              <w:ind w:right="110"/>
              <w:jc w:val="right"/>
              <w:rPr>
                <w:sz w:val="19"/>
              </w:rPr>
            </w:pPr>
            <w:r>
              <w:rPr>
                <w:w w:val="95"/>
                <w:sz w:val="19"/>
              </w:rPr>
              <w:t>(15,043)</w:t>
            </w:r>
          </w:p>
        </w:tc>
      </w:tr>
      <w:tr>
        <w:trPr>
          <w:trHeight w:val="295" w:hRule="atLeast"/>
        </w:trPr>
        <w:tc>
          <w:tcPr>
            <w:tcW w:w="5472" w:type="dxa"/>
            <w:shd w:val="clear" w:color="auto" w:fill="FAF9F9"/>
          </w:tcPr>
          <w:p>
            <w:pPr>
              <w:pStyle w:val="TableParagraph"/>
              <w:spacing w:before="37"/>
              <w:ind w:left="113"/>
              <w:rPr>
                <w:sz w:val="19"/>
              </w:rPr>
            </w:pPr>
            <w:r>
              <w:rPr>
                <w:sz w:val="19"/>
              </w:rPr>
              <w:t>Total</w:t>
            </w:r>
          </w:p>
        </w:tc>
        <w:tc>
          <w:tcPr>
            <w:tcW w:w="1908" w:type="dxa"/>
            <w:shd w:val="clear" w:color="auto" w:fill="FAF9F9"/>
          </w:tcPr>
          <w:p>
            <w:pPr>
              <w:pStyle w:val="TableParagraph"/>
              <w:spacing w:before="0"/>
              <w:rPr>
                <w:rFonts w:ascii="Times New Roman"/>
                <w:sz w:val="20"/>
              </w:rPr>
            </w:pPr>
          </w:p>
        </w:tc>
        <w:tc>
          <w:tcPr>
            <w:tcW w:w="2512" w:type="dxa"/>
            <w:tcBorders>
              <w:top w:val="single" w:sz="4" w:space="0" w:color="000000"/>
              <w:bottom w:val="single" w:sz="4" w:space="0" w:color="000000"/>
            </w:tcBorders>
            <w:shd w:val="clear" w:color="auto" w:fill="FAF9F9"/>
          </w:tcPr>
          <w:p>
            <w:pPr>
              <w:pStyle w:val="TableParagraph"/>
              <w:spacing w:before="37"/>
              <w:ind w:right="365"/>
              <w:jc w:val="right"/>
              <w:rPr>
                <w:sz w:val="19"/>
              </w:rPr>
            </w:pPr>
            <w:r>
              <w:rPr>
                <w:w w:val="95"/>
                <w:sz w:val="19"/>
              </w:rPr>
              <w:t>91</w:t>
            </w:r>
          </w:p>
        </w:tc>
        <w:tc>
          <w:tcPr>
            <w:tcW w:w="3147" w:type="dxa"/>
            <w:tcBorders>
              <w:top w:val="single" w:sz="4" w:space="0" w:color="000000"/>
              <w:bottom w:val="single" w:sz="4" w:space="0" w:color="000000"/>
            </w:tcBorders>
            <w:shd w:val="clear" w:color="auto" w:fill="FAF9F9"/>
          </w:tcPr>
          <w:p>
            <w:pPr>
              <w:pStyle w:val="TableParagraph"/>
              <w:spacing w:before="37"/>
              <w:ind w:right="110"/>
              <w:jc w:val="right"/>
              <w:rPr>
                <w:sz w:val="19"/>
              </w:rPr>
            </w:pPr>
            <w:r>
              <w:rPr>
                <w:w w:val="111"/>
                <w:sz w:val="19"/>
              </w:rPr>
              <w:t>-</w:t>
            </w:r>
          </w:p>
        </w:tc>
        <w:tc>
          <w:tcPr>
            <w:tcW w:w="2267" w:type="dxa"/>
            <w:tcBorders>
              <w:top w:val="single" w:sz="4" w:space="0" w:color="000000"/>
              <w:bottom w:val="single" w:sz="4" w:space="0" w:color="000000"/>
            </w:tcBorders>
            <w:shd w:val="clear" w:color="auto" w:fill="E1E4BB"/>
          </w:tcPr>
          <w:p>
            <w:pPr>
              <w:pStyle w:val="TableParagraph"/>
              <w:spacing w:before="37"/>
              <w:ind w:right="110"/>
              <w:jc w:val="right"/>
              <w:rPr>
                <w:sz w:val="19"/>
              </w:rPr>
            </w:pPr>
            <w:r>
              <w:rPr>
                <w:w w:val="95"/>
                <w:sz w:val="19"/>
              </w:rPr>
              <w:t>91</w:t>
            </w:r>
          </w:p>
        </w:tc>
      </w:tr>
      <w:tr>
        <w:trPr>
          <w:trHeight w:val="268" w:hRule="atLeast"/>
        </w:trPr>
        <w:tc>
          <w:tcPr>
            <w:tcW w:w="5472" w:type="dxa"/>
            <w:shd w:val="clear" w:color="auto" w:fill="F4F4F4"/>
          </w:tcPr>
          <w:p>
            <w:pPr>
              <w:pStyle w:val="TableParagraph"/>
              <w:spacing w:line="211" w:lineRule="exact" w:before="37"/>
              <w:ind w:left="113"/>
              <w:rPr>
                <w:b/>
                <w:sz w:val="19"/>
              </w:rPr>
            </w:pPr>
            <w:r>
              <w:rPr>
                <w:b/>
                <w:sz w:val="19"/>
              </w:rPr>
              <w:t>Balance at 30 June 2018</w:t>
            </w:r>
          </w:p>
        </w:tc>
        <w:tc>
          <w:tcPr>
            <w:tcW w:w="1908" w:type="dxa"/>
            <w:shd w:val="clear" w:color="auto" w:fill="F4F4F4"/>
          </w:tcPr>
          <w:p>
            <w:pPr>
              <w:pStyle w:val="TableParagraph"/>
              <w:spacing w:before="0"/>
              <w:rPr>
                <w:rFonts w:ascii="Times New Roman"/>
                <w:sz w:val="18"/>
              </w:rPr>
            </w:pPr>
          </w:p>
        </w:tc>
        <w:tc>
          <w:tcPr>
            <w:tcW w:w="2512" w:type="dxa"/>
            <w:tcBorders>
              <w:top w:val="single" w:sz="4" w:space="0" w:color="000000"/>
              <w:bottom w:val="single" w:sz="6" w:space="0" w:color="000000"/>
            </w:tcBorders>
            <w:shd w:val="clear" w:color="auto" w:fill="F4F4F4"/>
          </w:tcPr>
          <w:p>
            <w:pPr>
              <w:pStyle w:val="TableParagraph"/>
              <w:spacing w:line="211" w:lineRule="exact" w:before="37"/>
              <w:ind w:right="365"/>
              <w:jc w:val="right"/>
              <w:rPr>
                <w:b/>
                <w:sz w:val="19"/>
              </w:rPr>
            </w:pPr>
            <w:r>
              <w:rPr>
                <w:b/>
                <w:w w:val="95"/>
                <w:sz w:val="19"/>
              </w:rPr>
              <w:t>1,056,019</w:t>
            </w:r>
          </w:p>
        </w:tc>
        <w:tc>
          <w:tcPr>
            <w:tcW w:w="3147" w:type="dxa"/>
            <w:tcBorders>
              <w:top w:val="single" w:sz="4" w:space="0" w:color="000000"/>
              <w:bottom w:val="single" w:sz="6" w:space="0" w:color="000000"/>
            </w:tcBorders>
            <w:shd w:val="clear" w:color="auto" w:fill="F4F4F4"/>
          </w:tcPr>
          <w:p>
            <w:pPr>
              <w:pStyle w:val="TableParagraph"/>
              <w:spacing w:line="211" w:lineRule="exact" w:before="37"/>
              <w:ind w:right="110"/>
              <w:jc w:val="right"/>
              <w:rPr>
                <w:b/>
                <w:sz w:val="19"/>
              </w:rPr>
            </w:pPr>
            <w:r>
              <w:rPr>
                <w:b/>
                <w:w w:val="95"/>
                <w:sz w:val="19"/>
              </w:rPr>
              <w:t>38,928</w:t>
            </w:r>
          </w:p>
        </w:tc>
        <w:tc>
          <w:tcPr>
            <w:tcW w:w="2267" w:type="dxa"/>
            <w:tcBorders>
              <w:top w:val="single" w:sz="4" w:space="0" w:color="000000"/>
              <w:bottom w:val="single" w:sz="6" w:space="0" w:color="000000"/>
            </w:tcBorders>
            <w:shd w:val="clear" w:color="auto" w:fill="DFE1B8"/>
          </w:tcPr>
          <w:p>
            <w:pPr>
              <w:pStyle w:val="TableParagraph"/>
              <w:spacing w:line="211" w:lineRule="exact" w:before="37"/>
              <w:ind w:right="110"/>
              <w:jc w:val="right"/>
              <w:rPr>
                <w:b/>
                <w:sz w:val="19"/>
              </w:rPr>
            </w:pPr>
            <w:r>
              <w:rPr>
                <w:b/>
                <w:w w:val="95"/>
                <w:sz w:val="19"/>
              </w:rPr>
              <w:t>1,094,947</w:t>
            </w:r>
          </w:p>
        </w:tc>
      </w:tr>
    </w:tbl>
    <w:p>
      <w:pPr>
        <w:pStyle w:val="BodyText"/>
        <w:spacing w:before="1"/>
        <w:rPr>
          <w:sz w:val="35"/>
        </w:rPr>
      </w:pPr>
    </w:p>
    <w:p>
      <w:pPr>
        <w:spacing w:before="0"/>
        <w:ind w:left="765" w:right="0" w:firstLine="0"/>
        <w:jc w:val="left"/>
        <w:rPr>
          <w:sz w:val="19"/>
        </w:rPr>
      </w:pPr>
      <w:r>
        <w:rPr>
          <w:sz w:val="19"/>
        </w:rPr>
        <w:t>The Statement of Changes in Equity should be read in conjunction with the accompanying notes.</w:t>
      </w:r>
    </w:p>
    <w:p>
      <w:pPr>
        <w:pStyle w:val="BodyText"/>
        <w:rPr>
          <w:sz w:val="20"/>
        </w:rPr>
      </w:pPr>
    </w:p>
    <w:p>
      <w:pPr>
        <w:pStyle w:val="BodyText"/>
        <w:rPr>
          <w:sz w:val="20"/>
        </w:rPr>
      </w:pPr>
    </w:p>
    <w:p>
      <w:pPr>
        <w:pStyle w:val="BodyText"/>
        <w:spacing w:before="4"/>
        <w:rPr>
          <w:sz w:val="23"/>
        </w:rPr>
      </w:pPr>
    </w:p>
    <w:p>
      <w:pPr>
        <w:tabs>
          <w:tab w:pos="1227" w:val="left" w:leader="none"/>
          <w:tab w:pos="5951" w:val="left" w:leader="none"/>
          <w:tab w:pos="16072"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10576"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pict>
          <v:group style="position:absolute;margin-left:0pt;margin-top:-14.855018pt;width:24.1pt;height:41.55pt;mso-position-horizontal-relative:page;mso-position-vertical-relative:paragraph;z-index:10600"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b/>
          <w:color w:val="6F2770"/>
          <w:sz w:val="20"/>
        </w:rPr>
        <w:t>38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footerReference w:type="default" r:id="rId132"/>
          <w:pgSz w:w="16840" w:h="11910" w:orient="landscape"/>
          <w:pgMar w:footer="0" w:header="0" w:top="0" w:bottom="0" w:left="0" w:right="0"/>
        </w:sectPr>
      </w:pPr>
    </w:p>
    <w:p>
      <w:pPr>
        <w:pStyle w:val="BodyText"/>
        <w:rPr>
          <w:sz w:val="20"/>
        </w:rPr>
      </w:pPr>
      <w:bookmarkStart w:name="_bookmark21" w:id="22"/>
      <w:bookmarkEnd w:id="22"/>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10"/>
        <w:rPr>
          <w:b/>
          <w:sz w:val="19"/>
        </w:rPr>
      </w:pPr>
    </w:p>
    <w:p>
      <w:pPr>
        <w:spacing w:after="0"/>
        <w:rPr>
          <w:sz w:val="19"/>
        </w:rPr>
        <w:sectPr>
          <w:footerReference w:type="default" r:id="rId133"/>
          <w:pgSz w:w="16840" w:h="11910" w:orient="landscape"/>
          <w:pgMar w:footer="0" w:header="0" w:top="0" w:bottom="0" w:left="0" w:right="0"/>
        </w:sectPr>
      </w:pPr>
    </w:p>
    <w:p>
      <w:pPr>
        <w:pStyle w:val="Heading2"/>
      </w:pPr>
      <w:r>
        <w:rPr/>
        <w:pict>
          <v:group style="position:absolute;margin-left:120.271004pt;margin-top:-67.721718pt;width:721.65pt;height:42.55pt;mso-position-horizontal-relative:page;mso-position-vertical-relative:paragraph;z-index:10864" coordorigin="2405,-1354" coordsize="14433,851">
            <v:rect style="position:absolute;left:14432;top:-1355;width:2406;height:851" filled="true" fillcolor="#bba1bc" stroked="false">
              <v:fill type="solid"/>
            </v:rect>
            <v:shape style="position:absolute;left:14432;top:-1355;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5;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5;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5;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5;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5;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Statement</w:t>
      </w:r>
      <w:r>
        <w:rPr>
          <w:color w:val="6F2770"/>
          <w:spacing w:val="-65"/>
        </w:rPr>
        <w:t> </w:t>
      </w:r>
      <w:r>
        <w:rPr>
          <w:color w:val="6F2770"/>
        </w:rPr>
        <w:t>of</w:t>
      </w:r>
      <w:r>
        <w:rPr>
          <w:color w:val="6F2770"/>
          <w:spacing w:val="-64"/>
        </w:rPr>
        <w:t> </w:t>
      </w:r>
      <w:r>
        <w:rPr>
          <w:color w:val="6F2770"/>
        </w:rPr>
        <w:t>Cash</w:t>
      </w:r>
      <w:r>
        <w:rPr>
          <w:color w:val="6F2770"/>
          <w:spacing w:val="-64"/>
        </w:rPr>
        <w:t> </w:t>
      </w:r>
      <w:r>
        <w:rPr>
          <w:color w:val="6F2770"/>
        </w:rPr>
        <w:t>Flows</w:t>
      </w:r>
    </w:p>
    <w:p>
      <w:pPr>
        <w:pStyle w:val="Heading4"/>
        <w:spacing w:before="28"/>
      </w:pPr>
      <w:r>
        <w:rPr>
          <w:color w:val="6F2770"/>
        </w:rPr>
        <w:t>For the year ended 30 June 2018</w:t>
      </w:r>
    </w:p>
    <w:p>
      <w:pPr>
        <w:tabs>
          <w:tab w:pos="1704" w:val="right" w:leader="none"/>
        </w:tabs>
        <w:spacing w:before="70"/>
        <w:ind w:left="0" w:right="0" w:firstLine="0"/>
        <w:jc w:val="right"/>
        <w:rPr>
          <w:b/>
          <w:sz w:val="19"/>
        </w:rPr>
      </w:pPr>
      <w:r>
        <w:rPr>
          <w:b/>
          <w:sz w:val="19"/>
        </w:rPr>
        <w:t>Note</w:t>
        <w:tab/>
        <w:t>2018</w:t>
      </w:r>
    </w:p>
    <w:p>
      <w:pPr>
        <w:spacing w:before="9"/>
        <w:ind w:left="0" w:right="0" w:firstLine="0"/>
        <w:jc w:val="right"/>
        <w:rPr>
          <w:b/>
          <w:sz w:val="19"/>
        </w:rPr>
      </w:pPr>
      <w:r>
        <w:rPr>
          <w:b/>
          <w:w w:val="95"/>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8"/>
        <w:rPr>
          <w:b/>
          <w:sz w:val="18"/>
        </w:rPr>
      </w:pPr>
    </w:p>
    <w:p>
      <w:pPr>
        <w:spacing w:before="0"/>
        <w:ind w:left="756" w:right="0" w:firstLine="0"/>
        <w:jc w:val="left"/>
        <w:rPr>
          <w:b/>
          <w:sz w:val="19"/>
        </w:rPr>
      </w:pPr>
      <w:r>
        <w:rPr>
          <w:b/>
          <w:sz w:val="19"/>
        </w:rPr>
        <w:t>2017</w:t>
      </w:r>
    </w:p>
    <w:p>
      <w:pPr>
        <w:spacing w:before="9"/>
        <w:ind w:left="756" w:right="0" w:firstLine="0"/>
        <w:jc w:val="left"/>
        <w:rPr>
          <w:b/>
          <w:sz w:val="19"/>
        </w:rPr>
      </w:pPr>
      <w:r>
        <w:rPr>
          <w:b/>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8"/>
        <w:rPr>
          <w:b/>
          <w:sz w:val="18"/>
        </w:rPr>
      </w:pPr>
    </w:p>
    <w:p>
      <w:pPr>
        <w:tabs>
          <w:tab w:pos="2228" w:val="right" w:leader="none"/>
        </w:tabs>
        <w:spacing w:before="0"/>
        <w:ind w:left="765" w:right="0" w:firstLine="0"/>
        <w:jc w:val="left"/>
        <w:rPr>
          <w:b/>
          <w:sz w:val="19"/>
        </w:rPr>
      </w:pPr>
      <w:r>
        <w:rPr>
          <w:b/>
          <w:sz w:val="19"/>
        </w:rPr>
        <w:t>Note</w:t>
        <w:tab/>
        <w:t>2018</w:t>
      </w:r>
    </w:p>
    <w:p>
      <w:pPr>
        <w:spacing w:before="9"/>
        <w:ind w:left="0" w:right="0" w:firstLine="0"/>
        <w:jc w:val="right"/>
        <w:rPr>
          <w:b/>
          <w:sz w:val="19"/>
        </w:rPr>
      </w:pPr>
      <w:r>
        <w:rPr>
          <w:b/>
          <w:w w:val="95"/>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8"/>
        <w:rPr>
          <w:b/>
          <w:sz w:val="18"/>
        </w:rPr>
      </w:pPr>
    </w:p>
    <w:p>
      <w:pPr>
        <w:spacing w:before="0"/>
        <w:ind w:left="557" w:right="0" w:firstLine="0"/>
        <w:jc w:val="left"/>
        <w:rPr>
          <w:b/>
          <w:sz w:val="19"/>
        </w:rPr>
      </w:pPr>
      <w:r>
        <w:rPr>
          <w:b/>
          <w:sz w:val="19"/>
        </w:rPr>
        <w:t>2017</w:t>
      </w:r>
    </w:p>
    <w:p>
      <w:pPr>
        <w:spacing w:before="9"/>
        <w:ind w:left="557" w:right="0" w:firstLine="0"/>
        <w:jc w:val="left"/>
        <w:rPr>
          <w:b/>
          <w:sz w:val="19"/>
        </w:rPr>
      </w:pPr>
      <w:r>
        <w:rPr>
          <w:b/>
          <w:sz w:val="19"/>
        </w:rPr>
        <w:t>$000</w:t>
      </w:r>
    </w:p>
    <w:p>
      <w:pPr>
        <w:spacing w:after="0"/>
        <w:jc w:val="left"/>
        <w:rPr>
          <w:sz w:val="19"/>
        </w:rPr>
        <w:sectPr>
          <w:type w:val="continuous"/>
          <w:pgSz w:w="16840" w:h="11910" w:orient="landscape"/>
          <w:pgMar w:top="1100" w:bottom="280" w:left="0" w:right="0"/>
          <w:cols w:num="4" w:equalWidth="0">
            <w:col w:w="6846" w:space="40"/>
            <w:col w:w="1219" w:space="4581"/>
            <w:col w:w="2229" w:space="40"/>
            <w:col w:w="1885"/>
          </w:cols>
        </w:sectPr>
      </w:pPr>
    </w:p>
    <w:p>
      <w:pPr>
        <w:tabs>
          <w:tab w:pos="8177" w:val="left" w:leader="none"/>
        </w:tabs>
        <w:spacing w:before="48" w:after="34"/>
        <w:ind w:left="765" w:right="0" w:firstLine="0"/>
        <w:jc w:val="left"/>
        <w:rPr>
          <w:b/>
          <w:sz w:val="19"/>
        </w:rPr>
      </w:pPr>
      <w:r>
        <w:rPr/>
        <w:pict>
          <v:group style="position:absolute;margin-left:38.268002pt;margin-top:14.998874pt;width:248.75pt;height:115.45pt;mso-position-horizontal-relative:page;mso-position-vertical-relative:paragraph;z-index:-701824" coordorigin="765,300" coordsize="4975,2309">
            <v:shape style="position:absolute;left:765;top:299;width:4975;height:894" coordorigin="765,300" coordsize="4975,894" path="m5740,910l4975,910,765,910,765,1193,4975,1193,5740,1193,5740,910m5740,300l4975,300,765,300,765,627,4975,627,5740,627,5740,300e" filled="true" fillcolor="#f4f4f4" stroked="false">
              <v:path arrowok="t"/>
              <v:fill type="solid"/>
            </v:shape>
            <v:shape style="position:absolute;left:765;top:627;width:4975;height:284" coordorigin="765,627" coordsize="4975,284" path="m5740,627l4975,627,765,627,765,910,4975,910,5740,910,5740,627e" filled="true" fillcolor="#faf9f9" stroked="false">
              <v:path arrowok="t"/>
              <v:fill type="solid"/>
            </v:shape>
            <v:shape style="position:absolute;left:765;top:1476;width:4975;height:284" coordorigin="765,1476" coordsize="4975,284" path="m5740,1476l4975,1476,765,1476,765,1759,4975,1759,5740,1759,5740,1476e" filled="true" fillcolor="#f4f4f4" stroked="false">
              <v:path arrowok="t"/>
              <v:fill type="solid"/>
            </v:shape>
            <v:shape style="position:absolute;left:765;top:1193;width:4975;height:284" coordorigin="765,1193" coordsize="4975,284" path="m5740,1193l4975,1193,765,1193,765,1476,4975,1476,5740,1476,5740,1193e" filled="true" fillcolor="#faf9f9" stroked="false">
              <v:path arrowok="t"/>
              <v:fill type="solid"/>
            </v:shape>
            <v:shape style="position:absolute;left:765;top:2042;width:4975;height:284" coordorigin="765,2042" coordsize="4975,284" path="m5740,2042l4975,2042,765,2042,765,2325,4975,2325,5740,2325,5740,2042e" filled="true" fillcolor="#f4f4f4" stroked="false">
              <v:path arrowok="t"/>
              <v:fill type="solid"/>
            </v:shape>
            <v:shape style="position:absolute;left:765;top:1759;width:4975;height:850" coordorigin="765,1759" coordsize="4975,850" path="m5740,2325l4975,2325,765,2325,765,2609,4975,2609,5740,2609,5740,2325m5740,1759l4975,1759,765,1759,765,2042,4975,2042,5740,2042,5740,1759e" filled="true" fillcolor="#faf9f9" stroked="false">
              <v:path arrowok="t"/>
              <v:fill type="solid"/>
            </v:shape>
            <w10:wrap type="none"/>
          </v:group>
        </w:pict>
      </w:r>
      <w:r>
        <w:rPr>
          <w:b/>
          <w:color w:val="FFFFFF"/>
          <w:w w:val="100"/>
          <w:sz w:val="19"/>
          <w:shd w:fill="783A79" w:color="auto" w:val="clear"/>
        </w:rPr>
        <w:t> </w:t>
      </w:r>
      <w:r>
        <w:rPr>
          <w:b/>
          <w:color w:val="FFFFFF"/>
          <w:spacing w:val="7"/>
          <w:sz w:val="19"/>
          <w:shd w:fill="783A79" w:color="auto" w:val="clear"/>
        </w:rPr>
        <w:t> </w:t>
      </w:r>
      <w:r>
        <w:rPr>
          <w:b/>
          <w:color w:val="FFFFFF"/>
          <w:sz w:val="19"/>
          <w:shd w:fill="783A79" w:color="auto" w:val="clear"/>
        </w:rPr>
        <w:t>Cash Flows from State</w:t>
      </w:r>
      <w:r>
        <w:rPr>
          <w:b/>
          <w:color w:val="FFFFFF"/>
          <w:spacing w:val="5"/>
          <w:sz w:val="19"/>
          <w:shd w:fill="783A79" w:color="auto" w:val="clear"/>
        </w:rPr>
        <w:t> </w:t>
      </w:r>
      <w:r>
        <w:rPr>
          <w:b/>
          <w:color w:val="FFFFFF"/>
          <w:sz w:val="19"/>
          <w:shd w:fill="783A79" w:color="auto" w:val="clear"/>
        </w:rPr>
        <w:t>Government</w:t>
        <w:tab/>
      </w: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55"/>
        <w:gridCol w:w="1239"/>
        <w:gridCol w:w="1209"/>
      </w:tblGrid>
      <w:tr>
        <w:trPr>
          <w:trHeight w:val="317" w:hRule="atLeast"/>
        </w:trPr>
        <w:tc>
          <w:tcPr>
            <w:tcW w:w="4209" w:type="dxa"/>
            <w:tcBorders>
              <w:bottom w:val="single" w:sz="8" w:space="0" w:color="FFFFFF"/>
              <w:right w:val="single" w:sz="8" w:space="0" w:color="FFFFFF"/>
            </w:tcBorders>
            <w:shd w:val="clear" w:color="auto" w:fill="F4F4F4"/>
          </w:tcPr>
          <w:p>
            <w:pPr>
              <w:pStyle w:val="TableParagraph"/>
              <w:spacing w:before="31"/>
              <w:ind w:left="123"/>
              <w:rPr>
                <w:sz w:val="19"/>
              </w:rPr>
            </w:pPr>
            <w:r>
              <w:rPr>
                <w:sz w:val="19"/>
              </w:rPr>
              <w:t>Service appropriations</w:t>
            </w:r>
          </w:p>
        </w:tc>
        <w:tc>
          <w:tcPr>
            <w:tcW w:w="75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39" w:type="dxa"/>
            <w:shd w:val="clear" w:color="auto" w:fill="E1E4BB"/>
          </w:tcPr>
          <w:p>
            <w:pPr>
              <w:pStyle w:val="TableParagraph"/>
              <w:spacing w:before="31"/>
              <w:ind w:right="110"/>
              <w:jc w:val="right"/>
              <w:rPr>
                <w:sz w:val="19"/>
              </w:rPr>
            </w:pPr>
            <w:r>
              <w:rPr>
                <w:w w:val="95"/>
                <w:sz w:val="19"/>
              </w:rPr>
              <w:t>89,857</w:t>
            </w:r>
          </w:p>
        </w:tc>
        <w:tc>
          <w:tcPr>
            <w:tcW w:w="1209" w:type="dxa"/>
            <w:tcBorders>
              <w:bottom w:val="single" w:sz="8" w:space="0" w:color="FFFFFF"/>
            </w:tcBorders>
            <w:shd w:val="clear" w:color="auto" w:fill="F4F4F4"/>
          </w:tcPr>
          <w:p>
            <w:pPr>
              <w:pStyle w:val="TableParagraph"/>
              <w:spacing w:before="31"/>
              <w:ind w:right="100"/>
              <w:jc w:val="right"/>
              <w:rPr>
                <w:sz w:val="19"/>
              </w:rPr>
            </w:pPr>
            <w:r>
              <w:rPr>
                <w:w w:val="95"/>
                <w:sz w:val="19"/>
              </w:rPr>
              <w:t>113,948</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Capital appropriations</w:t>
            </w:r>
          </w:p>
        </w:tc>
        <w:tc>
          <w:tcPr>
            <w:tcW w:w="75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39" w:type="dxa"/>
            <w:shd w:val="clear" w:color="auto" w:fill="E1E4BB"/>
          </w:tcPr>
          <w:p>
            <w:pPr>
              <w:pStyle w:val="TableParagraph"/>
              <w:spacing w:before="21"/>
              <w:ind w:right="110"/>
              <w:jc w:val="right"/>
              <w:rPr>
                <w:sz w:val="19"/>
              </w:rPr>
            </w:pPr>
            <w:r>
              <w:rPr>
                <w:w w:val="95"/>
                <w:sz w:val="19"/>
              </w:rPr>
              <w:t>14,902</w:t>
            </w:r>
          </w:p>
        </w:tc>
        <w:tc>
          <w:tcPr>
            <w:tcW w:w="120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28,763</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Funding from Treasury Administered</w:t>
            </w:r>
          </w:p>
        </w:tc>
        <w:tc>
          <w:tcPr>
            <w:tcW w:w="75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39" w:type="dxa"/>
            <w:shd w:val="clear" w:color="auto" w:fill="E1E4BB"/>
          </w:tcPr>
          <w:p>
            <w:pPr>
              <w:pStyle w:val="TableParagraph"/>
              <w:spacing w:before="21"/>
              <w:ind w:right="110"/>
              <w:jc w:val="right"/>
              <w:rPr>
                <w:sz w:val="19"/>
              </w:rPr>
            </w:pPr>
            <w:r>
              <w:rPr>
                <w:w w:val="95"/>
                <w:sz w:val="19"/>
              </w:rPr>
              <w:t>200</w:t>
            </w:r>
          </w:p>
        </w:tc>
        <w:tc>
          <w:tcPr>
            <w:tcW w:w="120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111"/>
                <w:sz w:val="19"/>
              </w:rPr>
              <w:t>-</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Holding account drawdowns</w:t>
            </w:r>
          </w:p>
        </w:tc>
        <w:tc>
          <w:tcPr>
            <w:tcW w:w="75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39" w:type="dxa"/>
            <w:shd w:val="clear" w:color="auto" w:fill="E1E4BB"/>
          </w:tcPr>
          <w:p>
            <w:pPr>
              <w:pStyle w:val="TableParagraph"/>
              <w:spacing w:before="21"/>
              <w:ind w:right="110"/>
              <w:jc w:val="right"/>
              <w:rPr>
                <w:sz w:val="19"/>
              </w:rPr>
            </w:pPr>
            <w:r>
              <w:rPr>
                <w:w w:val="95"/>
                <w:sz w:val="19"/>
              </w:rPr>
              <w:t>1,326</w:t>
            </w:r>
          </w:p>
        </w:tc>
        <w:tc>
          <w:tcPr>
            <w:tcW w:w="120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770</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Royalties for Regions Fund</w:t>
            </w:r>
          </w:p>
        </w:tc>
        <w:tc>
          <w:tcPr>
            <w:tcW w:w="75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39" w:type="dxa"/>
            <w:shd w:val="clear" w:color="auto" w:fill="E1E4BB"/>
          </w:tcPr>
          <w:p>
            <w:pPr>
              <w:pStyle w:val="TableParagraph"/>
              <w:spacing w:before="21"/>
              <w:ind w:right="110"/>
              <w:jc w:val="right"/>
              <w:rPr>
                <w:sz w:val="19"/>
              </w:rPr>
            </w:pPr>
            <w:r>
              <w:rPr>
                <w:w w:val="95"/>
                <w:sz w:val="19"/>
              </w:rPr>
              <w:t>106</w:t>
            </w:r>
          </w:p>
        </w:tc>
        <w:tc>
          <w:tcPr>
            <w:tcW w:w="1209" w:type="dxa"/>
            <w:tcBorders>
              <w:top w:val="single" w:sz="8" w:space="0" w:color="FFFFFF"/>
            </w:tcBorders>
            <w:shd w:val="clear" w:color="auto" w:fill="FAF9F9"/>
          </w:tcPr>
          <w:p>
            <w:pPr>
              <w:pStyle w:val="TableParagraph"/>
              <w:spacing w:before="21"/>
              <w:ind w:right="100"/>
              <w:jc w:val="right"/>
              <w:rPr>
                <w:sz w:val="19"/>
              </w:rPr>
            </w:pPr>
            <w:r>
              <w:rPr>
                <w:w w:val="95"/>
                <w:sz w:val="19"/>
              </w:rPr>
              <w:t>125</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Regional Infrastructure and Headworks Fund</w:t>
            </w:r>
          </w:p>
        </w:tc>
        <w:tc>
          <w:tcPr>
            <w:tcW w:w="75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39" w:type="dxa"/>
            <w:shd w:val="clear" w:color="auto" w:fill="E1E4BB"/>
          </w:tcPr>
          <w:p>
            <w:pPr>
              <w:pStyle w:val="TableParagraph"/>
              <w:spacing w:before="21"/>
              <w:ind w:right="110"/>
              <w:jc w:val="right"/>
              <w:rPr>
                <w:sz w:val="19"/>
              </w:rPr>
            </w:pPr>
            <w:r>
              <w:rPr>
                <w:w w:val="90"/>
                <w:sz w:val="19"/>
              </w:rPr>
              <w:t>(421)</w:t>
            </w:r>
          </w:p>
        </w:tc>
        <w:tc>
          <w:tcPr>
            <w:tcW w:w="1209" w:type="dxa"/>
            <w:shd w:val="clear" w:color="auto" w:fill="FAF9F9"/>
          </w:tcPr>
          <w:p>
            <w:pPr>
              <w:pStyle w:val="TableParagraph"/>
              <w:spacing w:before="21"/>
              <w:ind w:right="100"/>
              <w:jc w:val="right"/>
              <w:rPr>
                <w:sz w:val="19"/>
              </w:rPr>
            </w:pPr>
            <w:r>
              <w:rPr>
                <w:w w:val="95"/>
                <w:sz w:val="19"/>
              </w:rPr>
              <w:t>245</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Non-retained revenue distributed to owner</w:t>
            </w:r>
          </w:p>
        </w:tc>
        <w:tc>
          <w:tcPr>
            <w:tcW w:w="75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39" w:type="dxa"/>
            <w:tcBorders>
              <w:bottom w:val="single" w:sz="4" w:space="0" w:color="000000"/>
            </w:tcBorders>
            <w:shd w:val="clear" w:color="auto" w:fill="E1E4BB"/>
          </w:tcPr>
          <w:p>
            <w:pPr>
              <w:pStyle w:val="TableParagraph"/>
              <w:spacing w:before="21"/>
              <w:ind w:right="110"/>
              <w:jc w:val="right"/>
              <w:rPr>
                <w:sz w:val="19"/>
              </w:rPr>
            </w:pPr>
            <w:r>
              <w:rPr>
                <w:w w:val="111"/>
                <w:sz w:val="19"/>
              </w:rPr>
              <w:t>-</w:t>
            </w:r>
          </w:p>
        </w:tc>
        <w:tc>
          <w:tcPr>
            <w:tcW w:w="1209" w:type="dxa"/>
            <w:tcBorders>
              <w:bottom w:val="single" w:sz="4" w:space="0" w:color="000000"/>
            </w:tcBorders>
            <w:shd w:val="clear" w:color="auto" w:fill="FAF9F9"/>
          </w:tcPr>
          <w:p>
            <w:pPr>
              <w:pStyle w:val="TableParagraph"/>
              <w:spacing w:before="21"/>
              <w:ind w:right="100"/>
              <w:jc w:val="right"/>
              <w:rPr>
                <w:sz w:val="19"/>
              </w:rPr>
            </w:pPr>
            <w:r>
              <w:rPr>
                <w:w w:val="85"/>
                <w:sz w:val="19"/>
              </w:rPr>
              <w:t>(24)</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b/>
                <w:sz w:val="19"/>
              </w:rPr>
            </w:pPr>
            <w:r>
              <w:rPr>
                <w:b/>
                <w:sz w:val="19"/>
              </w:rPr>
              <w:t>Net cash provided by State Government</w:t>
            </w:r>
          </w:p>
        </w:tc>
        <w:tc>
          <w:tcPr>
            <w:tcW w:w="75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39" w:type="dxa"/>
            <w:tcBorders>
              <w:top w:val="single" w:sz="4" w:space="0" w:color="000000"/>
              <w:bottom w:val="single" w:sz="4" w:space="0" w:color="000000"/>
            </w:tcBorders>
            <w:shd w:val="clear" w:color="auto" w:fill="E1E4BB"/>
          </w:tcPr>
          <w:p>
            <w:pPr>
              <w:pStyle w:val="TableParagraph"/>
              <w:spacing w:before="21"/>
              <w:ind w:right="110"/>
              <w:jc w:val="right"/>
              <w:rPr>
                <w:b/>
                <w:sz w:val="19"/>
              </w:rPr>
            </w:pPr>
            <w:r>
              <w:rPr>
                <w:b/>
                <w:w w:val="95"/>
                <w:sz w:val="19"/>
              </w:rPr>
              <w:t>105,970</w:t>
            </w:r>
          </w:p>
        </w:tc>
        <w:tc>
          <w:tcPr>
            <w:tcW w:w="1209" w:type="dxa"/>
            <w:tcBorders>
              <w:top w:val="single" w:sz="4" w:space="0" w:color="000000"/>
              <w:bottom w:val="single" w:sz="4" w:space="0" w:color="000000"/>
            </w:tcBorders>
            <w:shd w:val="clear" w:color="auto" w:fill="FAF9F9"/>
          </w:tcPr>
          <w:p>
            <w:pPr>
              <w:pStyle w:val="TableParagraph"/>
              <w:spacing w:before="21"/>
              <w:ind w:right="100"/>
              <w:jc w:val="right"/>
              <w:rPr>
                <w:b/>
                <w:sz w:val="19"/>
              </w:rPr>
            </w:pPr>
            <w:r>
              <w:rPr>
                <w:b/>
                <w:w w:val="95"/>
                <w:sz w:val="19"/>
              </w:rPr>
              <w:t>143,827</w:t>
            </w:r>
          </w:p>
        </w:tc>
      </w:tr>
    </w:tbl>
    <w:p>
      <w:pPr>
        <w:spacing w:before="21"/>
        <w:ind w:left="878" w:right="0" w:firstLine="0"/>
        <w:jc w:val="left"/>
        <w:rPr>
          <w:sz w:val="19"/>
        </w:rPr>
      </w:pPr>
      <w:r>
        <w:rPr>
          <w:sz w:val="19"/>
        </w:rPr>
        <w:t>Utilised as follows:</w:t>
      </w:r>
    </w:p>
    <w:p>
      <w:pPr>
        <w:tabs>
          <w:tab w:pos="8177" w:val="left" w:leader="none"/>
        </w:tabs>
        <w:spacing w:before="65"/>
        <w:ind w:left="765" w:right="0" w:firstLine="0"/>
        <w:jc w:val="left"/>
        <w:rPr>
          <w:b/>
          <w:sz w:val="19"/>
        </w:rPr>
      </w:pPr>
      <w:r>
        <w:rPr>
          <w:b/>
          <w:color w:val="FFFFFF"/>
          <w:w w:val="100"/>
          <w:sz w:val="19"/>
          <w:shd w:fill="783A79" w:color="auto" w:val="clear"/>
        </w:rPr>
        <w:t> </w:t>
      </w:r>
      <w:r>
        <w:rPr>
          <w:b/>
          <w:color w:val="FFFFFF"/>
          <w:spacing w:val="7"/>
          <w:sz w:val="19"/>
          <w:shd w:fill="783A79" w:color="auto" w:val="clear"/>
        </w:rPr>
        <w:t> </w:t>
      </w:r>
      <w:r>
        <w:rPr>
          <w:b/>
          <w:color w:val="FFFFFF"/>
          <w:sz w:val="19"/>
          <w:shd w:fill="783A79" w:color="auto" w:val="clear"/>
        </w:rPr>
        <w:t>Cash Flows from Operating</w:t>
      </w:r>
      <w:r>
        <w:rPr>
          <w:b/>
          <w:color w:val="FFFFFF"/>
          <w:spacing w:val="-17"/>
          <w:sz w:val="19"/>
          <w:shd w:fill="783A79" w:color="auto" w:val="clear"/>
        </w:rPr>
        <w:t> </w:t>
      </w:r>
      <w:r>
        <w:rPr>
          <w:b/>
          <w:color w:val="FFFFFF"/>
          <w:sz w:val="19"/>
          <w:shd w:fill="783A79" w:color="auto" w:val="clear"/>
        </w:rPr>
        <w:t>Activities</w:t>
        <w:tab/>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1"/>
        <w:gridCol w:w="680"/>
        <w:gridCol w:w="1020"/>
        <w:gridCol w:w="1020"/>
      </w:tblGrid>
      <w:tr>
        <w:trPr>
          <w:trHeight w:val="337" w:hRule="atLeast"/>
        </w:trPr>
        <w:tc>
          <w:tcPr>
            <w:tcW w:w="7411" w:type="dxa"/>
            <w:gridSpan w:val="4"/>
            <w:shd w:val="clear" w:color="auto" w:fill="783A79"/>
          </w:tcPr>
          <w:p>
            <w:pPr>
              <w:pStyle w:val="TableParagraph"/>
              <w:spacing w:before="36"/>
              <w:ind w:left="113"/>
              <w:rPr>
                <w:b/>
                <w:sz w:val="19"/>
              </w:rPr>
            </w:pPr>
            <w:r>
              <w:rPr>
                <w:b/>
                <w:color w:val="FFFFFF"/>
                <w:sz w:val="19"/>
              </w:rPr>
              <w:t>Cash Flows from Investing Activities</w:t>
            </w:r>
          </w:p>
        </w:tc>
      </w:tr>
      <w:tr>
        <w:trPr>
          <w:trHeight w:val="302" w:hRule="atLeast"/>
        </w:trPr>
        <w:tc>
          <w:tcPr>
            <w:tcW w:w="4691" w:type="dxa"/>
            <w:tcBorders>
              <w:right w:val="single" w:sz="8" w:space="0" w:color="FFFFFF"/>
            </w:tcBorders>
            <w:shd w:val="clear" w:color="auto" w:fill="F4F4F4"/>
          </w:tcPr>
          <w:p>
            <w:pPr>
              <w:pStyle w:val="TableParagraph"/>
              <w:spacing w:before="26"/>
              <w:ind w:left="113"/>
              <w:rPr>
                <w:i/>
                <w:sz w:val="19"/>
              </w:rPr>
            </w:pPr>
            <w:r>
              <w:rPr>
                <w:i/>
                <w:color w:val="6F2770"/>
                <w:sz w:val="19"/>
              </w:rPr>
              <w:t>Payments</w:t>
            </w:r>
          </w:p>
        </w:tc>
        <w:tc>
          <w:tcPr>
            <w:tcW w:w="680" w:type="dxa"/>
            <w:tcBorders>
              <w:left w:val="single" w:sz="8" w:space="0" w:color="FFFFFF"/>
            </w:tcBorders>
            <w:shd w:val="clear" w:color="auto" w:fill="F4F4F4"/>
          </w:tcPr>
          <w:p>
            <w:pPr>
              <w:pStyle w:val="TableParagraph"/>
              <w:spacing w:before="0"/>
              <w:rPr>
                <w:rFonts w:ascii="Times New Roman"/>
                <w:sz w:val="18"/>
              </w:rPr>
            </w:pPr>
          </w:p>
        </w:tc>
        <w:tc>
          <w:tcPr>
            <w:tcW w:w="1020" w:type="dxa"/>
            <w:vMerge w:val="restart"/>
            <w:tcBorders>
              <w:bottom w:val="single" w:sz="4" w:space="0" w:color="000000"/>
            </w:tcBorders>
            <w:shd w:val="clear" w:color="auto" w:fill="DFE1B8"/>
          </w:tcPr>
          <w:p>
            <w:pPr>
              <w:pStyle w:val="TableParagraph"/>
              <w:spacing w:before="8"/>
              <w:rPr>
                <w:b/>
                <w:sz w:val="30"/>
              </w:rPr>
            </w:pPr>
          </w:p>
          <w:p>
            <w:pPr>
              <w:pStyle w:val="TableParagraph"/>
              <w:spacing w:before="0"/>
              <w:ind w:left="91" w:right="74"/>
              <w:jc w:val="center"/>
              <w:rPr>
                <w:sz w:val="19"/>
              </w:rPr>
            </w:pPr>
            <w:r>
              <w:rPr>
                <w:sz w:val="19"/>
              </w:rPr>
              <w:t>(122,972)</w:t>
            </w:r>
          </w:p>
          <w:p>
            <w:pPr>
              <w:pStyle w:val="TableParagraph"/>
              <w:spacing w:before="3"/>
              <w:rPr>
                <w:b/>
                <w:sz w:val="30"/>
              </w:rPr>
            </w:pPr>
          </w:p>
          <w:p>
            <w:pPr>
              <w:pStyle w:val="TableParagraph"/>
              <w:spacing w:before="0"/>
              <w:ind w:left="288" w:right="74"/>
              <w:jc w:val="center"/>
              <w:rPr>
                <w:sz w:val="19"/>
              </w:rPr>
            </w:pPr>
            <w:r>
              <w:rPr>
                <w:sz w:val="19"/>
              </w:rPr>
              <w:t>39,016</w:t>
            </w:r>
          </w:p>
          <w:p>
            <w:pPr>
              <w:pStyle w:val="TableParagraph"/>
              <w:spacing w:before="64"/>
              <w:ind w:left="288" w:right="74"/>
              <w:jc w:val="center"/>
              <w:rPr>
                <w:sz w:val="19"/>
              </w:rPr>
            </w:pPr>
            <w:r>
              <w:rPr>
                <w:sz w:val="19"/>
              </w:rPr>
              <w:t>41,544</w:t>
            </w:r>
          </w:p>
        </w:tc>
        <w:tc>
          <w:tcPr>
            <w:tcW w:w="1020" w:type="dxa"/>
            <w:tcBorders>
              <w:bottom w:val="single" w:sz="8" w:space="0" w:color="FFFFFF"/>
            </w:tcBorders>
            <w:shd w:val="clear" w:color="auto" w:fill="F4F4F4"/>
          </w:tcPr>
          <w:p>
            <w:pPr>
              <w:pStyle w:val="TableParagraph"/>
              <w:spacing w:before="0"/>
              <w:rPr>
                <w:rFonts w:ascii="Times New Roman"/>
                <w:sz w:val="18"/>
              </w:rPr>
            </w:pPr>
          </w:p>
        </w:tc>
      </w:tr>
      <w:tr>
        <w:trPr>
          <w:trHeight w:val="273" w:hRule="atLeast"/>
        </w:trPr>
        <w:tc>
          <w:tcPr>
            <w:tcW w:w="5371" w:type="dxa"/>
            <w:gridSpan w:val="2"/>
            <w:shd w:val="clear" w:color="auto" w:fill="FAF9F9"/>
          </w:tcPr>
          <w:p>
            <w:pPr>
              <w:pStyle w:val="TableParagraph"/>
              <w:spacing w:before="31"/>
              <w:ind w:left="113"/>
              <w:rPr>
                <w:sz w:val="19"/>
              </w:rPr>
            </w:pPr>
            <w:r>
              <w:rPr>
                <w:w w:val="105"/>
                <w:sz w:val="19"/>
              </w:rPr>
              <w:t>Purchase of non-current physical assets</w:t>
            </w: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AF9F9"/>
          </w:tcPr>
          <w:p>
            <w:pPr>
              <w:pStyle w:val="TableParagraph"/>
              <w:spacing w:before="21"/>
              <w:ind w:right="109"/>
              <w:jc w:val="right"/>
              <w:rPr>
                <w:sz w:val="19"/>
              </w:rPr>
            </w:pPr>
            <w:r>
              <w:rPr>
                <w:w w:val="95"/>
                <w:sz w:val="19"/>
              </w:rPr>
              <w:t>(148,153)</w:t>
            </w:r>
          </w:p>
        </w:tc>
      </w:tr>
      <w:tr>
        <w:trPr>
          <w:trHeight w:val="263" w:hRule="atLeast"/>
        </w:trPr>
        <w:tc>
          <w:tcPr>
            <w:tcW w:w="4691" w:type="dxa"/>
            <w:tcBorders>
              <w:bottom w:val="single" w:sz="8" w:space="0" w:color="FFFFFF"/>
              <w:right w:val="single" w:sz="8" w:space="0" w:color="FFFFFF"/>
            </w:tcBorders>
            <w:shd w:val="clear" w:color="auto" w:fill="F4F4F4"/>
          </w:tcPr>
          <w:p>
            <w:pPr>
              <w:pStyle w:val="TableParagraph"/>
              <w:spacing w:before="11"/>
              <w:ind w:left="113"/>
              <w:rPr>
                <w:i/>
                <w:sz w:val="19"/>
              </w:rPr>
            </w:pPr>
            <w:r>
              <w:rPr>
                <w:i/>
                <w:color w:val="6F2770"/>
                <w:sz w:val="19"/>
              </w:rPr>
              <w:t>Receipts</w:t>
            </w:r>
          </w:p>
        </w:tc>
        <w:tc>
          <w:tcPr>
            <w:tcW w:w="680"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63" w:hRule="atLeast"/>
        </w:trPr>
        <w:tc>
          <w:tcPr>
            <w:tcW w:w="5371" w:type="dxa"/>
            <w:gridSpan w:val="2"/>
            <w:tcBorders>
              <w:top w:val="single" w:sz="8" w:space="0" w:color="FFFFFF"/>
              <w:bottom w:val="single" w:sz="8" w:space="0" w:color="FFFFFF"/>
            </w:tcBorders>
            <w:shd w:val="clear" w:color="auto" w:fill="FAF9F9"/>
          </w:tcPr>
          <w:p>
            <w:pPr>
              <w:pStyle w:val="TableParagraph"/>
              <w:spacing w:before="21"/>
              <w:ind w:left="113"/>
              <w:rPr>
                <w:sz w:val="19"/>
              </w:rPr>
            </w:pPr>
            <w:r>
              <w:rPr>
                <w:sz w:val="19"/>
              </w:rPr>
              <w:t>Proceeds from sale of non-current physical assets</w:t>
            </w: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AF9F9"/>
          </w:tcPr>
          <w:p>
            <w:pPr>
              <w:pStyle w:val="TableParagraph"/>
              <w:spacing w:before="21"/>
              <w:ind w:right="109"/>
              <w:jc w:val="right"/>
              <w:rPr>
                <w:sz w:val="19"/>
              </w:rPr>
            </w:pPr>
            <w:r>
              <w:rPr>
                <w:w w:val="95"/>
                <w:sz w:val="19"/>
              </w:rPr>
              <w:t>71,559</w:t>
            </w:r>
          </w:p>
        </w:tc>
      </w:tr>
      <w:tr>
        <w:trPr>
          <w:trHeight w:val="263"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sz w:val="19"/>
              </w:rPr>
            </w:pPr>
            <w:r>
              <w:rPr>
                <w:sz w:val="19"/>
              </w:rPr>
              <w:t>Receipts from lease incentives</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4" w:space="0" w:color="000000"/>
            </w:tcBorders>
            <w:shd w:val="clear" w:color="auto" w:fill="F4F4F4"/>
          </w:tcPr>
          <w:p>
            <w:pPr>
              <w:pStyle w:val="TableParagraph"/>
              <w:spacing w:before="21"/>
              <w:ind w:right="109"/>
              <w:jc w:val="right"/>
              <w:rPr>
                <w:sz w:val="19"/>
              </w:rPr>
            </w:pPr>
            <w:r>
              <w:rPr>
                <w:w w:val="95"/>
                <w:sz w:val="19"/>
              </w:rPr>
              <w:t>27,762</w:t>
            </w:r>
          </w:p>
        </w:tc>
      </w:tr>
      <w:tr>
        <w:trPr>
          <w:trHeight w:val="268" w:hRule="atLeast"/>
        </w:trPr>
        <w:tc>
          <w:tcPr>
            <w:tcW w:w="5371" w:type="dxa"/>
            <w:gridSpan w:val="2"/>
            <w:tcBorders>
              <w:top w:val="single" w:sz="8" w:space="0" w:color="FFFFFF"/>
            </w:tcBorders>
            <w:shd w:val="clear" w:color="auto" w:fill="FAF9F9"/>
          </w:tcPr>
          <w:p>
            <w:pPr>
              <w:pStyle w:val="TableParagraph"/>
              <w:spacing w:before="21"/>
              <w:ind w:left="56"/>
              <w:rPr>
                <w:b/>
                <w:sz w:val="19"/>
              </w:rPr>
            </w:pPr>
            <w:r>
              <w:rPr>
                <w:b/>
                <w:sz w:val="19"/>
              </w:rPr>
              <w:t>Net cash provided by/(used in) investing</w:t>
            </w:r>
          </w:p>
        </w:tc>
        <w:tc>
          <w:tcPr>
            <w:tcW w:w="1020" w:type="dxa"/>
            <w:tcBorders>
              <w:top w:val="single" w:sz="4" w:space="0" w:color="000000"/>
              <w:bottom w:val="single" w:sz="4" w:space="0" w:color="000000"/>
            </w:tcBorders>
            <w:shd w:val="clear" w:color="auto" w:fill="E1E4BB"/>
          </w:tcPr>
          <w:p>
            <w:pPr>
              <w:pStyle w:val="TableParagraph"/>
              <w:spacing w:before="21"/>
              <w:ind w:right="110"/>
              <w:jc w:val="right"/>
              <w:rPr>
                <w:b/>
                <w:sz w:val="19"/>
              </w:rPr>
            </w:pPr>
            <w:r>
              <w:rPr>
                <w:b/>
                <w:w w:val="95"/>
                <w:sz w:val="19"/>
              </w:rPr>
              <w:t>(42,412)</w:t>
            </w:r>
          </w:p>
        </w:tc>
        <w:tc>
          <w:tcPr>
            <w:tcW w:w="1020" w:type="dxa"/>
            <w:tcBorders>
              <w:top w:val="single" w:sz="4" w:space="0" w:color="000000"/>
              <w:bottom w:val="single" w:sz="4" w:space="0" w:color="000000"/>
            </w:tcBorders>
            <w:shd w:val="clear" w:color="auto" w:fill="FAF9F9"/>
          </w:tcPr>
          <w:p>
            <w:pPr>
              <w:pStyle w:val="TableParagraph"/>
              <w:spacing w:before="21"/>
              <w:ind w:right="109"/>
              <w:jc w:val="right"/>
              <w:rPr>
                <w:b/>
                <w:sz w:val="19"/>
              </w:rPr>
            </w:pPr>
            <w:r>
              <w:rPr>
                <w:b/>
                <w:w w:val="95"/>
                <w:sz w:val="19"/>
              </w:rPr>
              <w:t>(48,832)</w:t>
            </w:r>
          </w:p>
        </w:tc>
      </w:tr>
      <w:tr>
        <w:trPr>
          <w:trHeight w:val="273" w:hRule="atLeast"/>
        </w:trPr>
        <w:tc>
          <w:tcPr>
            <w:tcW w:w="4691" w:type="dxa"/>
            <w:tcBorders>
              <w:right w:val="single" w:sz="8" w:space="0" w:color="FFFFFF"/>
            </w:tcBorders>
            <w:shd w:val="clear" w:color="auto" w:fill="FAF9F9"/>
          </w:tcPr>
          <w:p>
            <w:pPr>
              <w:pStyle w:val="TableParagraph"/>
              <w:spacing w:line="190" w:lineRule="exact" w:before="0"/>
              <w:ind w:left="56"/>
              <w:rPr>
                <w:b/>
                <w:sz w:val="19"/>
              </w:rPr>
            </w:pPr>
            <w:r>
              <w:rPr>
                <w:b/>
                <w:sz w:val="19"/>
              </w:rPr>
              <w:t>activities</w:t>
            </w:r>
          </w:p>
        </w:tc>
        <w:tc>
          <w:tcPr>
            <w:tcW w:w="680" w:type="dxa"/>
            <w:tcBorders>
              <w:left w:val="single" w:sz="8" w:space="0" w:color="FFFFFF"/>
            </w:tcBorders>
            <w:shd w:val="clear" w:color="auto" w:fill="FAF9F9"/>
          </w:tcPr>
          <w:p>
            <w:pPr>
              <w:pStyle w:val="TableParagraph"/>
              <w:spacing w:before="0"/>
              <w:rPr>
                <w:rFonts w:ascii="Times New Roman"/>
                <w:sz w:val="18"/>
              </w:rPr>
            </w:pPr>
          </w:p>
        </w:tc>
        <w:tc>
          <w:tcPr>
            <w:tcW w:w="1020" w:type="dxa"/>
            <w:tcBorders>
              <w:top w:val="single" w:sz="4" w:space="0" w:color="000000"/>
              <w:bottom w:val="single" w:sz="4" w:space="0" w:color="6F2671"/>
            </w:tcBorders>
            <w:shd w:val="clear" w:color="auto" w:fill="E1E4BB"/>
          </w:tcPr>
          <w:p>
            <w:pPr>
              <w:pStyle w:val="TableParagraph"/>
              <w:spacing w:before="0"/>
              <w:rPr>
                <w:rFonts w:ascii="Times New Roman"/>
                <w:sz w:val="18"/>
              </w:rPr>
            </w:pPr>
          </w:p>
        </w:tc>
        <w:tc>
          <w:tcPr>
            <w:tcW w:w="1020" w:type="dxa"/>
            <w:tcBorders>
              <w:top w:val="single" w:sz="4" w:space="0" w:color="000000"/>
              <w:bottom w:val="single" w:sz="4" w:space="0" w:color="6F2671"/>
            </w:tcBorders>
            <w:shd w:val="clear" w:color="auto" w:fill="FAF9F9"/>
          </w:tcPr>
          <w:p>
            <w:pPr>
              <w:pStyle w:val="TableParagraph"/>
              <w:spacing w:before="0"/>
              <w:rPr>
                <w:rFonts w:ascii="Times New Roman"/>
                <w:sz w:val="18"/>
              </w:rPr>
            </w:pPr>
          </w:p>
        </w:tc>
      </w:tr>
      <w:tr>
        <w:trPr>
          <w:trHeight w:val="283" w:hRule="atLeast"/>
        </w:trPr>
        <w:tc>
          <w:tcPr>
            <w:tcW w:w="7411" w:type="dxa"/>
            <w:gridSpan w:val="4"/>
            <w:shd w:val="clear" w:color="auto" w:fill="783A79"/>
          </w:tcPr>
          <w:p>
            <w:pPr>
              <w:pStyle w:val="TableParagraph"/>
              <w:spacing w:before="26"/>
              <w:ind w:left="113"/>
              <w:rPr>
                <w:b/>
                <w:sz w:val="19"/>
              </w:rPr>
            </w:pPr>
            <w:r>
              <w:rPr>
                <w:b/>
                <w:color w:val="FFFFFF"/>
                <w:sz w:val="19"/>
              </w:rPr>
              <w:t>Cash Flows from Financing Activities</w:t>
            </w:r>
          </w:p>
        </w:tc>
      </w:tr>
      <w:tr>
        <w:trPr>
          <w:trHeight w:val="278" w:hRule="atLeast"/>
        </w:trPr>
        <w:tc>
          <w:tcPr>
            <w:tcW w:w="5371" w:type="dxa"/>
            <w:gridSpan w:val="2"/>
            <w:shd w:val="clear" w:color="auto" w:fill="FAF9F9"/>
          </w:tcPr>
          <w:p>
            <w:pPr>
              <w:pStyle w:val="TableParagraph"/>
              <w:spacing w:before="26"/>
              <w:ind w:left="113"/>
              <w:rPr>
                <w:i/>
                <w:sz w:val="19"/>
              </w:rPr>
            </w:pPr>
            <w:r>
              <w:rPr>
                <w:i/>
                <w:color w:val="6F2770"/>
                <w:sz w:val="19"/>
              </w:rPr>
              <w:t>Payments</w:t>
            </w:r>
          </w:p>
        </w:tc>
        <w:tc>
          <w:tcPr>
            <w:tcW w:w="1020" w:type="dxa"/>
            <w:vMerge w:val="restart"/>
            <w:tcBorders>
              <w:bottom w:val="single" w:sz="4" w:space="0" w:color="000000"/>
            </w:tcBorders>
            <w:shd w:val="clear" w:color="auto" w:fill="E1E4BB"/>
          </w:tcPr>
          <w:p>
            <w:pPr>
              <w:pStyle w:val="TableParagraph"/>
              <w:spacing w:before="10"/>
              <w:rPr>
                <w:b/>
                <w:sz w:val="26"/>
              </w:rPr>
            </w:pPr>
          </w:p>
          <w:p>
            <w:pPr>
              <w:pStyle w:val="TableParagraph"/>
              <w:spacing w:before="0"/>
              <w:ind w:left="235"/>
              <w:rPr>
                <w:sz w:val="19"/>
              </w:rPr>
            </w:pPr>
            <w:r>
              <w:rPr>
                <w:sz w:val="19"/>
              </w:rPr>
              <w:t>(23,115)</w:t>
            </w:r>
          </w:p>
          <w:p>
            <w:pPr>
              <w:pStyle w:val="TableParagraph"/>
              <w:spacing w:before="10"/>
              <w:rPr>
                <w:b/>
                <w:sz w:val="24"/>
              </w:rPr>
            </w:pPr>
          </w:p>
          <w:p>
            <w:pPr>
              <w:pStyle w:val="TableParagraph"/>
              <w:spacing w:line="280" w:lineRule="atLeast" w:before="0"/>
              <w:ind w:left="590" w:right="93" w:firstLine="246"/>
              <w:rPr>
                <w:sz w:val="19"/>
              </w:rPr>
            </w:pPr>
            <w:r>
              <w:rPr>
                <w:w w:val="105"/>
                <w:sz w:val="19"/>
              </w:rPr>
              <w:t>- </w:t>
            </w:r>
            <w:r>
              <w:rPr>
                <w:sz w:val="19"/>
              </w:rPr>
              <w:t>500</w:t>
            </w:r>
          </w:p>
        </w:tc>
        <w:tc>
          <w:tcPr>
            <w:tcW w:w="1020" w:type="dxa"/>
            <w:vMerge w:val="restart"/>
            <w:tcBorders>
              <w:bottom w:val="single" w:sz="8" w:space="0" w:color="FFFFFF"/>
            </w:tcBorders>
            <w:shd w:val="clear" w:color="auto" w:fill="FAF9F9"/>
          </w:tcPr>
          <w:p>
            <w:pPr>
              <w:pStyle w:val="TableParagraph"/>
              <w:spacing w:before="10"/>
              <w:rPr>
                <w:b/>
                <w:sz w:val="26"/>
              </w:rPr>
            </w:pPr>
          </w:p>
          <w:p>
            <w:pPr>
              <w:pStyle w:val="TableParagraph"/>
              <w:spacing w:before="0"/>
              <w:ind w:left="235"/>
              <w:rPr>
                <w:sz w:val="19"/>
              </w:rPr>
            </w:pPr>
            <w:r>
              <w:rPr>
                <w:sz w:val="19"/>
              </w:rPr>
              <w:t>(30,689)</w:t>
            </w:r>
          </w:p>
        </w:tc>
      </w:tr>
      <w:tr>
        <w:trPr>
          <w:trHeight w:val="253" w:hRule="atLeast"/>
        </w:trPr>
        <w:tc>
          <w:tcPr>
            <w:tcW w:w="4691" w:type="dxa"/>
            <w:tcBorders>
              <w:bottom w:val="single" w:sz="8" w:space="0" w:color="FFFFFF"/>
              <w:right w:val="single" w:sz="8" w:space="0" w:color="FFFFFF"/>
            </w:tcBorders>
            <w:shd w:val="clear" w:color="auto" w:fill="F4F4F4"/>
          </w:tcPr>
          <w:p>
            <w:pPr>
              <w:pStyle w:val="TableParagraph"/>
              <w:spacing w:before="11"/>
              <w:ind w:left="113"/>
              <w:rPr>
                <w:sz w:val="19"/>
              </w:rPr>
            </w:pPr>
            <w:r>
              <w:rPr>
                <w:sz w:val="19"/>
              </w:rPr>
              <w:t>Repayment of borrowings</w:t>
            </w:r>
          </w:p>
        </w:tc>
        <w:tc>
          <w:tcPr>
            <w:tcW w:w="680"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E1E4BB"/>
          </w:tcPr>
          <w:p>
            <w:pPr>
              <w:rPr>
                <w:sz w:val="2"/>
                <w:szCs w:val="2"/>
              </w:rPr>
            </w:pPr>
          </w:p>
        </w:tc>
        <w:tc>
          <w:tcPr>
            <w:tcW w:w="1020" w:type="dxa"/>
            <w:vMerge/>
            <w:tcBorders>
              <w:top w:val="nil"/>
              <w:bottom w:val="single" w:sz="8" w:space="0" w:color="FFFFFF"/>
            </w:tcBorders>
            <w:shd w:val="clear" w:color="auto" w:fill="FAF9F9"/>
          </w:tcPr>
          <w:p>
            <w:pPr>
              <w:rPr>
                <w:sz w:val="2"/>
                <w:szCs w:val="2"/>
              </w:rPr>
            </w:pPr>
          </w:p>
        </w:tc>
      </w:tr>
      <w:tr>
        <w:trPr>
          <w:trHeight w:val="263" w:hRule="atLeast"/>
        </w:trPr>
        <w:tc>
          <w:tcPr>
            <w:tcW w:w="5371" w:type="dxa"/>
            <w:gridSpan w:val="2"/>
            <w:tcBorders>
              <w:top w:val="single" w:sz="8" w:space="0" w:color="FFFFFF"/>
              <w:bottom w:val="single" w:sz="8" w:space="0" w:color="FFFFFF"/>
            </w:tcBorders>
            <w:shd w:val="clear" w:color="auto" w:fill="FAF9F9"/>
          </w:tcPr>
          <w:p>
            <w:pPr>
              <w:pStyle w:val="TableParagraph"/>
              <w:spacing w:before="21"/>
              <w:ind w:left="113"/>
              <w:rPr>
                <w:i/>
                <w:sz w:val="19"/>
              </w:rPr>
            </w:pPr>
            <w:r>
              <w:rPr>
                <w:i/>
                <w:color w:val="6F2770"/>
                <w:sz w:val="19"/>
              </w:rPr>
              <w:t>Receipts</w:t>
            </w:r>
          </w:p>
        </w:tc>
        <w:tc>
          <w:tcPr>
            <w:tcW w:w="1020" w:type="dxa"/>
            <w:vMerge/>
            <w:tcBorders>
              <w:top w:val="nil"/>
              <w:bottom w:val="single" w:sz="4" w:space="0" w:color="000000"/>
            </w:tcBorders>
            <w:shd w:val="clear" w:color="auto" w:fill="E1E4BB"/>
          </w:tcPr>
          <w:p>
            <w:pPr>
              <w:rPr>
                <w:sz w:val="2"/>
                <w:szCs w:val="2"/>
              </w:rPr>
            </w:pPr>
          </w:p>
        </w:tc>
        <w:tc>
          <w:tcPr>
            <w:tcW w:w="1020"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63"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sz w:val="19"/>
              </w:rPr>
            </w:pPr>
            <w:r>
              <w:rPr>
                <w:sz w:val="19"/>
              </w:rPr>
              <w:t>Proceeds from borrowings</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E1E4BB"/>
          </w:tcPr>
          <w:p>
            <w:pPr>
              <w:rPr>
                <w:sz w:val="2"/>
                <w:szCs w:val="2"/>
              </w:rPr>
            </w:pPr>
          </w:p>
        </w:tc>
        <w:tc>
          <w:tcPr>
            <w:tcW w:w="1020" w:type="dxa"/>
            <w:tcBorders>
              <w:top w:val="single" w:sz="8" w:space="0" w:color="FFFFFF"/>
              <w:bottom w:val="single" w:sz="8" w:space="0" w:color="FFFFFF"/>
            </w:tcBorders>
            <w:shd w:val="clear" w:color="auto" w:fill="F4F4F4"/>
          </w:tcPr>
          <w:p>
            <w:pPr>
              <w:pStyle w:val="TableParagraph"/>
              <w:spacing w:before="21"/>
              <w:ind w:right="109"/>
              <w:jc w:val="right"/>
              <w:rPr>
                <w:sz w:val="19"/>
              </w:rPr>
            </w:pPr>
            <w:r>
              <w:rPr>
                <w:w w:val="95"/>
                <w:sz w:val="19"/>
              </w:rPr>
              <w:t>2,923</w:t>
            </w:r>
          </w:p>
        </w:tc>
      </w:tr>
      <w:tr>
        <w:trPr>
          <w:trHeight w:val="263" w:hRule="atLeast"/>
        </w:trPr>
        <w:tc>
          <w:tcPr>
            <w:tcW w:w="5371" w:type="dxa"/>
            <w:gridSpan w:val="2"/>
            <w:tcBorders>
              <w:top w:val="single" w:sz="8" w:space="0" w:color="FFFFFF"/>
              <w:bottom w:val="single" w:sz="8" w:space="0" w:color="FFFFFF"/>
            </w:tcBorders>
            <w:shd w:val="clear" w:color="auto" w:fill="FAF9F9"/>
          </w:tcPr>
          <w:p>
            <w:pPr>
              <w:pStyle w:val="TableParagraph"/>
              <w:spacing w:before="21"/>
              <w:ind w:left="113"/>
              <w:rPr>
                <w:sz w:val="19"/>
              </w:rPr>
            </w:pPr>
            <w:r>
              <w:rPr>
                <w:sz w:val="19"/>
              </w:rPr>
              <w:t>Finance leases receipts</w:t>
            </w:r>
          </w:p>
        </w:tc>
        <w:tc>
          <w:tcPr>
            <w:tcW w:w="1020" w:type="dxa"/>
            <w:vMerge/>
            <w:tcBorders>
              <w:top w:val="nil"/>
              <w:bottom w:val="single" w:sz="4" w:space="0" w:color="000000"/>
            </w:tcBorders>
            <w:shd w:val="clear" w:color="auto" w:fill="E1E4BB"/>
          </w:tcPr>
          <w:p>
            <w:pPr>
              <w:rPr>
                <w:sz w:val="2"/>
                <w:szCs w:val="2"/>
              </w:rPr>
            </w:pPr>
          </w:p>
        </w:tc>
        <w:tc>
          <w:tcPr>
            <w:tcW w:w="1020" w:type="dxa"/>
            <w:tcBorders>
              <w:top w:val="single" w:sz="8" w:space="0" w:color="FFFFFF"/>
              <w:bottom w:val="single" w:sz="4" w:space="0" w:color="000000"/>
            </w:tcBorders>
            <w:shd w:val="clear" w:color="auto" w:fill="FAF9F9"/>
          </w:tcPr>
          <w:p>
            <w:pPr>
              <w:pStyle w:val="TableParagraph"/>
              <w:spacing w:before="21"/>
              <w:ind w:right="109"/>
              <w:jc w:val="right"/>
              <w:rPr>
                <w:sz w:val="19"/>
              </w:rPr>
            </w:pPr>
            <w:r>
              <w:rPr>
                <w:w w:val="95"/>
                <w:sz w:val="19"/>
              </w:rPr>
              <w:t>753</w:t>
            </w:r>
          </w:p>
        </w:tc>
      </w:tr>
      <w:tr>
        <w:trPr>
          <w:trHeight w:val="491"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line="220" w:lineRule="atLeast" w:before="20"/>
              <w:ind w:left="113" w:right="546"/>
              <w:rPr>
                <w:b/>
                <w:sz w:val="19"/>
              </w:rPr>
            </w:pPr>
            <w:r>
              <w:rPr>
                <w:b/>
                <w:sz w:val="19"/>
              </w:rPr>
              <w:t>Net cash provided by/(used in) financing activities</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tcBorders>
              <w:top w:val="single" w:sz="4" w:space="0" w:color="000000"/>
              <w:bottom w:val="single" w:sz="4" w:space="0" w:color="000000"/>
            </w:tcBorders>
            <w:shd w:val="clear" w:color="auto" w:fill="DFE1B8"/>
          </w:tcPr>
          <w:p>
            <w:pPr>
              <w:pStyle w:val="TableParagraph"/>
              <w:spacing w:before="21"/>
              <w:ind w:right="110"/>
              <w:jc w:val="right"/>
              <w:rPr>
                <w:b/>
                <w:sz w:val="19"/>
              </w:rPr>
            </w:pPr>
            <w:r>
              <w:rPr>
                <w:b/>
                <w:w w:val="95"/>
                <w:sz w:val="19"/>
              </w:rPr>
              <w:t>(22,615)</w:t>
            </w:r>
          </w:p>
        </w:tc>
        <w:tc>
          <w:tcPr>
            <w:tcW w:w="1020" w:type="dxa"/>
            <w:tcBorders>
              <w:top w:val="single" w:sz="4" w:space="0" w:color="000000"/>
              <w:bottom w:val="single" w:sz="4" w:space="0" w:color="000000"/>
            </w:tcBorders>
            <w:shd w:val="clear" w:color="auto" w:fill="F4F4F4"/>
          </w:tcPr>
          <w:p>
            <w:pPr>
              <w:pStyle w:val="TableParagraph"/>
              <w:spacing w:before="21"/>
              <w:ind w:right="109"/>
              <w:jc w:val="right"/>
              <w:rPr>
                <w:b/>
                <w:sz w:val="19"/>
              </w:rPr>
            </w:pPr>
            <w:r>
              <w:rPr>
                <w:b/>
                <w:w w:val="95"/>
                <w:sz w:val="19"/>
              </w:rPr>
              <w:t>(27,014)</w:t>
            </w:r>
          </w:p>
        </w:tc>
      </w:tr>
      <w:tr>
        <w:trPr>
          <w:trHeight w:val="263" w:hRule="atLeast"/>
        </w:trPr>
        <w:tc>
          <w:tcPr>
            <w:tcW w:w="5371"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020" w:type="dxa"/>
            <w:vMerge w:val="restart"/>
            <w:tcBorders>
              <w:top w:val="single" w:sz="4" w:space="0" w:color="000000"/>
              <w:bottom w:val="single" w:sz="4" w:space="0" w:color="000000"/>
            </w:tcBorders>
            <w:shd w:val="clear" w:color="auto" w:fill="DFE1B8"/>
          </w:tcPr>
          <w:p>
            <w:pPr>
              <w:pStyle w:val="TableParagraph"/>
              <w:spacing w:before="5"/>
              <w:rPr>
                <w:b/>
                <w:sz w:val="26"/>
              </w:rPr>
            </w:pPr>
          </w:p>
          <w:p>
            <w:pPr>
              <w:pStyle w:val="TableParagraph"/>
              <w:spacing w:before="0"/>
              <w:ind w:left="196" w:right="74"/>
              <w:jc w:val="center"/>
              <w:rPr>
                <w:sz w:val="19"/>
              </w:rPr>
            </w:pPr>
            <w:r>
              <w:rPr>
                <w:sz w:val="19"/>
              </w:rPr>
              <w:t>(27,197)</w:t>
            </w:r>
          </w:p>
          <w:p>
            <w:pPr>
              <w:pStyle w:val="TableParagraph"/>
              <w:spacing w:before="65"/>
              <w:ind w:left="604"/>
              <w:rPr>
                <w:sz w:val="19"/>
              </w:rPr>
            </w:pPr>
            <w:r>
              <w:rPr>
                <w:sz w:val="19"/>
              </w:rPr>
              <w:t>(28)</w:t>
            </w:r>
          </w:p>
          <w:p>
            <w:pPr>
              <w:pStyle w:val="TableParagraph"/>
              <w:spacing w:before="5"/>
              <w:rPr>
                <w:b/>
                <w:sz w:val="25"/>
              </w:rPr>
            </w:pPr>
          </w:p>
          <w:p>
            <w:pPr>
              <w:pStyle w:val="TableParagraph"/>
              <w:spacing w:before="0"/>
              <w:ind w:left="326"/>
              <w:rPr>
                <w:sz w:val="19"/>
              </w:rPr>
            </w:pPr>
            <w:r>
              <w:rPr>
                <w:sz w:val="19"/>
              </w:rPr>
              <w:t>32,705</w:t>
            </w:r>
          </w:p>
          <w:p>
            <w:pPr>
              <w:pStyle w:val="TableParagraph"/>
              <w:spacing w:before="5"/>
              <w:rPr>
                <w:b/>
                <w:sz w:val="25"/>
              </w:rPr>
            </w:pPr>
          </w:p>
          <w:p>
            <w:pPr>
              <w:pStyle w:val="TableParagraph"/>
              <w:spacing w:before="0"/>
              <w:ind w:left="302" w:right="74"/>
              <w:jc w:val="center"/>
              <w:rPr>
                <w:sz w:val="19"/>
              </w:rPr>
            </w:pPr>
            <w:r>
              <w:rPr>
                <w:sz w:val="19"/>
              </w:rPr>
              <w:t>(2,042)</w:t>
            </w:r>
          </w:p>
          <w:p>
            <w:pPr>
              <w:pStyle w:val="TableParagraph"/>
              <w:spacing w:before="5"/>
              <w:rPr>
                <w:b/>
                <w:sz w:val="25"/>
              </w:rPr>
            </w:pPr>
          </w:p>
          <w:p>
            <w:pPr>
              <w:pStyle w:val="TableParagraph"/>
              <w:spacing w:before="1"/>
              <w:ind w:left="326"/>
              <w:rPr>
                <w:sz w:val="19"/>
              </w:rPr>
            </w:pPr>
            <w:r>
              <w:rPr>
                <w:sz w:val="19"/>
              </w:rPr>
              <w:t>74,187</w:t>
            </w:r>
          </w:p>
        </w:tc>
        <w:tc>
          <w:tcPr>
            <w:tcW w:w="1020"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r>
      <w:tr>
        <w:trPr>
          <w:trHeight w:val="263"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sz w:val="19"/>
              </w:rPr>
            </w:pPr>
            <w:r>
              <w:rPr>
                <w:sz w:val="19"/>
              </w:rPr>
              <w:t>Net increase/(decrease) in cash and cash equivalents</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4F4F4"/>
          </w:tcPr>
          <w:p>
            <w:pPr>
              <w:pStyle w:val="TableParagraph"/>
              <w:spacing w:before="21"/>
              <w:ind w:right="109"/>
              <w:jc w:val="right"/>
              <w:rPr>
                <w:sz w:val="19"/>
              </w:rPr>
            </w:pPr>
            <w:r>
              <w:rPr>
                <w:w w:val="95"/>
                <w:sz w:val="19"/>
              </w:rPr>
              <w:t>(24,043)</w:t>
            </w:r>
          </w:p>
        </w:tc>
      </w:tr>
      <w:tr>
        <w:trPr>
          <w:trHeight w:val="491" w:hRule="atLeast"/>
        </w:trPr>
        <w:tc>
          <w:tcPr>
            <w:tcW w:w="5371" w:type="dxa"/>
            <w:gridSpan w:val="2"/>
            <w:tcBorders>
              <w:top w:val="single" w:sz="8" w:space="0" w:color="FFFFFF"/>
              <w:bottom w:val="single" w:sz="8" w:space="0" w:color="FFFFFF"/>
            </w:tcBorders>
            <w:shd w:val="clear" w:color="auto" w:fill="FAF9F9"/>
          </w:tcPr>
          <w:p>
            <w:pPr>
              <w:pStyle w:val="TableParagraph"/>
              <w:spacing w:line="230" w:lineRule="atLeast" w:before="10"/>
              <w:ind w:left="113" w:right="1444"/>
              <w:rPr>
                <w:sz w:val="19"/>
              </w:rPr>
            </w:pPr>
            <w:r>
              <w:rPr>
                <w:sz w:val="19"/>
              </w:rPr>
              <w:t>Cash</w:t>
            </w:r>
            <w:r>
              <w:rPr>
                <w:spacing w:val="-18"/>
                <w:sz w:val="19"/>
              </w:rPr>
              <w:t> </w:t>
            </w:r>
            <w:r>
              <w:rPr>
                <w:sz w:val="19"/>
              </w:rPr>
              <w:t>balance</w:t>
            </w:r>
            <w:r>
              <w:rPr>
                <w:spacing w:val="-18"/>
                <w:sz w:val="19"/>
              </w:rPr>
              <w:t> </w:t>
            </w:r>
            <w:r>
              <w:rPr>
                <w:sz w:val="19"/>
              </w:rPr>
              <w:t>transferred</w:t>
            </w:r>
            <w:r>
              <w:rPr>
                <w:spacing w:val="-18"/>
                <w:sz w:val="19"/>
              </w:rPr>
              <w:t> </w:t>
            </w:r>
            <w:r>
              <w:rPr>
                <w:sz w:val="19"/>
              </w:rPr>
              <w:t>to</w:t>
            </w:r>
            <w:r>
              <w:rPr>
                <w:spacing w:val="-18"/>
                <w:sz w:val="19"/>
              </w:rPr>
              <w:t> </w:t>
            </w:r>
            <w:r>
              <w:rPr>
                <w:sz w:val="19"/>
              </w:rPr>
              <w:t>the</w:t>
            </w:r>
            <w:r>
              <w:rPr>
                <w:spacing w:val="-17"/>
                <w:sz w:val="19"/>
              </w:rPr>
              <w:t> </w:t>
            </w:r>
            <w:r>
              <w:rPr>
                <w:sz w:val="19"/>
              </w:rPr>
              <w:t>Department</w:t>
            </w:r>
            <w:r>
              <w:rPr>
                <w:spacing w:val="-18"/>
                <w:sz w:val="19"/>
              </w:rPr>
              <w:t> </w:t>
            </w:r>
            <w:r>
              <w:rPr>
                <w:spacing w:val="-9"/>
                <w:sz w:val="19"/>
              </w:rPr>
              <w:t>of </w:t>
            </w:r>
            <w:r>
              <w:rPr>
                <w:spacing w:val="-3"/>
                <w:sz w:val="19"/>
              </w:rPr>
              <w:t>Treasury</w:t>
            </w: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AF9F9"/>
          </w:tcPr>
          <w:p>
            <w:pPr>
              <w:pStyle w:val="TableParagraph"/>
              <w:spacing w:before="21"/>
              <w:ind w:right="109"/>
              <w:jc w:val="right"/>
              <w:rPr>
                <w:sz w:val="19"/>
              </w:rPr>
            </w:pPr>
            <w:r>
              <w:rPr>
                <w:w w:val="111"/>
                <w:sz w:val="19"/>
              </w:rPr>
              <w:t>-</w:t>
            </w:r>
          </w:p>
        </w:tc>
      </w:tr>
      <w:tr>
        <w:trPr>
          <w:trHeight w:val="491"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line="220" w:lineRule="atLeast" w:before="20"/>
              <w:ind w:left="113" w:right="546"/>
              <w:rPr>
                <w:sz w:val="19"/>
              </w:rPr>
            </w:pPr>
            <w:r>
              <w:rPr>
                <w:sz w:val="19"/>
              </w:rPr>
              <w:t>Cash</w:t>
            </w:r>
            <w:r>
              <w:rPr>
                <w:spacing w:val="-21"/>
                <w:sz w:val="19"/>
              </w:rPr>
              <w:t> </w:t>
            </w:r>
            <w:r>
              <w:rPr>
                <w:sz w:val="19"/>
              </w:rPr>
              <w:t>balance</w:t>
            </w:r>
            <w:r>
              <w:rPr>
                <w:spacing w:val="-20"/>
                <w:sz w:val="19"/>
              </w:rPr>
              <w:t> </w:t>
            </w:r>
            <w:r>
              <w:rPr>
                <w:sz w:val="19"/>
              </w:rPr>
              <w:t>transferred</w:t>
            </w:r>
            <w:r>
              <w:rPr>
                <w:spacing w:val="-20"/>
                <w:sz w:val="19"/>
              </w:rPr>
              <w:t> </w:t>
            </w:r>
            <w:r>
              <w:rPr>
                <w:sz w:val="19"/>
              </w:rPr>
              <w:t>from</w:t>
            </w:r>
            <w:r>
              <w:rPr>
                <w:spacing w:val="-20"/>
                <w:sz w:val="19"/>
              </w:rPr>
              <w:t> </w:t>
            </w:r>
            <w:r>
              <w:rPr>
                <w:sz w:val="19"/>
              </w:rPr>
              <w:t>the</w:t>
            </w:r>
            <w:r>
              <w:rPr>
                <w:spacing w:val="-20"/>
                <w:sz w:val="19"/>
              </w:rPr>
              <w:t> </w:t>
            </w:r>
            <w:r>
              <w:rPr>
                <w:sz w:val="19"/>
              </w:rPr>
              <w:t>Department</w:t>
            </w:r>
            <w:r>
              <w:rPr>
                <w:spacing w:val="-21"/>
                <w:sz w:val="19"/>
              </w:rPr>
              <w:t> </w:t>
            </w:r>
            <w:r>
              <w:rPr>
                <w:spacing w:val="-8"/>
                <w:sz w:val="19"/>
              </w:rPr>
              <w:t>of </w:t>
            </w:r>
            <w:r>
              <w:rPr>
                <w:spacing w:val="-3"/>
                <w:sz w:val="19"/>
              </w:rPr>
              <w:t>Treasury</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4F4F4"/>
          </w:tcPr>
          <w:p>
            <w:pPr>
              <w:pStyle w:val="TableParagraph"/>
              <w:spacing w:before="21"/>
              <w:ind w:right="109"/>
              <w:jc w:val="right"/>
              <w:rPr>
                <w:sz w:val="19"/>
              </w:rPr>
            </w:pPr>
            <w:r>
              <w:rPr>
                <w:w w:val="111"/>
                <w:sz w:val="19"/>
              </w:rPr>
              <w:t>-</w:t>
            </w:r>
          </w:p>
        </w:tc>
      </w:tr>
      <w:tr>
        <w:trPr>
          <w:trHeight w:val="491" w:hRule="atLeast"/>
        </w:trPr>
        <w:tc>
          <w:tcPr>
            <w:tcW w:w="5371" w:type="dxa"/>
            <w:gridSpan w:val="2"/>
            <w:tcBorders>
              <w:top w:val="single" w:sz="8" w:space="0" w:color="FFFFFF"/>
              <w:bottom w:val="single" w:sz="8" w:space="0" w:color="FFFFFF"/>
            </w:tcBorders>
            <w:shd w:val="clear" w:color="auto" w:fill="FAF9F9"/>
          </w:tcPr>
          <w:p>
            <w:pPr>
              <w:pStyle w:val="TableParagraph"/>
              <w:spacing w:line="230" w:lineRule="atLeast" w:before="10"/>
              <w:ind w:left="113" w:right="951"/>
              <w:rPr>
                <w:sz w:val="19"/>
              </w:rPr>
            </w:pPr>
            <w:r>
              <w:rPr>
                <w:sz w:val="19"/>
              </w:rPr>
              <w:t>Cash</w:t>
            </w:r>
            <w:r>
              <w:rPr>
                <w:spacing w:val="-17"/>
                <w:sz w:val="19"/>
              </w:rPr>
              <w:t> </w:t>
            </w:r>
            <w:r>
              <w:rPr>
                <w:sz w:val="19"/>
              </w:rPr>
              <w:t>balance</w:t>
            </w:r>
            <w:r>
              <w:rPr>
                <w:spacing w:val="-17"/>
                <w:sz w:val="19"/>
              </w:rPr>
              <w:t> </w:t>
            </w:r>
            <w:r>
              <w:rPr>
                <w:sz w:val="19"/>
              </w:rPr>
              <w:t>transferred</w:t>
            </w:r>
            <w:r>
              <w:rPr>
                <w:spacing w:val="-17"/>
                <w:sz w:val="19"/>
              </w:rPr>
              <w:t> </w:t>
            </w:r>
            <w:r>
              <w:rPr>
                <w:sz w:val="19"/>
              </w:rPr>
              <w:t>to</w:t>
            </w:r>
            <w:r>
              <w:rPr>
                <w:spacing w:val="-17"/>
                <w:sz w:val="19"/>
              </w:rPr>
              <w:t> </w:t>
            </w:r>
            <w:r>
              <w:rPr>
                <w:sz w:val="19"/>
              </w:rPr>
              <w:t>the</w:t>
            </w:r>
            <w:r>
              <w:rPr>
                <w:spacing w:val="-17"/>
                <w:sz w:val="19"/>
              </w:rPr>
              <w:t> </w:t>
            </w:r>
            <w:r>
              <w:rPr>
                <w:sz w:val="19"/>
              </w:rPr>
              <w:t>Department</w:t>
            </w:r>
            <w:r>
              <w:rPr>
                <w:spacing w:val="-17"/>
                <w:sz w:val="19"/>
              </w:rPr>
              <w:t> </w:t>
            </w:r>
            <w:r>
              <w:rPr>
                <w:sz w:val="19"/>
              </w:rPr>
              <w:t>of</w:t>
            </w:r>
            <w:r>
              <w:rPr>
                <w:spacing w:val="-17"/>
                <w:sz w:val="19"/>
              </w:rPr>
              <w:t> </w:t>
            </w:r>
            <w:r>
              <w:rPr>
                <w:spacing w:val="-4"/>
                <w:sz w:val="19"/>
              </w:rPr>
              <w:t>Local </w:t>
            </w:r>
            <w:r>
              <w:rPr>
                <w:sz w:val="19"/>
              </w:rPr>
              <w:t>Government, Sport and Cultural</w:t>
            </w:r>
            <w:r>
              <w:rPr>
                <w:spacing w:val="-23"/>
                <w:sz w:val="19"/>
              </w:rPr>
              <w:t> </w:t>
            </w:r>
            <w:r>
              <w:rPr>
                <w:sz w:val="19"/>
              </w:rPr>
              <w:t>Industries</w:t>
            </w: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8" w:space="0" w:color="FFFFFF"/>
            </w:tcBorders>
            <w:shd w:val="clear" w:color="auto" w:fill="FAF9F9"/>
          </w:tcPr>
          <w:p>
            <w:pPr>
              <w:pStyle w:val="TableParagraph"/>
              <w:spacing w:before="22"/>
              <w:ind w:right="109"/>
              <w:jc w:val="right"/>
              <w:rPr>
                <w:sz w:val="19"/>
              </w:rPr>
            </w:pPr>
            <w:r>
              <w:rPr>
                <w:w w:val="111"/>
                <w:sz w:val="19"/>
              </w:rPr>
              <w:t>-</w:t>
            </w:r>
          </w:p>
        </w:tc>
      </w:tr>
      <w:tr>
        <w:trPr>
          <w:trHeight w:val="491" w:hRule="atLeast"/>
        </w:trPr>
        <w:tc>
          <w:tcPr>
            <w:tcW w:w="4691" w:type="dxa"/>
            <w:tcBorders>
              <w:top w:val="single" w:sz="8" w:space="0" w:color="FFFFFF"/>
              <w:bottom w:val="single" w:sz="8" w:space="0" w:color="FFFFFF"/>
              <w:right w:val="single" w:sz="8" w:space="0" w:color="FFFFFF"/>
            </w:tcBorders>
            <w:shd w:val="clear" w:color="auto" w:fill="F4F4F4"/>
          </w:tcPr>
          <w:p>
            <w:pPr>
              <w:pStyle w:val="TableParagraph"/>
              <w:spacing w:line="230" w:lineRule="atLeast" w:before="10"/>
              <w:ind w:left="113" w:right="477"/>
              <w:rPr>
                <w:sz w:val="19"/>
              </w:rPr>
            </w:pPr>
            <w:r>
              <w:rPr>
                <w:sz w:val="19"/>
              </w:rPr>
              <w:t>Cash</w:t>
            </w:r>
            <w:r>
              <w:rPr>
                <w:spacing w:val="-16"/>
                <w:sz w:val="19"/>
              </w:rPr>
              <w:t> </w:t>
            </w:r>
            <w:r>
              <w:rPr>
                <w:sz w:val="19"/>
              </w:rPr>
              <w:t>and</w:t>
            </w:r>
            <w:r>
              <w:rPr>
                <w:spacing w:val="-16"/>
                <w:sz w:val="19"/>
              </w:rPr>
              <w:t> </w:t>
            </w:r>
            <w:r>
              <w:rPr>
                <w:sz w:val="19"/>
              </w:rPr>
              <w:t>cash</w:t>
            </w:r>
            <w:r>
              <w:rPr>
                <w:spacing w:val="-16"/>
                <w:sz w:val="19"/>
              </w:rPr>
              <w:t> </w:t>
            </w:r>
            <w:r>
              <w:rPr>
                <w:sz w:val="19"/>
              </w:rPr>
              <w:t>equivalents</w:t>
            </w:r>
            <w:r>
              <w:rPr>
                <w:spacing w:val="-15"/>
                <w:sz w:val="19"/>
              </w:rPr>
              <w:t> </w:t>
            </w:r>
            <w:r>
              <w:rPr>
                <w:sz w:val="19"/>
              </w:rPr>
              <w:t>at</w:t>
            </w:r>
            <w:r>
              <w:rPr>
                <w:spacing w:val="-16"/>
                <w:sz w:val="19"/>
              </w:rPr>
              <w:t> </w:t>
            </w:r>
            <w:r>
              <w:rPr>
                <w:sz w:val="19"/>
              </w:rPr>
              <w:t>the</w:t>
            </w:r>
            <w:r>
              <w:rPr>
                <w:spacing w:val="-16"/>
                <w:sz w:val="19"/>
              </w:rPr>
              <w:t> </w:t>
            </w:r>
            <w:r>
              <w:rPr>
                <w:sz w:val="19"/>
              </w:rPr>
              <w:t>beginning</w:t>
            </w:r>
            <w:r>
              <w:rPr>
                <w:spacing w:val="-16"/>
                <w:sz w:val="19"/>
              </w:rPr>
              <w:t> </w:t>
            </w:r>
            <w:r>
              <w:rPr>
                <w:sz w:val="19"/>
              </w:rPr>
              <w:t>of</w:t>
            </w:r>
            <w:r>
              <w:rPr>
                <w:spacing w:val="-15"/>
                <w:sz w:val="19"/>
              </w:rPr>
              <w:t> </w:t>
            </w:r>
            <w:r>
              <w:rPr>
                <w:spacing w:val="-6"/>
                <w:sz w:val="19"/>
              </w:rPr>
              <w:t>the </w:t>
            </w:r>
            <w:r>
              <w:rPr>
                <w:sz w:val="19"/>
              </w:rPr>
              <w:t>period</w:t>
            </w:r>
          </w:p>
        </w:tc>
        <w:tc>
          <w:tcPr>
            <w:tcW w:w="680"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020" w:type="dxa"/>
            <w:vMerge/>
            <w:tcBorders>
              <w:top w:val="nil"/>
              <w:bottom w:val="single" w:sz="4" w:space="0" w:color="000000"/>
            </w:tcBorders>
            <w:shd w:val="clear" w:color="auto" w:fill="DFE1B8"/>
          </w:tcPr>
          <w:p>
            <w:pPr>
              <w:rPr>
                <w:sz w:val="2"/>
                <w:szCs w:val="2"/>
              </w:rPr>
            </w:pPr>
          </w:p>
        </w:tc>
        <w:tc>
          <w:tcPr>
            <w:tcW w:w="1020" w:type="dxa"/>
            <w:tcBorders>
              <w:top w:val="single" w:sz="8" w:space="0" w:color="FFFFFF"/>
              <w:bottom w:val="single" w:sz="4" w:space="0" w:color="000000"/>
            </w:tcBorders>
            <w:shd w:val="clear" w:color="auto" w:fill="F4F4F4"/>
          </w:tcPr>
          <w:p>
            <w:pPr>
              <w:pStyle w:val="TableParagraph"/>
              <w:spacing w:before="22"/>
              <w:ind w:right="109"/>
              <w:jc w:val="right"/>
              <w:rPr>
                <w:sz w:val="19"/>
              </w:rPr>
            </w:pPr>
            <w:r>
              <w:rPr>
                <w:w w:val="95"/>
                <w:sz w:val="19"/>
              </w:rPr>
              <w:t>98,230</w:t>
            </w:r>
          </w:p>
        </w:tc>
      </w:tr>
      <w:tr>
        <w:trPr>
          <w:trHeight w:val="458" w:hRule="atLeast"/>
        </w:trPr>
        <w:tc>
          <w:tcPr>
            <w:tcW w:w="5371" w:type="dxa"/>
            <w:gridSpan w:val="2"/>
            <w:tcBorders>
              <w:top w:val="single" w:sz="8" w:space="0" w:color="FFFFFF"/>
              <w:bottom w:val="single" w:sz="8" w:space="0" w:color="FFFFFF"/>
            </w:tcBorders>
            <w:shd w:val="clear" w:color="auto" w:fill="FAF9F9"/>
          </w:tcPr>
          <w:p>
            <w:pPr>
              <w:pStyle w:val="TableParagraph"/>
              <w:tabs>
                <w:tab w:pos="4925" w:val="left" w:leader="none"/>
              </w:tabs>
              <w:spacing w:before="22"/>
              <w:ind w:left="113"/>
              <w:rPr>
                <w:sz w:val="19"/>
              </w:rPr>
            </w:pPr>
            <w:r>
              <w:rPr>
                <w:b/>
                <w:sz w:val="19"/>
              </w:rPr>
              <w:t>CASH AND CASH EQUIVALENTS </w:t>
            </w:r>
            <w:r>
              <w:rPr>
                <w:b/>
                <w:spacing w:val="-8"/>
                <w:sz w:val="19"/>
              </w:rPr>
              <w:t>AT </w:t>
            </w:r>
            <w:r>
              <w:rPr>
                <w:b/>
                <w:sz w:val="19"/>
              </w:rPr>
              <w:t>THE</w:t>
            </w:r>
            <w:r>
              <w:rPr>
                <w:b/>
                <w:spacing w:val="-18"/>
                <w:sz w:val="19"/>
              </w:rPr>
              <w:t> </w:t>
            </w:r>
            <w:r>
              <w:rPr>
                <w:b/>
                <w:sz w:val="19"/>
              </w:rPr>
              <w:t>END</w:t>
            </w:r>
            <w:r>
              <w:rPr>
                <w:b/>
                <w:spacing w:val="-4"/>
                <w:sz w:val="19"/>
              </w:rPr>
              <w:t> </w:t>
            </w:r>
            <w:r>
              <w:rPr>
                <w:b/>
                <w:sz w:val="19"/>
              </w:rPr>
              <w:t>OF</w:t>
              <w:tab/>
            </w:r>
            <w:hyperlink w:history="true" w:anchor="_bookmark36">
              <w:r>
                <w:rPr>
                  <w:color w:val="6F2770"/>
                  <w:sz w:val="19"/>
                  <w:u w:val="single" w:color="6F2770"/>
                </w:rPr>
                <w:t>34</w:t>
              </w:r>
            </w:hyperlink>
          </w:p>
          <w:p>
            <w:pPr>
              <w:pStyle w:val="TableParagraph"/>
              <w:spacing w:line="189" w:lineRule="exact" w:before="9"/>
              <w:ind w:left="113"/>
              <w:rPr>
                <w:b/>
                <w:sz w:val="19"/>
              </w:rPr>
            </w:pPr>
            <w:r>
              <w:rPr>
                <w:b/>
                <w:sz w:val="19"/>
              </w:rPr>
              <w:t>THE PERIOD</w:t>
            </w:r>
          </w:p>
        </w:tc>
        <w:tc>
          <w:tcPr>
            <w:tcW w:w="1020" w:type="dxa"/>
            <w:tcBorders>
              <w:top w:val="single" w:sz="4" w:space="0" w:color="000000"/>
              <w:bottom w:val="single" w:sz="34" w:space="0" w:color="FFFFFF"/>
            </w:tcBorders>
            <w:shd w:val="clear" w:color="auto" w:fill="E1E4BB"/>
          </w:tcPr>
          <w:p>
            <w:pPr>
              <w:pStyle w:val="TableParagraph"/>
              <w:spacing w:before="21"/>
              <w:ind w:right="110"/>
              <w:jc w:val="right"/>
              <w:rPr>
                <w:b/>
                <w:sz w:val="19"/>
              </w:rPr>
            </w:pPr>
            <w:r>
              <w:rPr>
                <w:b/>
                <w:w w:val="95"/>
                <w:sz w:val="19"/>
              </w:rPr>
              <w:t>77,625</w:t>
            </w:r>
          </w:p>
        </w:tc>
        <w:tc>
          <w:tcPr>
            <w:tcW w:w="1020" w:type="dxa"/>
            <w:tcBorders>
              <w:top w:val="single" w:sz="4" w:space="0" w:color="000000"/>
              <w:bottom w:val="single" w:sz="34" w:space="0" w:color="FFFFFF"/>
            </w:tcBorders>
            <w:shd w:val="clear" w:color="auto" w:fill="FAF9F9"/>
          </w:tcPr>
          <w:p>
            <w:pPr>
              <w:pStyle w:val="TableParagraph"/>
              <w:spacing w:before="21"/>
              <w:ind w:right="109"/>
              <w:jc w:val="right"/>
              <w:rPr>
                <w:b/>
                <w:sz w:val="19"/>
              </w:rPr>
            </w:pPr>
            <w:r>
              <w:rPr>
                <w:b/>
                <w:w w:val="95"/>
                <w:sz w:val="19"/>
              </w:rPr>
              <w:t>74,187</w:t>
            </w:r>
          </w:p>
        </w:tc>
      </w:tr>
    </w:tbl>
    <w:p>
      <w:pPr>
        <w:spacing w:before="137"/>
        <w:ind w:left="418" w:right="0" w:firstLine="0"/>
        <w:jc w:val="left"/>
        <w:rPr>
          <w:sz w:val="19"/>
        </w:rPr>
      </w:pPr>
      <w:r>
        <w:rPr/>
        <w:br w:type="column"/>
      </w:r>
      <w:r>
        <w:rPr>
          <w:sz w:val="19"/>
        </w:rPr>
        <w:t>The Statement of Cash Flows should be read in conjunction with the accompanying notes.</w:t>
      </w:r>
    </w:p>
    <w:p>
      <w:pPr>
        <w:spacing w:after="0"/>
        <w:jc w:val="left"/>
        <w:rPr>
          <w:sz w:val="19"/>
        </w:rPr>
        <w:sectPr>
          <w:type w:val="continuous"/>
          <w:pgSz w:w="16840" w:h="11910" w:orient="landscape"/>
          <w:pgMar w:top="1100" w:bottom="280" w:left="0" w:right="0"/>
          <w:cols w:num="2" w:equalWidth="0">
            <w:col w:w="8178" w:space="40"/>
            <w:col w:w="8622"/>
          </w:cols>
        </w:sectPr>
      </w:pPr>
    </w:p>
    <w:p>
      <w:pPr>
        <w:tabs>
          <w:tab w:pos="10886" w:val="left" w:leader="none"/>
          <w:tab w:pos="11199" w:val="left" w:leader="none"/>
          <w:tab w:pos="15849" w:val="left" w:leader="none"/>
        </w:tabs>
        <w:spacing w:before="128"/>
        <w:ind w:left="765" w:right="0" w:firstLine="0"/>
        <w:jc w:val="left"/>
        <w:rPr>
          <w:b/>
          <w:sz w:val="20"/>
        </w:rPr>
      </w:pPr>
      <w:r>
        <w:rPr/>
        <w:pict>
          <v:group style="position:absolute;margin-left:38.2677pt;margin-top:-244.949615pt;width:248.75pt;height:252.05pt;mso-position-horizontal-relative:page;mso-position-vertical-relative:paragraph;z-index:10696" coordorigin="765,-4899" coordsize="4975,5041">
            <v:shape style="position:absolute;left:765;top:-4899;width:4975;height:850" coordorigin="765,-4899" coordsize="4975,850" path="m5740,-4333l4975,-4333,765,-4333,765,-4050,4975,-4050,5740,-4050,5740,-4333m5740,-4899l4975,-4899,765,-4899,765,-4616,4975,-4616,5740,-4616,5740,-4899e" filled="true" fillcolor="#f4f4f4" stroked="false">
              <v:path arrowok="t"/>
              <v:fill type="solid"/>
            </v:shape>
            <v:shape style="position:absolute;left:765;top:-4616;width:4975;height:284" coordorigin="765,-4616" coordsize="4975,284" path="m5740,-4616l4975,-4616,765,-4616,765,-4333,4975,-4333,5740,-4333,5740,-4616e" filled="true" fillcolor="#faf9f9" stroked="false">
              <v:path arrowok="t"/>
              <v:fill type="solid"/>
            </v:shape>
            <v:shape style="position:absolute;left:765;top:-3767;width:4975;height:284" coordorigin="765,-3767" coordsize="4975,284" path="m5740,-3767l4975,-3767,765,-3767,765,-3484,4975,-3484,5740,-3484,5740,-3767e" filled="true" fillcolor="#f4f4f4" stroked="false">
              <v:path arrowok="t"/>
              <v:fill type="solid"/>
            </v:shape>
            <v:shape style="position:absolute;left:765;top:-4050;width:4975;height:284" coordorigin="765,-4050" coordsize="4975,284" path="m5740,-4050l4975,-4050,765,-4050,765,-3767,4975,-3767,5740,-3767,5740,-4050e" filled="true" fillcolor="#faf9f9" stroked="false">
              <v:path arrowok="t"/>
              <v:fill type="solid"/>
            </v:shape>
            <v:shape style="position:absolute;left:765;top:-3201;width:4975;height:284" coordorigin="765,-3201" coordsize="4975,284" path="m5740,-3201l4975,-3201,765,-3201,765,-2918,4975,-2918,5740,-2918,5740,-3201e" filled="true" fillcolor="#f4f4f4" stroked="false">
              <v:path arrowok="t"/>
              <v:fill type="solid"/>
            </v:shape>
            <v:shape style="position:absolute;left:765;top:-3484;width:4975;height:284" coordorigin="765,-3484" coordsize="4975,284" path="m5740,-3484l4975,-3484,765,-3484,765,-3201,4975,-3201,5740,-3201,5740,-3484e" filled="true" fillcolor="#faf9f9" stroked="false">
              <v:path arrowok="t"/>
              <v:fill type="solid"/>
            </v:shape>
            <v:shape style="position:absolute;left:765;top:-2635;width:4975;height:284" coordorigin="765,-2635" coordsize="4975,284" path="m5740,-2635l4975,-2635,765,-2635,765,-2351,4975,-2351,5740,-2351,5740,-2635e" filled="true" fillcolor="#f4f4f4" stroked="false">
              <v:path arrowok="t"/>
              <v:fill type="solid"/>
            </v:shape>
            <v:shape style="position:absolute;left:765;top:-2918;width:4975;height:284" coordorigin="765,-2918" coordsize="4975,284" path="m5740,-2918l4975,-2918,765,-2918,765,-2635,4975,-2635,5740,-2635,5740,-2918e" filled="true" fillcolor="#faf9f9" stroked="false">
              <v:path arrowok="t"/>
              <v:fill type="solid"/>
            </v:shape>
            <v:shape style="position:absolute;left:765;top:-2069;width:4975;height:284" coordorigin="765,-2068" coordsize="4975,284" path="m5740,-2068l4975,-2068,765,-2068,765,-1785,4975,-1785,5740,-1785,5740,-2068e" filled="true" fillcolor="#f4f4f4" stroked="false">
              <v:path arrowok="t"/>
              <v:fill type="solid"/>
            </v:shape>
            <v:shape style="position:absolute;left:765;top:-2352;width:4975;height:284" coordorigin="765,-2351" coordsize="4975,284" path="m5740,-2351l4975,-2351,765,-2351,765,-2068,4975,-2068,5740,-2068,5740,-2351e" filled="true" fillcolor="#faf9f9" stroked="false">
              <v:path arrowok="t"/>
              <v:fill type="solid"/>
            </v:shape>
            <v:shape style="position:absolute;left:765;top:-1503;width:4975;height:284" coordorigin="765,-1502" coordsize="4975,284" path="m5740,-1502l4975,-1502,765,-1502,765,-1219,4975,-1219,5740,-1219,5740,-1502e" filled="true" fillcolor="#f4f4f4" stroked="false">
              <v:path arrowok="t"/>
              <v:fill type="solid"/>
            </v:shape>
            <v:shape style="position:absolute;left:765;top:-1786;width:4975;height:284" coordorigin="765,-1785" coordsize="4975,284" path="m5740,-1785l4975,-1785,765,-1785,765,-1502,4975,-1502,5740,-1502,5740,-1785e" filled="true" fillcolor="#faf9f9" stroked="false">
              <v:path arrowok="t"/>
              <v:fill type="solid"/>
            </v:shape>
            <v:shape style="position:absolute;left:765;top:-937;width:4975;height:284" coordorigin="765,-936" coordsize="4975,284" path="m5740,-936l4975,-936,765,-936,765,-653,4975,-653,5740,-653,5740,-936e" filled="true" fillcolor="#f4f4f4" stroked="false">
              <v:path arrowok="t"/>
              <v:fill type="solid"/>
            </v:shape>
            <v:shape style="position:absolute;left:765;top:-1220;width:4975;height:284" coordorigin="765,-1219" coordsize="4975,284" path="m5740,-1219l4975,-1219,765,-1219,765,-936,4975,-936,5740,-936,5740,-1219e" filled="true" fillcolor="#faf9f9" stroked="false">
              <v:path arrowok="t"/>
              <v:fill type="solid"/>
            </v:shape>
            <v:shape style="position:absolute;left:765;top:-371;width:4975;height:512" coordorigin="765,-370" coordsize="4975,512" path="m5740,-370l4975,-370,765,-370,765,141,4975,141,5740,141,5740,-370e" filled="true" fillcolor="#f4f4f4" stroked="false">
              <v:path arrowok="t"/>
              <v:fill type="solid"/>
            </v:shape>
            <v:shape style="position:absolute;left:765;top:-654;width:4975;height:284" coordorigin="765,-653" coordsize="4975,284" path="m5740,-653l4975,-653,765,-653,765,-370,4975,-370,5740,-370,5740,-653e" filled="true" fillcolor="#faf9f9" stroked="false">
              <v:path arrowok="t"/>
              <v:fill type="solid"/>
            </v:shape>
            <v:line style="position:absolute" from="4975,-4626" to="4975,-4894" stroked="true" strokeweight="1pt" strokecolor="#ffffff">
              <v:stroke dashstyle="solid"/>
            </v:line>
            <v:line style="position:absolute" from="4975,-4343" to="4975,-4606" stroked="true" strokeweight="1pt" strokecolor="#ffffff">
              <v:stroke dashstyle="solid"/>
            </v:line>
            <v:line style="position:absolute" from="4975,-3777" to="4975,-4040" stroked="true" strokeweight="1pt" strokecolor="#ffffff">
              <v:stroke dashstyle="solid"/>
            </v:line>
            <v:line style="position:absolute" from="4975,-3211" to="4975,-3474" stroked="true" strokeweight="1pt" strokecolor="#ffffff">
              <v:stroke dashstyle="solid"/>
            </v:line>
            <v:line style="position:absolute" from="4975,-2645" to="4975,-2908" stroked="true" strokeweight="1pt" strokecolor="#ffffff">
              <v:stroke dashstyle="solid"/>
            </v:line>
            <v:line style="position:absolute" from="4975,-2078" to="4975,-2341" stroked="true" strokeweight="1pt" strokecolor="#ffffff">
              <v:stroke dashstyle="solid"/>
            </v:line>
            <v:line style="position:absolute" from="4975,-1512" to="4975,-1775" stroked="true" strokeweight="1pt" strokecolor="#ffffff">
              <v:stroke dashstyle="solid"/>
            </v:line>
            <v:line style="position:absolute" from="4975,-946" to="4975,-1209" stroked="true" strokeweight="1pt" strokecolor="#ffffff">
              <v:stroke dashstyle="solid"/>
            </v:line>
            <v:line style="position:absolute" from="4975,-380" to="4975,-643" stroked="true" strokeweight="1pt" strokecolor="#ffffff">
              <v:stroke dashstyle="solid"/>
            </v:line>
            <v:shape style="position:absolute;left:765;top:-4626;width:4975;height:304" coordorigin="765,-4626" coordsize="4975,304" path="m4975,-4343l765,-4343,765,-4323,4975,-4323,4975,-4343m4975,-4626l765,-4626,765,-4606,4975,-4606,4975,-4626m5740,-4343l4975,-4343,4975,-4323,5740,-4323,5740,-4343m5740,-4626l4975,-4626,4975,-4606,5740,-4606,5740,-4626e" filled="true" fillcolor="#ffffff" stroked="false">
              <v:path arrowok="t"/>
              <v:fill type="solid"/>
            </v:shape>
            <w10:wrap type="none"/>
          </v:group>
        </w:pict>
      </w:r>
      <w:r>
        <w:rPr/>
        <w:pict>
          <v:group style="position:absolute;margin-left:817.839111pt;margin-top:546.582581pt;width:24.1pt;height:41.55pt;mso-position-horizontal-relative:page;mso-position-vertical-relative:page;z-index:1088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group style="position:absolute;margin-left:0pt;margin-top:-8.455017pt;width:24.1pt;height:41.55pt;mso-position-horizontal-relative:page;mso-position-vertical-relative:paragraph;z-index:10912" coordorigin="0,-169" coordsize="482,831">
            <v:shape style="position:absolute;left:0;top:-170;width:482;height:831" coordorigin="0,-169" coordsize="482,831" path="m66,-169l49,-169,33,-168,16,-166,0,-163,0,656,16,658,33,660,49,661,66,661,140,655,211,635,275,605,333,564,383,514,424,456,455,391,474,321,481,246,474,171,455,101,424,37,383,-21,333,-71,275,-112,211,-143,140,-162,66,-169xe" filled="true" fillcolor="#aebd37" stroked="false">
              <v:path arrowok="t"/>
              <v:fill opacity="13107f" type="solid"/>
            </v:shape>
            <v:shape style="position:absolute;left:174;top:160;width:93;height:171" coordorigin="174,160" coordsize="93,171" path="m256,160l248,160,182,226,176,235,174,245,174,247,176,257,182,266,245,330,249,331,256,331,259,330,267,322,267,314,200,247,200,245,267,179,267,170,256,160xe" filled="true" fillcolor="#000000" stroked="false">
              <v:path arrowok="t"/>
              <v:fill type="solid"/>
            </v:shape>
            <w10:wrap type="none"/>
          </v:group>
        </w:pict>
      </w:r>
      <w:r>
        <w:rPr/>
        <w:pict>
          <v:shape style="position:absolute;margin-left:37.7677pt;margin-top:-244.949615pt;width:371.15pt;height:252.55pt;mso-position-horizontal-relative:page;mso-position-vertical-relative:paragraph;z-index:109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273" w:hRule="atLeast"/>
                    </w:trPr>
                    <w:tc>
                      <w:tcPr>
                        <w:tcW w:w="4974" w:type="dxa"/>
                        <w:gridSpan w:val="2"/>
                      </w:tcPr>
                      <w:p>
                        <w:pPr>
                          <w:pStyle w:val="TableParagraph"/>
                          <w:spacing w:before="31"/>
                          <w:ind w:left="123"/>
                          <w:rPr>
                            <w:i/>
                            <w:sz w:val="19"/>
                          </w:rPr>
                        </w:pPr>
                        <w:r>
                          <w:rPr>
                            <w:i/>
                            <w:color w:val="6F2770"/>
                            <w:sz w:val="19"/>
                          </w:rPr>
                          <w:t>Payments</w:t>
                        </w:r>
                      </w:p>
                    </w:tc>
                    <w:tc>
                      <w:tcPr>
                        <w:tcW w:w="1219" w:type="dxa"/>
                        <w:shd w:val="clear" w:color="auto" w:fill="E1E4BB"/>
                      </w:tcPr>
                      <w:p>
                        <w:pPr>
                          <w:pStyle w:val="TableParagraph"/>
                          <w:spacing w:before="0"/>
                          <w:rPr>
                            <w:rFonts w:ascii="Times New Roman"/>
                            <w:sz w:val="18"/>
                          </w:rPr>
                        </w:pPr>
                      </w:p>
                    </w:tc>
                    <w:tc>
                      <w:tcPr>
                        <w:tcW w:w="1219" w:type="dxa"/>
                        <w:tcBorders>
                          <w:bottom w:val="single" w:sz="8" w:space="0" w:color="FFFFFF"/>
                        </w:tcBorders>
                        <w:shd w:val="clear" w:color="auto" w:fill="F4F4F4"/>
                      </w:tcPr>
                      <w:p>
                        <w:pPr>
                          <w:pStyle w:val="TableParagraph"/>
                          <w:spacing w:before="0"/>
                          <w:rPr>
                            <w:rFonts w:ascii="Times New Roman"/>
                            <w:sz w:val="18"/>
                          </w:rPr>
                        </w:pPr>
                      </w:p>
                    </w:tc>
                  </w:tr>
                  <w:tr>
                    <w:trPr>
                      <w:trHeight w:val="273" w:hRule="atLeast"/>
                    </w:trPr>
                    <w:tc>
                      <w:tcPr>
                        <w:tcW w:w="4974" w:type="dxa"/>
                        <w:gridSpan w:val="2"/>
                      </w:tcPr>
                      <w:p>
                        <w:pPr>
                          <w:pStyle w:val="TableParagraph"/>
                          <w:spacing w:before="21"/>
                          <w:ind w:left="123"/>
                          <w:rPr>
                            <w:sz w:val="19"/>
                          </w:rPr>
                        </w:pPr>
                        <w:r>
                          <w:rPr>
                            <w:sz w:val="19"/>
                          </w:rPr>
                          <w:t>Employee benefits</w:t>
                        </w:r>
                      </w:p>
                    </w:tc>
                    <w:tc>
                      <w:tcPr>
                        <w:tcW w:w="1219" w:type="dxa"/>
                        <w:shd w:val="clear" w:color="auto" w:fill="E1E4BB"/>
                      </w:tcPr>
                      <w:p>
                        <w:pPr>
                          <w:pStyle w:val="TableParagraph"/>
                          <w:spacing w:before="21"/>
                          <w:ind w:right="100"/>
                          <w:jc w:val="right"/>
                          <w:rPr>
                            <w:sz w:val="19"/>
                          </w:rPr>
                        </w:pPr>
                        <w:r>
                          <w:rPr>
                            <w:w w:val="95"/>
                            <w:sz w:val="19"/>
                          </w:rPr>
                          <w:t>(117,949)</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(113,736)</w:t>
                        </w:r>
                      </w:p>
                    </w:tc>
                  </w:tr>
                  <w:tr>
                    <w:trPr>
                      <w:trHeight w:val="263" w:hRule="atLeast"/>
                    </w:trPr>
                    <w:tc>
                      <w:tcPr>
                        <w:tcW w:w="4209" w:type="dxa"/>
                        <w:tcBorders>
                          <w:bottom w:val="single" w:sz="8" w:space="0" w:color="FFFFFF"/>
                          <w:right w:val="single" w:sz="8" w:space="0" w:color="FFFFFF"/>
                        </w:tcBorders>
                        <w:shd w:val="clear" w:color="auto" w:fill="F4F4F4"/>
                      </w:tcPr>
                      <w:p>
                        <w:pPr>
                          <w:pStyle w:val="TableParagraph"/>
                          <w:spacing w:before="11"/>
                          <w:ind w:left="123"/>
                          <w:rPr>
                            <w:sz w:val="19"/>
                          </w:rPr>
                        </w:pPr>
                        <w:r>
                          <w:rPr>
                            <w:w w:val="105"/>
                            <w:sz w:val="19"/>
                          </w:rPr>
                          <w:t>Supplies and services</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(1,136,777)</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(944,694)</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Finance costs</w:t>
                        </w:r>
                      </w:p>
                    </w:tc>
                    <w:tc>
                      <w:tcPr>
                        <w:tcW w:w="1219" w:type="dxa"/>
                        <w:shd w:val="clear" w:color="auto" w:fill="E1E4BB"/>
                      </w:tcPr>
                      <w:p>
                        <w:pPr>
                          <w:pStyle w:val="TableParagraph"/>
                          <w:spacing w:before="11"/>
                          <w:ind w:right="100"/>
                          <w:jc w:val="right"/>
                          <w:rPr>
                            <w:sz w:val="19"/>
                          </w:rPr>
                        </w:pPr>
                        <w:r>
                          <w:rPr>
                            <w:w w:val="90"/>
                            <w:sz w:val="19"/>
                          </w:rPr>
                          <w:t>(6,604)</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0"/>
                            <w:sz w:val="19"/>
                          </w:rPr>
                          <w:t>(7,359)</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Accommodation</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(40,438)</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(40,804)</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Grants and subsidies</w:t>
                        </w:r>
                      </w:p>
                    </w:tc>
                    <w:tc>
                      <w:tcPr>
                        <w:tcW w:w="1219" w:type="dxa"/>
                        <w:shd w:val="clear" w:color="auto" w:fill="E1E4BB"/>
                      </w:tcPr>
                      <w:p>
                        <w:pPr>
                          <w:pStyle w:val="TableParagraph"/>
                          <w:spacing w:before="11"/>
                          <w:ind w:right="100"/>
                          <w:jc w:val="right"/>
                          <w:rPr>
                            <w:sz w:val="19"/>
                          </w:rPr>
                        </w:pPr>
                        <w:r>
                          <w:rPr>
                            <w:w w:val="90"/>
                            <w:sz w:val="19"/>
                          </w:rPr>
                          <w:t>(574)</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0"/>
                            <w:sz w:val="19"/>
                          </w:rPr>
                          <w:t>(754)</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GST payments on purchases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(134,697)</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(112,146)</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2"/>
                          <w:ind w:left="123"/>
                          <w:rPr>
                            <w:sz w:val="19"/>
                          </w:rPr>
                        </w:pPr>
                        <w:r>
                          <w:rPr>
                            <w:sz w:val="19"/>
                          </w:rPr>
                          <w:t>GST payments to taxation authority</w:t>
                        </w:r>
                      </w:p>
                    </w:tc>
                    <w:tc>
                      <w:tcPr>
                        <w:tcW w:w="1219" w:type="dxa"/>
                        <w:shd w:val="clear" w:color="auto" w:fill="E1E4BB"/>
                      </w:tcPr>
                      <w:p>
                        <w:pPr>
                          <w:pStyle w:val="TableParagraph"/>
                          <w:spacing w:before="12"/>
                          <w:ind w:right="100"/>
                          <w:jc w:val="right"/>
                          <w:rPr>
                            <w:sz w:val="19"/>
                          </w:rPr>
                        </w:pPr>
                        <w:r>
                          <w:rPr>
                            <w:w w:val="90"/>
                            <w:sz w:val="19"/>
                          </w:rPr>
                          <w:t>(6,032)</w:t>
                        </w:r>
                      </w:p>
                    </w:tc>
                    <w:tc>
                      <w:tcPr>
                        <w:tcW w:w="1219" w:type="dxa"/>
                        <w:tcBorders>
                          <w:top w:val="single" w:sz="8" w:space="0" w:color="FFFFFF"/>
                          <w:bottom w:val="single" w:sz="8" w:space="0" w:color="FFFFFF"/>
                        </w:tcBorders>
                        <w:shd w:val="clear" w:color="auto" w:fill="FAF9F9"/>
                      </w:tcPr>
                      <w:p>
                        <w:pPr>
                          <w:pStyle w:val="TableParagraph"/>
                          <w:spacing w:before="22"/>
                          <w:ind w:right="100"/>
                          <w:jc w:val="right"/>
                          <w:rPr>
                            <w:sz w:val="19"/>
                          </w:rPr>
                        </w:pPr>
                        <w:r>
                          <w:rPr>
                            <w:w w:val="90"/>
                            <w:sz w:val="19"/>
                          </w:rPr>
                          <w:t>(6,136)</w:t>
                        </w:r>
                      </w:p>
                    </w:tc>
                  </w:tr>
                  <w:tr>
                    <w:trPr>
                      <w:trHeight w:val="236" w:hRule="atLeast"/>
                    </w:trPr>
                    <w:tc>
                      <w:tcPr>
                        <w:tcW w:w="4209" w:type="dxa"/>
                        <w:vMerge w:val="restart"/>
                        <w:tcBorders>
                          <w:top w:val="single" w:sz="8" w:space="0" w:color="FFFFFF"/>
                          <w:bottom w:val="single" w:sz="8" w:space="0" w:color="FFFFFF"/>
                          <w:right w:val="single" w:sz="8" w:space="0" w:color="FFFFFF"/>
                        </w:tcBorders>
                        <w:shd w:val="clear" w:color="auto" w:fill="F4F4F4"/>
                      </w:tcPr>
                      <w:p>
                        <w:pPr>
                          <w:pStyle w:val="TableParagraph"/>
                          <w:spacing w:before="22"/>
                          <w:ind w:left="123"/>
                          <w:rPr>
                            <w:sz w:val="19"/>
                          </w:rPr>
                        </w:pPr>
                        <w:r>
                          <w:rPr>
                            <w:sz w:val="19"/>
                          </w:rPr>
                          <w:t>Other payments</w:t>
                        </w:r>
                      </w:p>
                    </w:tc>
                    <w:tc>
                      <w:tcPr>
                        <w:tcW w:w="765" w:type="dxa"/>
                        <w:vMerge w:val="restart"/>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line="205" w:lineRule="exact" w:before="12"/>
                          <w:ind w:right="100"/>
                          <w:jc w:val="right"/>
                          <w:rPr>
                            <w:sz w:val="19"/>
                          </w:rPr>
                        </w:pPr>
                        <w:r>
                          <w:rPr>
                            <w:w w:val="90"/>
                            <w:sz w:val="19"/>
                          </w:rPr>
                          <w:t>(2,632)</w:t>
                        </w:r>
                      </w:p>
                    </w:tc>
                    <w:tc>
                      <w:tcPr>
                        <w:tcW w:w="1219" w:type="dxa"/>
                        <w:vMerge w:val="restart"/>
                        <w:tcBorders>
                          <w:top w:val="single" w:sz="8" w:space="0" w:color="FFFFFF"/>
                          <w:bottom w:val="single" w:sz="8" w:space="0" w:color="FFFFFF"/>
                        </w:tcBorders>
                        <w:shd w:val="clear" w:color="auto" w:fill="F4F4F4"/>
                      </w:tcPr>
                      <w:p>
                        <w:pPr>
                          <w:pStyle w:val="TableParagraph"/>
                          <w:spacing w:before="22"/>
                          <w:ind w:left="549"/>
                          <w:rPr>
                            <w:sz w:val="19"/>
                          </w:rPr>
                        </w:pPr>
                        <w:r>
                          <w:rPr>
                            <w:sz w:val="19"/>
                          </w:rPr>
                          <w:t>(4,945)</w:t>
                        </w:r>
                      </w:p>
                    </w:tc>
                  </w:tr>
                  <w:tr>
                    <w:trPr>
                      <w:trHeight w:val="6" w:hRule="atLeast"/>
                    </w:trPr>
                    <w:tc>
                      <w:tcPr>
                        <w:tcW w:w="4209" w:type="dxa"/>
                        <w:vMerge/>
                        <w:tcBorders>
                          <w:top w:val="nil"/>
                          <w:bottom w:val="single" w:sz="8" w:space="0" w:color="FFFFFF"/>
                          <w:right w:val="single" w:sz="8" w:space="0" w:color="FFFFFF"/>
                        </w:tcBorders>
                        <w:shd w:val="clear" w:color="auto" w:fill="F4F4F4"/>
                      </w:tcPr>
                      <w:p>
                        <w:pPr>
                          <w:rPr>
                            <w:sz w:val="2"/>
                            <w:szCs w:val="2"/>
                          </w:rPr>
                        </w:pPr>
                      </w:p>
                    </w:tc>
                    <w:tc>
                      <w:tcPr>
                        <w:tcW w:w="765" w:type="dxa"/>
                        <w:vMerge/>
                        <w:tcBorders>
                          <w:top w:val="nil"/>
                          <w:left w:val="single" w:sz="8" w:space="0" w:color="FFFFFF"/>
                          <w:bottom w:val="single" w:sz="8" w:space="0" w:color="FFFFFF"/>
                        </w:tcBorders>
                        <w:shd w:val="clear" w:color="auto" w:fill="F4F4F4"/>
                      </w:tcPr>
                      <w:p>
                        <w:pPr>
                          <w:rPr>
                            <w:sz w:val="2"/>
                            <w:szCs w:val="2"/>
                          </w:rPr>
                        </w:pPr>
                      </w:p>
                    </w:tc>
                    <w:tc>
                      <w:tcPr>
                        <w:tcW w:w="1219" w:type="dxa"/>
                        <w:vMerge w:val="restart"/>
                        <w:shd w:val="clear" w:color="auto" w:fill="E1E4BB"/>
                      </w:tcPr>
                      <w:p>
                        <w:pPr>
                          <w:pStyle w:val="TableParagraph"/>
                          <w:spacing w:before="0"/>
                          <w:rPr>
                            <w:rFonts w:ascii="Times New Roman"/>
                            <w:sz w:val="18"/>
                          </w:rPr>
                        </w:pPr>
                      </w:p>
                    </w:tc>
                    <w:tc>
                      <w:tcPr>
                        <w:tcW w:w="1219" w:type="dxa"/>
                        <w:vMerge/>
                        <w:tcBorders>
                          <w:top w:val="nil"/>
                          <w:bottom w:val="single" w:sz="8" w:space="0" w:color="FFFFFF"/>
                        </w:tcBorders>
                        <w:shd w:val="clear" w:color="auto" w:fill="F4F4F4"/>
                      </w:tcPr>
                      <w:p>
                        <w:pPr>
                          <w:rPr>
                            <w:sz w:val="2"/>
                            <w:szCs w:val="2"/>
                          </w:rPr>
                        </w:pP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2"/>
                          <w:ind w:left="123"/>
                          <w:rPr>
                            <w:i/>
                            <w:sz w:val="19"/>
                          </w:rPr>
                        </w:pPr>
                        <w:r>
                          <w:rPr>
                            <w:i/>
                            <w:color w:val="6F2770"/>
                            <w:sz w:val="19"/>
                          </w:rPr>
                          <w:t>Receipts</w:t>
                        </w:r>
                      </w:p>
                    </w:tc>
                    <w:tc>
                      <w:tcPr>
                        <w:tcW w:w="1219" w:type="dxa"/>
                        <w:vMerge/>
                        <w:tcBorders>
                          <w:top w:val="nil"/>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2"/>
                          <w:ind w:left="123"/>
                          <w:rPr>
                            <w:sz w:val="19"/>
                          </w:rPr>
                        </w:pPr>
                        <w:r>
                          <w:rPr>
                            <w:sz w:val="19"/>
                          </w:rPr>
                          <w:t>User charges and fees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2"/>
                          <w:ind w:right="100"/>
                          <w:jc w:val="right"/>
                          <w:rPr>
                            <w:sz w:val="19"/>
                          </w:rPr>
                        </w:pPr>
                        <w:r>
                          <w:rPr>
                            <w:w w:val="95"/>
                            <w:sz w:val="19"/>
                          </w:rPr>
                          <w:t>1,216,232</w:t>
                        </w:r>
                      </w:p>
                    </w:tc>
                    <w:tc>
                      <w:tcPr>
                        <w:tcW w:w="1219" w:type="dxa"/>
                        <w:tcBorders>
                          <w:top w:val="single" w:sz="8" w:space="0" w:color="FFFFFF"/>
                          <w:bottom w:val="single" w:sz="8" w:space="0" w:color="FFFFFF"/>
                        </w:tcBorders>
                        <w:shd w:val="clear" w:color="auto" w:fill="F4F4F4"/>
                      </w:tcPr>
                      <w:p>
                        <w:pPr>
                          <w:pStyle w:val="TableParagraph"/>
                          <w:spacing w:before="22"/>
                          <w:ind w:right="100"/>
                          <w:jc w:val="right"/>
                          <w:rPr>
                            <w:sz w:val="19"/>
                          </w:rPr>
                        </w:pPr>
                        <w:r>
                          <w:rPr>
                            <w:w w:val="95"/>
                            <w:sz w:val="19"/>
                          </w:rPr>
                          <w:t>1,011,354</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2"/>
                          <w:ind w:left="123"/>
                          <w:rPr>
                            <w:sz w:val="19"/>
                          </w:rPr>
                        </w:pPr>
                        <w:r>
                          <w:rPr>
                            <w:sz w:val="19"/>
                          </w:rPr>
                          <w:t>Commonwealth grants and contributions</w:t>
                        </w:r>
                      </w:p>
                    </w:tc>
                    <w:tc>
                      <w:tcPr>
                        <w:tcW w:w="1219" w:type="dxa"/>
                        <w:shd w:val="clear" w:color="auto" w:fill="E1E4BB"/>
                      </w:tcPr>
                      <w:p>
                        <w:pPr>
                          <w:pStyle w:val="TableParagraph"/>
                          <w:spacing w:before="12"/>
                          <w:ind w:right="100"/>
                          <w:jc w:val="right"/>
                          <w:rPr>
                            <w:sz w:val="19"/>
                          </w:rPr>
                        </w:pPr>
                        <w:r>
                          <w:rPr>
                            <w:w w:val="95"/>
                            <w:sz w:val="19"/>
                          </w:rPr>
                          <w:t>5,575</w:t>
                        </w:r>
                      </w:p>
                    </w:tc>
                    <w:tc>
                      <w:tcPr>
                        <w:tcW w:w="1219" w:type="dxa"/>
                        <w:tcBorders>
                          <w:top w:val="single" w:sz="8" w:space="0" w:color="FFFFFF"/>
                          <w:bottom w:val="single" w:sz="8" w:space="0" w:color="FFFFFF"/>
                        </w:tcBorders>
                        <w:shd w:val="clear" w:color="auto" w:fill="FAF9F9"/>
                      </w:tcPr>
                      <w:p>
                        <w:pPr>
                          <w:pStyle w:val="TableParagraph"/>
                          <w:spacing w:before="22"/>
                          <w:ind w:right="100"/>
                          <w:jc w:val="right"/>
                          <w:rPr>
                            <w:sz w:val="19"/>
                          </w:rPr>
                        </w:pPr>
                        <w:r>
                          <w:rPr>
                            <w:w w:val="95"/>
                            <w:sz w:val="19"/>
                          </w:rPr>
                          <w:t>3,337</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2"/>
                          <w:ind w:left="123"/>
                          <w:rPr>
                            <w:sz w:val="19"/>
                          </w:rPr>
                        </w:pPr>
                        <w:r>
                          <w:rPr>
                            <w:sz w:val="19"/>
                          </w:rPr>
                          <w:t>Interest received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2"/>
                          <w:ind w:right="100"/>
                          <w:jc w:val="right"/>
                          <w:rPr>
                            <w:sz w:val="19"/>
                          </w:rPr>
                        </w:pPr>
                        <w:r>
                          <w:rPr>
                            <w:w w:val="95"/>
                            <w:sz w:val="19"/>
                          </w:rPr>
                          <w:t>361</w:t>
                        </w:r>
                      </w:p>
                    </w:tc>
                    <w:tc>
                      <w:tcPr>
                        <w:tcW w:w="1219" w:type="dxa"/>
                        <w:tcBorders>
                          <w:top w:val="single" w:sz="8" w:space="0" w:color="FFFFFF"/>
                          <w:bottom w:val="single" w:sz="8" w:space="0" w:color="FFFFFF"/>
                        </w:tcBorders>
                        <w:shd w:val="clear" w:color="auto" w:fill="F4F4F4"/>
                      </w:tcPr>
                      <w:p>
                        <w:pPr>
                          <w:pStyle w:val="TableParagraph"/>
                          <w:spacing w:before="22"/>
                          <w:ind w:right="100"/>
                          <w:jc w:val="right"/>
                          <w:rPr>
                            <w:sz w:val="19"/>
                          </w:rPr>
                        </w:pPr>
                        <w:r>
                          <w:rPr>
                            <w:w w:val="95"/>
                            <w:sz w:val="19"/>
                          </w:rPr>
                          <w:t>382</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2"/>
                          <w:ind w:left="123"/>
                          <w:rPr>
                            <w:sz w:val="19"/>
                          </w:rPr>
                        </w:pPr>
                        <w:r>
                          <w:rPr>
                            <w:sz w:val="19"/>
                          </w:rPr>
                          <w:t>GST receipts on sales</w:t>
                        </w:r>
                      </w:p>
                    </w:tc>
                    <w:tc>
                      <w:tcPr>
                        <w:tcW w:w="1219" w:type="dxa"/>
                        <w:shd w:val="clear" w:color="auto" w:fill="E1E4BB"/>
                      </w:tcPr>
                      <w:p>
                        <w:pPr>
                          <w:pStyle w:val="TableParagraph"/>
                          <w:spacing w:before="12"/>
                          <w:ind w:right="100"/>
                          <w:jc w:val="right"/>
                          <w:rPr>
                            <w:sz w:val="19"/>
                          </w:rPr>
                        </w:pPr>
                        <w:r>
                          <w:rPr>
                            <w:w w:val="95"/>
                            <w:sz w:val="19"/>
                          </w:rPr>
                          <w:t>132,352</w:t>
                        </w:r>
                      </w:p>
                    </w:tc>
                    <w:tc>
                      <w:tcPr>
                        <w:tcW w:w="1219" w:type="dxa"/>
                        <w:tcBorders>
                          <w:top w:val="single" w:sz="8" w:space="0" w:color="FFFFFF"/>
                          <w:bottom w:val="single" w:sz="8" w:space="0" w:color="FFFFFF"/>
                        </w:tcBorders>
                        <w:shd w:val="clear" w:color="auto" w:fill="FAF9F9"/>
                      </w:tcPr>
                      <w:p>
                        <w:pPr>
                          <w:pStyle w:val="TableParagraph"/>
                          <w:spacing w:before="22"/>
                          <w:ind w:right="100"/>
                          <w:jc w:val="right"/>
                          <w:rPr>
                            <w:sz w:val="19"/>
                          </w:rPr>
                        </w:pPr>
                        <w:r>
                          <w:rPr>
                            <w:w w:val="95"/>
                            <w:sz w:val="19"/>
                          </w:rPr>
                          <w:t>109,127</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2"/>
                          <w:ind w:left="123"/>
                          <w:rPr>
                            <w:sz w:val="19"/>
                          </w:rPr>
                        </w:pPr>
                        <w:r>
                          <w:rPr>
                            <w:sz w:val="19"/>
                          </w:rPr>
                          <w:t>GST receipts from taxation authority</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2"/>
                          <w:ind w:right="100"/>
                          <w:jc w:val="right"/>
                          <w:rPr>
                            <w:sz w:val="19"/>
                          </w:rPr>
                        </w:pPr>
                        <w:r>
                          <w:rPr>
                            <w:w w:val="95"/>
                            <w:sz w:val="19"/>
                          </w:rPr>
                          <w:t>7,700</w:t>
                        </w:r>
                      </w:p>
                    </w:tc>
                    <w:tc>
                      <w:tcPr>
                        <w:tcW w:w="1219" w:type="dxa"/>
                        <w:tcBorders>
                          <w:top w:val="single" w:sz="8" w:space="0" w:color="FFFFFF"/>
                          <w:bottom w:val="single" w:sz="8" w:space="0" w:color="FFFFFF"/>
                        </w:tcBorders>
                        <w:shd w:val="clear" w:color="auto" w:fill="F4F4F4"/>
                      </w:tcPr>
                      <w:p>
                        <w:pPr>
                          <w:pStyle w:val="TableParagraph"/>
                          <w:spacing w:before="22"/>
                          <w:ind w:right="100"/>
                          <w:jc w:val="right"/>
                          <w:rPr>
                            <w:sz w:val="19"/>
                          </w:rPr>
                        </w:pPr>
                        <w:r>
                          <w:rPr>
                            <w:w w:val="95"/>
                            <w:sz w:val="19"/>
                          </w:rPr>
                          <w:t>7,491</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2"/>
                          <w:ind w:left="123"/>
                          <w:rPr>
                            <w:sz w:val="19"/>
                          </w:rPr>
                        </w:pPr>
                        <w:r>
                          <w:rPr>
                            <w:sz w:val="19"/>
                          </w:rPr>
                          <w:t>Other receipts</w:t>
                        </w:r>
                      </w:p>
                    </w:tc>
                    <w:tc>
                      <w:tcPr>
                        <w:tcW w:w="1219" w:type="dxa"/>
                        <w:tcBorders>
                          <w:bottom w:val="single" w:sz="4" w:space="0" w:color="000000"/>
                        </w:tcBorders>
                        <w:shd w:val="clear" w:color="auto" w:fill="E1E4BB"/>
                      </w:tcPr>
                      <w:p>
                        <w:pPr>
                          <w:pStyle w:val="TableParagraph"/>
                          <w:spacing w:before="12"/>
                          <w:ind w:right="100"/>
                          <w:jc w:val="right"/>
                          <w:rPr>
                            <w:sz w:val="19"/>
                          </w:rPr>
                        </w:pPr>
                        <w:r>
                          <w:rPr>
                            <w:w w:val="95"/>
                            <w:sz w:val="19"/>
                          </w:rPr>
                          <w:t>15,343</w:t>
                        </w:r>
                      </w:p>
                    </w:tc>
                    <w:tc>
                      <w:tcPr>
                        <w:tcW w:w="1219" w:type="dxa"/>
                        <w:tcBorders>
                          <w:top w:val="single" w:sz="8" w:space="0" w:color="FFFFFF"/>
                          <w:bottom w:val="single" w:sz="4" w:space="0" w:color="000000"/>
                        </w:tcBorders>
                        <w:shd w:val="clear" w:color="auto" w:fill="FAF9F9"/>
                      </w:tcPr>
                      <w:p>
                        <w:pPr>
                          <w:pStyle w:val="TableParagraph"/>
                          <w:spacing w:before="22"/>
                          <w:ind w:right="100"/>
                          <w:jc w:val="right"/>
                          <w:rPr>
                            <w:sz w:val="19"/>
                          </w:rPr>
                        </w:pPr>
                        <w:r>
                          <w:rPr>
                            <w:w w:val="95"/>
                            <w:sz w:val="19"/>
                          </w:rPr>
                          <w:t>6,859</w:t>
                        </w:r>
                      </w:p>
                    </w:tc>
                  </w:tr>
                  <w:tr>
                    <w:trPr>
                      <w:trHeight w:val="491"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line="230" w:lineRule="atLeast" w:before="10"/>
                          <w:ind w:left="123"/>
                          <w:rPr>
                            <w:b/>
                            <w:sz w:val="19"/>
                          </w:rPr>
                        </w:pPr>
                        <w:r>
                          <w:rPr>
                            <w:b/>
                            <w:sz w:val="19"/>
                          </w:rPr>
                          <w:t>Net cash provided by/(used in) operating activities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21"/>
                          <w:ind w:left="248" w:right="237"/>
                          <w:jc w:val="center"/>
                          <w:rPr>
                            <w:sz w:val="19"/>
                          </w:rPr>
                        </w:pPr>
                        <w:hyperlink w:history="true" w:anchor="_bookmark36">
                          <w:r>
                            <w:rPr>
                              <w:color w:val="6F2770"/>
                              <w:sz w:val="19"/>
                              <w:u w:val="single" w:color="6F2770"/>
                            </w:rPr>
                            <w:t>34</w:t>
                          </w:r>
                        </w:hyperlink>
                      </w:p>
                    </w:tc>
                    <w:tc>
                      <w:tcPr>
                        <w:tcW w:w="1219" w:type="dxa"/>
                        <w:tcBorders>
                          <w:top w:val="single" w:sz="4" w:space="0" w:color="000000"/>
                          <w:bottom w:val="single" w:sz="4" w:space="0" w:color="000000"/>
                        </w:tcBorders>
                        <w:shd w:val="clear" w:color="auto" w:fill="DFE1B8"/>
                      </w:tcPr>
                      <w:p>
                        <w:pPr>
                          <w:pStyle w:val="TableParagraph"/>
                          <w:spacing w:before="21"/>
                          <w:ind w:right="100"/>
                          <w:jc w:val="right"/>
                          <w:rPr>
                            <w:b/>
                            <w:sz w:val="19"/>
                          </w:rPr>
                        </w:pPr>
                        <w:r>
                          <w:rPr>
                            <w:b/>
                            <w:w w:val="95"/>
                            <w:sz w:val="19"/>
                          </w:rPr>
                          <w:t>(68,140)</w:t>
                        </w:r>
                      </w:p>
                    </w:tc>
                    <w:tc>
                      <w:tcPr>
                        <w:tcW w:w="1219" w:type="dxa"/>
                        <w:tcBorders>
                          <w:top w:val="single" w:sz="4" w:space="0" w:color="000000"/>
                          <w:bottom w:val="single" w:sz="4" w:space="0" w:color="000000"/>
                        </w:tcBorders>
                        <w:shd w:val="clear" w:color="auto" w:fill="F4F4F4"/>
                      </w:tcPr>
                      <w:p>
                        <w:pPr>
                          <w:pStyle w:val="TableParagraph"/>
                          <w:spacing w:before="21"/>
                          <w:ind w:right="100"/>
                          <w:jc w:val="right"/>
                          <w:rPr>
                            <w:b/>
                            <w:sz w:val="19"/>
                          </w:rPr>
                        </w:pPr>
                        <w:r>
                          <w:rPr>
                            <w:b/>
                            <w:w w:val="95"/>
                            <w:sz w:val="19"/>
                          </w:rPr>
                          <w:t>(92,024)</w:t>
                        </w:r>
                      </w:p>
                    </w:tc>
                  </w:tr>
                </w:tbl>
                <w:p>
                  <w:pPr>
                    <w:pStyle w:val="BodyText"/>
                  </w:pPr>
                </w:p>
              </w:txbxContent>
            </v:textbox>
            <w10:wrap type="none"/>
          </v:shape>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39</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2" w:id="23"/>
      <w:bookmarkEnd w:id="23"/>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7"/>
        <w:rPr>
          <w:b/>
          <w:sz w:val="21"/>
        </w:rPr>
      </w:pPr>
    </w:p>
    <w:p>
      <w:pPr>
        <w:pStyle w:val="Heading2"/>
      </w:pPr>
      <w:r>
        <w:rPr/>
        <w:pict>
          <v:shape style="position:absolute;margin-left:601.348999pt;margin-top:-67.721718pt;width:120.3pt;height:42.55pt;mso-position-horizontal-relative:page;mso-position-vertical-relative:paragraph;z-index:1105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721718pt;width:120.3pt;height:42.55pt;mso-position-horizontal-relative:page;mso-position-vertical-relative:paragraph;z-index:11080"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721718pt;width:120.3pt;height:42.55pt;mso-position-horizontal-relative:page;mso-position-vertical-relative:paragraph;z-index:1110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Schedule of Income and Expenses by</w:t>
      </w:r>
      <w:r>
        <w:rPr>
          <w:color w:val="6F2770"/>
          <w:spacing w:val="-89"/>
        </w:rPr>
        <w:t> </w:t>
      </w:r>
      <w:r>
        <w:rPr>
          <w:color w:val="6F2770"/>
        </w:rPr>
        <w:t>Service</w:t>
      </w:r>
    </w:p>
    <w:p>
      <w:pPr>
        <w:pStyle w:val="Heading4"/>
        <w:spacing w:before="28"/>
      </w:pPr>
      <w:r>
        <w:rPr>
          <w:color w:val="6F2770"/>
        </w:rPr>
        <w:t>For the year ended 30 June 2018</w:t>
      </w:r>
    </w:p>
    <w:p>
      <w:pPr>
        <w:pStyle w:val="BodyText"/>
        <w:spacing w:before="4"/>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879"/>
        <w:gridCol w:w="879"/>
        <w:gridCol w:w="879"/>
        <w:gridCol w:w="879"/>
        <w:gridCol w:w="879"/>
        <w:gridCol w:w="879"/>
        <w:gridCol w:w="1049"/>
        <w:gridCol w:w="391"/>
        <w:gridCol w:w="659"/>
        <w:gridCol w:w="879"/>
        <w:gridCol w:w="879"/>
        <w:gridCol w:w="879"/>
        <w:gridCol w:w="879"/>
        <w:gridCol w:w="1021"/>
        <w:gridCol w:w="285"/>
        <w:gridCol w:w="736"/>
      </w:tblGrid>
      <w:tr>
        <w:trPr>
          <w:trHeight w:val="818" w:hRule="atLeast"/>
        </w:trPr>
        <w:tc>
          <w:tcPr>
            <w:tcW w:w="2381" w:type="dxa"/>
            <w:shd w:val="clear" w:color="auto" w:fill="783A79"/>
          </w:tcPr>
          <w:p>
            <w:pPr>
              <w:pStyle w:val="TableParagraph"/>
              <w:spacing w:before="0"/>
              <w:rPr>
                <w:rFonts w:ascii="Times New Roman"/>
                <w:sz w:val="18"/>
              </w:rPr>
            </w:pPr>
          </w:p>
        </w:tc>
        <w:tc>
          <w:tcPr>
            <w:tcW w:w="1758" w:type="dxa"/>
            <w:gridSpan w:val="2"/>
            <w:shd w:val="clear" w:color="auto" w:fill="783A79"/>
          </w:tcPr>
          <w:p>
            <w:pPr>
              <w:pStyle w:val="TableParagraph"/>
              <w:spacing w:before="49"/>
              <w:ind w:left="492"/>
              <w:rPr>
                <w:b/>
                <w:sz w:val="18"/>
              </w:rPr>
            </w:pPr>
            <w:r>
              <w:rPr>
                <w:b/>
                <w:color w:val="FFFFFF"/>
                <w:sz w:val="18"/>
              </w:rPr>
              <w:t>Service 1</w:t>
            </w:r>
          </w:p>
          <w:p>
            <w:pPr>
              <w:pStyle w:val="TableParagraph"/>
              <w:tabs>
                <w:tab w:pos="1249" w:val="left" w:leader="none"/>
              </w:tabs>
              <w:spacing w:before="92"/>
              <w:ind w:left="370"/>
              <w:rPr>
                <w:b/>
                <w:sz w:val="18"/>
              </w:rPr>
            </w:pPr>
            <w:r>
              <w:rPr>
                <w:b/>
                <w:color w:val="FFFFFF"/>
                <w:sz w:val="18"/>
              </w:rPr>
              <w:t>2018</w:t>
              <w:tab/>
              <w:t>2017</w:t>
            </w:r>
          </w:p>
          <w:p>
            <w:pPr>
              <w:pStyle w:val="TableParagraph"/>
              <w:tabs>
                <w:tab w:pos="1249" w:val="left" w:leader="none"/>
              </w:tabs>
              <w:spacing w:before="9"/>
              <w:ind w:left="370"/>
              <w:rPr>
                <w:b/>
                <w:sz w:val="18"/>
              </w:rPr>
            </w:pPr>
            <w:r>
              <w:rPr>
                <w:b/>
                <w:color w:val="FFFFFF"/>
                <w:sz w:val="18"/>
              </w:rPr>
              <w:t>$000</w:t>
              <w:tab/>
              <w:t>$000</w:t>
            </w:r>
          </w:p>
        </w:tc>
        <w:tc>
          <w:tcPr>
            <w:tcW w:w="1758" w:type="dxa"/>
            <w:gridSpan w:val="2"/>
            <w:shd w:val="clear" w:color="auto" w:fill="783A79"/>
          </w:tcPr>
          <w:p>
            <w:pPr>
              <w:pStyle w:val="TableParagraph"/>
              <w:spacing w:before="49"/>
              <w:ind w:left="492"/>
              <w:rPr>
                <w:b/>
                <w:sz w:val="18"/>
              </w:rPr>
            </w:pPr>
            <w:r>
              <w:rPr>
                <w:b/>
                <w:color w:val="FFFFFF"/>
                <w:sz w:val="18"/>
              </w:rPr>
              <w:t>Service 2</w:t>
            </w:r>
          </w:p>
          <w:p>
            <w:pPr>
              <w:pStyle w:val="TableParagraph"/>
              <w:tabs>
                <w:tab w:pos="1249" w:val="left" w:leader="none"/>
              </w:tabs>
              <w:spacing w:before="92"/>
              <w:ind w:left="370"/>
              <w:rPr>
                <w:b/>
                <w:sz w:val="18"/>
              </w:rPr>
            </w:pPr>
            <w:r>
              <w:rPr>
                <w:b/>
                <w:color w:val="FFFFFF"/>
                <w:sz w:val="18"/>
              </w:rPr>
              <w:t>2018</w:t>
              <w:tab/>
              <w:t>2017</w:t>
            </w:r>
          </w:p>
          <w:p>
            <w:pPr>
              <w:pStyle w:val="TableParagraph"/>
              <w:tabs>
                <w:tab w:pos="1249" w:val="left" w:leader="none"/>
              </w:tabs>
              <w:spacing w:before="9"/>
              <w:ind w:left="370"/>
              <w:rPr>
                <w:b/>
                <w:sz w:val="18"/>
              </w:rPr>
            </w:pPr>
            <w:r>
              <w:rPr>
                <w:b/>
                <w:color w:val="FFFFFF"/>
                <w:sz w:val="18"/>
              </w:rPr>
              <w:t>$000</w:t>
              <w:tab/>
              <w:t>$000</w:t>
            </w:r>
          </w:p>
        </w:tc>
        <w:tc>
          <w:tcPr>
            <w:tcW w:w="1758" w:type="dxa"/>
            <w:gridSpan w:val="2"/>
            <w:shd w:val="clear" w:color="auto" w:fill="783A79"/>
          </w:tcPr>
          <w:p>
            <w:pPr>
              <w:pStyle w:val="TableParagraph"/>
              <w:spacing w:before="49"/>
              <w:ind w:left="491"/>
              <w:rPr>
                <w:b/>
                <w:sz w:val="18"/>
              </w:rPr>
            </w:pPr>
            <w:r>
              <w:rPr>
                <w:b/>
                <w:color w:val="FFFFFF"/>
                <w:sz w:val="18"/>
              </w:rPr>
              <w:t>Service 3</w:t>
            </w:r>
          </w:p>
          <w:p>
            <w:pPr>
              <w:pStyle w:val="TableParagraph"/>
              <w:tabs>
                <w:tab w:pos="1248" w:val="left" w:leader="none"/>
              </w:tabs>
              <w:spacing w:before="92"/>
              <w:ind w:left="369"/>
              <w:rPr>
                <w:b/>
                <w:sz w:val="18"/>
              </w:rPr>
            </w:pPr>
            <w:r>
              <w:rPr>
                <w:b/>
                <w:color w:val="FFFFFF"/>
                <w:sz w:val="18"/>
              </w:rPr>
              <w:t>2018</w:t>
              <w:tab/>
              <w:t>2017</w:t>
            </w:r>
          </w:p>
          <w:p>
            <w:pPr>
              <w:pStyle w:val="TableParagraph"/>
              <w:tabs>
                <w:tab w:pos="1248" w:val="left" w:leader="none"/>
              </w:tabs>
              <w:spacing w:before="9"/>
              <w:ind w:left="369"/>
              <w:rPr>
                <w:b/>
                <w:sz w:val="18"/>
              </w:rPr>
            </w:pPr>
            <w:r>
              <w:rPr>
                <w:b/>
                <w:color w:val="FFFFFF"/>
                <w:sz w:val="18"/>
              </w:rPr>
              <w:t>$000</w:t>
              <w:tab/>
              <w:t>$000</w:t>
            </w:r>
          </w:p>
        </w:tc>
        <w:tc>
          <w:tcPr>
            <w:tcW w:w="1440" w:type="dxa"/>
            <w:gridSpan w:val="2"/>
            <w:shd w:val="clear" w:color="auto" w:fill="783A79"/>
          </w:tcPr>
          <w:p>
            <w:pPr>
              <w:pStyle w:val="TableParagraph"/>
              <w:spacing w:before="49"/>
              <w:ind w:left="661"/>
              <w:rPr>
                <w:b/>
                <w:sz w:val="18"/>
              </w:rPr>
            </w:pPr>
            <w:r>
              <w:rPr>
                <w:b/>
                <w:color w:val="FFFFFF"/>
                <w:sz w:val="18"/>
              </w:rPr>
              <w:t>Service </w:t>
            </w:r>
            <w:r>
              <w:rPr>
                <w:b/>
                <w:color w:val="FFFFFF"/>
                <w:spacing w:val="-12"/>
                <w:sz w:val="18"/>
              </w:rPr>
              <w:t>4</w:t>
            </w:r>
          </w:p>
          <w:p>
            <w:pPr>
              <w:pStyle w:val="TableParagraph"/>
              <w:spacing w:before="92"/>
              <w:ind w:left="515" w:right="483"/>
              <w:jc w:val="center"/>
              <w:rPr>
                <w:b/>
                <w:sz w:val="18"/>
              </w:rPr>
            </w:pPr>
            <w:r>
              <w:rPr>
                <w:b/>
                <w:color w:val="FFFFFF"/>
                <w:sz w:val="18"/>
              </w:rPr>
              <w:t>2018</w:t>
            </w:r>
          </w:p>
          <w:p>
            <w:pPr>
              <w:pStyle w:val="TableParagraph"/>
              <w:spacing w:before="9"/>
              <w:ind w:left="515" w:right="483"/>
              <w:jc w:val="center"/>
              <w:rPr>
                <w:b/>
                <w:sz w:val="18"/>
              </w:rPr>
            </w:pPr>
            <w:r>
              <w:rPr>
                <w:b/>
                <w:color w:val="FFFFFF"/>
                <w:sz w:val="18"/>
              </w:rPr>
              <w:t>$000</w:t>
            </w:r>
          </w:p>
        </w:tc>
        <w:tc>
          <w:tcPr>
            <w:tcW w:w="659" w:type="dxa"/>
            <w:shd w:val="clear" w:color="auto" w:fill="783A79"/>
          </w:tcPr>
          <w:p>
            <w:pPr>
              <w:pStyle w:val="TableParagraph"/>
              <w:spacing w:before="0"/>
              <w:rPr>
                <w:sz w:val="20"/>
              </w:rPr>
            </w:pPr>
          </w:p>
          <w:p>
            <w:pPr>
              <w:pStyle w:val="TableParagraph"/>
              <w:spacing w:before="118"/>
              <w:ind w:left="148"/>
              <w:rPr>
                <w:b/>
                <w:sz w:val="18"/>
              </w:rPr>
            </w:pPr>
            <w:r>
              <w:rPr>
                <w:b/>
                <w:color w:val="FFFFFF"/>
                <w:sz w:val="18"/>
              </w:rPr>
              <w:t>2017</w:t>
            </w:r>
          </w:p>
          <w:p>
            <w:pPr>
              <w:pStyle w:val="TableParagraph"/>
              <w:spacing w:before="9"/>
              <w:ind w:left="148"/>
              <w:rPr>
                <w:b/>
                <w:sz w:val="18"/>
              </w:rPr>
            </w:pPr>
            <w:r>
              <w:rPr>
                <w:b/>
                <w:color w:val="FFFFFF"/>
                <w:sz w:val="18"/>
              </w:rPr>
              <w:t>$000</w:t>
            </w:r>
          </w:p>
        </w:tc>
        <w:tc>
          <w:tcPr>
            <w:tcW w:w="1758" w:type="dxa"/>
            <w:gridSpan w:val="2"/>
            <w:shd w:val="clear" w:color="auto" w:fill="783A79"/>
          </w:tcPr>
          <w:p>
            <w:pPr>
              <w:pStyle w:val="TableParagraph"/>
              <w:spacing w:before="49"/>
              <w:ind w:left="489"/>
              <w:rPr>
                <w:b/>
                <w:sz w:val="18"/>
              </w:rPr>
            </w:pPr>
            <w:r>
              <w:rPr>
                <w:b/>
                <w:color w:val="FFFFFF"/>
                <w:sz w:val="18"/>
              </w:rPr>
              <w:t>Service 5</w:t>
            </w:r>
          </w:p>
          <w:p>
            <w:pPr>
              <w:pStyle w:val="TableParagraph"/>
              <w:tabs>
                <w:tab w:pos="1246" w:val="left" w:leader="none"/>
              </w:tabs>
              <w:spacing w:before="92"/>
              <w:ind w:left="368"/>
              <w:rPr>
                <w:b/>
                <w:sz w:val="18"/>
              </w:rPr>
            </w:pPr>
            <w:r>
              <w:rPr>
                <w:b/>
                <w:color w:val="FFFFFF"/>
                <w:sz w:val="18"/>
              </w:rPr>
              <w:t>2018</w:t>
              <w:tab/>
              <w:t>2017</w:t>
            </w:r>
          </w:p>
          <w:p>
            <w:pPr>
              <w:pStyle w:val="TableParagraph"/>
              <w:tabs>
                <w:tab w:pos="1246" w:val="left" w:leader="none"/>
              </w:tabs>
              <w:spacing w:before="9"/>
              <w:ind w:left="368"/>
              <w:rPr>
                <w:b/>
                <w:sz w:val="18"/>
              </w:rPr>
            </w:pPr>
            <w:r>
              <w:rPr>
                <w:b/>
                <w:color w:val="FFFFFF"/>
                <w:sz w:val="18"/>
              </w:rPr>
              <w:t>$000</w:t>
              <w:tab/>
              <w:t>$000</w:t>
            </w:r>
          </w:p>
        </w:tc>
        <w:tc>
          <w:tcPr>
            <w:tcW w:w="1758" w:type="dxa"/>
            <w:gridSpan w:val="2"/>
            <w:shd w:val="clear" w:color="auto" w:fill="783A79"/>
          </w:tcPr>
          <w:p>
            <w:pPr>
              <w:pStyle w:val="TableParagraph"/>
              <w:spacing w:before="49"/>
              <w:ind w:left="489"/>
              <w:rPr>
                <w:b/>
                <w:sz w:val="18"/>
              </w:rPr>
            </w:pPr>
            <w:r>
              <w:rPr>
                <w:b/>
                <w:color w:val="FFFFFF"/>
                <w:sz w:val="18"/>
              </w:rPr>
              <w:t>Service 6</w:t>
            </w:r>
          </w:p>
          <w:p>
            <w:pPr>
              <w:pStyle w:val="TableParagraph"/>
              <w:tabs>
                <w:tab w:pos="1246" w:val="left" w:leader="none"/>
              </w:tabs>
              <w:spacing w:before="92"/>
              <w:ind w:left="367"/>
              <w:rPr>
                <w:b/>
                <w:sz w:val="18"/>
              </w:rPr>
            </w:pPr>
            <w:r>
              <w:rPr>
                <w:b/>
                <w:color w:val="FFFFFF"/>
                <w:sz w:val="18"/>
              </w:rPr>
              <w:t>2018</w:t>
              <w:tab/>
              <w:t>2017</w:t>
            </w:r>
          </w:p>
          <w:p>
            <w:pPr>
              <w:pStyle w:val="TableParagraph"/>
              <w:tabs>
                <w:tab w:pos="1246" w:val="left" w:leader="none"/>
              </w:tabs>
              <w:spacing w:before="9"/>
              <w:ind w:left="367"/>
              <w:rPr>
                <w:b/>
                <w:sz w:val="18"/>
              </w:rPr>
            </w:pPr>
            <w:r>
              <w:rPr>
                <w:b/>
                <w:color w:val="FFFFFF"/>
                <w:sz w:val="18"/>
              </w:rPr>
              <w:t>$000</w:t>
              <w:tab/>
              <w:t>$000</w:t>
            </w:r>
          </w:p>
        </w:tc>
        <w:tc>
          <w:tcPr>
            <w:tcW w:w="1306" w:type="dxa"/>
            <w:gridSpan w:val="2"/>
            <w:shd w:val="clear" w:color="auto" w:fill="783A79"/>
          </w:tcPr>
          <w:p>
            <w:pPr>
              <w:pStyle w:val="TableParagraph"/>
              <w:spacing w:before="49"/>
              <w:ind w:left="813"/>
              <w:rPr>
                <w:b/>
                <w:sz w:val="18"/>
              </w:rPr>
            </w:pPr>
            <w:r>
              <w:rPr>
                <w:b/>
                <w:color w:val="FFFFFF"/>
                <w:sz w:val="18"/>
              </w:rPr>
              <w:t>Total</w:t>
            </w:r>
          </w:p>
          <w:p>
            <w:pPr>
              <w:pStyle w:val="TableParagraph"/>
              <w:spacing w:before="92"/>
              <w:ind w:left="508"/>
              <w:rPr>
                <w:b/>
                <w:sz w:val="18"/>
              </w:rPr>
            </w:pPr>
            <w:r>
              <w:rPr>
                <w:b/>
                <w:color w:val="FFFFFF"/>
                <w:sz w:val="18"/>
              </w:rPr>
              <w:t>2018</w:t>
            </w:r>
          </w:p>
          <w:p>
            <w:pPr>
              <w:pStyle w:val="TableParagraph"/>
              <w:spacing w:before="9"/>
              <w:ind w:left="508"/>
              <w:rPr>
                <w:b/>
                <w:sz w:val="18"/>
              </w:rPr>
            </w:pPr>
            <w:r>
              <w:rPr>
                <w:b/>
                <w:color w:val="FFFFFF"/>
                <w:sz w:val="18"/>
              </w:rPr>
              <w:t>$000</w:t>
            </w:r>
          </w:p>
        </w:tc>
        <w:tc>
          <w:tcPr>
            <w:tcW w:w="736" w:type="dxa"/>
            <w:shd w:val="clear" w:color="auto" w:fill="783A79"/>
          </w:tcPr>
          <w:p>
            <w:pPr>
              <w:pStyle w:val="TableParagraph"/>
              <w:spacing w:before="0"/>
              <w:rPr>
                <w:sz w:val="20"/>
              </w:rPr>
            </w:pPr>
          </w:p>
          <w:p>
            <w:pPr>
              <w:pStyle w:val="TableParagraph"/>
              <w:spacing w:before="118"/>
              <w:ind w:left="223"/>
              <w:rPr>
                <w:b/>
                <w:sz w:val="18"/>
              </w:rPr>
            </w:pPr>
            <w:r>
              <w:rPr>
                <w:b/>
                <w:color w:val="FFFFFF"/>
                <w:sz w:val="18"/>
              </w:rPr>
              <w:t>2017</w:t>
            </w:r>
          </w:p>
          <w:p>
            <w:pPr>
              <w:pStyle w:val="TableParagraph"/>
              <w:spacing w:before="9"/>
              <w:ind w:left="223"/>
              <w:rPr>
                <w:b/>
                <w:sz w:val="18"/>
              </w:rPr>
            </w:pPr>
            <w:r>
              <w:rPr>
                <w:b/>
                <w:color w:val="FFFFFF"/>
                <w:sz w:val="18"/>
              </w:rPr>
              <w:t>$000</w:t>
            </w:r>
          </w:p>
        </w:tc>
      </w:tr>
      <w:tr>
        <w:trPr>
          <w:trHeight w:val="317" w:hRule="atLeast"/>
        </w:trPr>
        <w:tc>
          <w:tcPr>
            <w:tcW w:w="2381" w:type="dxa"/>
            <w:tcBorders>
              <w:bottom w:val="single" w:sz="8" w:space="0" w:color="FFFFFF"/>
            </w:tcBorders>
            <w:shd w:val="clear" w:color="auto" w:fill="F4F4F4"/>
          </w:tcPr>
          <w:p>
            <w:pPr>
              <w:pStyle w:val="TableParagraph"/>
              <w:spacing w:before="44"/>
              <w:ind w:left="113"/>
              <w:rPr>
                <w:b/>
                <w:sz w:val="18"/>
              </w:rPr>
            </w:pPr>
            <w:r>
              <w:rPr>
                <w:b/>
                <w:sz w:val="18"/>
              </w:rPr>
              <w:t>COST OF SERVICES</w:t>
            </w: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E1E4BB"/>
          </w:tcPr>
          <w:p>
            <w:pPr>
              <w:pStyle w:val="TableParagraph"/>
              <w:spacing w:before="0"/>
              <w:rPr>
                <w:rFonts w:ascii="Times New Roman"/>
                <w:sz w:val="18"/>
              </w:rPr>
            </w:pPr>
          </w:p>
        </w:tc>
        <w:tc>
          <w:tcPr>
            <w:tcW w:w="1050" w:type="dxa"/>
            <w:gridSpan w:val="2"/>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21" w:type="dxa"/>
            <w:shd w:val="clear" w:color="auto" w:fill="E1E4BB"/>
          </w:tcPr>
          <w:p>
            <w:pPr>
              <w:pStyle w:val="TableParagraph"/>
              <w:spacing w:before="0"/>
              <w:rPr>
                <w:rFonts w:ascii="Times New Roman"/>
                <w:sz w:val="18"/>
              </w:rPr>
            </w:pPr>
          </w:p>
        </w:tc>
        <w:tc>
          <w:tcPr>
            <w:tcW w:w="1021" w:type="dxa"/>
            <w:gridSpan w:val="2"/>
            <w:tcBorders>
              <w:bottom w:val="single" w:sz="8" w:space="0" w:color="FFFFFF"/>
            </w:tcBorders>
            <w:shd w:val="clear" w:color="auto" w:fill="F4F4F4"/>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i/>
                <w:sz w:val="18"/>
              </w:rPr>
            </w:pPr>
            <w:r>
              <w:rPr>
                <w:i/>
                <w:color w:val="6F2770"/>
                <w:sz w:val="18"/>
              </w:rPr>
              <w:t>Expenses</w:t>
            </w: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049" w:type="dxa"/>
            <w:shd w:val="clear" w:color="auto" w:fill="E1E4BB"/>
          </w:tcPr>
          <w:p>
            <w:pPr>
              <w:pStyle w:val="TableParagraph"/>
              <w:spacing w:before="0"/>
              <w:rPr>
                <w:rFonts w:ascii="Times New Roman"/>
                <w:sz w:val="18"/>
              </w:rPr>
            </w:pPr>
          </w:p>
        </w:tc>
        <w:tc>
          <w:tcPr>
            <w:tcW w:w="1050"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021" w:type="dxa"/>
            <w:shd w:val="clear" w:color="auto" w:fill="E1E4BB"/>
          </w:tcPr>
          <w:p>
            <w:pPr>
              <w:pStyle w:val="TableParagraph"/>
              <w:spacing w:before="0"/>
              <w:rPr>
                <w:rFonts w:ascii="Times New Roman"/>
                <w:sz w:val="18"/>
              </w:rPr>
            </w:pPr>
          </w:p>
        </w:tc>
        <w:tc>
          <w:tcPr>
            <w:tcW w:w="1021"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sz w:val="18"/>
              </w:rPr>
            </w:pPr>
            <w:r>
              <w:rPr>
                <w:sz w:val="18"/>
              </w:rPr>
              <w:t>Employee benefits expense</w:t>
            </w:r>
          </w:p>
        </w:tc>
        <w:tc>
          <w:tcPr>
            <w:tcW w:w="879" w:type="dxa"/>
            <w:shd w:val="clear" w:color="auto" w:fill="E1E4BB"/>
          </w:tcPr>
          <w:p>
            <w:pPr>
              <w:pStyle w:val="TableParagraph"/>
              <w:spacing w:before="35"/>
              <w:ind w:right="113"/>
              <w:jc w:val="right"/>
              <w:rPr>
                <w:sz w:val="18"/>
              </w:rPr>
            </w:pPr>
            <w:r>
              <w:rPr>
                <w:w w:val="95"/>
                <w:sz w:val="18"/>
              </w:rPr>
              <w:t>34,685</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31,335</w:t>
            </w:r>
          </w:p>
        </w:tc>
        <w:tc>
          <w:tcPr>
            <w:tcW w:w="879" w:type="dxa"/>
            <w:shd w:val="clear" w:color="auto" w:fill="E1E4BB"/>
          </w:tcPr>
          <w:p>
            <w:pPr>
              <w:pStyle w:val="TableParagraph"/>
              <w:spacing w:before="35"/>
              <w:ind w:right="113"/>
              <w:jc w:val="right"/>
              <w:rPr>
                <w:sz w:val="18"/>
              </w:rPr>
            </w:pPr>
            <w:r>
              <w:rPr>
                <w:w w:val="95"/>
                <w:sz w:val="18"/>
              </w:rPr>
              <w:t>23,349</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21,439</w:t>
            </w:r>
          </w:p>
        </w:tc>
        <w:tc>
          <w:tcPr>
            <w:tcW w:w="879" w:type="dxa"/>
            <w:shd w:val="clear" w:color="auto" w:fill="E1E4BB"/>
          </w:tcPr>
          <w:p>
            <w:pPr>
              <w:pStyle w:val="TableParagraph"/>
              <w:spacing w:before="35"/>
              <w:ind w:right="114"/>
              <w:jc w:val="right"/>
              <w:rPr>
                <w:sz w:val="18"/>
              </w:rPr>
            </w:pPr>
            <w:r>
              <w:rPr>
                <w:w w:val="95"/>
                <w:sz w:val="18"/>
              </w:rPr>
              <w:t>3,110</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95"/>
                <w:sz w:val="18"/>
              </w:rPr>
              <w:t>3,937</w:t>
            </w:r>
          </w:p>
        </w:tc>
        <w:tc>
          <w:tcPr>
            <w:tcW w:w="1049" w:type="dxa"/>
            <w:shd w:val="clear" w:color="auto" w:fill="E1E4BB"/>
          </w:tcPr>
          <w:p>
            <w:pPr>
              <w:pStyle w:val="TableParagraph"/>
              <w:spacing w:before="35"/>
              <w:ind w:right="114"/>
              <w:jc w:val="right"/>
              <w:rPr>
                <w:sz w:val="18"/>
              </w:rPr>
            </w:pPr>
            <w:r>
              <w:rPr>
                <w:w w:val="95"/>
                <w:sz w:val="18"/>
              </w:rPr>
              <w:t>50,556</w:t>
            </w:r>
          </w:p>
        </w:tc>
        <w:tc>
          <w:tcPr>
            <w:tcW w:w="1050" w:type="dxa"/>
            <w:gridSpan w:val="2"/>
            <w:tcBorders>
              <w:top w:val="single" w:sz="8" w:space="0" w:color="FFFFFF"/>
              <w:bottom w:val="single" w:sz="8" w:space="0" w:color="FFFFFF"/>
            </w:tcBorders>
            <w:shd w:val="clear" w:color="auto" w:fill="F4F4F4"/>
          </w:tcPr>
          <w:p>
            <w:pPr>
              <w:pStyle w:val="TableParagraph"/>
              <w:spacing w:before="35"/>
              <w:ind w:left="392"/>
              <w:rPr>
                <w:sz w:val="18"/>
              </w:rPr>
            </w:pPr>
            <w:r>
              <w:rPr>
                <w:sz w:val="18"/>
              </w:rPr>
              <w:t>47,914</w:t>
            </w:r>
          </w:p>
        </w:tc>
        <w:tc>
          <w:tcPr>
            <w:tcW w:w="879" w:type="dxa"/>
            <w:shd w:val="clear" w:color="auto" w:fill="E1E4BB"/>
          </w:tcPr>
          <w:p>
            <w:pPr>
              <w:pStyle w:val="TableParagraph"/>
              <w:spacing w:before="35"/>
              <w:ind w:right="115"/>
              <w:jc w:val="right"/>
              <w:rPr>
                <w:sz w:val="18"/>
              </w:rPr>
            </w:pPr>
            <w:r>
              <w:rPr>
                <w:w w:val="95"/>
                <w:sz w:val="18"/>
              </w:rPr>
              <w:t>3,672</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6"/>
              <w:jc w:val="right"/>
              <w:rPr>
                <w:sz w:val="18"/>
              </w:rPr>
            </w:pPr>
            <w:r>
              <w:rPr>
                <w:w w:val="95"/>
                <w:sz w:val="18"/>
              </w:rPr>
              <w:t>9,874</w:t>
            </w:r>
          </w:p>
        </w:tc>
        <w:tc>
          <w:tcPr>
            <w:tcW w:w="1021" w:type="dxa"/>
            <w:shd w:val="clear" w:color="auto" w:fill="E1E4BB"/>
          </w:tcPr>
          <w:p>
            <w:pPr>
              <w:pStyle w:val="TableParagraph"/>
              <w:spacing w:before="35"/>
              <w:ind w:right="117"/>
              <w:jc w:val="right"/>
              <w:rPr>
                <w:sz w:val="18"/>
              </w:rPr>
            </w:pPr>
            <w:r>
              <w:rPr>
                <w:w w:val="95"/>
                <w:sz w:val="18"/>
              </w:rPr>
              <w:t>115,372</w:t>
            </w:r>
          </w:p>
        </w:tc>
        <w:tc>
          <w:tcPr>
            <w:tcW w:w="1021" w:type="dxa"/>
            <w:gridSpan w:val="2"/>
            <w:tcBorders>
              <w:top w:val="single" w:sz="8" w:space="0" w:color="FFFFFF"/>
              <w:bottom w:val="single" w:sz="8" w:space="0" w:color="FFFFFF"/>
            </w:tcBorders>
            <w:shd w:val="clear" w:color="auto" w:fill="F4F4F4"/>
          </w:tcPr>
          <w:p>
            <w:pPr>
              <w:pStyle w:val="TableParagraph"/>
              <w:spacing w:before="35"/>
              <w:ind w:left="263"/>
              <w:rPr>
                <w:sz w:val="18"/>
              </w:rPr>
            </w:pPr>
            <w:r>
              <w:rPr>
                <w:sz w:val="18"/>
              </w:rPr>
              <w:t>114,499</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Supplies and services</w:t>
            </w:r>
          </w:p>
        </w:tc>
        <w:tc>
          <w:tcPr>
            <w:tcW w:w="879" w:type="dxa"/>
            <w:shd w:val="clear" w:color="auto" w:fill="E1E4BB"/>
          </w:tcPr>
          <w:p>
            <w:pPr>
              <w:pStyle w:val="TableParagraph"/>
              <w:spacing w:before="35"/>
              <w:ind w:right="113"/>
              <w:jc w:val="right"/>
              <w:rPr>
                <w:sz w:val="18"/>
              </w:rPr>
            </w:pPr>
            <w:r>
              <w:rPr>
                <w:w w:val="95"/>
                <w:sz w:val="18"/>
              </w:rPr>
              <w:t>19,741</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17,621</w:t>
            </w:r>
          </w:p>
        </w:tc>
        <w:tc>
          <w:tcPr>
            <w:tcW w:w="879" w:type="dxa"/>
            <w:shd w:val="clear" w:color="auto" w:fill="E1E4BB"/>
          </w:tcPr>
          <w:p>
            <w:pPr>
              <w:pStyle w:val="TableParagraph"/>
              <w:spacing w:before="35"/>
              <w:ind w:right="113"/>
              <w:jc w:val="right"/>
              <w:rPr>
                <w:sz w:val="18"/>
              </w:rPr>
            </w:pPr>
            <w:r>
              <w:rPr>
                <w:w w:val="95"/>
                <w:sz w:val="18"/>
              </w:rPr>
              <w:t>9,913</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8,970</w:t>
            </w:r>
          </w:p>
        </w:tc>
        <w:tc>
          <w:tcPr>
            <w:tcW w:w="879" w:type="dxa"/>
            <w:shd w:val="clear" w:color="auto" w:fill="E1E4BB"/>
          </w:tcPr>
          <w:p>
            <w:pPr>
              <w:pStyle w:val="TableParagraph"/>
              <w:spacing w:before="35"/>
              <w:ind w:right="114"/>
              <w:jc w:val="right"/>
              <w:rPr>
                <w:sz w:val="18"/>
              </w:rPr>
            </w:pPr>
            <w:r>
              <w:rPr>
                <w:w w:val="95"/>
                <w:sz w:val="18"/>
              </w:rPr>
              <w:t>2,647</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95"/>
                <w:sz w:val="18"/>
              </w:rPr>
              <w:t>2,309</w:t>
            </w:r>
          </w:p>
        </w:tc>
        <w:tc>
          <w:tcPr>
            <w:tcW w:w="1049" w:type="dxa"/>
            <w:shd w:val="clear" w:color="auto" w:fill="E1E4BB"/>
          </w:tcPr>
          <w:p>
            <w:pPr>
              <w:pStyle w:val="TableParagraph"/>
              <w:spacing w:before="35"/>
              <w:ind w:right="114"/>
              <w:jc w:val="right"/>
              <w:rPr>
                <w:sz w:val="18"/>
              </w:rPr>
            </w:pPr>
            <w:r>
              <w:rPr>
                <w:w w:val="95"/>
                <w:sz w:val="18"/>
              </w:rPr>
              <w:t>898,055</w:t>
            </w:r>
          </w:p>
        </w:tc>
        <w:tc>
          <w:tcPr>
            <w:tcW w:w="1050" w:type="dxa"/>
            <w:gridSpan w:val="2"/>
            <w:tcBorders>
              <w:top w:val="single" w:sz="8" w:space="0" w:color="FFFFFF"/>
              <w:bottom w:val="single" w:sz="8" w:space="0" w:color="FFFFFF"/>
            </w:tcBorders>
            <w:shd w:val="clear" w:color="auto" w:fill="FAF9F9"/>
          </w:tcPr>
          <w:p>
            <w:pPr>
              <w:pStyle w:val="TableParagraph"/>
              <w:spacing w:before="35"/>
              <w:ind w:left="294"/>
              <w:rPr>
                <w:sz w:val="18"/>
              </w:rPr>
            </w:pPr>
            <w:r>
              <w:rPr>
                <w:sz w:val="18"/>
              </w:rPr>
              <w:t>937,751</w:t>
            </w:r>
          </w:p>
        </w:tc>
        <w:tc>
          <w:tcPr>
            <w:tcW w:w="879" w:type="dxa"/>
            <w:shd w:val="clear" w:color="auto" w:fill="E1E4BB"/>
          </w:tcPr>
          <w:p>
            <w:pPr>
              <w:pStyle w:val="TableParagraph"/>
              <w:spacing w:before="35"/>
              <w:ind w:right="115"/>
              <w:jc w:val="right"/>
              <w:rPr>
                <w:sz w:val="18"/>
              </w:rPr>
            </w:pPr>
            <w:r>
              <w:rPr>
                <w:w w:val="95"/>
                <w:sz w:val="18"/>
              </w:rPr>
              <w:t>177,453</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6"/>
              <w:jc w:val="right"/>
              <w:rPr>
                <w:sz w:val="18"/>
              </w:rPr>
            </w:pPr>
            <w:r>
              <w:rPr>
                <w:w w:val="95"/>
                <w:sz w:val="18"/>
              </w:rPr>
              <w:t>4,679</w:t>
            </w:r>
          </w:p>
        </w:tc>
        <w:tc>
          <w:tcPr>
            <w:tcW w:w="1021" w:type="dxa"/>
            <w:shd w:val="clear" w:color="auto" w:fill="E1E4BB"/>
          </w:tcPr>
          <w:p>
            <w:pPr>
              <w:pStyle w:val="TableParagraph"/>
              <w:spacing w:before="35"/>
              <w:ind w:right="117"/>
              <w:jc w:val="right"/>
              <w:rPr>
                <w:sz w:val="18"/>
              </w:rPr>
            </w:pPr>
            <w:r>
              <w:rPr>
                <w:w w:val="95"/>
                <w:sz w:val="18"/>
              </w:rPr>
              <w:t>1,107,809</w:t>
            </w:r>
          </w:p>
        </w:tc>
        <w:tc>
          <w:tcPr>
            <w:tcW w:w="1021" w:type="dxa"/>
            <w:gridSpan w:val="2"/>
            <w:tcBorders>
              <w:top w:val="single" w:sz="8" w:space="0" w:color="FFFFFF"/>
              <w:bottom w:val="single" w:sz="8" w:space="0" w:color="FFFFFF"/>
            </w:tcBorders>
            <w:shd w:val="clear" w:color="auto" w:fill="FAF9F9"/>
          </w:tcPr>
          <w:p>
            <w:pPr>
              <w:pStyle w:val="TableParagraph"/>
              <w:spacing w:before="35"/>
              <w:ind w:left="263"/>
              <w:rPr>
                <w:sz w:val="18"/>
              </w:rPr>
            </w:pPr>
            <w:r>
              <w:rPr>
                <w:sz w:val="18"/>
              </w:rPr>
              <w:t>971,330</w:t>
            </w:r>
          </w:p>
        </w:tc>
      </w:tr>
      <w:tr>
        <w:trPr>
          <w:trHeight w:val="494"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Pr>
                <w:sz w:val="18"/>
              </w:rPr>
            </w:pPr>
            <w:r>
              <w:rPr>
                <w:sz w:val="18"/>
              </w:rPr>
              <w:t>Depreciation and </w:t>
            </w:r>
            <w:r>
              <w:rPr>
                <w:w w:val="95"/>
                <w:sz w:val="18"/>
              </w:rPr>
              <w:t>amortisation expense</w:t>
            </w:r>
          </w:p>
        </w:tc>
        <w:tc>
          <w:tcPr>
            <w:tcW w:w="879" w:type="dxa"/>
            <w:shd w:val="clear" w:color="auto" w:fill="E1E4BB"/>
          </w:tcPr>
          <w:p>
            <w:pPr>
              <w:pStyle w:val="TableParagraph"/>
              <w:spacing w:before="35"/>
              <w:ind w:right="114"/>
              <w:jc w:val="right"/>
              <w:rPr>
                <w:sz w:val="18"/>
              </w:rPr>
            </w:pPr>
            <w:r>
              <w:rPr>
                <w:w w:val="95"/>
                <w:sz w:val="18"/>
              </w:rPr>
              <w:t>3,416</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2,984</w:t>
            </w:r>
          </w:p>
        </w:tc>
        <w:tc>
          <w:tcPr>
            <w:tcW w:w="879" w:type="dxa"/>
            <w:shd w:val="clear" w:color="auto" w:fill="E1E4BB"/>
          </w:tcPr>
          <w:p>
            <w:pPr>
              <w:pStyle w:val="TableParagraph"/>
              <w:spacing w:before="35"/>
              <w:ind w:right="113"/>
              <w:jc w:val="right"/>
              <w:rPr>
                <w:sz w:val="18"/>
              </w:rPr>
            </w:pPr>
            <w:r>
              <w:rPr>
                <w:w w:val="95"/>
                <w:sz w:val="18"/>
              </w:rPr>
              <w:t>39,247</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42,866</w:t>
            </w:r>
          </w:p>
        </w:tc>
        <w:tc>
          <w:tcPr>
            <w:tcW w:w="879" w:type="dxa"/>
            <w:shd w:val="clear" w:color="auto" w:fill="E1E4BB"/>
          </w:tcPr>
          <w:p>
            <w:pPr>
              <w:pStyle w:val="TableParagraph"/>
              <w:spacing w:before="35"/>
              <w:ind w:right="115"/>
              <w:jc w:val="right"/>
              <w:rPr>
                <w:sz w:val="18"/>
              </w:rPr>
            </w:pPr>
            <w:r>
              <w:rPr>
                <w:w w:val="95"/>
                <w:sz w:val="18"/>
              </w:rPr>
              <w:t>211</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95"/>
                <w:sz w:val="18"/>
              </w:rPr>
              <w:t>453</w:t>
            </w:r>
          </w:p>
        </w:tc>
        <w:tc>
          <w:tcPr>
            <w:tcW w:w="1049" w:type="dxa"/>
            <w:shd w:val="clear" w:color="auto" w:fill="E1E4BB"/>
          </w:tcPr>
          <w:p>
            <w:pPr>
              <w:pStyle w:val="TableParagraph"/>
              <w:spacing w:before="35"/>
              <w:ind w:right="114"/>
              <w:jc w:val="right"/>
              <w:rPr>
                <w:sz w:val="18"/>
              </w:rPr>
            </w:pPr>
            <w:r>
              <w:rPr>
                <w:w w:val="95"/>
                <w:sz w:val="18"/>
              </w:rPr>
              <w:t>23,054</w:t>
            </w:r>
          </w:p>
        </w:tc>
        <w:tc>
          <w:tcPr>
            <w:tcW w:w="1050" w:type="dxa"/>
            <w:gridSpan w:val="2"/>
            <w:tcBorders>
              <w:top w:val="single" w:sz="8" w:space="0" w:color="FFFFFF"/>
              <w:bottom w:val="single" w:sz="8" w:space="0" w:color="FFFFFF"/>
            </w:tcBorders>
            <w:shd w:val="clear" w:color="auto" w:fill="F4F4F4"/>
          </w:tcPr>
          <w:p>
            <w:pPr>
              <w:pStyle w:val="TableParagraph"/>
              <w:spacing w:before="35"/>
              <w:ind w:left="392"/>
              <w:rPr>
                <w:sz w:val="18"/>
              </w:rPr>
            </w:pPr>
            <w:r>
              <w:rPr>
                <w:sz w:val="18"/>
              </w:rPr>
              <w:t>25,085</w:t>
            </w:r>
          </w:p>
        </w:tc>
        <w:tc>
          <w:tcPr>
            <w:tcW w:w="879" w:type="dxa"/>
            <w:shd w:val="clear" w:color="auto" w:fill="E1E4BB"/>
          </w:tcPr>
          <w:p>
            <w:pPr>
              <w:pStyle w:val="TableParagraph"/>
              <w:spacing w:before="35"/>
              <w:ind w:right="115"/>
              <w:jc w:val="right"/>
              <w:rPr>
                <w:sz w:val="18"/>
              </w:rPr>
            </w:pPr>
            <w:r>
              <w:rPr>
                <w:w w:val="95"/>
                <w:sz w:val="18"/>
              </w:rPr>
              <w:t>79</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6"/>
              <w:jc w:val="right"/>
              <w:rPr>
                <w:sz w:val="18"/>
              </w:rPr>
            </w:pPr>
            <w:r>
              <w:rPr>
                <w:w w:val="95"/>
                <w:sz w:val="18"/>
              </w:rPr>
              <w:t>125</w:t>
            </w:r>
          </w:p>
        </w:tc>
        <w:tc>
          <w:tcPr>
            <w:tcW w:w="1021" w:type="dxa"/>
            <w:shd w:val="clear" w:color="auto" w:fill="E1E4BB"/>
          </w:tcPr>
          <w:p>
            <w:pPr>
              <w:pStyle w:val="TableParagraph"/>
              <w:spacing w:before="35"/>
              <w:ind w:right="117"/>
              <w:jc w:val="right"/>
              <w:rPr>
                <w:sz w:val="18"/>
              </w:rPr>
            </w:pPr>
            <w:r>
              <w:rPr>
                <w:w w:val="95"/>
                <w:sz w:val="18"/>
              </w:rPr>
              <w:t>66,007</w:t>
            </w:r>
          </w:p>
        </w:tc>
        <w:tc>
          <w:tcPr>
            <w:tcW w:w="1021" w:type="dxa"/>
            <w:gridSpan w:val="2"/>
            <w:tcBorders>
              <w:top w:val="single" w:sz="8" w:space="0" w:color="FFFFFF"/>
              <w:bottom w:val="single" w:sz="8" w:space="0" w:color="FFFFFF"/>
            </w:tcBorders>
            <w:shd w:val="clear" w:color="auto" w:fill="F4F4F4"/>
          </w:tcPr>
          <w:p>
            <w:pPr>
              <w:pStyle w:val="TableParagraph"/>
              <w:spacing w:before="35"/>
              <w:ind w:left="361"/>
              <w:rPr>
                <w:sz w:val="18"/>
              </w:rPr>
            </w:pPr>
            <w:r>
              <w:rPr>
                <w:sz w:val="18"/>
              </w:rPr>
              <w:t>71,513</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Finance costs</w:t>
            </w:r>
          </w:p>
        </w:tc>
        <w:tc>
          <w:tcPr>
            <w:tcW w:w="879" w:type="dxa"/>
            <w:shd w:val="clear" w:color="auto" w:fill="E1E4BB"/>
          </w:tcPr>
          <w:p>
            <w:pPr>
              <w:pStyle w:val="TableParagraph"/>
              <w:spacing w:before="35"/>
              <w:ind w:right="111"/>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1"/>
              <w:jc w:val="right"/>
              <w:rPr>
                <w:sz w:val="18"/>
              </w:rPr>
            </w:pPr>
            <w:r>
              <w:rPr>
                <w:w w:val="111"/>
                <w:sz w:val="18"/>
              </w:rPr>
              <w:t>-</w:t>
            </w:r>
          </w:p>
        </w:tc>
        <w:tc>
          <w:tcPr>
            <w:tcW w:w="879" w:type="dxa"/>
            <w:shd w:val="clear" w:color="auto" w:fill="E1E4BB"/>
          </w:tcPr>
          <w:p>
            <w:pPr>
              <w:pStyle w:val="TableParagraph"/>
              <w:spacing w:before="35"/>
              <w:ind w:right="113"/>
              <w:jc w:val="right"/>
              <w:rPr>
                <w:sz w:val="18"/>
              </w:rPr>
            </w:pPr>
            <w:r>
              <w:rPr>
                <w:w w:val="95"/>
                <w:sz w:val="18"/>
              </w:rPr>
              <w:t>938</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1,928</w:t>
            </w:r>
          </w:p>
        </w:tc>
        <w:tc>
          <w:tcPr>
            <w:tcW w:w="879" w:type="dxa"/>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111"/>
                <w:sz w:val="18"/>
              </w:rPr>
              <w:t>-</w:t>
            </w:r>
          </w:p>
        </w:tc>
        <w:tc>
          <w:tcPr>
            <w:tcW w:w="1049" w:type="dxa"/>
            <w:shd w:val="clear" w:color="auto" w:fill="E1E4BB"/>
          </w:tcPr>
          <w:p>
            <w:pPr>
              <w:pStyle w:val="TableParagraph"/>
              <w:spacing w:before="35"/>
              <w:ind w:right="114"/>
              <w:jc w:val="right"/>
              <w:rPr>
                <w:sz w:val="18"/>
              </w:rPr>
            </w:pPr>
            <w:r>
              <w:rPr>
                <w:w w:val="95"/>
                <w:sz w:val="18"/>
              </w:rPr>
              <w:t>6,842</w:t>
            </w:r>
          </w:p>
        </w:tc>
        <w:tc>
          <w:tcPr>
            <w:tcW w:w="1050" w:type="dxa"/>
            <w:gridSpan w:val="2"/>
            <w:tcBorders>
              <w:top w:val="single" w:sz="8" w:space="0" w:color="FFFFFF"/>
              <w:bottom w:val="single" w:sz="8" w:space="0" w:color="FFFFFF"/>
            </w:tcBorders>
            <w:shd w:val="clear" w:color="auto" w:fill="FAF9F9"/>
          </w:tcPr>
          <w:p>
            <w:pPr>
              <w:pStyle w:val="TableParagraph"/>
              <w:spacing w:before="35"/>
              <w:ind w:left="491"/>
              <w:rPr>
                <w:sz w:val="18"/>
              </w:rPr>
            </w:pPr>
            <w:r>
              <w:rPr>
                <w:sz w:val="18"/>
              </w:rPr>
              <w:t>6,687</w:t>
            </w:r>
          </w:p>
        </w:tc>
        <w:tc>
          <w:tcPr>
            <w:tcW w:w="879" w:type="dxa"/>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1021" w:type="dxa"/>
            <w:shd w:val="clear" w:color="auto" w:fill="E1E4BB"/>
          </w:tcPr>
          <w:p>
            <w:pPr>
              <w:pStyle w:val="TableParagraph"/>
              <w:spacing w:before="35"/>
              <w:ind w:right="117"/>
              <w:jc w:val="right"/>
              <w:rPr>
                <w:sz w:val="18"/>
              </w:rPr>
            </w:pPr>
            <w:r>
              <w:rPr>
                <w:w w:val="95"/>
                <w:sz w:val="18"/>
              </w:rPr>
              <w:t>7,780</w:t>
            </w:r>
          </w:p>
        </w:tc>
        <w:tc>
          <w:tcPr>
            <w:tcW w:w="1021" w:type="dxa"/>
            <w:gridSpan w:val="2"/>
            <w:tcBorders>
              <w:top w:val="single" w:sz="8" w:space="0" w:color="FFFFFF"/>
              <w:bottom w:val="single" w:sz="8" w:space="0" w:color="FFFFFF"/>
            </w:tcBorders>
            <w:shd w:val="clear" w:color="auto" w:fill="FAF9F9"/>
          </w:tcPr>
          <w:p>
            <w:pPr>
              <w:pStyle w:val="TableParagraph"/>
              <w:spacing w:before="35"/>
              <w:ind w:left="460"/>
              <w:rPr>
                <w:sz w:val="18"/>
              </w:rPr>
            </w:pPr>
            <w:r>
              <w:rPr>
                <w:sz w:val="18"/>
              </w:rPr>
              <w:t>8,615</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sz w:val="18"/>
              </w:rPr>
            </w:pPr>
            <w:r>
              <w:rPr>
                <w:sz w:val="18"/>
              </w:rPr>
              <w:t>Accommodation expenses</w:t>
            </w:r>
          </w:p>
        </w:tc>
        <w:tc>
          <w:tcPr>
            <w:tcW w:w="879" w:type="dxa"/>
            <w:shd w:val="clear" w:color="auto" w:fill="E1E4BB"/>
          </w:tcPr>
          <w:p>
            <w:pPr>
              <w:pStyle w:val="TableParagraph"/>
              <w:spacing w:before="35"/>
              <w:ind w:right="113"/>
              <w:jc w:val="right"/>
              <w:rPr>
                <w:sz w:val="18"/>
              </w:rPr>
            </w:pPr>
            <w:r>
              <w:rPr>
                <w:w w:val="95"/>
                <w:sz w:val="18"/>
              </w:rPr>
              <w:t>4,091</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4,641</w:t>
            </w:r>
          </w:p>
        </w:tc>
        <w:tc>
          <w:tcPr>
            <w:tcW w:w="879" w:type="dxa"/>
            <w:shd w:val="clear" w:color="auto" w:fill="E1E4BB"/>
          </w:tcPr>
          <w:p>
            <w:pPr>
              <w:pStyle w:val="TableParagraph"/>
              <w:spacing w:before="35"/>
              <w:ind w:right="113"/>
              <w:jc w:val="right"/>
              <w:rPr>
                <w:sz w:val="18"/>
              </w:rPr>
            </w:pPr>
            <w:r>
              <w:rPr>
                <w:w w:val="95"/>
                <w:sz w:val="18"/>
              </w:rPr>
              <w:t>1,984</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2,060</w:t>
            </w:r>
          </w:p>
        </w:tc>
        <w:tc>
          <w:tcPr>
            <w:tcW w:w="879" w:type="dxa"/>
            <w:shd w:val="clear" w:color="auto" w:fill="E1E4BB"/>
          </w:tcPr>
          <w:p>
            <w:pPr>
              <w:pStyle w:val="TableParagraph"/>
              <w:spacing w:before="35"/>
              <w:ind w:right="114"/>
              <w:jc w:val="right"/>
              <w:rPr>
                <w:sz w:val="18"/>
              </w:rPr>
            </w:pPr>
            <w:r>
              <w:rPr>
                <w:w w:val="95"/>
                <w:sz w:val="18"/>
              </w:rPr>
              <w:t>380</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95"/>
                <w:sz w:val="18"/>
              </w:rPr>
              <w:t>405</w:t>
            </w:r>
          </w:p>
        </w:tc>
        <w:tc>
          <w:tcPr>
            <w:tcW w:w="1049" w:type="dxa"/>
            <w:shd w:val="clear" w:color="auto" w:fill="E1E4BB"/>
          </w:tcPr>
          <w:p>
            <w:pPr>
              <w:pStyle w:val="TableParagraph"/>
              <w:spacing w:before="35"/>
              <w:ind w:right="114"/>
              <w:jc w:val="right"/>
              <w:rPr>
                <w:sz w:val="18"/>
              </w:rPr>
            </w:pPr>
            <w:r>
              <w:rPr>
                <w:w w:val="95"/>
                <w:sz w:val="18"/>
              </w:rPr>
              <w:t>33,525</w:t>
            </w:r>
          </w:p>
        </w:tc>
        <w:tc>
          <w:tcPr>
            <w:tcW w:w="1050" w:type="dxa"/>
            <w:gridSpan w:val="2"/>
            <w:tcBorders>
              <w:top w:val="single" w:sz="8" w:space="0" w:color="FFFFFF"/>
              <w:bottom w:val="single" w:sz="8" w:space="0" w:color="FFFFFF"/>
            </w:tcBorders>
            <w:shd w:val="clear" w:color="auto" w:fill="F4F4F4"/>
          </w:tcPr>
          <w:p>
            <w:pPr>
              <w:pStyle w:val="TableParagraph"/>
              <w:spacing w:before="35"/>
              <w:ind w:left="392"/>
              <w:rPr>
                <w:sz w:val="18"/>
              </w:rPr>
            </w:pPr>
            <w:r>
              <w:rPr>
                <w:sz w:val="18"/>
              </w:rPr>
              <w:t>34,276</w:t>
            </w:r>
          </w:p>
        </w:tc>
        <w:tc>
          <w:tcPr>
            <w:tcW w:w="879" w:type="dxa"/>
            <w:shd w:val="clear" w:color="auto" w:fill="E1E4BB"/>
          </w:tcPr>
          <w:p>
            <w:pPr>
              <w:pStyle w:val="TableParagraph"/>
              <w:spacing w:before="35"/>
              <w:ind w:right="115"/>
              <w:jc w:val="right"/>
              <w:rPr>
                <w:sz w:val="18"/>
              </w:rPr>
            </w:pPr>
            <w:r>
              <w:rPr>
                <w:w w:val="95"/>
                <w:sz w:val="18"/>
              </w:rPr>
              <w:t>582</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6"/>
              <w:jc w:val="right"/>
              <w:rPr>
                <w:sz w:val="18"/>
              </w:rPr>
            </w:pPr>
            <w:r>
              <w:rPr>
                <w:w w:val="95"/>
                <w:sz w:val="18"/>
              </w:rPr>
              <w:t>854</w:t>
            </w:r>
          </w:p>
        </w:tc>
        <w:tc>
          <w:tcPr>
            <w:tcW w:w="1021" w:type="dxa"/>
            <w:shd w:val="clear" w:color="auto" w:fill="E1E4BB"/>
          </w:tcPr>
          <w:p>
            <w:pPr>
              <w:pStyle w:val="TableParagraph"/>
              <w:spacing w:before="35"/>
              <w:ind w:right="117"/>
              <w:jc w:val="right"/>
              <w:rPr>
                <w:sz w:val="18"/>
              </w:rPr>
            </w:pPr>
            <w:r>
              <w:rPr>
                <w:w w:val="95"/>
                <w:sz w:val="18"/>
              </w:rPr>
              <w:t>40,562</w:t>
            </w:r>
          </w:p>
        </w:tc>
        <w:tc>
          <w:tcPr>
            <w:tcW w:w="1021" w:type="dxa"/>
            <w:gridSpan w:val="2"/>
            <w:tcBorders>
              <w:top w:val="single" w:sz="8" w:space="0" w:color="FFFFFF"/>
              <w:bottom w:val="single" w:sz="8" w:space="0" w:color="FFFFFF"/>
            </w:tcBorders>
            <w:shd w:val="clear" w:color="auto" w:fill="F4F4F4"/>
          </w:tcPr>
          <w:p>
            <w:pPr>
              <w:pStyle w:val="TableParagraph"/>
              <w:spacing w:before="35"/>
              <w:ind w:left="361"/>
              <w:rPr>
                <w:sz w:val="18"/>
              </w:rPr>
            </w:pPr>
            <w:r>
              <w:rPr>
                <w:sz w:val="18"/>
              </w:rPr>
              <w:t>42,236</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Grants and subsidies</w:t>
            </w:r>
          </w:p>
        </w:tc>
        <w:tc>
          <w:tcPr>
            <w:tcW w:w="879" w:type="dxa"/>
            <w:shd w:val="clear" w:color="auto" w:fill="E1E4BB"/>
          </w:tcPr>
          <w:p>
            <w:pPr>
              <w:pStyle w:val="TableParagraph"/>
              <w:spacing w:before="35"/>
              <w:ind w:right="111"/>
              <w:jc w:val="right"/>
              <w:rPr>
                <w:sz w:val="18"/>
              </w:rPr>
            </w:pPr>
            <w:r>
              <w:rPr>
                <w:w w:val="99"/>
                <w:sz w:val="18"/>
              </w:rPr>
              <w:t>1</w:t>
            </w:r>
          </w:p>
        </w:tc>
        <w:tc>
          <w:tcPr>
            <w:tcW w:w="879" w:type="dxa"/>
            <w:tcBorders>
              <w:top w:val="single" w:sz="8" w:space="0" w:color="FFFFFF"/>
              <w:bottom w:val="single" w:sz="8" w:space="0" w:color="FFFFFF"/>
            </w:tcBorders>
            <w:shd w:val="clear" w:color="auto" w:fill="FAF9F9"/>
          </w:tcPr>
          <w:p>
            <w:pPr>
              <w:pStyle w:val="TableParagraph"/>
              <w:spacing w:before="35"/>
              <w:ind w:right="111"/>
              <w:jc w:val="right"/>
              <w:rPr>
                <w:sz w:val="18"/>
              </w:rPr>
            </w:pPr>
            <w:r>
              <w:rPr>
                <w:w w:val="111"/>
                <w:sz w:val="18"/>
              </w:rPr>
              <w:t>-</w:t>
            </w:r>
          </w:p>
        </w:tc>
        <w:tc>
          <w:tcPr>
            <w:tcW w:w="879" w:type="dxa"/>
            <w:shd w:val="clear" w:color="auto" w:fill="E1E4BB"/>
          </w:tcPr>
          <w:p>
            <w:pPr>
              <w:pStyle w:val="TableParagraph"/>
              <w:spacing w:before="35"/>
              <w:ind w:right="113"/>
              <w:jc w:val="right"/>
              <w:rPr>
                <w:sz w:val="18"/>
              </w:rPr>
            </w:pPr>
            <w:r>
              <w:rPr>
                <w:w w:val="95"/>
                <w:sz w:val="18"/>
              </w:rPr>
              <w:t>441</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363</w:t>
            </w:r>
          </w:p>
        </w:tc>
        <w:tc>
          <w:tcPr>
            <w:tcW w:w="879" w:type="dxa"/>
            <w:shd w:val="clear" w:color="auto" w:fill="E1E4BB"/>
          </w:tcPr>
          <w:p>
            <w:pPr>
              <w:pStyle w:val="TableParagraph"/>
              <w:spacing w:before="35"/>
              <w:ind w:right="112"/>
              <w:jc w:val="right"/>
              <w:rPr>
                <w:sz w:val="18"/>
              </w:rPr>
            </w:pPr>
            <w:r>
              <w:rPr>
                <w:w w:val="99"/>
                <w:sz w:val="18"/>
              </w:rPr>
              <w:t>1</w:t>
            </w:r>
          </w:p>
        </w:tc>
        <w:tc>
          <w:tcPr>
            <w:tcW w:w="879"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111"/>
                <w:sz w:val="18"/>
              </w:rPr>
              <w:t>-</w:t>
            </w:r>
          </w:p>
        </w:tc>
        <w:tc>
          <w:tcPr>
            <w:tcW w:w="1049" w:type="dxa"/>
            <w:shd w:val="clear" w:color="auto" w:fill="E1E4BB"/>
          </w:tcPr>
          <w:p>
            <w:pPr>
              <w:pStyle w:val="TableParagraph"/>
              <w:spacing w:before="35"/>
              <w:ind w:right="114"/>
              <w:jc w:val="right"/>
              <w:rPr>
                <w:sz w:val="18"/>
              </w:rPr>
            </w:pPr>
            <w:r>
              <w:rPr>
                <w:w w:val="95"/>
                <w:sz w:val="18"/>
              </w:rPr>
              <w:t>135</w:t>
            </w:r>
          </w:p>
        </w:tc>
        <w:tc>
          <w:tcPr>
            <w:tcW w:w="1050" w:type="dxa"/>
            <w:gridSpan w:val="2"/>
            <w:tcBorders>
              <w:top w:val="single" w:sz="8" w:space="0" w:color="FFFFFF"/>
              <w:bottom w:val="single" w:sz="8" w:space="0" w:color="FFFFFF"/>
            </w:tcBorders>
            <w:shd w:val="clear" w:color="auto" w:fill="FAF9F9"/>
          </w:tcPr>
          <w:p>
            <w:pPr>
              <w:pStyle w:val="TableParagraph"/>
              <w:spacing w:before="35"/>
              <w:ind w:right="113"/>
              <w:jc w:val="right"/>
              <w:rPr>
                <w:sz w:val="18"/>
              </w:rPr>
            </w:pPr>
            <w:r>
              <w:rPr>
                <w:w w:val="99"/>
                <w:sz w:val="18"/>
              </w:rPr>
              <w:t>5</w:t>
            </w:r>
          </w:p>
        </w:tc>
        <w:tc>
          <w:tcPr>
            <w:tcW w:w="879" w:type="dxa"/>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6"/>
              <w:jc w:val="right"/>
              <w:rPr>
                <w:sz w:val="18"/>
              </w:rPr>
            </w:pPr>
            <w:r>
              <w:rPr>
                <w:w w:val="95"/>
                <w:sz w:val="18"/>
              </w:rPr>
              <w:t>386</w:t>
            </w:r>
          </w:p>
        </w:tc>
        <w:tc>
          <w:tcPr>
            <w:tcW w:w="1021" w:type="dxa"/>
            <w:shd w:val="clear" w:color="auto" w:fill="E1E4BB"/>
          </w:tcPr>
          <w:p>
            <w:pPr>
              <w:pStyle w:val="TableParagraph"/>
              <w:spacing w:before="35"/>
              <w:ind w:right="117"/>
              <w:jc w:val="right"/>
              <w:rPr>
                <w:sz w:val="18"/>
              </w:rPr>
            </w:pPr>
            <w:r>
              <w:rPr>
                <w:w w:val="95"/>
                <w:sz w:val="18"/>
              </w:rPr>
              <w:t>578</w:t>
            </w:r>
          </w:p>
        </w:tc>
        <w:tc>
          <w:tcPr>
            <w:tcW w:w="1021" w:type="dxa"/>
            <w:gridSpan w:val="2"/>
            <w:tcBorders>
              <w:top w:val="single" w:sz="8" w:space="0" w:color="FFFFFF"/>
              <w:bottom w:val="single" w:sz="8" w:space="0" w:color="FFFFFF"/>
            </w:tcBorders>
            <w:shd w:val="clear" w:color="auto" w:fill="FAF9F9"/>
          </w:tcPr>
          <w:p>
            <w:pPr>
              <w:pStyle w:val="TableParagraph"/>
              <w:spacing w:before="35"/>
              <w:ind w:left="606"/>
              <w:rPr>
                <w:sz w:val="18"/>
              </w:rPr>
            </w:pPr>
            <w:r>
              <w:rPr>
                <w:sz w:val="18"/>
              </w:rPr>
              <w:t>754</w:t>
            </w:r>
          </w:p>
        </w:tc>
      </w:tr>
      <w:tr>
        <w:trPr>
          <w:trHeight w:val="494"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ight="721"/>
              <w:rPr>
                <w:sz w:val="18"/>
              </w:rPr>
            </w:pPr>
            <w:r>
              <w:rPr>
                <w:sz w:val="18"/>
              </w:rPr>
              <w:t>Loss on disposal of non-current assets</w:t>
            </w:r>
          </w:p>
        </w:tc>
        <w:tc>
          <w:tcPr>
            <w:tcW w:w="879" w:type="dxa"/>
            <w:shd w:val="clear" w:color="auto" w:fill="E1E4BB"/>
          </w:tcPr>
          <w:p>
            <w:pPr>
              <w:pStyle w:val="TableParagraph"/>
              <w:spacing w:before="35"/>
              <w:ind w:right="111"/>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1"/>
              <w:jc w:val="right"/>
              <w:rPr>
                <w:sz w:val="18"/>
              </w:rPr>
            </w:pPr>
            <w:r>
              <w:rPr>
                <w:w w:val="111"/>
                <w:sz w:val="18"/>
              </w:rPr>
              <w:t>-</w:t>
            </w:r>
          </w:p>
        </w:tc>
        <w:tc>
          <w:tcPr>
            <w:tcW w:w="879" w:type="dxa"/>
            <w:shd w:val="clear" w:color="auto" w:fill="E1E4BB"/>
          </w:tcPr>
          <w:p>
            <w:pPr>
              <w:pStyle w:val="TableParagraph"/>
              <w:spacing w:before="35"/>
              <w:ind w:right="111"/>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1"/>
              <w:jc w:val="right"/>
              <w:rPr>
                <w:sz w:val="18"/>
              </w:rPr>
            </w:pPr>
            <w:r>
              <w:rPr>
                <w:w w:val="111"/>
                <w:sz w:val="18"/>
              </w:rPr>
              <w:t>-</w:t>
            </w:r>
          </w:p>
        </w:tc>
        <w:tc>
          <w:tcPr>
            <w:tcW w:w="879" w:type="dxa"/>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2"/>
              <w:jc w:val="right"/>
              <w:rPr>
                <w:sz w:val="18"/>
              </w:rPr>
            </w:pPr>
            <w:r>
              <w:rPr>
                <w:w w:val="111"/>
                <w:sz w:val="18"/>
              </w:rPr>
              <w:t>-</w:t>
            </w:r>
          </w:p>
        </w:tc>
        <w:tc>
          <w:tcPr>
            <w:tcW w:w="1049" w:type="dxa"/>
            <w:shd w:val="clear" w:color="auto" w:fill="E1E4BB"/>
          </w:tcPr>
          <w:p>
            <w:pPr>
              <w:pStyle w:val="TableParagraph"/>
              <w:spacing w:before="35"/>
              <w:ind w:right="114"/>
              <w:jc w:val="right"/>
              <w:rPr>
                <w:sz w:val="18"/>
              </w:rPr>
            </w:pPr>
            <w:r>
              <w:rPr>
                <w:w w:val="95"/>
                <w:sz w:val="18"/>
              </w:rPr>
              <w:t>17</w:t>
            </w:r>
          </w:p>
        </w:tc>
        <w:tc>
          <w:tcPr>
            <w:tcW w:w="1050" w:type="dxa"/>
            <w:gridSpan w:val="2"/>
            <w:tcBorders>
              <w:top w:val="single" w:sz="8" w:space="0" w:color="FFFFFF"/>
              <w:bottom w:val="single" w:sz="8" w:space="0" w:color="FFFFFF"/>
            </w:tcBorders>
            <w:shd w:val="clear" w:color="auto" w:fill="F4F4F4"/>
          </w:tcPr>
          <w:p>
            <w:pPr>
              <w:pStyle w:val="TableParagraph"/>
              <w:spacing w:before="35"/>
              <w:ind w:right="115"/>
              <w:jc w:val="right"/>
              <w:rPr>
                <w:sz w:val="18"/>
              </w:rPr>
            </w:pPr>
            <w:r>
              <w:rPr>
                <w:w w:val="95"/>
                <w:sz w:val="18"/>
              </w:rPr>
              <w:t>10</w:t>
            </w:r>
          </w:p>
        </w:tc>
        <w:tc>
          <w:tcPr>
            <w:tcW w:w="879" w:type="dxa"/>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1021" w:type="dxa"/>
            <w:shd w:val="clear" w:color="auto" w:fill="E1E4BB"/>
          </w:tcPr>
          <w:p>
            <w:pPr>
              <w:pStyle w:val="TableParagraph"/>
              <w:spacing w:before="35"/>
              <w:ind w:right="117"/>
              <w:jc w:val="right"/>
              <w:rPr>
                <w:sz w:val="18"/>
              </w:rPr>
            </w:pPr>
            <w:r>
              <w:rPr>
                <w:w w:val="95"/>
                <w:sz w:val="18"/>
              </w:rPr>
              <w:t>17</w:t>
            </w:r>
          </w:p>
        </w:tc>
        <w:tc>
          <w:tcPr>
            <w:tcW w:w="1021" w:type="dxa"/>
            <w:gridSpan w:val="2"/>
            <w:tcBorders>
              <w:top w:val="single" w:sz="8" w:space="0" w:color="FFFFFF"/>
              <w:bottom w:val="single" w:sz="8" w:space="0" w:color="FFFFFF"/>
            </w:tcBorders>
            <w:shd w:val="clear" w:color="auto" w:fill="F4F4F4"/>
          </w:tcPr>
          <w:p>
            <w:pPr>
              <w:pStyle w:val="TableParagraph"/>
              <w:spacing w:before="35"/>
              <w:ind w:right="117"/>
              <w:jc w:val="right"/>
              <w:rPr>
                <w:sz w:val="18"/>
              </w:rPr>
            </w:pPr>
            <w:r>
              <w:rPr>
                <w:w w:val="95"/>
                <w:sz w:val="18"/>
              </w:rPr>
              <w:t>10</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Other expenses</w:t>
            </w:r>
          </w:p>
        </w:tc>
        <w:tc>
          <w:tcPr>
            <w:tcW w:w="879" w:type="dxa"/>
            <w:tcBorders>
              <w:bottom w:val="single" w:sz="4" w:space="0" w:color="000000"/>
            </w:tcBorders>
            <w:shd w:val="clear" w:color="auto" w:fill="E1E4BB"/>
          </w:tcPr>
          <w:p>
            <w:pPr>
              <w:pStyle w:val="TableParagraph"/>
              <w:spacing w:before="35"/>
              <w:ind w:right="114"/>
              <w:jc w:val="right"/>
              <w:rPr>
                <w:sz w:val="18"/>
              </w:rPr>
            </w:pPr>
            <w:r>
              <w:rPr>
                <w:w w:val="95"/>
                <w:sz w:val="18"/>
              </w:rPr>
              <w:t>351</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95"/>
                <w:sz w:val="18"/>
              </w:rPr>
              <w:t>404</w:t>
            </w:r>
          </w:p>
        </w:tc>
        <w:tc>
          <w:tcPr>
            <w:tcW w:w="879" w:type="dxa"/>
            <w:tcBorders>
              <w:bottom w:val="single" w:sz="4" w:space="0" w:color="000000"/>
            </w:tcBorders>
            <w:shd w:val="clear" w:color="auto" w:fill="E1E4BB"/>
          </w:tcPr>
          <w:p>
            <w:pPr>
              <w:pStyle w:val="TableParagraph"/>
              <w:spacing w:before="35"/>
              <w:ind w:right="113"/>
              <w:jc w:val="right"/>
              <w:rPr>
                <w:sz w:val="18"/>
              </w:rPr>
            </w:pPr>
            <w:r>
              <w:rPr>
                <w:w w:val="95"/>
                <w:sz w:val="18"/>
              </w:rPr>
              <w:t>210</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95"/>
                <w:sz w:val="18"/>
              </w:rPr>
              <w:t>368</w:t>
            </w:r>
          </w:p>
        </w:tc>
        <w:tc>
          <w:tcPr>
            <w:tcW w:w="879" w:type="dxa"/>
            <w:tcBorders>
              <w:bottom w:val="single" w:sz="4" w:space="0" w:color="000000"/>
            </w:tcBorders>
            <w:shd w:val="clear" w:color="auto" w:fill="E1E4BB"/>
          </w:tcPr>
          <w:p>
            <w:pPr>
              <w:pStyle w:val="TableParagraph"/>
              <w:spacing w:before="35"/>
              <w:ind w:right="113"/>
              <w:jc w:val="right"/>
              <w:rPr>
                <w:sz w:val="18"/>
              </w:rPr>
            </w:pPr>
            <w:r>
              <w:rPr>
                <w:w w:val="95"/>
                <w:sz w:val="18"/>
              </w:rPr>
              <w:t>218</w:t>
            </w:r>
          </w:p>
        </w:tc>
        <w:tc>
          <w:tcPr>
            <w:tcW w:w="879" w:type="dxa"/>
            <w:tcBorders>
              <w:top w:val="single" w:sz="8" w:space="0" w:color="FFFFFF"/>
              <w:bottom w:val="single" w:sz="4" w:space="0" w:color="000000"/>
            </w:tcBorders>
            <w:shd w:val="clear" w:color="auto" w:fill="FAF9F9"/>
          </w:tcPr>
          <w:p>
            <w:pPr>
              <w:pStyle w:val="TableParagraph"/>
              <w:spacing w:before="35"/>
              <w:ind w:right="114"/>
              <w:jc w:val="right"/>
              <w:rPr>
                <w:sz w:val="18"/>
              </w:rPr>
            </w:pPr>
            <w:r>
              <w:rPr>
                <w:w w:val="95"/>
                <w:sz w:val="18"/>
              </w:rPr>
              <w:t>250</w:t>
            </w:r>
          </w:p>
        </w:tc>
        <w:tc>
          <w:tcPr>
            <w:tcW w:w="1049" w:type="dxa"/>
            <w:tcBorders>
              <w:bottom w:val="single" w:sz="4" w:space="0" w:color="000000"/>
            </w:tcBorders>
            <w:shd w:val="clear" w:color="auto" w:fill="E1E4BB"/>
          </w:tcPr>
          <w:p>
            <w:pPr>
              <w:pStyle w:val="TableParagraph"/>
              <w:spacing w:before="35"/>
              <w:ind w:right="114"/>
              <w:jc w:val="right"/>
              <w:rPr>
                <w:sz w:val="18"/>
              </w:rPr>
            </w:pPr>
            <w:r>
              <w:rPr>
                <w:w w:val="95"/>
                <w:sz w:val="18"/>
              </w:rPr>
              <w:t>38,874</w:t>
            </w:r>
          </w:p>
        </w:tc>
        <w:tc>
          <w:tcPr>
            <w:tcW w:w="1050" w:type="dxa"/>
            <w:gridSpan w:val="2"/>
            <w:tcBorders>
              <w:top w:val="single" w:sz="8" w:space="0" w:color="FFFFFF"/>
              <w:bottom w:val="single" w:sz="4" w:space="0" w:color="000000"/>
            </w:tcBorders>
            <w:shd w:val="clear" w:color="auto" w:fill="FAF9F9"/>
          </w:tcPr>
          <w:p>
            <w:pPr>
              <w:pStyle w:val="TableParagraph"/>
              <w:spacing w:before="35"/>
              <w:ind w:left="392"/>
              <w:rPr>
                <w:sz w:val="18"/>
              </w:rPr>
            </w:pPr>
            <w:r>
              <w:rPr>
                <w:sz w:val="18"/>
              </w:rPr>
              <w:t>32,913</w:t>
            </w:r>
          </w:p>
        </w:tc>
        <w:tc>
          <w:tcPr>
            <w:tcW w:w="879" w:type="dxa"/>
            <w:tcBorders>
              <w:bottom w:val="single" w:sz="4" w:space="0" w:color="000000"/>
            </w:tcBorders>
            <w:shd w:val="clear" w:color="auto" w:fill="E1E4BB"/>
          </w:tcPr>
          <w:p>
            <w:pPr>
              <w:pStyle w:val="TableParagraph"/>
              <w:spacing w:before="35"/>
              <w:ind w:right="115"/>
              <w:jc w:val="right"/>
              <w:rPr>
                <w:sz w:val="18"/>
              </w:rPr>
            </w:pPr>
            <w:r>
              <w:rPr>
                <w:w w:val="95"/>
                <w:sz w:val="18"/>
              </w:rPr>
              <w:t>54</w:t>
            </w:r>
          </w:p>
        </w:tc>
        <w:tc>
          <w:tcPr>
            <w:tcW w:w="879" w:type="dxa"/>
            <w:tcBorders>
              <w:top w:val="single" w:sz="8" w:space="0" w:color="FFFFFF"/>
              <w:bottom w:val="single" w:sz="4" w:space="0" w:color="000000"/>
            </w:tcBorders>
            <w:shd w:val="clear" w:color="auto" w:fill="FAF9F9"/>
          </w:tcPr>
          <w:p>
            <w:pPr>
              <w:pStyle w:val="TableParagraph"/>
              <w:spacing w:before="35"/>
              <w:ind w:right="114"/>
              <w:jc w:val="right"/>
              <w:rPr>
                <w:sz w:val="18"/>
              </w:rPr>
            </w:pPr>
            <w:r>
              <w:rPr>
                <w:w w:val="111"/>
                <w:sz w:val="18"/>
              </w:rPr>
              <w:t>-</w:t>
            </w:r>
          </w:p>
        </w:tc>
        <w:tc>
          <w:tcPr>
            <w:tcW w:w="879" w:type="dxa"/>
            <w:tcBorders>
              <w:bottom w:val="single" w:sz="4" w:space="0" w:color="000000"/>
            </w:tcBorders>
            <w:shd w:val="clear" w:color="auto" w:fill="E1E4BB"/>
          </w:tcPr>
          <w:p>
            <w:pPr>
              <w:pStyle w:val="TableParagraph"/>
              <w:spacing w:before="35"/>
              <w:ind w:right="114"/>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6"/>
              <w:jc w:val="right"/>
              <w:rPr>
                <w:sz w:val="18"/>
              </w:rPr>
            </w:pPr>
            <w:r>
              <w:rPr>
                <w:w w:val="95"/>
                <w:sz w:val="18"/>
              </w:rPr>
              <w:t>86</w:t>
            </w:r>
          </w:p>
        </w:tc>
        <w:tc>
          <w:tcPr>
            <w:tcW w:w="1021" w:type="dxa"/>
            <w:tcBorders>
              <w:bottom w:val="single" w:sz="4" w:space="0" w:color="000000"/>
            </w:tcBorders>
            <w:shd w:val="clear" w:color="auto" w:fill="E1E4BB"/>
          </w:tcPr>
          <w:p>
            <w:pPr>
              <w:pStyle w:val="TableParagraph"/>
              <w:spacing w:before="35"/>
              <w:ind w:right="117"/>
              <w:jc w:val="right"/>
              <w:rPr>
                <w:sz w:val="18"/>
              </w:rPr>
            </w:pPr>
            <w:r>
              <w:rPr>
                <w:w w:val="95"/>
                <w:sz w:val="18"/>
              </w:rPr>
              <w:t>39,707</w:t>
            </w:r>
          </w:p>
        </w:tc>
        <w:tc>
          <w:tcPr>
            <w:tcW w:w="1021" w:type="dxa"/>
            <w:gridSpan w:val="2"/>
            <w:tcBorders>
              <w:top w:val="single" w:sz="8" w:space="0" w:color="FFFFFF"/>
              <w:bottom w:val="single" w:sz="4" w:space="0" w:color="000000"/>
            </w:tcBorders>
            <w:shd w:val="clear" w:color="auto" w:fill="FAF9F9"/>
          </w:tcPr>
          <w:p>
            <w:pPr>
              <w:pStyle w:val="TableParagraph"/>
              <w:spacing w:before="35"/>
              <w:ind w:left="361"/>
              <w:rPr>
                <w:sz w:val="18"/>
              </w:rPr>
            </w:pPr>
            <w:r>
              <w:rPr>
                <w:sz w:val="18"/>
              </w:rPr>
              <w:t>34,021</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b/>
                <w:sz w:val="18"/>
              </w:rPr>
            </w:pPr>
            <w:r>
              <w:rPr>
                <w:b/>
                <w:sz w:val="18"/>
              </w:rPr>
              <w:t>Total cost of services</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95"/>
                <w:sz w:val="18"/>
              </w:rPr>
              <w:t>62,285</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56,985</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95"/>
                <w:sz w:val="18"/>
              </w:rPr>
              <w:t>76,082</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77,994</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6,567</w:t>
            </w:r>
          </w:p>
        </w:tc>
        <w:tc>
          <w:tcPr>
            <w:tcW w:w="879" w:type="dxa"/>
            <w:tcBorders>
              <w:top w:val="single" w:sz="4" w:space="0" w:color="000000"/>
              <w:bottom w:val="single" w:sz="4" w:space="0" w:color="000000"/>
            </w:tcBorders>
            <w:shd w:val="clear" w:color="auto" w:fill="F4F4F4"/>
          </w:tcPr>
          <w:p>
            <w:pPr>
              <w:pStyle w:val="TableParagraph"/>
              <w:spacing w:before="35"/>
              <w:ind w:right="114"/>
              <w:jc w:val="right"/>
              <w:rPr>
                <w:b/>
                <w:sz w:val="18"/>
              </w:rPr>
            </w:pPr>
            <w:r>
              <w:rPr>
                <w:b/>
                <w:w w:val="95"/>
                <w:sz w:val="18"/>
              </w:rPr>
              <w:t>7,354</w:t>
            </w:r>
          </w:p>
        </w:tc>
        <w:tc>
          <w:tcPr>
            <w:tcW w:w="104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1,051,058</w:t>
            </w:r>
          </w:p>
        </w:tc>
        <w:tc>
          <w:tcPr>
            <w:tcW w:w="1050" w:type="dxa"/>
            <w:gridSpan w:val="2"/>
            <w:tcBorders>
              <w:top w:val="single" w:sz="4" w:space="0" w:color="000000"/>
              <w:bottom w:val="single" w:sz="4" w:space="0" w:color="000000"/>
            </w:tcBorders>
            <w:shd w:val="clear" w:color="auto" w:fill="F4F4F4"/>
          </w:tcPr>
          <w:p>
            <w:pPr>
              <w:pStyle w:val="TableParagraph"/>
              <w:spacing w:before="35"/>
              <w:ind w:left="148"/>
              <w:rPr>
                <w:b/>
                <w:sz w:val="18"/>
              </w:rPr>
            </w:pPr>
            <w:r>
              <w:rPr>
                <w:b/>
                <w:sz w:val="18"/>
              </w:rPr>
              <w:t>1,084,641</w:t>
            </w:r>
          </w:p>
        </w:tc>
        <w:tc>
          <w:tcPr>
            <w:tcW w:w="879" w:type="dxa"/>
            <w:tcBorders>
              <w:top w:val="single" w:sz="4" w:space="0" w:color="000000"/>
              <w:bottom w:val="single" w:sz="4" w:space="0" w:color="000000"/>
            </w:tcBorders>
            <w:shd w:val="clear" w:color="auto" w:fill="DFE1B8"/>
          </w:tcPr>
          <w:p>
            <w:pPr>
              <w:pStyle w:val="TableParagraph"/>
              <w:spacing w:before="35"/>
              <w:ind w:right="115"/>
              <w:jc w:val="right"/>
              <w:rPr>
                <w:b/>
                <w:sz w:val="18"/>
              </w:rPr>
            </w:pPr>
            <w:r>
              <w:rPr>
                <w:b/>
                <w:w w:val="95"/>
                <w:sz w:val="18"/>
              </w:rPr>
              <w:t>181,840</w:t>
            </w:r>
          </w:p>
        </w:tc>
        <w:tc>
          <w:tcPr>
            <w:tcW w:w="879" w:type="dxa"/>
            <w:tcBorders>
              <w:top w:val="single" w:sz="4" w:space="0" w:color="000000"/>
              <w:bottom w:val="single" w:sz="4" w:space="0" w:color="000000"/>
            </w:tcBorders>
            <w:shd w:val="clear" w:color="auto" w:fill="F4F4F4"/>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F4F4F4"/>
          </w:tcPr>
          <w:p>
            <w:pPr>
              <w:pStyle w:val="TableParagraph"/>
              <w:spacing w:before="35"/>
              <w:ind w:right="116"/>
              <w:jc w:val="right"/>
              <w:rPr>
                <w:b/>
                <w:sz w:val="18"/>
              </w:rPr>
            </w:pPr>
            <w:r>
              <w:rPr>
                <w:b/>
                <w:w w:val="95"/>
                <w:sz w:val="18"/>
              </w:rPr>
              <w:t>16,004</w:t>
            </w:r>
          </w:p>
        </w:tc>
        <w:tc>
          <w:tcPr>
            <w:tcW w:w="1021" w:type="dxa"/>
            <w:tcBorders>
              <w:top w:val="single" w:sz="4" w:space="0" w:color="000000"/>
              <w:bottom w:val="single" w:sz="4" w:space="0" w:color="000000"/>
            </w:tcBorders>
            <w:shd w:val="clear" w:color="auto" w:fill="DFE1B8"/>
          </w:tcPr>
          <w:p>
            <w:pPr>
              <w:pStyle w:val="TableParagraph"/>
              <w:spacing w:before="35"/>
              <w:ind w:right="117"/>
              <w:jc w:val="right"/>
              <w:rPr>
                <w:b/>
                <w:sz w:val="18"/>
              </w:rPr>
            </w:pPr>
            <w:r>
              <w:rPr>
                <w:b/>
                <w:w w:val="95"/>
                <w:sz w:val="18"/>
              </w:rPr>
              <w:t>1,377,832</w:t>
            </w:r>
          </w:p>
        </w:tc>
        <w:tc>
          <w:tcPr>
            <w:tcW w:w="1021" w:type="dxa"/>
            <w:gridSpan w:val="2"/>
            <w:tcBorders>
              <w:top w:val="single" w:sz="4" w:space="0" w:color="000000"/>
              <w:bottom w:val="single" w:sz="4" w:space="0" w:color="000000"/>
            </w:tcBorders>
            <w:shd w:val="clear" w:color="auto" w:fill="F4F4F4"/>
          </w:tcPr>
          <w:p>
            <w:pPr>
              <w:pStyle w:val="TableParagraph"/>
              <w:spacing w:before="35"/>
              <w:ind w:left="116"/>
              <w:rPr>
                <w:b/>
                <w:sz w:val="18"/>
              </w:rPr>
            </w:pPr>
            <w:r>
              <w:rPr>
                <w:b/>
                <w:sz w:val="18"/>
              </w:rPr>
              <w:t>1,242,978</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tcBorders>
              <w:top w:val="single" w:sz="4" w:space="0" w:color="000000"/>
            </w:tcBorders>
            <w:shd w:val="clear" w:color="auto" w:fill="DFE1B8"/>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879" w:type="dxa"/>
            <w:tcBorders>
              <w:top w:val="single" w:sz="4" w:space="0" w:color="000000"/>
            </w:tcBorders>
            <w:shd w:val="clear" w:color="auto" w:fill="DFE1B8"/>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879" w:type="dxa"/>
            <w:tcBorders>
              <w:top w:val="single" w:sz="4" w:space="0" w:color="000000"/>
            </w:tcBorders>
            <w:shd w:val="clear" w:color="auto" w:fill="DFE1B8"/>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1049" w:type="dxa"/>
            <w:tcBorders>
              <w:top w:val="single" w:sz="4" w:space="0" w:color="000000"/>
            </w:tcBorders>
            <w:shd w:val="clear" w:color="auto" w:fill="DFE1B8"/>
          </w:tcPr>
          <w:p>
            <w:pPr>
              <w:pStyle w:val="TableParagraph"/>
              <w:spacing w:before="0"/>
              <w:rPr>
                <w:rFonts w:ascii="Times New Roman"/>
                <w:sz w:val="18"/>
              </w:rPr>
            </w:pPr>
          </w:p>
        </w:tc>
        <w:tc>
          <w:tcPr>
            <w:tcW w:w="1050" w:type="dxa"/>
            <w:gridSpan w:val="2"/>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879" w:type="dxa"/>
            <w:tcBorders>
              <w:top w:val="single" w:sz="4" w:space="0" w:color="000000"/>
            </w:tcBorders>
            <w:shd w:val="clear" w:color="auto" w:fill="DFE1B8"/>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879" w:type="dxa"/>
            <w:tcBorders>
              <w:top w:val="single" w:sz="4" w:space="0" w:color="000000"/>
            </w:tcBorders>
            <w:shd w:val="clear" w:color="auto" w:fill="DFE1B8"/>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c>
          <w:tcPr>
            <w:tcW w:w="1021" w:type="dxa"/>
            <w:tcBorders>
              <w:top w:val="single" w:sz="4" w:space="0" w:color="000000"/>
            </w:tcBorders>
            <w:shd w:val="clear" w:color="auto" w:fill="DFE1B8"/>
          </w:tcPr>
          <w:p>
            <w:pPr>
              <w:pStyle w:val="TableParagraph"/>
              <w:spacing w:before="0"/>
              <w:rPr>
                <w:rFonts w:ascii="Times New Roman"/>
                <w:sz w:val="18"/>
              </w:rPr>
            </w:pPr>
          </w:p>
        </w:tc>
        <w:tc>
          <w:tcPr>
            <w:tcW w:w="1021" w:type="dxa"/>
            <w:gridSpan w:val="2"/>
            <w:tcBorders>
              <w:top w:val="single" w:sz="4" w:space="0" w:color="000000"/>
              <w:bottom w:val="single" w:sz="8" w:space="0" w:color="FFFFFF"/>
            </w:tcBorders>
            <w:shd w:val="clear" w:color="auto" w:fill="FAF9F9"/>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i/>
                <w:sz w:val="18"/>
              </w:rPr>
            </w:pPr>
            <w:r>
              <w:rPr>
                <w:i/>
                <w:color w:val="6F2770"/>
                <w:sz w:val="18"/>
              </w:rPr>
              <w:t>Income</w:t>
            </w:r>
          </w:p>
        </w:tc>
        <w:tc>
          <w:tcPr>
            <w:tcW w:w="879" w:type="dxa"/>
            <w:shd w:val="clear" w:color="auto" w:fill="DFE1B8"/>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879" w:type="dxa"/>
            <w:shd w:val="clear" w:color="auto" w:fill="DFE1B8"/>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879" w:type="dxa"/>
            <w:shd w:val="clear" w:color="auto" w:fill="DFE1B8"/>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50" w:type="dxa"/>
            <w:gridSpan w:val="2"/>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879" w:type="dxa"/>
            <w:shd w:val="clear" w:color="auto" w:fill="DFE1B8"/>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879" w:type="dxa"/>
            <w:shd w:val="clear" w:color="auto" w:fill="DFE1B8"/>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021" w:type="dxa"/>
            <w:shd w:val="clear" w:color="auto" w:fill="DFE1B8"/>
          </w:tcPr>
          <w:p>
            <w:pPr>
              <w:pStyle w:val="TableParagraph"/>
              <w:spacing w:before="0"/>
              <w:rPr>
                <w:rFonts w:ascii="Times New Roman"/>
                <w:sz w:val="18"/>
              </w:rPr>
            </w:pPr>
          </w:p>
        </w:tc>
        <w:tc>
          <w:tcPr>
            <w:tcW w:w="1021" w:type="dxa"/>
            <w:gridSpan w:val="2"/>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User charges and fees</w:t>
            </w:r>
          </w:p>
        </w:tc>
        <w:tc>
          <w:tcPr>
            <w:tcW w:w="879" w:type="dxa"/>
            <w:shd w:val="clear" w:color="auto" w:fill="DFE1B8"/>
          </w:tcPr>
          <w:p>
            <w:pPr>
              <w:pStyle w:val="TableParagraph"/>
              <w:spacing w:before="35"/>
              <w:ind w:right="113"/>
              <w:jc w:val="right"/>
              <w:rPr>
                <w:sz w:val="18"/>
              </w:rPr>
            </w:pPr>
            <w:r>
              <w:rPr>
                <w:w w:val="95"/>
                <w:sz w:val="18"/>
              </w:rPr>
              <w:t>2,663</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2,719</w:t>
            </w:r>
          </w:p>
        </w:tc>
        <w:tc>
          <w:tcPr>
            <w:tcW w:w="879" w:type="dxa"/>
            <w:shd w:val="clear" w:color="auto" w:fill="DFE1B8"/>
          </w:tcPr>
          <w:p>
            <w:pPr>
              <w:pStyle w:val="TableParagraph"/>
              <w:spacing w:before="35"/>
              <w:ind w:right="113"/>
              <w:jc w:val="right"/>
              <w:rPr>
                <w:sz w:val="18"/>
              </w:rPr>
            </w:pPr>
            <w:r>
              <w:rPr>
                <w:w w:val="95"/>
                <w:sz w:val="18"/>
              </w:rPr>
              <w:t>62,770</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68,398</w:t>
            </w:r>
          </w:p>
        </w:tc>
        <w:tc>
          <w:tcPr>
            <w:tcW w:w="879" w:type="dxa"/>
            <w:shd w:val="clear" w:color="auto" w:fill="DFE1B8"/>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111"/>
                <w:sz w:val="18"/>
              </w:rPr>
              <w:t>-</w:t>
            </w:r>
          </w:p>
        </w:tc>
        <w:tc>
          <w:tcPr>
            <w:tcW w:w="1049" w:type="dxa"/>
            <w:shd w:val="clear" w:color="auto" w:fill="DFE1B8"/>
          </w:tcPr>
          <w:p>
            <w:pPr>
              <w:pStyle w:val="TableParagraph"/>
              <w:spacing w:before="35"/>
              <w:ind w:right="114"/>
              <w:jc w:val="right"/>
              <w:rPr>
                <w:sz w:val="18"/>
              </w:rPr>
            </w:pPr>
            <w:r>
              <w:rPr>
                <w:w w:val="95"/>
                <w:sz w:val="18"/>
              </w:rPr>
              <w:t>934,711</w:t>
            </w:r>
          </w:p>
        </w:tc>
        <w:tc>
          <w:tcPr>
            <w:tcW w:w="1050" w:type="dxa"/>
            <w:gridSpan w:val="2"/>
            <w:tcBorders>
              <w:top w:val="single" w:sz="8" w:space="0" w:color="FFFFFF"/>
              <w:bottom w:val="single" w:sz="8" w:space="0" w:color="FFFFFF"/>
            </w:tcBorders>
            <w:shd w:val="clear" w:color="auto" w:fill="FAF9F9"/>
          </w:tcPr>
          <w:p>
            <w:pPr>
              <w:pStyle w:val="TableParagraph"/>
              <w:spacing w:before="35"/>
              <w:ind w:left="294"/>
              <w:rPr>
                <w:sz w:val="18"/>
              </w:rPr>
            </w:pPr>
            <w:r>
              <w:rPr>
                <w:sz w:val="18"/>
              </w:rPr>
              <w:t>986,913</w:t>
            </w:r>
          </w:p>
        </w:tc>
        <w:tc>
          <w:tcPr>
            <w:tcW w:w="879" w:type="dxa"/>
            <w:shd w:val="clear" w:color="auto" w:fill="DFE1B8"/>
          </w:tcPr>
          <w:p>
            <w:pPr>
              <w:pStyle w:val="TableParagraph"/>
              <w:spacing w:before="35"/>
              <w:ind w:right="115"/>
              <w:jc w:val="right"/>
              <w:rPr>
                <w:sz w:val="18"/>
              </w:rPr>
            </w:pPr>
            <w:r>
              <w:rPr>
                <w:w w:val="95"/>
                <w:sz w:val="18"/>
              </w:rPr>
              <w:t>176,838</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879" w:type="dxa"/>
            <w:shd w:val="clear" w:color="auto" w:fill="DFE1B8"/>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1021" w:type="dxa"/>
            <w:shd w:val="clear" w:color="auto" w:fill="DFE1B8"/>
          </w:tcPr>
          <w:p>
            <w:pPr>
              <w:pStyle w:val="TableParagraph"/>
              <w:spacing w:before="35"/>
              <w:ind w:right="117"/>
              <w:jc w:val="right"/>
              <w:rPr>
                <w:sz w:val="18"/>
              </w:rPr>
            </w:pPr>
            <w:r>
              <w:rPr>
                <w:w w:val="95"/>
                <w:sz w:val="18"/>
              </w:rPr>
              <w:t>1,176,982</w:t>
            </w:r>
          </w:p>
        </w:tc>
        <w:tc>
          <w:tcPr>
            <w:tcW w:w="1021" w:type="dxa"/>
            <w:gridSpan w:val="2"/>
            <w:tcBorders>
              <w:top w:val="single" w:sz="8" w:space="0" w:color="FFFFFF"/>
              <w:bottom w:val="single" w:sz="8" w:space="0" w:color="FFFFFF"/>
            </w:tcBorders>
            <w:shd w:val="clear" w:color="auto" w:fill="FAF9F9"/>
          </w:tcPr>
          <w:p>
            <w:pPr>
              <w:pStyle w:val="TableParagraph"/>
              <w:spacing w:before="35"/>
              <w:ind w:left="116"/>
              <w:rPr>
                <w:sz w:val="18"/>
              </w:rPr>
            </w:pPr>
            <w:r>
              <w:rPr>
                <w:sz w:val="18"/>
              </w:rPr>
              <w:t>1,058,030</w:t>
            </w:r>
          </w:p>
        </w:tc>
      </w:tr>
      <w:tr>
        <w:trPr>
          <w:trHeight w:val="494"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Pr>
                <w:sz w:val="18"/>
              </w:rPr>
            </w:pPr>
            <w:r>
              <w:rPr>
                <w:w w:val="95"/>
                <w:sz w:val="18"/>
              </w:rPr>
              <w:t>Commonwealth grants and </w:t>
            </w:r>
            <w:r>
              <w:rPr>
                <w:sz w:val="18"/>
              </w:rPr>
              <w:t>contributions</w:t>
            </w:r>
          </w:p>
        </w:tc>
        <w:tc>
          <w:tcPr>
            <w:tcW w:w="879" w:type="dxa"/>
            <w:shd w:val="clear" w:color="auto" w:fill="DFE1B8"/>
          </w:tcPr>
          <w:p>
            <w:pPr>
              <w:pStyle w:val="TableParagraph"/>
              <w:spacing w:before="35"/>
              <w:ind w:right="114"/>
              <w:jc w:val="right"/>
              <w:rPr>
                <w:sz w:val="18"/>
              </w:rPr>
            </w:pPr>
            <w:r>
              <w:rPr>
                <w:w w:val="95"/>
                <w:sz w:val="18"/>
              </w:rPr>
              <w:t>92</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62</w:t>
            </w:r>
          </w:p>
        </w:tc>
        <w:tc>
          <w:tcPr>
            <w:tcW w:w="879" w:type="dxa"/>
            <w:shd w:val="clear" w:color="auto" w:fill="DFE1B8"/>
          </w:tcPr>
          <w:p>
            <w:pPr>
              <w:pStyle w:val="TableParagraph"/>
              <w:spacing w:before="35"/>
              <w:ind w:right="111"/>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1"/>
              <w:jc w:val="right"/>
              <w:rPr>
                <w:sz w:val="18"/>
              </w:rPr>
            </w:pPr>
            <w:r>
              <w:rPr>
                <w:w w:val="111"/>
                <w:sz w:val="18"/>
              </w:rPr>
              <w:t>-</w:t>
            </w:r>
          </w:p>
        </w:tc>
        <w:tc>
          <w:tcPr>
            <w:tcW w:w="879" w:type="dxa"/>
            <w:shd w:val="clear" w:color="auto" w:fill="DFE1B8"/>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2"/>
              <w:jc w:val="right"/>
              <w:rPr>
                <w:sz w:val="18"/>
              </w:rPr>
            </w:pPr>
            <w:r>
              <w:rPr>
                <w:w w:val="111"/>
                <w:sz w:val="18"/>
              </w:rPr>
              <w:t>-</w:t>
            </w:r>
          </w:p>
        </w:tc>
        <w:tc>
          <w:tcPr>
            <w:tcW w:w="1049" w:type="dxa"/>
            <w:shd w:val="clear" w:color="auto" w:fill="DFE1B8"/>
          </w:tcPr>
          <w:p>
            <w:pPr>
              <w:pStyle w:val="TableParagraph"/>
              <w:spacing w:before="35"/>
              <w:ind w:right="114"/>
              <w:jc w:val="right"/>
              <w:rPr>
                <w:sz w:val="18"/>
              </w:rPr>
            </w:pPr>
            <w:r>
              <w:rPr>
                <w:w w:val="95"/>
                <w:sz w:val="18"/>
              </w:rPr>
              <w:t>6,993</w:t>
            </w:r>
          </w:p>
        </w:tc>
        <w:tc>
          <w:tcPr>
            <w:tcW w:w="1050" w:type="dxa"/>
            <w:gridSpan w:val="2"/>
            <w:tcBorders>
              <w:top w:val="single" w:sz="8" w:space="0" w:color="FFFFFF"/>
              <w:bottom w:val="single" w:sz="8" w:space="0" w:color="FFFFFF"/>
            </w:tcBorders>
            <w:shd w:val="clear" w:color="auto" w:fill="F4F4F4"/>
          </w:tcPr>
          <w:p>
            <w:pPr>
              <w:pStyle w:val="TableParagraph"/>
              <w:spacing w:before="35"/>
              <w:ind w:left="491"/>
              <w:rPr>
                <w:sz w:val="18"/>
              </w:rPr>
            </w:pPr>
            <w:r>
              <w:rPr>
                <w:sz w:val="18"/>
              </w:rPr>
              <w:t>3,430</w:t>
            </w:r>
          </w:p>
        </w:tc>
        <w:tc>
          <w:tcPr>
            <w:tcW w:w="879" w:type="dxa"/>
            <w:shd w:val="clear" w:color="auto" w:fill="DFE1B8"/>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DFE1B8"/>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1021" w:type="dxa"/>
            <w:shd w:val="clear" w:color="auto" w:fill="DFE1B8"/>
          </w:tcPr>
          <w:p>
            <w:pPr>
              <w:pStyle w:val="TableParagraph"/>
              <w:spacing w:before="35"/>
              <w:ind w:right="117"/>
              <w:jc w:val="right"/>
              <w:rPr>
                <w:sz w:val="18"/>
              </w:rPr>
            </w:pPr>
            <w:r>
              <w:rPr>
                <w:w w:val="95"/>
                <w:sz w:val="18"/>
              </w:rPr>
              <w:t>7,085</w:t>
            </w:r>
          </w:p>
        </w:tc>
        <w:tc>
          <w:tcPr>
            <w:tcW w:w="1021" w:type="dxa"/>
            <w:gridSpan w:val="2"/>
            <w:tcBorders>
              <w:top w:val="single" w:sz="8" w:space="0" w:color="FFFFFF"/>
              <w:bottom w:val="single" w:sz="8" w:space="0" w:color="FFFFFF"/>
            </w:tcBorders>
            <w:shd w:val="clear" w:color="auto" w:fill="F4F4F4"/>
          </w:tcPr>
          <w:p>
            <w:pPr>
              <w:pStyle w:val="TableParagraph"/>
              <w:spacing w:before="35"/>
              <w:ind w:left="460"/>
              <w:rPr>
                <w:sz w:val="18"/>
              </w:rPr>
            </w:pPr>
            <w:r>
              <w:rPr>
                <w:sz w:val="18"/>
              </w:rPr>
              <w:t>3,492</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Interest revenue</w:t>
            </w:r>
          </w:p>
        </w:tc>
        <w:tc>
          <w:tcPr>
            <w:tcW w:w="879" w:type="dxa"/>
            <w:shd w:val="clear" w:color="auto" w:fill="DFE1B8"/>
          </w:tcPr>
          <w:p>
            <w:pPr>
              <w:pStyle w:val="TableParagraph"/>
              <w:spacing w:before="35"/>
              <w:ind w:right="111"/>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1"/>
              <w:jc w:val="right"/>
              <w:rPr>
                <w:sz w:val="18"/>
              </w:rPr>
            </w:pPr>
            <w:r>
              <w:rPr>
                <w:w w:val="111"/>
                <w:sz w:val="18"/>
              </w:rPr>
              <w:t>-</w:t>
            </w:r>
          </w:p>
        </w:tc>
        <w:tc>
          <w:tcPr>
            <w:tcW w:w="879" w:type="dxa"/>
            <w:shd w:val="clear" w:color="auto" w:fill="DFE1B8"/>
          </w:tcPr>
          <w:p>
            <w:pPr>
              <w:pStyle w:val="TableParagraph"/>
              <w:spacing w:before="35"/>
              <w:ind w:right="113"/>
              <w:jc w:val="right"/>
              <w:rPr>
                <w:sz w:val="18"/>
              </w:rPr>
            </w:pPr>
            <w:r>
              <w:rPr>
                <w:w w:val="95"/>
                <w:sz w:val="18"/>
              </w:rPr>
              <w:t>298</w:t>
            </w: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473</w:t>
            </w:r>
          </w:p>
        </w:tc>
        <w:tc>
          <w:tcPr>
            <w:tcW w:w="879" w:type="dxa"/>
            <w:shd w:val="clear" w:color="auto" w:fill="DFE1B8"/>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111"/>
                <w:sz w:val="18"/>
              </w:rPr>
              <w:t>-</w:t>
            </w:r>
          </w:p>
        </w:tc>
        <w:tc>
          <w:tcPr>
            <w:tcW w:w="1049" w:type="dxa"/>
            <w:shd w:val="clear" w:color="auto" w:fill="DFE1B8"/>
          </w:tcPr>
          <w:p>
            <w:pPr>
              <w:pStyle w:val="TableParagraph"/>
              <w:spacing w:before="35"/>
              <w:ind w:right="112"/>
              <w:jc w:val="right"/>
              <w:rPr>
                <w:sz w:val="18"/>
              </w:rPr>
            </w:pPr>
            <w:r>
              <w:rPr>
                <w:w w:val="111"/>
                <w:sz w:val="18"/>
              </w:rPr>
              <w:t>-</w:t>
            </w:r>
          </w:p>
        </w:tc>
        <w:tc>
          <w:tcPr>
            <w:tcW w:w="1050" w:type="dxa"/>
            <w:gridSpan w:val="2"/>
            <w:tcBorders>
              <w:top w:val="single" w:sz="8" w:space="0" w:color="FFFFFF"/>
              <w:bottom w:val="single" w:sz="8" w:space="0" w:color="FFFFFF"/>
            </w:tcBorders>
            <w:shd w:val="clear" w:color="auto" w:fill="FAF9F9"/>
          </w:tcPr>
          <w:p>
            <w:pPr>
              <w:pStyle w:val="TableParagraph"/>
              <w:spacing w:before="35"/>
              <w:ind w:right="113"/>
              <w:jc w:val="right"/>
              <w:rPr>
                <w:sz w:val="18"/>
              </w:rPr>
            </w:pPr>
            <w:r>
              <w:rPr>
                <w:w w:val="111"/>
                <w:sz w:val="18"/>
              </w:rPr>
              <w:t>-</w:t>
            </w:r>
          </w:p>
        </w:tc>
        <w:tc>
          <w:tcPr>
            <w:tcW w:w="879" w:type="dxa"/>
            <w:shd w:val="clear" w:color="auto" w:fill="DFE1B8"/>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879" w:type="dxa"/>
            <w:shd w:val="clear" w:color="auto" w:fill="DFE1B8"/>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5"/>
              <w:ind w:right="114"/>
              <w:jc w:val="right"/>
              <w:rPr>
                <w:sz w:val="18"/>
              </w:rPr>
            </w:pPr>
            <w:r>
              <w:rPr>
                <w:w w:val="111"/>
                <w:sz w:val="18"/>
              </w:rPr>
              <w:t>-</w:t>
            </w:r>
          </w:p>
        </w:tc>
        <w:tc>
          <w:tcPr>
            <w:tcW w:w="1021" w:type="dxa"/>
            <w:shd w:val="clear" w:color="auto" w:fill="DFE1B8"/>
          </w:tcPr>
          <w:p>
            <w:pPr>
              <w:pStyle w:val="TableParagraph"/>
              <w:spacing w:before="35"/>
              <w:ind w:right="117"/>
              <w:jc w:val="right"/>
              <w:rPr>
                <w:sz w:val="18"/>
              </w:rPr>
            </w:pPr>
            <w:r>
              <w:rPr>
                <w:w w:val="95"/>
                <w:sz w:val="18"/>
              </w:rPr>
              <w:t>298</w:t>
            </w:r>
          </w:p>
        </w:tc>
        <w:tc>
          <w:tcPr>
            <w:tcW w:w="1021" w:type="dxa"/>
            <w:gridSpan w:val="2"/>
            <w:tcBorders>
              <w:top w:val="single" w:sz="8" w:space="0" w:color="FFFFFF"/>
              <w:bottom w:val="single" w:sz="8" w:space="0" w:color="FFFFFF"/>
            </w:tcBorders>
            <w:shd w:val="clear" w:color="auto" w:fill="FAF9F9"/>
          </w:tcPr>
          <w:p>
            <w:pPr>
              <w:pStyle w:val="TableParagraph"/>
              <w:spacing w:before="35"/>
              <w:ind w:left="606"/>
              <w:rPr>
                <w:sz w:val="18"/>
              </w:rPr>
            </w:pPr>
            <w:r>
              <w:rPr>
                <w:sz w:val="18"/>
              </w:rPr>
              <w:t>473</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sz w:val="18"/>
              </w:rPr>
            </w:pPr>
            <w:r>
              <w:rPr>
                <w:sz w:val="18"/>
              </w:rPr>
              <w:t>Other revenue</w:t>
            </w:r>
          </w:p>
        </w:tc>
        <w:tc>
          <w:tcPr>
            <w:tcW w:w="879" w:type="dxa"/>
            <w:shd w:val="clear" w:color="auto" w:fill="DFE1B8"/>
          </w:tcPr>
          <w:p>
            <w:pPr>
              <w:pStyle w:val="TableParagraph"/>
              <w:spacing w:before="35"/>
              <w:ind w:right="114"/>
              <w:jc w:val="right"/>
              <w:rPr>
                <w:sz w:val="18"/>
              </w:rPr>
            </w:pPr>
            <w:r>
              <w:rPr>
                <w:w w:val="95"/>
                <w:sz w:val="18"/>
              </w:rPr>
              <w:t>277</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210</w:t>
            </w:r>
          </w:p>
        </w:tc>
        <w:tc>
          <w:tcPr>
            <w:tcW w:w="879" w:type="dxa"/>
            <w:shd w:val="clear" w:color="auto" w:fill="DFE1B8"/>
          </w:tcPr>
          <w:p>
            <w:pPr>
              <w:pStyle w:val="TableParagraph"/>
              <w:spacing w:before="35"/>
              <w:ind w:right="113"/>
              <w:jc w:val="right"/>
              <w:rPr>
                <w:sz w:val="18"/>
              </w:rPr>
            </w:pPr>
            <w:r>
              <w:rPr>
                <w:w w:val="95"/>
                <w:sz w:val="18"/>
              </w:rPr>
              <w:t>2,012</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2,257</w:t>
            </w:r>
          </w:p>
        </w:tc>
        <w:tc>
          <w:tcPr>
            <w:tcW w:w="879" w:type="dxa"/>
            <w:shd w:val="clear" w:color="auto" w:fill="DFE1B8"/>
          </w:tcPr>
          <w:p>
            <w:pPr>
              <w:pStyle w:val="TableParagraph"/>
              <w:spacing w:before="35"/>
              <w:ind w:right="113"/>
              <w:jc w:val="right"/>
              <w:rPr>
                <w:sz w:val="18"/>
              </w:rPr>
            </w:pPr>
            <w:r>
              <w:rPr>
                <w:w w:val="95"/>
                <w:sz w:val="18"/>
              </w:rPr>
              <w:t>735</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95"/>
                <w:sz w:val="18"/>
              </w:rPr>
              <w:t>596</w:t>
            </w:r>
          </w:p>
        </w:tc>
        <w:tc>
          <w:tcPr>
            <w:tcW w:w="1049" w:type="dxa"/>
            <w:shd w:val="clear" w:color="auto" w:fill="DFE1B8"/>
          </w:tcPr>
          <w:p>
            <w:pPr>
              <w:pStyle w:val="TableParagraph"/>
              <w:spacing w:before="35"/>
              <w:ind w:right="114"/>
              <w:jc w:val="right"/>
              <w:rPr>
                <w:sz w:val="18"/>
              </w:rPr>
            </w:pPr>
            <w:r>
              <w:rPr>
                <w:w w:val="95"/>
                <w:sz w:val="18"/>
              </w:rPr>
              <w:t>3,499</w:t>
            </w:r>
          </w:p>
        </w:tc>
        <w:tc>
          <w:tcPr>
            <w:tcW w:w="1050" w:type="dxa"/>
            <w:gridSpan w:val="2"/>
            <w:tcBorders>
              <w:top w:val="single" w:sz="8" w:space="0" w:color="FFFFFF"/>
              <w:bottom w:val="single" w:sz="8" w:space="0" w:color="FFFFFF"/>
            </w:tcBorders>
            <w:shd w:val="clear" w:color="auto" w:fill="F4F4F4"/>
          </w:tcPr>
          <w:p>
            <w:pPr>
              <w:pStyle w:val="TableParagraph"/>
              <w:spacing w:before="35"/>
              <w:ind w:left="491"/>
              <w:rPr>
                <w:sz w:val="18"/>
              </w:rPr>
            </w:pPr>
            <w:r>
              <w:rPr>
                <w:sz w:val="18"/>
              </w:rPr>
              <w:t>7,453</w:t>
            </w:r>
          </w:p>
        </w:tc>
        <w:tc>
          <w:tcPr>
            <w:tcW w:w="879" w:type="dxa"/>
            <w:shd w:val="clear" w:color="auto" w:fill="DFE1B8"/>
          </w:tcPr>
          <w:p>
            <w:pPr>
              <w:pStyle w:val="TableParagraph"/>
              <w:spacing w:before="35"/>
              <w:ind w:right="115"/>
              <w:jc w:val="right"/>
              <w:rPr>
                <w:sz w:val="18"/>
              </w:rPr>
            </w:pPr>
            <w:r>
              <w:rPr>
                <w:w w:val="95"/>
                <w:sz w:val="18"/>
              </w:rPr>
              <w:t>43</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111"/>
                <w:sz w:val="18"/>
              </w:rPr>
              <w:t>-</w:t>
            </w:r>
          </w:p>
        </w:tc>
        <w:tc>
          <w:tcPr>
            <w:tcW w:w="879" w:type="dxa"/>
            <w:shd w:val="clear" w:color="auto" w:fill="DFE1B8"/>
          </w:tcPr>
          <w:p>
            <w:pPr>
              <w:pStyle w:val="TableParagraph"/>
              <w:spacing w:before="35"/>
              <w:ind w:right="114"/>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6"/>
              <w:jc w:val="right"/>
              <w:rPr>
                <w:sz w:val="18"/>
              </w:rPr>
            </w:pPr>
            <w:r>
              <w:rPr>
                <w:w w:val="95"/>
                <w:sz w:val="18"/>
              </w:rPr>
              <w:t>100</w:t>
            </w:r>
          </w:p>
        </w:tc>
        <w:tc>
          <w:tcPr>
            <w:tcW w:w="1021" w:type="dxa"/>
            <w:shd w:val="clear" w:color="auto" w:fill="DFE1B8"/>
          </w:tcPr>
          <w:p>
            <w:pPr>
              <w:pStyle w:val="TableParagraph"/>
              <w:spacing w:before="35"/>
              <w:ind w:right="117"/>
              <w:jc w:val="right"/>
              <w:rPr>
                <w:sz w:val="18"/>
              </w:rPr>
            </w:pPr>
            <w:r>
              <w:rPr>
                <w:w w:val="95"/>
                <w:sz w:val="18"/>
              </w:rPr>
              <w:t>6,566</w:t>
            </w:r>
          </w:p>
        </w:tc>
        <w:tc>
          <w:tcPr>
            <w:tcW w:w="1021" w:type="dxa"/>
            <w:gridSpan w:val="2"/>
            <w:tcBorders>
              <w:top w:val="single" w:sz="8" w:space="0" w:color="FFFFFF"/>
              <w:bottom w:val="single" w:sz="8" w:space="0" w:color="FFFFFF"/>
            </w:tcBorders>
            <w:shd w:val="clear" w:color="auto" w:fill="F4F4F4"/>
          </w:tcPr>
          <w:p>
            <w:pPr>
              <w:pStyle w:val="TableParagraph"/>
              <w:spacing w:before="35"/>
              <w:ind w:left="361"/>
              <w:rPr>
                <w:sz w:val="18"/>
              </w:rPr>
            </w:pPr>
            <w:r>
              <w:rPr>
                <w:sz w:val="18"/>
              </w:rPr>
              <w:t>10,615</w:t>
            </w:r>
          </w:p>
        </w:tc>
      </w:tr>
      <w:tr>
        <w:trPr>
          <w:trHeight w:val="494" w:hRule="atLeast"/>
        </w:trPr>
        <w:tc>
          <w:tcPr>
            <w:tcW w:w="2381" w:type="dxa"/>
            <w:tcBorders>
              <w:top w:val="single" w:sz="8" w:space="0" w:color="FFFFFF"/>
              <w:bottom w:val="single" w:sz="8" w:space="0" w:color="FFFFFF"/>
            </w:tcBorders>
            <w:shd w:val="clear" w:color="auto" w:fill="FAF9F9"/>
          </w:tcPr>
          <w:p>
            <w:pPr>
              <w:pStyle w:val="TableParagraph"/>
              <w:spacing w:line="249" w:lineRule="auto" w:before="35"/>
              <w:ind w:left="113" w:right="737"/>
              <w:rPr>
                <w:sz w:val="18"/>
              </w:rPr>
            </w:pPr>
            <w:r>
              <w:rPr>
                <w:sz w:val="18"/>
              </w:rPr>
              <w:t>Gain on disposal </w:t>
            </w:r>
            <w:r>
              <w:rPr>
                <w:spacing w:val="-9"/>
                <w:sz w:val="18"/>
              </w:rPr>
              <w:t>of </w:t>
            </w:r>
            <w:r>
              <w:rPr>
                <w:spacing w:val="-3"/>
                <w:sz w:val="18"/>
              </w:rPr>
              <w:t>non-current </w:t>
            </w:r>
            <w:r>
              <w:rPr>
                <w:spacing w:val="-2"/>
                <w:sz w:val="18"/>
              </w:rPr>
              <w:t>assets</w:t>
            </w:r>
          </w:p>
        </w:tc>
        <w:tc>
          <w:tcPr>
            <w:tcW w:w="879" w:type="dxa"/>
            <w:tcBorders>
              <w:bottom w:val="single" w:sz="4" w:space="0" w:color="000000"/>
            </w:tcBorders>
            <w:shd w:val="clear" w:color="auto" w:fill="DFE1B8"/>
          </w:tcPr>
          <w:p>
            <w:pPr>
              <w:pStyle w:val="TableParagraph"/>
              <w:spacing w:before="35"/>
              <w:ind w:right="111"/>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1"/>
              <w:jc w:val="right"/>
              <w:rPr>
                <w:sz w:val="18"/>
              </w:rPr>
            </w:pPr>
            <w:r>
              <w:rPr>
                <w:w w:val="111"/>
                <w:sz w:val="18"/>
              </w:rPr>
              <w:t>-</w:t>
            </w:r>
          </w:p>
        </w:tc>
        <w:tc>
          <w:tcPr>
            <w:tcW w:w="879" w:type="dxa"/>
            <w:tcBorders>
              <w:bottom w:val="single" w:sz="4" w:space="0" w:color="000000"/>
            </w:tcBorders>
            <w:shd w:val="clear" w:color="auto" w:fill="DFE1B8"/>
          </w:tcPr>
          <w:p>
            <w:pPr>
              <w:pStyle w:val="TableParagraph"/>
              <w:spacing w:before="35"/>
              <w:ind w:right="113"/>
              <w:jc w:val="right"/>
              <w:rPr>
                <w:sz w:val="18"/>
              </w:rPr>
            </w:pPr>
            <w:r>
              <w:rPr>
                <w:w w:val="95"/>
                <w:sz w:val="18"/>
              </w:rPr>
              <w:t>2,179</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95"/>
                <w:sz w:val="18"/>
              </w:rPr>
              <w:t>631</w:t>
            </w:r>
          </w:p>
        </w:tc>
        <w:tc>
          <w:tcPr>
            <w:tcW w:w="879" w:type="dxa"/>
            <w:tcBorders>
              <w:bottom w:val="single" w:sz="4" w:space="0" w:color="000000"/>
            </w:tcBorders>
            <w:shd w:val="clear" w:color="auto" w:fill="DFE1B8"/>
          </w:tcPr>
          <w:p>
            <w:pPr>
              <w:pStyle w:val="TableParagraph"/>
              <w:spacing w:before="35"/>
              <w:ind w:right="112"/>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2"/>
              <w:jc w:val="right"/>
              <w:rPr>
                <w:sz w:val="18"/>
              </w:rPr>
            </w:pPr>
            <w:r>
              <w:rPr>
                <w:w w:val="111"/>
                <w:sz w:val="18"/>
              </w:rPr>
              <w:t>-</w:t>
            </w:r>
          </w:p>
        </w:tc>
        <w:tc>
          <w:tcPr>
            <w:tcW w:w="1049" w:type="dxa"/>
            <w:tcBorders>
              <w:bottom w:val="single" w:sz="4" w:space="0" w:color="000000"/>
            </w:tcBorders>
            <w:shd w:val="clear" w:color="auto" w:fill="DFE1B8"/>
          </w:tcPr>
          <w:p>
            <w:pPr>
              <w:pStyle w:val="TableParagraph"/>
              <w:spacing w:before="35"/>
              <w:ind w:right="112"/>
              <w:jc w:val="right"/>
              <w:rPr>
                <w:sz w:val="18"/>
              </w:rPr>
            </w:pPr>
            <w:r>
              <w:rPr>
                <w:w w:val="111"/>
                <w:sz w:val="18"/>
              </w:rPr>
              <w:t>-</w:t>
            </w:r>
          </w:p>
        </w:tc>
        <w:tc>
          <w:tcPr>
            <w:tcW w:w="1050" w:type="dxa"/>
            <w:gridSpan w:val="2"/>
            <w:tcBorders>
              <w:top w:val="single" w:sz="8" w:space="0" w:color="FFFFFF"/>
              <w:bottom w:val="single" w:sz="4" w:space="0" w:color="000000"/>
            </w:tcBorders>
            <w:shd w:val="clear" w:color="auto" w:fill="FAF9F9"/>
          </w:tcPr>
          <w:p>
            <w:pPr>
              <w:pStyle w:val="TableParagraph"/>
              <w:spacing w:before="35"/>
              <w:ind w:right="113"/>
              <w:jc w:val="right"/>
              <w:rPr>
                <w:sz w:val="18"/>
              </w:rPr>
            </w:pPr>
            <w:r>
              <w:rPr>
                <w:w w:val="111"/>
                <w:sz w:val="18"/>
              </w:rPr>
              <w:t>-</w:t>
            </w:r>
          </w:p>
        </w:tc>
        <w:tc>
          <w:tcPr>
            <w:tcW w:w="879" w:type="dxa"/>
            <w:tcBorders>
              <w:bottom w:val="single" w:sz="4" w:space="0" w:color="000000"/>
            </w:tcBorders>
            <w:shd w:val="clear" w:color="auto" w:fill="DFE1B8"/>
          </w:tcPr>
          <w:p>
            <w:pPr>
              <w:pStyle w:val="TableParagraph"/>
              <w:spacing w:before="35"/>
              <w:ind w:right="113"/>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4"/>
              <w:jc w:val="right"/>
              <w:rPr>
                <w:sz w:val="18"/>
              </w:rPr>
            </w:pPr>
            <w:r>
              <w:rPr>
                <w:w w:val="111"/>
                <w:sz w:val="18"/>
              </w:rPr>
              <w:t>-</w:t>
            </w:r>
          </w:p>
        </w:tc>
        <w:tc>
          <w:tcPr>
            <w:tcW w:w="879" w:type="dxa"/>
            <w:tcBorders>
              <w:bottom w:val="single" w:sz="4" w:space="0" w:color="000000"/>
            </w:tcBorders>
            <w:shd w:val="clear" w:color="auto" w:fill="DFE1B8"/>
          </w:tcPr>
          <w:p>
            <w:pPr>
              <w:pStyle w:val="TableParagraph"/>
              <w:spacing w:before="35"/>
              <w:ind w:right="114"/>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4"/>
              <w:jc w:val="right"/>
              <w:rPr>
                <w:sz w:val="18"/>
              </w:rPr>
            </w:pPr>
            <w:r>
              <w:rPr>
                <w:w w:val="111"/>
                <w:sz w:val="18"/>
              </w:rPr>
              <w:t>-</w:t>
            </w:r>
          </w:p>
        </w:tc>
        <w:tc>
          <w:tcPr>
            <w:tcW w:w="1021" w:type="dxa"/>
            <w:tcBorders>
              <w:bottom w:val="single" w:sz="4" w:space="0" w:color="000000"/>
            </w:tcBorders>
            <w:shd w:val="clear" w:color="auto" w:fill="DFE1B8"/>
          </w:tcPr>
          <w:p>
            <w:pPr>
              <w:pStyle w:val="TableParagraph"/>
              <w:spacing w:before="35"/>
              <w:ind w:right="117"/>
              <w:jc w:val="right"/>
              <w:rPr>
                <w:sz w:val="18"/>
              </w:rPr>
            </w:pPr>
            <w:r>
              <w:rPr>
                <w:w w:val="95"/>
                <w:sz w:val="18"/>
              </w:rPr>
              <w:t>2,179</w:t>
            </w:r>
          </w:p>
        </w:tc>
        <w:tc>
          <w:tcPr>
            <w:tcW w:w="1021" w:type="dxa"/>
            <w:gridSpan w:val="2"/>
            <w:tcBorders>
              <w:top w:val="single" w:sz="8" w:space="0" w:color="FFFFFF"/>
              <w:bottom w:val="single" w:sz="4" w:space="0" w:color="000000"/>
            </w:tcBorders>
            <w:shd w:val="clear" w:color="auto" w:fill="FAF9F9"/>
          </w:tcPr>
          <w:p>
            <w:pPr>
              <w:pStyle w:val="TableParagraph"/>
              <w:spacing w:before="35"/>
              <w:ind w:left="606"/>
              <w:rPr>
                <w:sz w:val="18"/>
              </w:rPr>
            </w:pPr>
            <w:r>
              <w:rPr>
                <w:sz w:val="18"/>
              </w:rPr>
              <w:t>631</w:t>
            </w:r>
          </w:p>
        </w:tc>
      </w:tr>
      <w:tr>
        <w:trPr>
          <w:trHeight w:val="710"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ight="291"/>
              <w:rPr>
                <w:b/>
                <w:sz w:val="18"/>
              </w:rPr>
            </w:pPr>
            <w:r>
              <w:rPr>
                <w:b/>
                <w:spacing w:val="-6"/>
                <w:sz w:val="18"/>
              </w:rPr>
              <w:t>Total </w:t>
            </w:r>
            <w:r>
              <w:rPr>
                <w:b/>
                <w:sz w:val="18"/>
              </w:rPr>
              <w:t>income other than income </w:t>
            </w:r>
            <w:r>
              <w:rPr>
                <w:b/>
                <w:spacing w:val="-3"/>
                <w:sz w:val="18"/>
              </w:rPr>
              <w:t>from </w:t>
            </w:r>
            <w:r>
              <w:rPr>
                <w:b/>
                <w:spacing w:val="-5"/>
                <w:sz w:val="18"/>
              </w:rPr>
              <w:t>State </w:t>
            </w:r>
            <w:r>
              <w:rPr>
                <w:b/>
                <w:sz w:val="18"/>
              </w:rPr>
              <w:t>Government</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3,032</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2,991</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95"/>
                <w:sz w:val="18"/>
              </w:rPr>
              <w:t>67,259</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71,759</w:t>
            </w:r>
          </w:p>
        </w:tc>
        <w:tc>
          <w:tcPr>
            <w:tcW w:w="879" w:type="dxa"/>
            <w:tcBorders>
              <w:top w:val="single" w:sz="4" w:space="0" w:color="000000"/>
              <w:bottom w:val="single" w:sz="4" w:space="0" w:color="000000"/>
            </w:tcBorders>
            <w:shd w:val="clear" w:color="auto" w:fill="DFE1B8"/>
          </w:tcPr>
          <w:p>
            <w:pPr>
              <w:pStyle w:val="TableParagraph"/>
              <w:spacing w:before="35"/>
              <w:ind w:right="115"/>
              <w:jc w:val="right"/>
              <w:rPr>
                <w:b/>
                <w:sz w:val="18"/>
              </w:rPr>
            </w:pPr>
            <w:r>
              <w:rPr>
                <w:b/>
                <w:w w:val="95"/>
                <w:sz w:val="18"/>
              </w:rPr>
              <w:t>735</w:t>
            </w:r>
          </w:p>
        </w:tc>
        <w:tc>
          <w:tcPr>
            <w:tcW w:w="879" w:type="dxa"/>
            <w:tcBorders>
              <w:top w:val="single" w:sz="4" w:space="0" w:color="000000"/>
              <w:bottom w:val="single" w:sz="4" w:space="0" w:color="000000"/>
            </w:tcBorders>
            <w:shd w:val="clear" w:color="auto" w:fill="F4F4F4"/>
          </w:tcPr>
          <w:p>
            <w:pPr>
              <w:pStyle w:val="TableParagraph"/>
              <w:spacing w:before="35"/>
              <w:ind w:right="114"/>
              <w:jc w:val="right"/>
              <w:rPr>
                <w:b/>
                <w:sz w:val="18"/>
              </w:rPr>
            </w:pPr>
            <w:r>
              <w:rPr>
                <w:b/>
                <w:w w:val="95"/>
                <w:sz w:val="18"/>
              </w:rPr>
              <w:t>596</w:t>
            </w:r>
          </w:p>
        </w:tc>
        <w:tc>
          <w:tcPr>
            <w:tcW w:w="104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945,203</w:t>
            </w:r>
          </w:p>
        </w:tc>
        <w:tc>
          <w:tcPr>
            <w:tcW w:w="1050" w:type="dxa"/>
            <w:gridSpan w:val="2"/>
            <w:tcBorders>
              <w:top w:val="single" w:sz="4" w:space="0" w:color="000000"/>
              <w:bottom w:val="single" w:sz="4" w:space="0" w:color="000000"/>
            </w:tcBorders>
            <w:shd w:val="clear" w:color="auto" w:fill="F4F4F4"/>
          </w:tcPr>
          <w:p>
            <w:pPr>
              <w:pStyle w:val="TableParagraph"/>
              <w:spacing w:before="35"/>
              <w:ind w:left="294"/>
              <w:rPr>
                <w:b/>
                <w:sz w:val="18"/>
              </w:rPr>
            </w:pPr>
            <w:r>
              <w:rPr>
                <w:b/>
                <w:sz w:val="18"/>
              </w:rPr>
              <w:t>997,796</w:t>
            </w:r>
          </w:p>
        </w:tc>
        <w:tc>
          <w:tcPr>
            <w:tcW w:w="879" w:type="dxa"/>
            <w:tcBorders>
              <w:top w:val="single" w:sz="4" w:space="0" w:color="000000"/>
              <w:bottom w:val="single" w:sz="4" w:space="0" w:color="000000"/>
            </w:tcBorders>
            <w:shd w:val="clear" w:color="auto" w:fill="DFE1B8"/>
          </w:tcPr>
          <w:p>
            <w:pPr>
              <w:pStyle w:val="TableParagraph"/>
              <w:spacing w:before="35"/>
              <w:ind w:right="115"/>
              <w:jc w:val="right"/>
              <w:rPr>
                <w:b/>
                <w:sz w:val="18"/>
              </w:rPr>
            </w:pPr>
            <w:r>
              <w:rPr>
                <w:b/>
                <w:w w:val="95"/>
                <w:sz w:val="18"/>
              </w:rPr>
              <w:t>176,881</w:t>
            </w:r>
          </w:p>
        </w:tc>
        <w:tc>
          <w:tcPr>
            <w:tcW w:w="879" w:type="dxa"/>
            <w:tcBorders>
              <w:top w:val="single" w:sz="4" w:space="0" w:color="000000"/>
              <w:bottom w:val="single" w:sz="4" w:space="0" w:color="000000"/>
            </w:tcBorders>
            <w:shd w:val="clear" w:color="auto" w:fill="F4F4F4"/>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F4F4F4"/>
          </w:tcPr>
          <w:p>
            <w:pPr>
              <w:pStyle w:val="TableParagraph"/>
              <w:spacing w:before="35"/>
              <w:ind w:right="116"/>
              <w:jc w:val="right"/>
              <w:rPr>
                <w:b/>
                <w:sz w:val="18"/>
              </w:rPr>
            </w:pPr>
            <w:r>
              <w:rPr>
                <w:b/>
                <w:w w:val="95"/>
                <w:sz w:val="18"/>
              </w:rPr>
              <w:t>100</w:t>
            </w:r>
          </w:p>
        </w:tc>
        <w:tc>
          <w:tcPr>
            <w:tcW w:w="1021" w:type="dxa"/>
            <w:tcBorders>
              <w:top w:val="single" w:sz="4" w:space="0" w:color="000000"/>
              <w:bottom w:val="single" w:sz="4" w:space="0" w:color="000000"/>
            </w:tcBorders>
            <w:shd w:val="clear" w:color="auto" w:fill="DFE1B8"/>
          </w:tcPr>
          <w:p>
            <w:pPr>
              <w:pStyle w:val="TableParagraph"/>
              <w:spacing w:before="35"/>
              <w:ind w:right="117"/>
              <w:jc w:val="right"/>
              <w:rPr>
                <w:b/>
                <w:sz w:val="18"/>
              </w:rPr>
            </w:pPr>
            <w:r>
              <w:rPr>
                <w:b/>
                <w:w w:val="95"/>
                <w:sz w:val="18"/>
              </w:rPr>
              <w:t>1,193,110</w:t>
            </w:r>
          </w:p>
        </w:tc>
        <w:tc>
          <w:tcPr>
            <w:tcW w:w="1021" w:type="dxa"/>
            <w:gridSpan w:val="2"/>
            <w:tcBorders>
              <w:top w:val="single" w:sz="4" w:space="0" w:color="000000"/>
              <w:bottom w:val="single" w:sz="4" w:space="0" w:color="000000"/>
            </w:tcBorders>
            <w:shd w:val="clear" w:color="auto" w:fill="F4F4F4"/>
          </w:tcPr>
          <w:p>
            <w:pPr>
              <w:pStyle w:val="TableParagraph"/>
              <w:spacing w:before="35"/>
              <w:ind w:left="116"/>
              <w:rPr>
                <w:b/>
                <w:sz w:val="18"/>
              </w:rPr>
            </w:pPr>
            <w:r>
              <w:rPr>
                <w:b/>
                <w:sz w:val="18"/>
              </w:rPr>
              <w:t>1,073,241</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b/>
                <w:sz w:val="18"/>
              </w:rPr>
            </w:pPr>
            <w:r>
              <w:rPr>
                <w:b/>
                <w:sz w:val="18"/>
              </w:rPr>
              <w:t>NET COST OF SERVICES</w:t>
            </w:r>
          </w:p>
        </w:tc>
        <w:tc>
          <w:tcPr>
            <w:tcW w:w="87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95"/>
                <w:sz w:val="18"/>
              </w:rPr>
              <w:t>(59,253)</w:t>
            </w:r>
          </w:p>
        </w:tc>
        <w:tc>
          <w:tcPr>
            <w:tcW w:w="879" w:type="dxa"/>
            <w:tcBorders>
              <w:top w:val="single" w:sz="4" w:space="0" w:color="000000"/>
              <w:bottom w:val="single" w:sz="4" w:space="0" w:color="000000"/>
            </w:tcBorders>
            <w:shd w:val="clear" w:color="auto" w:fill="FAF9F9"/>
          </w:tcPr>
          <w:p>
            <w:pPr>
              <w:pStyle w:val="TableParagraph"/>
              <w:spacing w:before="35"/>
              <w:ind w:right="113"/>
              <w:jc w:val="right"/>
              <w:rPr>
                <w:b/>
                <w:sz w:val="18"/>
              </w:rPr>
            </w:pPr>
            <w:r>
              <w:rPr>
                <w:b/>
                <w:w w:val="95"/>
                <w:sz w:val="18"/>
              </w:rPr>
              <w:t>(53,994)</w:t>
            </w:r>
          </w:p>
        </w:tc>
        <w:tc>
          <w:tcPr>
            <w:tcW w:w="879" w:type="dxa"/>
            <w:tcBorders>
              <w:top w:val="single" w:sz="4" w:space="0" w:color="000000"/>
              <w:bottom w:val="single" w:sz="4" w:space="0" w:color="000000"/>
            </w:tcBorders>
            <w:shd w:val="clear" w:color="auto" w:fill="E1E4BB"/>
          </w:tcPr>
          <w:p>
            <w:pPr>
              <w:pStyle w:val="TableParagraph"/>
              <w:spacing w:before="35"/>
              <w:ind w:right="113"/>
              <w:jc w:val="right"/>
              <w:rPr>
                <w:b/>
                <w:sz w:val="18"/>
              </w:rPr>
            </w:pPr>
            <w:r>
              <w:rPr>
                <w:b/>
                <w:w w:val="95"/>
                <w:sz w:val="18"/>
              </w:rPr>
              <w:t>(8,823)</w:t>
            </w:r>
          </w:p>
        </w:tc>
        <w:tc>
          <w:tcPr>
            <w:tcW w:w="879" w:type="dxa"/>
            <w:tcBorders>
              <w:top w:val="single" w:sz="4" w:space="0" w:color="000000"/>
              <w:bottom w:val="single" w:sz="4" w:space="0" w:color="000000"/>
            </w:tcBorders>
            <w:shd w:val="clear" w:color="auto" w:fill="FAF9F9"/>
          </w:tcPr>
          <w:p>
            <w:pPr>
              <w:pStyle w:val="TableParagraph"/>
              <w:spacing w:before="35"/>
              <w:ind w:right="113"/>
              <w:jc w:val="right"/>
              <w:rPr>
                <w:b/>
                <w:sz w:val="18"/>
              </w:rPr>
            </w:pPr>
            <w:r>
              <w:rPr>
                <w:b/>
                <w:w w:val="95"/>
                <w:sz w:val="18"/>
              </w:rPr>
              <w:t>(6,235)</w:t>
            </w:r>
          </w:p>
        </w:tc>
        <w:tc>
          <w:tcPr>
            <w:tcW w:w="879" w:type="dxa"/>
            <w:tcBorders>
              <w:top w:val="single" w:sz="4" w:space="0" w:color="000000"/>
              <w:bottom w:val="single" w:sz="4" w:space="0" w:color="000000"/>
            </w:tcBorders>
            <w:shd w:val="clear" w:color="auto" w:fill="E1E4BB"/>
          </w:tcPr>
          <w:p>
            <w:pPr>
              <w:pStyle w:val="TableParagraph"/>
              <w:spacing w:before="35"/>
              <w:ind w:right="113"/>
              <w:jc w:val="right"/>
              <w:rPr>
                <w:b/>
                <w:sz w:val="18"/>
              </w:rPr>
            </w:pPr>
            <w:r>
              <w:rPr>
                <w:b/>
                <w:w w:val="95"/>
                <w:sz w:val="18"/>
              </w:rPr>
              <w:t>(5,832)</w:t>
            </w:r>
          </w:p>
        </w:tc>
        <w:tc>
          <w:tcPr>
            <w:tcW w:w="879" w:type="dxa"/>
            <w:tcBorders>
              <w:top w:val="single" w:sz="4" w:space="0" w:color="000000"/>
              <w:bottom w:val="single" w:sz="4" w:space="0" w:color="000000"/>
            </w:tcBorders>
            <w:shd w:val="clear" w:color="auto" w:fill="FAF9F9"/>
          </w:tcPr>
          <w:p>
            <w:pPr>
              <w:pStyle w:val="TableParagraph"/>
              <w:spacing w:before="35"/>
              <w:ind w:right="114"/>
              <w:jc w:val="right"/>
              <w:rPr>
                <w:b/>
                <w:sz w:val="18"/>
              </w:rPr>
            </w:pPr>
            <w:r>
              <w:rPr>
                <w:b/>
                <w:w w:val="95"/>
                <w:sz w:val="18"/>
              </w:rPr>
              <w:t>(6,758)</w:t>
            </w:r>
          </w:p>
        </w:tc>
        <w:tc>
          <w:tcPr>
            <w:tcW w:w="104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95"/>
                <w:sz w:val="18"/>
              </w:rPr>
              <w:t>(105,855)</w:t>
            </w:r>
          </w:p>
        </w:tc>
        <w:tc>
          <w:tcPr>
            <w:tcW w:w="1050" w:type="dxa"/>
            <w:gridSpan w:val="2"/>
            <w:tcBorders>
              <w:top w:val="single" w:sz="4" w:space="0" w:color="000000"/>
              <w:bottom w:val="single" w:sz="4" w:space="0" w:color="000000"/>
            </w:tcBorders>
            <w:shd w:val="clear" w:color="auto" w:fill="FAF9F9"/>
          </w:tcPr>
          <w:p>
            <w:pPr>
              <w:pStyle w:val="TableParagraph"/>
              <w:spacing w:before="35"/>
              <w:ind w:left="289"/>
              <w:rPr>
                <w:b/>
                <w:sz w:val="18"/>
              </w:rPr>
            </w:pPr>
            <w:r>
              <w:rPr>
                <w:b/>
                <w:sz w:val="18"/>
              </w:rPr>
              <w:t>(86,845)</w:t>
            </w:r>
          </w:p>
        </w:tc>
        <w:tc>
          <w:tcPr>
            <w:tcW w:w="879" w:type="dxa"/>
            <w:tcBorders>
              <w:top w:val="single" w:sz="4" w:space="0" w:color="000000"/>
              <w:bottom w:val="single" w:sz="4" w:space="0" w:color="000000"/>
            </w:tcBorders>
            <w:shd w:val="clear" w:color="auto" w:fill="E1E4BB"/>
          </w:tcPr>
          <w:p>
            <w:pPr>
              <w:pStyle w:val="TableParagraph"/>
              <w:spacing w:before="35"/>
              <w:ind w:right="115"/>
              <w:jc w:val="right"/>
              <w:rPr>
                <w:b/>
                <w:sz w:val="18"/>
              </w:rPr>
            </w:pPr>
            <w:r>
              <w:rPr>
                <w:b/>
                <w:w w:val="95"/>
                <w:sz w:val="18"/>
              </w:rPr>
              <w:t>(4,959)</w:t>
            </w:r>
          </w:p>
        </w:tc>
        <w:tc>
          <w:tcPr>
            <w:tcW w:w="879" w:type="dxa"/>
            <w:tcBorders>
              <w:top w:val="single" w:sz="4" w:space="0" w:color="000000"/>
              <w:bottom w:val="single" w:sz="4" w:space="0" w:color="000000"/>
            </w:tcBorders>
            <w:shd w:val="clear" w:color="auto" w:fill="FAF9F9"/>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122"/>
                <w:sz w:val="18"/>
              </w:rPr>
              <w:t>-</w:t>
            </w:r>
          </w:p>
        </w:tc>
        <w:tc>
          <w:tcPr>
            <w:tcW w:w="879" w:type="dxa"/>
            <w:tcBorders>
              <w:top w:val="single" w:sz="4" w:space="0" w:color="000000"/>
              <w:bottom w:val="single" w:sz="4" w:space="0" w:color="000000"/>
            </w:tcBorders>
            <w:shd w:val="clear" w:color="auto" w:fill="FAF9F9"/>
          </w:tcPr>
          <w:p>
            <w:pPr>
              <w:pStyle w:val="TableParagraph"/>
              <w:spacing w:before="35"/>
              <w:ind w:right="116"/>
              <w:jc w:val="right"/>
              <w:rPr>
                <w:b/>
                <w:sz w:val="18"/>
              </w:rPr>
            </w:pPr>
            <w:r>
              <w:rPr>
                <w:b/>
                <w:w w:val="95"/>
                <w:sz w:val="18"/>
              </w:rPr>
              <w:t>(15,904)</w:t>
            </w:r>
          </w:p>
        </w:tc>
        <w:tc>
          <w:tcPr>
            <w:tcW w:w="1021" w:type="dxa"/>
            <w:tcBorders>
              <w:top w:val="single" w:sz="4" w:space="0" w:color="000000"/>
              <w:bottom w:val="single" w:sz="4" w:space="0" w:color="000000"/>
            </w:tcBorders>
            <w:shd w:val="clear" w:color="auto" w:fill="E1E4BB"/>
          </w:tcPr>
          <w:p>
            <w:pPr>
              <w:pStyle w:val="TableParagraph"/>
              <w:spacing w:before="35"/>
              <w:ind w:right="117"/>
              <w:jc w:val="right"/>
              <w:rPr>
                <w:b/>
                <w:sz w:val="18"/>
              </w:rPr>
            </w:pPr>
            <w:r>
              <w:rPr>
                <w:b/>
                <w:w w:val="95"/>
                <w:sz w:val="18"/>
              </w:rPr>
              <w:t>(184,722)</w:t>
            </w:r>
          </w:p>
        </w:tc>
        <w:tc>
          <w:tcPr>
            <w:tcW w:w="1021" w:type="dxa"/>
            <w:gridSpan w:val="2"/>
            <w:tcBorders>
              <w:top w:val="single" w:sz="4" w:space="0" w:color="000000"/>
              <w:bottom w:val="single" w:sz="4" w:space="0" w:color="000000"/>
            </w:tcBorders>
            <w:shd w:val="clear" w:color="auto" w:fill="FAF9F9"/>
          </w:tcPr>
          <w:p>
            <w:pPr>
              <w:pStyle w:val="TableParagraph"/>
              <w:spacing w:before="35"/>
              <w:ind w:left="160"/>
              <w:rPr>
                <w:b/>
                <w:sz w:val="18"/>
              </w:rPr>
            </w:pPr>
            <w:r>
              <w:rPr>
                <w:b/>
                <w:sz w:val="18"/>
              </w:rPr>
              <w:t>(169,737)</w:t>
            </w:r>
          </w:p>
        </w:tc>
      </w:tr>
    </w:tbl>
    <w:p>
      <w:pPr>
        <w:spacing w:after="0"/>
        <w:rPr>
          <w:sz w:val="18"/>
        </w:rPr>
        <w:sectPr>
          <w:footerReference w:type="default" r:id="rId134"/>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shape style="position:absolute;margin-left:601.348999pt;margin-top:-67.721718pt;width:120.3pt;height:42.55pt;mso-position-horizontal-relative:page;mso-position-vertical-relative:paragraph;z-index:1124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721718pt;width:120.3pt;height:42.55pt;mso-position-horizontal-relative:page;mso-position-vertical-relative:paragraph;z-index:11272"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721718pt;width:120.3pt;height:42.55pt;mso-position-horizontal-relative:page;mso-position-vertical-relative:paragraph;z-index:1129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Schedule of Income and Expenses by</w:t>
      </w:r>
      <w:r>
        <w:rPr>
          <w:color w:val="6F2770"/>
          <w:spacing w:val="-89"/>
        </w:rPr>
        <w:t> </w:t>
      </w:r>
      <w:r>
        <w:rPr>
          <w:color w:val="6F2770"/>
        </w:rPr>
        <w:t>Service</w:t>
      </w:r>
    </w:p>
    <w:p>
      <w:pPr>
        <w:pStyle w:val="Heading4"/>
        <w:spacing w:before="28"/>
      </w:pPr>
      <w:r>
        <w:rPr>
          <w:color w:val="6F2770"/>
        </w:rPr>
        <w:t>For the year ended 30 June 2018</w:t>
      </w:r>
    </w:p>
    <w:p>
      <w:pPr>
        <w:pStyle w:val="BodyText"/>
        <w:spacing w:before="4"/>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879"/>
        <w:gridCol w:w="879"/>
        <w:gridCol w:w="879"/>
        <w:gridCol w:w="879"/>
        <w:gridCol w:w="879"/>
        <w:gridCol w:w="879"/>
        <w:gridCol w:w="1049"/>
        <w:gridCol w:w="464"/>
        <w:gridCol w:w="585"/>
        <w:gridCol w:w="879"/>
        <w:gridCol w:w="879"/>
        <w:gridCol w:w="879"/>
        <w:gridCol w:w="879"/>
        <w:gridCol w:w="1021"/>
        <w:gridCol w:w="285"/>
        <w:gridCol w:w="736"/>
      </w:tblGrid>
      <w:tr>
        <w:trPr>
          <w:trHeight w:val="299" w:hRule="atLeast"/>
        </w:trPr>
        <w:tc>
          <w:tcPr>
            <w:tcW w:w="2381" w:type="dxa"/>
            <w:vMerge w:val="restart"/>
            <w:shd w:val="clear" w:color="auto" w:fill="783A79"/>
          </w:tcPr>
          <w:p>
            <w:pPr>
              <w:pStyle w:val="TableParagraph"/>
              <w:spacing w:before="0"/>
              <w:rPr>
                <w:rFonts w:ascii="Times New Roman"/>
                <w:sz w:val="18"/>
              </w:rPr>
            </w:pPr>
          </w:p>
        </w:tc>
        <w:tc>
          <w:tcPr>
            <w:tcW w:w="1758" w:type="dxa"/>
            <w:gridSpan w:val="2"/>
            <w:shd w:val="clear" w:color="auto" w:fill="783A79"/>
          </w:tcPr>
          <w:p>
            <w:pPr>
              <w:pStyle w:val="TableParagraph"/>
              <w:spacing w:before="49"/>
              <w:ind w:left="492"/>
              <w:rPr>
                <w:b/>
                <w:sz w:val="18"/>
              </w:rPr>
            </w:pPr>
            <w:r>
              <w:rPr>
                <w:b/>
                <w:color w:val="FFFFFF"/>
                <w:sz w:val="18"/>
              </w:rPr>
              <w:t>Service 1</w:t>
            </w:r>
          </w:p>
        </w:tc>
        <w:tc>
          <w:tcPr>
            <w:tcW w:w="1758" w:type="dxa"/>
            <w:gridSpan w:val="2"/>
            <w:shd w:val="clear" w:color="auto" w:fill="783A79"/>
          </w:tcPr>
          <w:p>
            <w:pPr>
              <w:pStyle w:val="TableParagraph"/>
              <w:spacing w:before="49"/>
              <w:ind w:left="492"/>
              <w:rPr>
                <w:b/>
                <w:sz w:val="18"/>
              </w:rPr>
            </w:pPr>
            <w:r>
              <w:rPr>
                <w:b/>
                <w:color w:val="FFFFFF"/>
                <w:sz w:val="18"/>
              </w:rPr>
              <w:t>Service 2</w:t>
            </w:r>
          </w:p>
        </w:tc>
        <w:tc>
          <w:tcPr>
            <w:tcW w:w="1758" w:type="dxa"/>
            <w:gridSpan w:val="2"/>
            <w:shd w:val="clear" w:color="auto" w:fill="783A79"/>
          </w:tcPr>
          <w:p>
            <w:pPr>
              <w:pStyle w:val="TableParagraph"/>
              <w:spacing w:before="49"/>
              <w:ind w:left="491"/>
              <w:rPr>
                <w:b/>
                <w:sz w:val="18"/>
              </w:rPr>
            </w:pPr>
            <w:r>
              <w:rPr>
                <w:b/>
                <w:color w:val="FFFFFF"/>
                <w:sz w:val="18"/>
              </w:rPr>
              <w:t>Service 3</w:t>
            </w:r>
          </w:p>
        </w:tc>
        <w:tc>
          <w:tcPr>
            <w:tcW w:w="1513" w:type="dxa"/>
            <w:gridSpan w:val="2"/>
            <w:shd w:val="clear" w:color="auto" w:fill="783A79"/>
          </w:tcPr>
          <w:p>
            <w:pPr>
              <w:pStyle w:val="TableParagraph"/>
              <w:spacing w:before="49"/>
              <w:ind w:left="661"/>
              <w:rPr>
                <w:b/>
                <w:sz w:val="18"/>
              </w:rPr>
            </w:pPr>
            <w:r>
              <w:rPr>
                <w:b/>
                <w:color w:val="FFFFFF"/>
                <w:sz w:val="18"/>
              </w:rPr>
              <w:t>Service 4</w:t>
            </w:r>
          </w:p>
        </w:tc>
        <w:tc>
          <w:tcPr>
            <w:tcW w:w="585" w:type="dxa"/>
            <w:shd w:val="clear" w:color="auto" w:fill="783A79"/>
          </w:tcPr>
          <w:p>
            <w:pPr>
              <w:pStyle w:val="TableParagraph"/>
              <w:spacing w:before="0"/>
              <w:rPr>
                <w:rFonts w:ascii="Times New Roman"/>
                <w:sz w:val="18"/>
              </w:rPr>
            </w:pPr>
          </w:p>
        </w:tc>
        <w:tc>
          <w:tcPr>
            <w:tcW w:w="1758" w:type="dxa"/>
            <w:gridSpan w:val="2"/>
            <w:shd w:val="clear" w:color="auto" w:fill="783A79"/>
          </w:tcPr>
          <w:p>
            <w:pPr>
              <w:pStyle w:val="TableParagraph"/>
              <w:spacing w:before="49"/>
              <w:ind w:left="490"/>
              <w:rPr>
                <w:b/>
                <w:sz w:val="18"/>
              </w:rPr>
            </w:pPr>
            <w:r>
              <w:rPr>
                <w:b/>
                <w:color w:val="FFFFFF"/>
                <w:sz w:val="18"/>
              </w:rPr>
              <w:t>Service 5</w:t>
            </w:r>
          </w:p>
        </w:tc>
        <w:tc>
          <w:tcPr>
            <w:tcW w:w="1758" w:type="dxa"/>
            <w:gridSpan w:val="2"/>
            <w:shd w:val="clear" w:color="auto" w:fill="783A79"/>
          </w:tcPr>
          <w:p>
            <w:pPr>
              <w:pStyle w:val="TableParagraph"/>
              <w:spacing w:before="49"/>
              <w:ind w:left="490"/>
              <w:rPr>
                <w:b/>
                <w:sz w:val="18"/>
              </w:rPr>
            </w:pPr>
            <w:r>
              <w:rPr>
                <w:b/>
                <w:color w:val="FFFFFF"/>
                <w:sz w:val="18"/>
              </w:rPr>
              <w:t>Service 6</w:t>
            </w:r>
          </w:p>
        </w:tc>
        <w:tc>
          <w:tcPr>
            <w:tcW w:w="1306" w:type="dxa"/>
            <w:gridSpan w:val="2"/>
            <w:shd w:val="clear" w:color="auto" w:fill="783A79"/>
          </w:tcPr>
          <w:p>
            <w:pPr>
              <w:pStyle w:val="TableParagraph"/>
              <w:spacing w:before="49"/>
              <w:ind w:left="814"/>
              <w:rPr>
                <w:b/>
                <w:sz w:val="18"/>
              </w:rPr>
            </w:pPr>
            <w:r>
              <w:rPr>
                <w:b/>
                <w:color w:val="FFFFFF"/>
                <w:sz w:val="18"/>
              </w:rPr>
              <w:t>Total</w:t>
            </w:r>
          </w:p>
        </w:tc>
        <w:tc>
          <w:tcPr>
            <w:tcW w:w="736" w:type="dxa"/>
            <w:shd w:val="clear" w:color="auto" w:fill="783A79"/>
          </w:tcPr>
          <w:p>
            <w:pPr>
              <w:pStyle w:val="TableParagraph"/>
              <w:spacing w:before="0"/>
              <w:rPr>
                <w:rFonts w:ascii="Times New Roman"/>
                <w:sz w:val="18"/>
              </w:rPr>
            </w:pPr>
          </w:p>
        </w:tc>
      </w:tr>
      <w:tr>
        <w:trPr>
          <w:trHeight w:val="257" w:hRule="atLeast"/>
        </w:trPr>
        <w:tc>
          <w:tcPr>
            <w:tcW w:w="2381" w:type="dxa"/>
            <w:vMerge/>
            <w:tcBorders>
              <w:top w:val="nil"/>
            </w:tcBorders>
            <w:shd w:val="clear" w:color="auto" w:fill="783A79"/>
          </w:tcPr>
          <w:p>
            <w:pPr>
              <w:rPr>
                <w:sz w:val="2"/>
                <w:szCs w:val="2"/>
              </w:rPr>
            </w:pPr>
          </w:p>
        </w:tc>
        <w:tc>
          <w:tcPr>
            <w:tcW w:w="1758" w:type="dxa"/>
            <w:gridSpan w:val="2"/>
            <w:shd w:val="clear" w:color="auto" w:fill="783A79"/>
          </w:tcPr>
          <w:p>
            <w:pPr>
              <w:pStyle w:val="TableParagraph"/>
              <w:tabs>
                <w:tab w:pos="1249" w:val="left" w:leader="none"/>
              </w:tabs>
              <w:spacing w:line="189" w:lineRule="exact" w:before="48"/>
              <w:ind w:left="370"/>
              <w:rPr>
                <w:b/>
                <w:sz w:val="18"/>
              </w:rPr>
            </w:pPr>
            <w:r>
              <w:rPr>
                <w:b/>
                <w:color w:val="FFFFFF"/>
                <w:sz w:val="18"/>
              </w:rPr>
              <w:t>2018</w:t>
              <w:tab/>
              <w:t>2017</w:t>
            </w:r>
          </w:p>
        </w:tc>
        <w:tc>
          <w:tcPr>
            <w:tcW w:w="1758" w:type="dxa"/>
            <w:gridSpan w:val="2"/>
            <w:shd w:val="clear" w:color="auto" w:fill="783A79"/>
          </w:tcPr>
          <w:p>
            <w:pPr>
              <w:pStyle w:val="TableParagraph"/>
              <w:tabs>
                <w:tab w:pos="1249" w:val="left" w:leader="none"/>
              </w:tabs>
              <w:spacing w:line="189" w:lineRule="exact" w:before="48"/>
              <w:ind w:left="370"/>
              <w:rPr>
                <w:b/>
                <w:sz w:val="18"/>
              </w:rPr>
            </w:pPr>
            <w:r>
              <w:rPr>
                <w:b/>
                <w:color w:val="FFFFFF"/>
                <w:sz w:val="18"/>
              </w:rPr>
              <w:t>2018</w:t>
              <w:tab/>
              <w:t>2017</w:t>
            </w:r>
          </w:p>
        </w:tc>
        <w:tc>
          <w:tcPr>
            <w:tcW w:w="1758" w:type="dxa"/>
            <w:gridSpan w:val="2"/>
            <w:shd w:val="clear" w:color="auto" w:fill="783A79"/>
          </w:tcPr>
          <w:p>
            <w:pPr>
              <w:pStyle w:val="TableParagraph"/>
              <w:tabs>
                <w:tab w:pos="1248" w:val="left" w:leader="none"/>
              </w:tabs>
              <w:spacing w:line="189" w:lineRule="exact" w:before="48"/>
              <w:ind w:left="369"/>
              <w:rPr>
                <w:b/>
                <w:sz w:val="18"/>
              </w:rPr>
            </w:pPr>
            <w:r>
              <w:rPr>
                <w:b/>
                <w:color w:val="FFFFFF"/>
                <w:sz w:val="18"/>
              </w:rPr>
              <w:t>2018</w:t>
              <w:tab/>
              <w:t>2017</w:t>
            </w:r>
          </w:p>
        </w:tc>
        <w:tc>
          <w:tcPr>
            <w:tcW w:w="1513" w:type="dxa"/>
            <w:gridSpan w:val="2"/>
            <w:shd w:val="clear" w:color="auto" w:fill="783A79"/>
          </w:tcPr>
          <w:p>
            <w:pPr>
              <w:pStyle w:val="TableParagraph"/>
              <w:spacing w:line="189" w:lineRule="exact" w:before="48"/>
              <w:ind w:left="517" w:right="555"/>
              <w:jc w:val="center"/>
              <w:rPr>
                <w:b/>
                <w:sz w:val="18"/>
              </w:rPr>
            </w:pPr>
            <w:r>
              <w:rPr>
                <w:b/>
                <w:color w:val="FFFFFF"/>
                <w:sz w:val="18"/>
              </w:rPr>
              <w:t>2018</w:t>
            </w:r>
          </w:p>
        </w:tc>
        <w:tc>
          <w:tcPr>
            <w:tcW w:w="585" w:type="dxa"/>
            <w:shd w:val="clear" w:color="auto" w:fill="783A79"/>
          </w:tcPr>
          <w:p>
            <w:pPr>
              <w:pStyle w:val="TableParagraph"/>
              <w:spacing w:line="189" w:lineRule="exact" w:before="48"/>
              <w:ind w:left="52" w:right="91"/>
              <w:jc w:val="center"/>
              <w:rPr>
                <w:b/>
                <w:sz w:val="18"/>
              </w:rPr>
            </w:pPr>
            <w:r>
              <w:rPr>
                <w:b/>
                <w:color w:val="FFFFFF"/>
                <w:sz w:val="18"/>
              </w:rPr>
              <w:t>2017</w:t>
            </w:r>
          </w:p>
        </w:tc>
        <w:tc>
          <w:tcPr>
            <w:tcW w:w="1758" w:type="dxa"/>
            <w:gridSpan w:val="2"/>
            <w:shd w:val="clear" w:color="auto" w:fill="783A79"/>
          </w:tcPr>
          <w:p>
            <w:pPr>
              <w:pStyle w:val="TableParagraph"/>
              <w:tabs>
                <w:tab w:pos="1247" w:val="left" w:leader="none"/>
              </w:tabs>
              <w:spacing w:line="189" w:lineRule="exact" w:before="48"/>
              <w:ind w:left="369"/>
              <w:rPr>
                <w:b/>
                <w:sz w:val="18"/>
              </w:rPr>
            </w:pPr>
            <w:r>
              <w:rPr>
                <w:b/>
                <w:color w:val="FFFFFF"/>
                <w:sz w:val="18"/>
              </w:rPr>
              <w:t>2018</w:t>
              <w:tab/>
              <w:t>2017</w:t>
            </w:r>
          </w:p>
        </w:tc>
        <w:tc>
          <w:tcPr>
            <w:tcW w:w="1758" w:type="dxa"/>
            <w:gridSpan w:val="2"/>
            <w:shd w:val="clear" w:color="auto" w:fill="783A79"/>
          </w:tcPr>
          <w:p>
            <w:pPr>
              <w:pStyle w:val="TableParagraph"/>
              <w:tabs>
                <w:tab w:pos="1247" w:val="left" w:leader="none"/>
              </w:tabs>
              <w:spacing w:line="189" w:lineRule="exact" w:before="48"/>
              <w:ind w:left="368"/>
              <w:rPr>
                <w:b/>
                <w:sz w:val="18"/>
              </w:rPr>
            </w:pPr>
            <w:r>
              <w:rPr>
                <w:b/>
                <w:color w:val="FFFFFF"/>
                <w:sz w:val="18"/>
              </w:rPr>
              <w:t>2018</w:t>
              <w:tab/>
              <w:t>2017</w:t>
            </w:r>
          </w:p>
        </w:tc>
        <w:tc>
          <w:tcPr>
            <w:tcW w:w="1306" w:type="dxa"/>
            <w:gridSpan w:val="2"/>
            <w:shd w:val="clear" w:color="auto" w:fill="783A79"/>
          </w:tcPr>
          <w:p>
            <w:pPr>
              <w:pStyle w:val="TableParagraph"/>
              <w:spacing w:line="189" w:lineRule="exact" w:before="48"/>
              <w:ind w:left="509"/>
              <w:rPr>
                <w:b/>
                <w:sz w:val="18"/>
              </w:rPr>
            </w:pPr>
            <w:r>
              <w:rPr>
                <w:b/>
                <w:color w:val="FFFFFF"/>
                <w:sz w:val="18"/>
              </w:rPr>
              <w:t>2018</w:t>
            </w:r>
          </w:p>
        </w:tc>
        <w:tc>
          <w:tcPr>
            <w:tcW w:w="736" w:type="dxa"/>
            <w:shd w:val="clear" w:color="auto" w:fill="783A79"/>
          </w:tcPr>
          <w:p>
            <w:pPr>
              <w:pStyle w:val="TableParagraph"/>
              <w:spacing w:line="189" w:lineRule="exact" w:before="48"/>
              <w:ind w:right="116"/>
              <w:jc w:val="right"/>
              <w:rPr>
                <w:b/>
                <w:sz w:val="18"/>
              </w:rPr>
            </w:pPr>
            <w:r>
              <w:rPr>
                <w:b/>
                <w:color w:val="FFFFFF"/>
                <w:w w:val="95"/>
                <w:sz w:val="18"/>
              </w:rPr>
              <w:t>2017</w:t>
            </w:r>
          </w:p>
        </w:tc>
      </w:tr>
      <w:tr>
        <w:trPr>
          <w:trHeight w:val="261" w:hRule="atLeast"/>
        </w:trPr>
        <w:tc>
          <w:tcPr>
            <w:tcW w:w="2381" w:type="dxa"/>
            <w:vMerge/>
            <w:tcBorders>
              <w:top w:val="nil"/>
            </w:tcBorders>
            <w:shd w:val="clear" w:color="auto" w:fill="783A79"/>
          </w:tcPr>
          <w:p>
            <w:pPr>
              <w:rPr>
                <w:sz w:val="2"/>
                <w:szCs w:val="2"/>
              </w:rPr>
            </w:pPr>
          </w:p>
        </w:tc>
        <w:tc>
          <w:tcPr>
            <w:tcW w:w="1758" w:type="dxa"/>
            <w:gridSpan w:val="2"/>
            <w:shd w:val="clear" w:color="auto" w:fill="783A79"/>
          </w:tcPr>
          <w:p>
            <w:pPr>
              <w:pStyle w:val="TableParagraph"/>
              <w:tabs>
                <w:tab w:pos="1249" w:val="left" w:leader="none"/>
              </w:tabs>
              <w:spacing w:before="7"/>
              <w:ind w:left="370"/>
              <w:rPr>
                <w:b/>
                <w:sz w:val="18"/>
              </w:rPr>
            </w:pPr>
            <w:r>
              <w:rPr>
                <w:b/>
                <w:color w:val="FFFFFF"/>
                <w:sz w:val="18"/>
              </w:rPr>
              <w:t>$000</w:t>
              <w:tab/>
              <w:t>$000</w:t>
            </w:r>
          </w:p>
        </w:tc>
        <w:tc>
          <w:tcPr>
            <w:tcW w:w="1758" w:type="dxa"/>
            <w:gridSpan w:val="2"/>
            <w:shd w:val="clear" w:color="auto" w:fill="783A79"/>
          </w:tcPr>
          <w:p>
            <w:pPr>
              <w:pStyle w:val="TableParagraph"/>
              <w:tabs>
                <w:tab w:pos="1249" w:val="left" w:leader="none"/>
              </w:tabs>
              <w:spacing w:before="7"/>
              <w:ind w:left="370"/>
              <w:rPr>
                <w:b/>
                <w:sz w:val="18"/>
              </w:rPr>
            </w:pPr>
            <w:r>
              <w:rPr>
                <w:b/>
                <w:color w:val="FFFFFF"/>
                <w:sz w:val="18"/>
              </w:rPr>
              <w:t>$000</w:t>
              <w:tab/>
              <w:t>$000</w:t>
            </w:r>
          </w:p>
        </w:tc>
        <w:tc>
          <w:tcPr>
            <w:tcW w:w="1758" w:type="dxa"/>
            <w:gridSpan w:val="2"/>
            <w:shd w:val="clear" w:color="auto" w:fill="783A79"/>
          </w:tcPr>
          <w:p>
            <w:pPr>
              <w:pStyle w:val="TableParagraph"/>
              <w:tabs>
                <w:tab w:pos="1248" w:val="left" w:leader="none"/>
              </w:tabs>
              <w:spacing w:before="7"/>
              <w:ind w:left="369"/>
              <w:rPr>
                <w:b/>
                <w:sz w:val="18"/>
              </w:rPr>
            </w:pPr>
            <w:r>
              <w:rPr>
                <w:b/>
                <w:color w:val="FFFFFF"/>
                <w:sz w:val="18"/>
              </w:rPr>
              <w:t>$000</w:t>
              <w:tab/>
              <w:t>$000</w:t>
            </w:r>
          </w:p>
        </w:tc>
        <w:tc>
          <w:tcPr>
            <w:tcW w:w="1513" w:type="dxa"/>
            <w:gridSpan w:val="2"/>
            <w:shd w:val="clear" w:color="auto" w:fill="783A79"/>
          </w:tcPr>
          <w:p>
            <w:pPr>
              <w:pStyle w:val="TableParagraph"/>
              <w:spacing w:before="7"/>
              <w:ind w:left="517" w:right="555"/>
              <w:jc w:val="center"/>
              <w:rPr>
                <w:b/>
                <w:sz w:val="18"/>
              </w:rPr>
            </w:pPr>
            <w:r>
              <w:rPr>
                <w:b/>
                <w:color w:val="FFFFFF"/>
                <w:sz w:val="18"/>
              </w:rPr>
              <w:t>$000</w:t>
            </w:r>
          </w:p>
        </w:tc>
        <w:tc>
          <w:tcPr>
            <w:tcW w:w="585" w:type="dxa"/>
            <w:shd w:val="clear" w:color="auto" w:fill="783A79"/>
          </w:tcPr>
          <w:p>
            <w:pPr>
              <w:pStyle w:val="TableParagraph"/>
              <w:spacing w:before="7"/>
              <w:ind w:left="52" w:right="91"/>
              <w:jc w:val="center"/>
              <w:rPr>
                <w:b/>
                <w:sz w:val="18"/>
              </w:rPr>
            </w:pPr>
            <w:r>
              <w:rPr>
                <w:b/>
                <w:color w:val="FFFFFF"/>
                <w:sz w:val="18"/>
              </w:rPr>
              <w:t>$000</w:t>
            </w:r>
          </w:p>
        </w:tc>
        <w:tc>
          <w:tcPr>
            <w:tcW w:w="1758" w:type="dxa"/>
            <w:gridSpan w:val="2"/>
            <w:shd w:val="clear" w:color="auto" w:fill="783A79"/>
          </w:tcPr>
          <w:p>
            <w:pPr>
              <w:pStyle w:val="TableParagraph"/>
              <w:tabs>
                <w:tab w:pos="1247" w:val="left" w:leader="none"/>
              </w:tabs>
              <w:spacing w:before="7"/>
              <w:ind w:left="369"/>
              <w:rPr>
                <w:b/>
                <w:sz w:val="18"/>
              </w:rPr>
            </w:pPr>
            <w:r>
              <w:rPr>
                <w:b/>
                <w:color w:val="FFFFFF"/>
                <w:sz w:val="18"/>
              </w:rPr>
              <w:t>$000</w:t>
              <w:tab/>
              <w:t>$000</w:t>
            </w:r>
          </w:p>
        </w:tc>
        <w:tc>
          <w:tcPr>
            <w:tcW w:w="1758" w:type="dxa"/>
            <w:gridSpan w:val="2"/>
            <w:shd w:val="clear" w:color="auto" w:fill="783A79"/>
          </w:tcPr>
          <w:p>
            <w:pPr>
              <w:pStyle w:val="TableParagraph"/>
              <w:tabs>
                <w:tab w:pos="1247" w:val="left" w:leader="none"/>
              </w:tabs>
              <w:spacing w:before="7"/>
              <w:ind w:left="368"/>
              <w:rPr>
                <w:b/>
                <w:sz w:val="18"/>
              </w:rPr>
            </w:pPr>
            <w:r>
              <w:rPr>
                <w:b/>
                <w:color w:val="FFFFFF"/>
                <w:sz w:val="18"/>
              </w:rPr>
              <w:t>$000</w:t>
              <w:tab/>
              <w:t>$000</w:t>
            </w:r>
          </w:p>
        </w:tc>
        <w:tc>
          <w:tcPr>
            <w:tcW w:w="1306" w:type="dxa"/>
            <w:gridSpan w:val="2"/>
            <w:shd w:val="clear" w:color="auto" w:fill="783A79"/>
          </w:tcPr>
          <w:p>
            <w:pPr>
              <w:pStyle w:val="TableParagraph"/>
              <w:spacing w:before="7"/>
              <w:ind w:left="509"/>
              <w:rPr>
                <w:b/>
                <w:sz w:val="18"/>
              </w:rPr>
            </w:pPr>
            <w:r>
              <w:rPr>
                <w:b/>
                <w:color w:val="FFFFFF"/>
                <w:sz w:val="18"/>
              </w:rPr>
              <w:t>$000</w:t>
            </w:r>
          </w:p>
        </w:tc>
        <w:tc>
          <w:tcPr>
            <w:tcW w:w="736" w:type="dxa"/>
            <w:shd w:val="clear" w:color="auto" w:fill="783A79"/>
          </w:tcPr>
          <w:p>
            <w:pPr>
              <w:pStyle w:val="TableParagraph"/>
              <w:spacing w:before="7"/>
              <w:ind w:right="116"/>
              <w:jc w:val="right"/>
              <w:rPr>
                <w:b/>
                <w:sz w:val="18"/>
              </w:rPr>
            </w:pPr>
            <w:r>
              <w:rPr>
                <w:b/>
                <w:color w:val="FFFFFF"/>
                <w:w w:val="95"/>
                <w:sz w:val="18"/>
              </w:rPr>
              <w:t>$000</w:t>
            </w:r>
          </w:p>
        </w:tc>
      </w:tr>
      <w:tr>
        <w:trPr>
          <w:trHeight w:val="504" w:hRule="atLeast"/>
        </w:trPr>
        <w:tc>
          <w:tcPr>
            <w:tcW w:w="2381" w:type="dxa"/>
            <w:tcBorders>
              <w:bottom w:val="single" w:sz="8" w:space="0" w:color="FFFFFF"/>
            </w:tcBorders>
            <w:shd w:val="clear" w:color="auto" w:fill="F4F4F4"/>
          </w:tcPr>
          <w:p>
            <w:pPr>
              <w:pStyle w:val="TableParagraph"/>
              <w:spacing w:line="249" w:lineRule="auto" w:before="44"/>
              <w:ind w:left="113"/>
              <w:rPr>
                <w:b/>
                <w:sz w:val="18"/>
              </w:rPr>
            </w:pPr>
            <w:r>
              <w:rPr>
                <w:b/>
                <w:sz w:val="18"/>
              </w:rPr>
              <w:t>INCOME FROM STATE GOVERNMENT</w:t>
            </w: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E1E4BB"/>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21" w:type="dxa"/>
            <w:shd w:val="clear" w:color="auto" w:fill="E1E4BB"/>
          </w:tcPr>
          <w:p>
            <w:pPr>
              <w:pStyle w:val="TableParagraph"/>
              <w:spacing w:before="0"/>
              <w:rPr>
                <w:rFonts w:ascii="Times New Roman"/>
                <w:sz w:val="18"/>
              </w:rPr>
            </w:pPr>
          </w:p>
        </w:tc>
        <w:tc>
          <w:tcPr>
            <w:tcW w:w="1021" w:type="dxa"/>
            <w:gridSpan w:val="2"/>
            <w:tcBorders>
              <w:bottom w:val="single" w:sz="8" w:space="0" w:color="FFFFFF"/>
            </w:tcBorders>
            <w:shd w:val="clear" w:color="auto" w:fill="F4F4F4"/>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4"/>
              <w:ind w:left="113"/>
              <w:rPr>
                <w:sz w:val="18"/>
              </w:rPr>
            </w:pPr>
            <w:r>
              <w:rPr>
                <w:sz w:val="18"/>
              </w:rPr>
              <w:t>Service appropriations</w:t>
            </w:r>
          </w:p>
        </w:tc>
        <w:tc>
          <w:tcPr>
            <w:tcW w:w="879" w:type="dxa"/>
            <w:shd w:val="clear" w:color="auto" w:fill="E1E4BB"/>
          </w:tcPr>
          <w:p>
            <w:pPr>
              <w:pStyle w:val="TableParagraph"/>
              <w:spacing w:before="34"/>
              <w:ind w:right="113"/>
              <w:jc w:val="right"/>
              <w:rPr>
                <w:sz w:val="18"/>
              </w:rPr>
            </w:pPr>
            <w:r>
              <w:rPr>
                <w:w w:val="95"/>
                <w:sz w:val="18"/>
              </w:rPr>
              <w:t>45,018</w:t>
            </w:r>
          </w:p>
        </w:tc>
        <w:tc>
          <w:tcPr>
            <w:tcW w:w="879" w:type="dxa"/>
            <w:tcBorders>
              <w:top w:val="single" w:sz="8" w:space="0" w:color="FFFFFF"/>
              <w:bottom w:val="single" w:sz="8" w:space="0" w:color="FFFFFF"/>
            </w:tcBorders>
            <w:shd w:val="clear" w:color="auto" w:fill="FAF9F9"/>
          </w:tcPr>
          <w:p>
            <w:pPr>
              <w:pStyle w:val="TableParagraph"/>
              <w:spacing w:before="34"/>
              <w:ind w:right="113"/>
              <w:jc w:val="right"/>
              <w:rPr>
                <w:sz w:val="18"/>
              </w:rPr>
            </w:pPr>
            <w:r>
              <w:rPr>
                <w:w w:val="95"/>
                <w:sz w:val="18"/>
              </w:rPr>
              <w:t>42,372</w:t>
            </w:r>
          </w:p>
        </w:tc>
        <w:tc>
          <w:tcPr>
            <w:tcW w:w="879" w:type="dxa"/>
            <w:shd w:val="clear" w:color="auto" w:fill="E1E4BB"/>
          </w:tcPr>
          <w:p>
            <w:pPr>
              <w:pStyle w:val="TableParagraph"/>
              <w:spacing w:before="34"/>
              <w:ind w:right="113"/>
              <w:jc w:val="right"/>
              <w:rPr>
                <w:sz w:val="18"/>
              </w:rPr>
            </w:pPr>
            <w:r>
              <w:rPr>
                <w:w w:val="95"/>
                <w:sz w:val="18"/>
              </w:rPr>
              <w:t>27,519</w:t>
            </w:r>
          </w:p>
        </w:tc>
        <w:tc>
          <w:tcPr>
            <w:tcW w:w="879" w:type="dxa"/>
            <w:tcBorders>
              <w:top w:val="single" w:sz="8" w:space="0" w:color="FFFFFF"/>
              <w:bottom w:val="single" w:sz="8" w:space="0" w:color="FFFFFF"/>
            </w:tcBorders>
            <w:shd w:val="clear" w:color="auto" w:fill="FAF9F9"/>
          </w:tcPr>
          <w:p>
            <w:pPr>
              <w:pStyle w:val="TableParagraph"/>
              <w:spacing w:before="34"/>
              <w:ind w:right="113"/>
              <w:jc w:val="right"/>
              <w:rPr>
                <w:sz w:val="18"/>
              </w:rPr>
            </w:pPr>
            <w:r>
              <w:rPr>
                <w:w w:val="95"/>
                <w:sz w:val="18"/>
              </w:rPr>
              <w:t>30,781</w:t>
            </w:r>
          </w:p>
        </w:tc>
        <w:tc>
          <w:tcPr>
            <w:tcW w:w="879" w:type="dxa"/>
            <w:shd w:val="clear" w:color="auto" w:fill="E1E4BB"/>
          </w:tcPr>
          <w:p>
            <w:pPr>
              <w:pStyle w:val="TableParagraph"/>
              <w:spacing w:before="34"/>
              <w:ind w:right="114"/>
              <w:jc w:val="right"/>
              <w:rPr>
                <w:sz w:val="18"/>
              </w:rPr>
            </w:pPr>
            <w:r>
              <w:rPr>
                <w:w w:val="95"/>
                <w:sz w:val="18"/>
              </w:rPr>
              <w:t>6,162</w:t>
            </w:r>
          </w:p>
        </w:tc>
        <w:tc>
          <w:tcPr>
            <w:tcW w:w="879" w:type="dxa"/>
            <w:tcBorders>
              <w:top w:val="single" w:sz="8" w:space="0" w:color="FFFFFF"/>
              <w:bottom w:val="single" w:sz="8" w:space="0" w:color="FFFFFF"/>
            </w:tcBorders>
            <w:shd w:val="clear" w:color="auto" w:fill="FAF9F9"/>
          </w:tcPr>
          <w:p>
            <w:pPr>
              <w:pStyle w:val="TableParagraph"/>
              <w:spacing w:before="34"/>
              <w:ind w:right="114"/>
              <w:jc w:val="right"/>
              <w:rPr>
                <w:sz w:val="18"/>
              </w:rPr>
            </w:pPr>
            <w:r>
              <w:rPr>
                <w:w w:val="95"/>
                <w:sz w:val="18"/>
              </w:rPr>
              <w:t>6,150</w:t>
            </w:r>
          </w:p>
        </w:tc>
        <w:tc>
          <w:tcPr>
            <w:tcW w:w="1049" w:type="dxa"/>
            <w:shd w:val="clear" w:color="auto" w:fill="E1E4BB"/>
          </w:tcPr>
          <w:p>
            <w:pPr>
              <w:pStyle w:val="TableParagraph"/>
              <w:spacing w:before="34"/>
              <w:ind w:right="114"/>
              <w:jc w:val="right"/>
              <w:rPr>
                <w:sz w:val="18"/>
              </w:rPr>
            </w:pPr>
            <w:r>
              <w:rPr>
                <w:w w:val="95"/>
                <w:sz w:val="18"/>
              </w:rPr>
              <w:t>67,367</w:t>
            </w:r>
          </w:p>
        </w:tc>
        <w:tc>
          <w:tcPr>
            <w:tcW w:w="1049" w:type="dxa"/>
            <w:gridSpan w:val="2"/>
            <w:tcBorders>
              <w:top w:val="single" w:sz="8" w:space="0" w:color="FFFFFF"/>
              <w:bottom w:val="single" w:sz="8" w:space="0" w:color="FFFFFF"/>
            </w:tcBorders>
            <w:shd w:val="clear" w:color="auto" w:fill="FAF9F9"/>
          </w:tcPr>
          <w:p>
            <w:pPr>
              <w:pStyle w:val="TableParagraph"/>
              <w:spacing w:before="34"/>
              <w:ind w:left="392"/>
              <w:rPr>
                <w:sz w:val="18"/>
              </w:rPr>
            </w:pPr>
            <w:r>
              <w:rPr>
                <w:sz w:val="18"/>
              </w:rPr>
              <w:t>69,129</w:t>
            </w:r>
          </w:p>
        </w:tc>
        <w:tc>
          <w:tcPr>
            <w:tcW w:w="879" w:type="dxa"/>
            <w:shd w:val="clear" w:color="auto" w:fill="E1E4BB"/>
          </w:tcPr>
          <w:p>
            <w:pPr>
              <w:pStyle w:val="TableParagraph"/>
              <w:spacing w:before="34"/>
              <w:ind w:right="114"/>
              <w:jc w:val="right"/>
              <w:rPr>
                <w:sz w:val="18"/>
              </w:rPr>
            </w:pPr>
            <w:r>
              <w:rPr>
                <w:w w:val="95"/>
                <w:sz w:val="18"/>
              </w:rPr>
              <w:t>4,834</w:t>
            </w:r>
          </w:p>
        </w:tc>
        <w:tc>
          <w:tcPr>
            <w:tcW w:w="879" w:type="dxa"/>
            <w:tcBorders>
              <w:top w:val="single" w:sz="8" w:space="0" w:color="FFFFFF"/>
              <w:bottom w:val="single" w:sz="8" w:space="0" w:color="FFFFFF"/>
            </w:tcBorders>
            <w:shd w:val="clear" w:color="auto" w:fill="FAF9F9"/>
          </w:tcPr>
          <w:p>
            <w:pPr>
              <w:pStyle w:val="TableParagraph"/>
              <w:spacing w:before="34"/>
              <w:ind w:right="113"/>
              <w:jc w:val="right"/>
              <w:rPr>
                <w:sz w:val="18"/>
              </w:rPr>
            </w:pPr>
            <w:r>
              <w:rPr>
                <w:w w:val="111"/>
                <w:sz w:val="18"/>
              </w:rPr>
              <w:t>-</w:t>
            </w:r>
          </w:p>
        </w:tc>
        <w:tc>
          <w:tcPr>
            <w:tcW w:w="879" w:type="dxa"/>
            <w:shd w:val="clear" w:color="auto" w:fill="E1E4BB"/>
          </w:tcPr>
          <w:p>
            <w:pPr>
              <w:pStyle w:val="TableParagraph"/>
              <w:spacing w:before="34"/>
              <w:ind w:right="113"/>
              <w:jc w:val="right"/>
              <w:rPr>
                <w:sz w:val="18"/>
              </w:rPr>
            </w:pPr>
            <w:r>
              <w:rPr>
                <w:w w:val="111"/>
                <w:sz w:val="18"/>
              </w:rPr>
              <w:t>-</w:t>
            </w:r>
          </w:p>
        </w:tc>
        <w:tc>
          <w:tcPr>
            <w:tcW w:w="879" w:type="dxa"/>
            <w:tcBorders>
              <w:top w:val="single" w:sz="8" w:space="0" w:color="FFFFFF"/>
              <w:bottom w:val="single" w:sz="8" w:space="0" w:color="FFFFFF"/>
            </w:tcBorders>
            <w:shd w:val="clear" w:color="auto" w:fill="FAF9F9"/>
          </w:tcPr>
          <w:p>
            <w:pPr>
              <w:pStyle w:val="TableParagraph"/>
              <w:spacing w:before="34"/>
              <w:ind w:right="115"/>
              <w:jc w:val="right"/>
              <w:rPr>
                <w:sz w:val="18"/>
              </w:rPr>
            </w:pPr>
            <w:r>
              <w:rPr>
                <w:w w:val="95"/>
                <w:sz w:val="18"/>
              </w:rPr>
              <w:t>18,718</w:t>
            </w:r>
          </w:p>
        </w:tc>
        <w:tc>
          <w:tcPr>
            <w:tcW w:w="1021" w:type="dxa"/>
            <w:shd w:val="clear" w:color="auto" w:fill="E1E4BB"/>
          </w:tcPr>
          <w:p>
            <w:pPr>
              <w:pStyle w:val="TableParagraph"/>
              <w:spacing w:before="34"/>
              <w:ind w:right="116"/>
              <w:jc w:val="right"/>
              <w:rPr>
                <w:sz w:val="18"/>
              </w:rPr>
            </w:pPr>
            <w:r>
              <w:rPr>
                <w:w w:val="95"/>
                <w:sz w:val="18"/>
              </w:rPr>
              <w:t>150,900</w:t>
            </w:r>
          </w:p>
        </w:tc>
        <w:tc>
          <w:tcPr>
            <w:tcW w:w="1021" w:type="dxa"/>
            <w:gridSpan w:val="2"/>
            <w:tcBorders>
              <w:top w:val="single" w:sz="8" w:space="0" w:color="FFFFFF"/>
              <w:bottom w:val="single" w:sz="8" w:space="0" w:color="FFFFFF"/>
            </w:tcBorders>
            <w:shd w:val="clear" w:color="auto" w:fill="FAF9F9"/>
          </w:tcPr>
          <w:p>
            <w:pPr>
              <w:pStyle w:val="TableParagraph"/>
              <w:spacing w:before="34"/>
              <w:ind w:left="264"/>
              <w:rPr>
                <w:sz w:val="18"/>
              </w:rPr>
            </w:pPr>
            <w:r>
              <w:rPr>
                <w:sz w:val="18"/>
              </w:rPr>
              <w:t>167,150</w:t>
            </w:r>
          </w:p>
        </w:tc>
      </w:tr>
      <w:tr>
        <w:trPr>
          <w:trHeight w:val="494"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ight="168"/>
              <w:rPr>
                <w:sz w:val="18"/>
              </w:rPr>
            </w:pPr>
            <w:r>
              <w:rPr>
                <w:spacing w:val="-3"/>
                <w:sz w:val="18"/>
              </w:rPr>
              <w:t>Resources received free </w:t>
            </w:r>
            <w:r>
              <w:rPr>
                <w:sz w:val="18"/>
              </w:rPr>
              <w:t>of </w:t>
            </w:r>
            <w:r>
              <w:rPr>
                <w:spacing w:val="-2"/>
                <w:sz w:val="18"/>
              </w:rPr>
              <w:t>charge</w:t>
            </w:r>
          </w:p>
        </w:tc>
        <w:tc>
          <w:tcPr>
            <w:tcW w:w="879" w:type="dxa"/>
            <w:shd w:val="clear" w:color="auto" w:fill="E1E4BB"/>
          </w:tcPr>
          <w:p>
            <w:pPr>
              <w:pStyle w:val="TableParagraph"/>
              <w:spacing w:before="35"/>
              <w:ind w:right="114"/>
              <w:jc w:val="right"/>
              <w:rPr>
                <w:sz w:val="18"/>
              </w:rPr>
            </w:pPr>
            <w:r>
              <w:rPr>
                <w:w w:val="95"/>
                <w:sz w:val="18"/>
              </w:rPr>
              <w:t>12,742</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12,321</w:t>
            </w:r>
          </w:p>
        </w:tc>
        <w:tc>
          <w:tcPr>
            <w:tcW w:w="879" w:type="dxa"/>
            <w:shd w:val="clear" w:color="auto" w:fill="E1E4BB"/>
          </w:tcPr>
          <w:p>
            <w:pPr>
              <w:pStyle w:val="TableParagraph"/>
              <w:spacing w:before="35"/>
              <w:ind w:right="113"/>
              <w:jc w:val="right"/>
              <w:rPr>
                <w:sz w:val="18"/>
              </w:rPr>
            </w:pPr>
            <w:r>
              <w:rPr>
                <w:w w:val="95"/>
                <w:sz w:val="18"/>
              </w:rPr>
              <w:t>50</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21</w:t>
            </w:r>
          </w:p>
        </w:tc>
        <w:tc>
          <w:tcPr>
            <w:tcW w:w="879" w:type="dxa"/>
            <w:shd w:val="clear" w:color="auto" w:fill="E1E4BB"/>
          </w:tcPr>
          <w:p>
            <w:pPr>
              <w:pStyle w:val="TableParagraph"/>
              <w:spacing w:before="35"/>
              <w:ind w:right="112"/>
              <w:jc w:val="right"/>
              <w:rPr>
                <w:sz w:val="18"/>
              </w:rPr>
            </w:pPr>
            <w:r>
              <w:rPr>
                <w:w w:val="99"/>
                <w:sz w:val="18"/>
              </w:rPr>
              <w:t>6</w:t>
            </w:r>
          </w:p>
        </w:tc>
        <w:tc>
          <w:tcPr>
            <w:tcW w:w="879" w:type="dxa"/>
            <w:tcBorders>
              <w:top w:val="single" w:sz="8" w:space="0" w:color="FFFFFF"/>
              <w:bottom w:val="single" w:sz="8" w:space="0" w:color="FFFFFF"/>
            </w:tcBorders>
            <w:shd w:val="clear" w:color="auto" w:fill="F4F4F4"/>
          </w:tcPr>
          <w:p>
            <w:pPr>
              <w:pStyle w:val="TableParagraph"/>
              <w:spacing w:before="35"/>
              <w:ind w:right="114"/>
              <w:jc w:val="right"/>
              <w:rPr>
                <w:sz w:val="18"/>
              </w:rPr>
            </w:pPr>
            <w:r>
              <w:rPr>
                <w:w w:val="95"/>
                <w:sz w:val="18"/>
              </w:rPr>
              <w:t>20</w:t>
            </w:r>
          </w:p>
        </w:tc>
        <w:tc>
          <w:tcPr>
            <w:tcW w:w="1049" w:type="dxa"/>
            <w:shd w:val="clear" w:color="auto" w:fill="E1E4BB"/>
          </w:tcPr>
          <w:p>
            <w:pPr>
              <w:pStyle w:val="TableParagraph"/>
              <w:spacing w:before="35"/>
              <w:ind w:right="114"/>
              <w:jc w:val="right"/>
              <w:rPr>
                <w:sz w:val="18"/>
              </w:rPr>
            </w:pPr>
            <w:r>
              <w:rPr>
                <w:w w:val="95"/>
                <w:sz w:val="18"/>
              </w:rPr>
              <w:t>542</w:t>
            </w:r>
          </w:p>
        </w:tc>
        <w:tc>
          <w:tcPr>
            <w:tcW w:w="1049" w:type="dxa"/>
            <w:gridSpan w:val="2"/>
            <w:tcBorders>
              <w:top w:val="single" w:sz="8" w:space="0" w:color="FFFFFF"/>
              <w:bottom w:val="single" w:sz="8" w:space="0" w:color="FFFFFF"/>
            </w:tcBorders>
            <w:shd w:val="clear" w:color="auto" w:fill="F4F4F4"/>
          </w:tcPr>
          <w:p>
            <w:pPr>
              <w:pStyle w:val="TableParagraph"/>
              <w:spacing w:before="35"/>
              <w:ind w:left="637"/>
              <w:rPr>
                <w:sz w:val="18"/>
              </w:rPr>
            </w:pPr>
            <w:r>
              <w:rPr>
                <w:sz w:val="18"/>
              </w:rPr>
              <w:t>616</w:t>
            </w:r>
          </w:p>
        </w:tc>
        <w:tc>
          <w:tcPr>
            <w:tcW w:w="879" w:type="dxa"/>
            <w:shd w:val="clear" w:color="auto" w:fill="E1E4BB"/>
          </w:tcPr>
          <w:p>
            <w:pPr>
              <w:pStyle w:val="TableParagraph"/>
              <w:spacing w:before="35"/>
              <w:ind w:right="114"/>
              <w:jc w:val="right"/>
              <w:rPr>
                <w:sz w:val="18"/>
              </w:rPr>
            </w:pPr>
            <w:r>
              <w:rPr>
                <w:w w:val="95"/>
                <w:sz w:val="18"/>
              </w:rPr>
              <w:t>171</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111"/>
                <w:sz w:val="18"/>
              </w:rPr>
              <w:t>-</w:t>
            </w:r>
          </w:p>
        </w:tc>
        <w:tc>
          <w:tcPr>
            <w:tcW w:w="879" w:type="dxa"/>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5"/>
              <w:jc w:val="right"/>
              <w:rPr>
                <w:sz w:val="18"/>
              </w:rPr>
            </w:pPr>
            <w:r>
              <w:rPr>
                <w:w w:val="95"/>
                <w:sz w:val="18"/>
              </w:rPr>
              <w:t>326</w:t>
            </w:r>
          </w:p>
        </w:tc>
        <w:tc>
          <w:tcPr>
            <w:tcW w:w="1021" w:type="dxa"/>
            <w:shd w:val="clear" w:color="auto" w:fill="E1E4BB"/>
          </w:tcPr>
          <w:p>
            <w:pPr>
              <w:pStyle w:val="TableParagraph"/>
              <w:spacing w:before="35"/>
              <w:ind w:right="116"/>
              <w:jc w:val="right"/>
              <w:rPr>
                <w:sz w:val="18"/>
              </w:rPr>
            </w:pPr>
            <w:r>
              <w:rPr>
                <w:w w:val="95"/>
                <w:sz w:val="18"/>
              </w:rPr>
              <w:t>13,511</w:t>
            </w:r>
          </w:p>
        </w:tc>
        <w:tc>
          <w:tcPr>
            <w:tcW w:w="1021" w:type="dxa"/>
            <w:gridSpan w:val="2"/>
            <w:tcBorders>
              <w:top w:val="single" w:sz="8" w:space="0" w:color="FFFFFF"/>
              <w:bottom w:val="single" w:sz="8" w:space="0" w:color="FFFFFF"/>
            </w:tcBorders>
            <w:shd w:val="clear" w:color="auto" w:fill="F4F4F4"/>
          </w:tcPr>
          <w:p>
            <w:pPr>
              <w:pStyle w:val="TableParagraph"/>
              <w:spacing w:before="35"/>
              <w:ind w:left="362"/>
              <w:rPr>
                <w:sz w:val="18"/>
              </w:rPr>
            </w:pPr>
            <w:r>
              <w:rPr>
                <w:sz w:val="18"/>
              </w:rPr>
              <w:t>13,303</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Royalties for Regions Fund</w:t>
            </w:r>
          </w:p>
        </w:tc>
        <w:tc>
          <w:tcPr>
            <w:tcW w:w="879" w:type="dxa"/>
            <w:tcBorders>
              <w:bottom w:val="single" w:sz="4" w:space="0" w:color="000000"/>
            </w:tcBorders>
            <w:shd w:val="clear" w:color="auto" w:fill="E1E4BB"/>
          </w:tcPr>
          <w:p>
            <w:pPr>
              <w:pStyle w:val="TableParagraph"/>
              <w:spacing w:before="35"/>
              <w:ind w:right="111"/>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1"/>
              <w:jc w:val="right"/>
              <w:rPr>
                <w:sz w:val="18"/>
              </w:rPr>
            </w:pPr>
            <w:r>
              <w:rPr>
                <w:w w:val="111"/>
                <w:sz w:val="18"/>
              </w:rPr>
              <w:t>-</w:t>
            </w:r>
          </w:p>
        </w:tc>
        <w:tc>
          <w:tcPr>
            <w:tcW w:w="879" w:type="dxa"/>
            <w:tcBorders>
              <w:bottom w:val="single" w:sz="4" w:space="0" w:color="000000"/>
            </w:tcBorders>
            <w:shd w:val="clear" w:color="auto" w:fill="E1E4BB"/>
          </w:tcPr>
          <w:p>
            <w:pPr>
              <w:pStyle w:val="TableParagraph"/>
              <w:spacing w:before="35"/>
              <w:ind w:right="111"/>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1"/>
              <w:jc w:val="right"/>
              <w:rPr>
                <w:sz w:val="18"/>
              </w:rPr>
            </w:pPr>
            <w:r>
              <w:rPr>
                <w:w w:val="111"/>
                <w:sz w:val="18"/>
              </w:rPr>
              <w:t>-</w:t>
            </w:r>
          </w:p>
        </w:tc>
        <w:tc>
          <w:tcPr>
            <w:tcW w:w="879" w:type="dxa"/>
            <w:tcBorders>
              <w:bottom w:val="single" w:sz="4" w:space="0" w:color="000000"/>
            </w:tcBorders>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2"/>
              <w:jc w:val="right"/>
              <w:rPr>
                <w:sz w:val="18"/>
              </w:rPr>
            </w:pPr>
            <w:r>
              <w:rPr>
                <w:w w:val="111"/>
                <w:sz w:val="18"/>
              </w:rPr>
              <w:t>-</w:t>
            </w:r>
          </w:p>
        </w:tc>
        <w:tc>
          <w:tcPr>
            <w:tcW w:w="1049" w:type="dxa"/>
            <w:tcBorders>
              <w:bottom w:val="single" w:sz="4" w:space="0" w:color="000000"/>
            </w:tcBorders>
            <w:shd w:val="clear" w:color="auto" w:fill="E1E4BB"/>
          </w:tcPr>
          <w:p>
            <w:pPr>
              <w:pStyle w:val="TableParagraph"/>
              <w:spacing w:before="35"/>
              <w:ind w:right="114"/>
              <w:jc w:val="right"/>
              <w:rPr>
                <w:sz w:val="18"/>
              </w:rPr>
            </w:pPr>
            <w:r>
              <w:rPr>
                <w:w w:val="95"/>
                <w:sz w:val="18"/>
              </w:rPr>
              <w:t>106</w:t>
            </w:r>
          </w:p>
        </w:tc>
        <w:tc>
          <w:tcPr>
            <w:tcW w:w="1049" w:type="dxa"/>
            <w:gridSpan w:val="2"/>
            <w:tcBorders>
              <w:top w:val="single" w:sz="8" w:space="0" w:color="FFFFFF"/>
              <w:bottom w:val="single" w:sz="4" w:space="0" w:color="000000"/>
            </w:tcBorders>
            <w:shd w:val="clear" w:color="auto" w:fill="FAF9F9"/>
          </w:tcPr>
          <w:p>
            <w:pPr>
              <w:pStyle w:val="TableParagraph"/>
              <w:spacing w:before="35"/>
              <w:ind w:left="637"/>
              <w:rPr>
                <w:sz w:val="18"/>
              </w:rPr>
            </w:pPr>
            <w:r>
              <w:rPr>
                <w:sz w:val="18"/>
              </w:rPr>
              <w:t>125</w:t>
            </w:r>
          </w:p>
        </w:tc>
        <w:tc>
          <w:tcPr>
            <w:tcW w:w="879" w:type="dxa"/>
            <w:tcBorders>
              <w:bottom w:val="single" w:sz="4" w:space="0" w:color="000000"/>
            </w:tcBorders>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111"/>
                <w:sz w:val="18"/>
              </w:rPr>
              <w:t>-</w:t>
            </w:r>
          </w:p>
        </w:tc>
        <w:tc>
          <w:tcPr>
            <w:tcW w:w="879" w:type="dxa"/>
            <w:tcBorders>
              <w:bottom w:val="single" w:sz="4" w:space="0" w:color="000000"/>
            </w:tcBorders>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111"/>
                <w:sz w:val="18"/>
              </w:rPr>
              <w:t>-</w:t>
            </w:r>
          </w:p>
        </w:tc>
        <w:tc>
          <w:tcPr>
            <w:tcW w:w="1021" w:type="dxa"/>
            <w:tcBorders>
              <w:bottom w:val="single" w:sz="4" w:space="0" w:color="000000"/>
            </w:tcBorders>
            <w:shd w:val="clear" w:color="auto" w:fill="E1E4BB"/>
          </w:tcPr>
          <w:p>
            <w:pPr>
              <w:pStyle w:val="TableParagraph"/>
              <w:spacing w:before="35"/>
              <w:ind w:right="116"/>
              <w:jc w:val="right"/>
              <w:rPr>
                <w:sz w:val="18"/>
              </w:rPr>
            </w:pPr>
            <w:r>
              <w:rPr>
                <w:w w:val="95"/>
                <w:sz w:val="18"/>
              </w:rPr>
              <w:t>106</w:t>
            </w:r>
          </w:p>
        </w:tc>
        <w:tc>
          <w:tcPr>
            <w:tcW w:w="1021" w:type="dxa"/>
            <w:gridSpan w:val="2"/>
            <w:tcBorders>
              <w:top w:val="single" w:sz="8" w:space="0" w:color="FFFFFF"/>
              <w:bottom w:val="single" w:sz="4" w:space="0" w:color="000000"/>
            </w:tcBorders>
            <w:shd w:val="clear" w:color="auto" w:fill="FAF9F9"/>
          </w:tcPr>
          <w:p>
            <w:pPr>
              <w:pStyle w:val="TableParagraph"/>
              <w:spacing w:before="35"/>
              <w:ind w:left="607"/>
              <w:rPr>
                <w:sz w:val="18"/>
              </w:rPr>
            </w:pPr>
            <w:r>
              <w:rPr>
                <w:sz w:val="18"/>
              </w:rPr>
              <w:t>125</w:t>
            </w:r>
          </w:p>
        </w:tc>
      </w:tr>
      <w:tr>
        <w:trPr>
          <w:trHeight w:val="494" w:hRule="atLeast"/>
        </w:trPr>
        <w:tc>
          <w:tcPr>
            <w:tcW w:w="2381" w:type="dxa"/>
            <w:tcBorders>
              <w:top w:val="single" w:sz="8" w:space="0" w:color="FFFFFF"/>
              <w:bottom w:val="single" w:sz="8" w:space="0" w:color="FFFFFF"/>
            </w:tcBorders>
            <w:shd w:val="clear" w:color="auto" w:fill="F4F4F4"/>
          </w:tcPr>
          <w:p>
            <w:pPr>
              <w:pStyle w:val="TableParagraph"/>
              <w:spacing w:line="249" w:lineRule="auto" w:before="35"/>
              <w:ind w:left="113" w:right="197"/>
              <w:rPr>
                <w:b/>
                <w:sz w:val="18"/>
              </w:rPr>
            </w:pPr>
            <w:r>
              <w:rPr>
                <w:b/>
                <w:sz w:val="18"/>
              </w:rPr>
              <w:t>Total income from State Government</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57,760</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54,693</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95"/>
                <w:sz w:val="18"/>
              </w:rPr>
              <w:t>27,569</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30,802</w:t>
            </w:r>
          </w:p>
        </w:tc>
        <w:tc>
          <w:tcPr>
            <w:tcW w:w="879" w:type="dxa"/>
            <w:tcBorders>
              <w:top w:val="single" w:sz="4" w:space="0" w:color="000000"/>
              <w:bottom w:val="single" w:sz="4" w:space="0" w:color="000000"/>
            </w:tcBorders>
            <w:shd w:val="clear" w:color="auto" w:fill="DFE1B8"/>
          </w:tcPr>
          <w:p>
            <w:pPr>
              <w:pStyle w:val="TableParagraph"/>
              <w:spacing w:before="35"/>
              <w:ind w:right="115"/>
              <w:jc w:val="right"/>
              <w:rPr>
                <w:b/>
                <w:sz w:val="18"/>
              </w:rPr>
            </w:pPr>
            <w:r>
              <w:rPr>
                <w:b/>
                <w:w w:val="95"/>
                <w:sz w:val="18"/>
              </w:rPr>
              <w:t>6,168</w:t>
            </w:r>
          </w:p>
        </w:tc>
        <w:tc>
          <w:tcPr>
            <w:tcW w:w="879" w:type="dxa"/>
            <w:tcBorders>
              <w:top w:val="single" w:sz="4" w:space="0" w:color="000000"/>
              <w:bottom w:val="single" w:sz="4" w:space="0" w:color="000000"/>
            </w:tcBorders>
            <w:shd w:val="clear" w:color="auto" w:fill="F4F4F4"/>
          </w:tcPr>
          <w:p>
            <w:pPr>
              <w:pStyle w:val="TableParagraph"/>
              <w:spacing w:before="35"/>
              <w:ind w:right="114"/>
              <w:jc w:val="right"/>
              <w:rPr>
                <w:b/>
                <w:sz w:val="18"/>
              </w:rPr>
            </w:pPr>
            <w:r>
              <w:rPr>
                <w:b/>
                <w:w w:val="95"/>
                <w:sz w:val="18"/>
              </w:rPr>
              <w:t>6,169</w:t>
            </w:r>
          </w:p>
        </w:tc>
        <w:tc>
          <w:tcPr>
            <w:tcW w:w="104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68,015</w:t>
            </w:r>
          </w:p>
        </w:tc>
        <w:tc>
          <w:tcPr>
            <w:tcW w:w="1049" w:type="dxa"/>
            <w:gridSpan w:val="2"/>
            <w:tcBorders>
              <w:top w:val="single" w:sz="4" w:space="0" w:color="000000"/>
              <w:bottom w:val="single" w:sz="4" w:space="0" w:color="000000"/>
            </w:tcBorders>
            <w:shd w:val="clear" w:color="auto" w:fill="F4F4F4"/>
          </w:tcPr>
          <w:p>
            <w:pPr>
              <w:pStyle w:val="TableParagraph"/>
              <w:spacing w:before="35"/>
              <w:ind w:left="392"/>
              <w:rPr>
                <w:b/>
                <w:sz w:val="18"/>
              </w:rPr>
            </w:pPr>
            <w:r>
              <w:rPr>
                <w:b/>
                <w:sz w:val="18"/>
              </w:rPr>
              <w:t>69,870</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5,005</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F4F4F4"/>
          </w:tcPr>
          <w:p>
            <w:pPr>
              <w:pStyle w:val="TableParagraph"/>
              <w:spacing w:before="35"/>
              <w:ind w:right="115"/>
              <w:jc w:val="right"/>
              <w:rPr>
                <w:b/>
                <w:sz w:val="18"/>
              </w:rPr>
            </w:pPr>
            <w:r>
              <w:rPr>
                <w:b/>
                <w:w w:val="95"/>
                <w:sz w:val="18"/>
              </w:rPr>
              <w:t>19,044</w:t>
            </w:r>
          </w:p>
        </w:tc>
        <w:tc>
          <w:tcPr>
            <w:tcW w:w="1021" w:type="dxa"/>
            <w:tcBorders>
              <w:top w:val="single" w:sz="4" w:space="0" w:color="000000"/>
              <w:bottom w:val="single" w:sz="4" w:space="0" w:color="000000"/>
            </w:tcBorders>
            <w:shd w:val="clear" w:color="auto" w:fill="DFE1B8"/>
          </w:tcPr>
          <w:p>
            <w:pPr>
              <w:pStyle w:val="TableParagraph"/>
              <w:spacing w:before="35"/>
              <w:ind w:left="159"/>
              <w:rPr>
                <w:b/>
                <w:sz w:val="18"/>
              </w:rPr>
            </w:pPr>
            <w:r>
              <w:rPr>
                <w:b/>
                <w:sz w:val="18"/>
              </w:rPr>
              <w:t>164,517</w:t>
            </w:r>
          </w:p>
        </w:tc>
        <w:tc>
          <w:tcPr>
            <w:tcW w:w="1021" w:type="dxa"/>
            <w:gridSpan w:val="2"/>
            <w:tcBorders>
              <w:top w:val="single" w:sz="4" w:space="0" w:color="000000"/>
              <w:bottom w:val="single" w:sz="4" w:space="0" w:color="000000"/>
            </w:tcBorders>
            <w:shd w:val="clear" w:color="auto" w:fill="F4F4F4"/>
          </w:tcPr>
          <w:p>
            <w:pPr>
              <w:pStyle w:val="TableParagraph"/>
              <w:spacing w:before="35"/>
              <w:ind w:left="264"/>
              <w:rPr>
                <w:b/>
                <w:sz w:val="18"/>
              </w:rPr>
            </w:pPr>
            <w:r>
              <w:rPr>
                <w:b/>
                <w:sz w:val="18"/>
              </w:rPr>
              <w:t>180,578</w:t>
            </w:r>
          </w:p>
        </w:tc>
      </w:tr>
      <w:tr>
        <w:trPr>
          <w:trHeight w:val="474" w:hRule="atLeast"/>
        </w:trPr>
        <w:tc>
          <w:tcPr>
            <w:tcW w:w="2381" w:type="dxa"/>
            <w:tcBorders>
              <w:top w:val="single" w:sz="8" w:space="0" w:color="FFFFFF"/>
              <w:bottom w:val="single" w:sz="8" w:space="0" w:color="FFFFFF"/>
            </w:tcBorders>
            <w:shd w:val="clear" w:color="auto" w:fill="FAF9F9"/>
          </w:tcPr>
          <w:p>
            <w:pPr>
              <w:pStyle w:val="TableParagraph"/>
              <w:spacing w:line="210" w:lineRule="atLeast"/>
              <w:ind w:left="113"/>
              <w:rPr>
                <w:b/>
                <w:sz w:val="18"/>
              </w:rPr>
            </w:pPr>
            <w:r>
              <w:rPr>
                <w:b/>
                <w:sz w:val="18"/>
              </w:rPr>
              <w:t>SURPLUS/(DEFICIT) FOR THE PERIOD</w:t>
            </w:r>
          </w:p>
        </w:tc>
        <w:tc>
          <w:tcPr>
            <w:tcW w:w="879" w:type="dxa"/>
            <w:tcBorders>
              <w:top w:val="single" w:sz="4" w:space="0" w:color="000000"/>
              <w:bottom w:val="single" w:sz="24" w:space="0" w:color="FFFFFF"/>
            </w:tcBorders>
            <w:shd w:val="clear" w:color="auto" w:fill="E1E4BB"/>
          </w:tcPr>
          <w:p>
            <w:pPr>
              <w:pStyle w:val="TableParagraph"/>
              <w:spacing w:before="35"/>
              <w:ind w:right="112"/>
              <w:jc w:val="right"/>
              <w:rPr>
                <w:b/>
                <w:sz w:val="18"/>
              </w:rPr>
            </w:pPr>
            <w:r>
              <w:rPr>
                <w:b/>
                <w:w w:val="95"/>
                <w:sz w:val="18"/>
              </w:rPr>
              <w:t>(1,493)</w:t>
            </w:r>
          </w:p>
        </w:tc>
        <w:tc>
          <w:tcPr>
            <w:tcW w:w="879" w:type="dxa"/>
            <w:tcBorders>
              <w:top w:val="single" w:sz="4" w:space="0" w:color="000000"/>
              <w:bottom w:val="single" w:sz="24" w:space="0" w:color="FFFFFF"/>
            </w:tcBorders>
            <w:shd w:val="clear" w:color="auto" w:fill="FAF9F9"/>
          </w:tcPr>
          <w:p>
            <w:pPr>
              <w:pStyle w:val="TableParagraph"/>
              <w:spacing w:before="35"/>
              <w:ind w:right="113"/>
              <w:jc w:val="right"/>
              <w:rPr>
                <w:b/>
                <w:sz w:val="18"/>
              </w:rPr>
            </w:pPr>
            <w:r>
              <w:rPr>
                <w:b/>
                <w:w w:val="95"/>
                <w:sz w:val="18"/>
              </w:rPr>
              <w:t>700</w:t>
            </w:r>
          </w:p>
        </w:tc>
        <w:tc>
          <w:tcPr>
            <w:tcW w:w="879" w:type="dxa"/>
            <w:tcBorders>
              <w:top w:val="single" w:sz="4" w:space="0" w:color="000000"/>
              <w:bottom w:val="single" w:sz="24" w:space="0" w:color="FFFFFF"/>
            </w:tcBorders>
            <w:shd w:val="clear" w:color="auto" w:fill="E1E4BB"/>
          </w:tcPr>
          <w:p>
            <w:pPr>
              <w:pStyle w:val="TableParagraph"/>
              <w:spacing w:before="35"/>
              <w:ind w:right="113"/>
              <w:jc w:val="right"/>
              <w:rPr>
                <w:b/>
                <w:sz w:val="18"/>
              </w:rPr>
            </w:pPr>
            <w:r>
              <w:rPr>
                <w:b/>
                <w:w w:val="95"/>
                <w:sz w:val="18"/>
              </w:rPr>
              <w:t>18,746</w:t>
            </w:r>
          </w:p>
        </w:tc>
        <w:tc>
          <w:tcPr>
            <w:tcW w:w="879" w:type="dxa"/>
            <w:tcBorders>
              <w:top w:val="single" w:sz="4" w:space="0" w:color="000000"/>
              <w:bottom w:val="single" w:sz="24" w:space="0" w:color="FFFFFF"/>
            </w:tcBorders>
            <w:shd w:val="clear" w:color="auto" w:fill="FAF9F9"/>
          </w:tcPr>
          <w:p>
            <w:pPr>
              <w:pStyle w:val="TableParagraph"/>
              <w:spacing w:before="35"/>
              <w:ind w:right="113"/>
              <w:jc w:val="right"/>
              <w:rPr>
                <w:b/>
                <w:sz w:val="18"/>
              </w:rPr>
            </w:pPr>
            <w:r>
              <w:rPr>
                <w:b/>
                <w:w w:val="95"/>
                <w:sz w:val="18"/>
              </w:rPr>
              <w:t>24,568</w:t>
            </w:r>
          </w:p>
        </w:tc>
        <w:tc>
          <w:tcPr>
            <w:tcW w:w="879" w:type="dxa"/>
            <w:tcBorders>
              <w:top w:val="single" w:sz="4" w:space="0" w:color="000000"/>
              <w:bottom w:val="single" w:sz="24" w:space="0" w:color="FFFFFF"/>
            </w:tcBorders>
            <w:shd w:val="clear" w:color="auto" w:fill="E1E4BB"/>
          </w:tcPr>
          <w:p>
            <w:pPr>
              <w:pStyle w:val="TableParagraph"/>
              <w:spacing w:before="35"/>
              <w:ind w:right="113"/>
              <w:jc w:val="right"/>
              <w:rPr>
                <w:b/>
                <w:sz w:val="18"/>
              </w:rPr>
            </w:pPr>
            <w:r>
              <w:rPr>
                <w:b/>
                <w:w w:val="95"/>
                <w:sz w:val="18"/>
              </w:rPr>
              <w:t>336</w:t>
            </w:r>
          </w:p>
        </w:tc>
        <w:tc>
          <w:tcPr>
            <w:tcW w:w="879" w:type="dxa"/>
            <w:tcBorders>
              <w:top w:val="single" w:sz="4" w:space="0" w:color="000000"/>
              <w:bottom w:val="single" w:sz="24" w:space="0" w:color="FFFFFF"/>
            </w:tcBorders>
            <w:shd w:val="clear" w:color="auto" w:fill="FAF9F9"/>
          </w:tcPr>
          <w:p>
            <w:pPr>
              <w:pStyle w:val="TableParagraph"/>
              <w:spacing w:before="35"/>
              <w:ind w:right="114"/>
              <w:jc w:val="right"/>
              <w:rPr>
                <w:b/>
                <w:sz w:val="18"/>
              </w:rPr>
            </w:pPr>
            <w:r>
              <w:rPr>
                <w:b/>
                <w:w w:val="95"/>
                <w:sz w:val="18"/>
              </w:rPr>
              <w:t>(589)</w:t>
            </w:r>
          </w:p>
        </w:tc>
        <w:tc>
          <w:tcPr>
            <w:tcW w:w="1049" w:type="dxa"/>
            <w:tcBorders>
              <w:top w:val="single" w:sz="4" w:space="0" w:color="000000"/>
              <w:bottom w:val="single" w:sz="24" w:space="0" w:color="FFFFFF"/>
            </w:tcBorders>
            <w:shd w:val="clear" w:color="auto" w:fill="E1E4BB"/>
          </w:tcPr>
          <w:p>
            <w:pPr>
              <w:pStyle w:val="TableParagraph"/>
              <w:spacing w:before="35"/>
              <w:ind w:right="114"/>
              <w:jc w:val="right"/>
              <w:rPr>
                <w:b/>
                <w:sz w:val="18"/>
              </w:rPr>
            </w:pPr>
            <w:r>
              <w:rPr>
                <w:b/>
                <w:w w:val="95"/>
                <w:sz w:val="18"/>
              </w:rPr>
              <w:t>(37,840)</w:t>
            </w:r>
          </w:p>
        </w:tc>
        <w:tc>
          <w:tcPr>
            <w:tcW w:w="1049" w:type="dxa"/>
            <w:gridSpan w:val="2"/>
            <w:tcBorders>
              <w:top w:val="single" w:sz="4" w:space="0" w:color="000000"/>
              <w:bottom w:val="single" w:sz="24" w:space="0" w:color="FFFFFF"/>
            </w:tcBorders>
            <w:shd w:val="clear" w:color="auto" w:fill="FAF9F9"/>
          </w:tcPr>
          <w:p>
            <w:pPr>
              <w:pStyle w:val="TableParagraph"/>
              <w:spacing w:before="35"/>
              <w:ind w:left="290"/>
              <w:rPr>
                <w:b/>
                <w:sz w:val="18"/>
              </w:rPr>
            </w:pPr>
            <w:r>
              <w:rPr>
                <w:b/>
                <w:sz w:val="18"/>
              </w:rPr>
              <w:t>(16,976)</w:t>
            </w:r>
          </w:p>
        </w:tc>
        <w:tc>
          <w:tcPr>
            <w:tcW w:w="879" w:type="dxa"/>
            <w:tcBorders>
              <w:top w:val="single" w:sz="4" w:space="0" w:color="000000"/>
              <w:bottom w:val="single" w:sz="24" w:space="0" w:color="FFFFFF"/>
            </w:tcBorders>
            <w:shd w:val="clear" w:color="auto" w:fill="E1E4BB"/>
          </w:tcPr>
          <w:p>
            <w:pPr>
              <w:pStyle w:val="TableParagraph"/>
              <w:spacing w:before="35"/>
              <w:ind w:right="114"/>
              <w:jc w:val="right"/>
              <w:rPr>
                <w:b/>
                <w:sz w:val="18"/>
              </w:rPr>
            </w:pPr>
            <w:r>
              <w:rPr>
                <w:b/>
                <w:w w:val="95"/>
                <w:sz w:val="18"/>
              </w:rPr>
              <w:t>46</w:t>
            </w:r>
          </w:p>
        </w:tc>
        <w:tc>
          <w:tcPr>
            <w:tcW w:w="879" w:type="dxa"/>
            <w:tcBorders>
              <w:top w:val="single" w:sz="4" w:space="0" w:color="000000"/>
              <w:bottom w:val="single" w:sz="24" w:space="0" w:color="FFFFFF"/>
            </w:tcBorders>
            <w:shd w:val="clear" w:color="auto" w:fill="FAF9F9"/>
          </w:tcPr>
          <w:p>
            <w:pPr>
              <w:pStyle w:val="TableParagraph"/>
              <w:spacing w:before="35"/>
              <w:ind w:right="112"/>
              <w:jc w:val="right"/>
              <w:rPr>
                <w:b/>
                <w:sz w:val="18"/>
              </w:rPr>
            </w:pPr>
            <w:r>
              <w:rPr>
                <w:b/>
                <w:w w:val="122"/>
                <w:sz w:val="18"/>
              </w:rPr>
              <w:t>-</w:t>
            </w:r>
          </w:p>
        </w:tc>
        <w:tc>
          <w:tcPr>
            <w:tcW w:w="879" w:type="dxa"/>
            <w:tcBorders>
              <w:top w:val="single" w:sz="4" w:space="0" w:color="000000"/>
              <w:bottom w:val="single" w:sz="24" w:space="0" w:color="FFFFFF"/>
            </w:tcBorders>
            <w:shd w:val="clear" w:color="auto" w:fill="E1E4BB"/>
          </w:tcPr>
          <w:p>
            <w:pPr>
              <w:pStyle w:val="TableParagraph"/>
              <w:spacing w:before="35"/>
              <w:ind w:right="113"/>
              <w:jc w:val="right"/>
              <w:rPr>
                <w:b/>
                <w:sz w:val="18"/>
              </w:rPr>
            </w:pPr>
            <w:r>
              <w:rPr>
                <w:b/>
                <w:w w:val="122"/>
                <w:sz w:val="18"/>
              </w:rPr>
              <w:t>-</w:t>
            </w:r>
          </w:p>
        </w:tc>
        <w:tc>
          <w:tcPr>
            <w:tcW w:w="879" w:type="dxa"/>
            <w:tcBorders>
              <w:top w:val="single" w:sz="4" w:space="0" w:color="000000"/>
              <w:bottom w:val="single" w:sz="24" w:space="0" w:color="FFFFFF"/>
            </w:tcBorders>
            <w:shd w:val="clear" w:color="auto" w:fill="FAF9F9"/>
          </w:tcPr>
          <w:p>
            <w:pPr>
              <w:pStyle w:val="TableParagraph"/>
              <w:spacing w:before="35"/>
              <w:ind w:right="115"/>
              <w:jc w:val="right"/>
              <w:rPr>
                <w:b/>
                <w:sz w:val="18"/>
              </w:rPr>
            </w:pPr>
            <w:r>
              <w:rPr>
                <w:b/>
                <w:w w:val="95"/>
                <w:sz w:val="18"/>
              </w:rPr>
              <w:t>3,140</w:t>
            </w:r>
          </w:p>
        </w:tc>
        <w:tc>
          <w:tcPr>
            <w:tcW w:w="1021" w:type="dxa"/>
            <w:tcBorders>
              <w:top w:val="single" w:sz="4" w:space="0" w:color="000000"/>
              <w:bottom w:val="single" w:sz="24" w:space="0" w:color="FFFFFF"/>
            </w:tcBorders>
            <w:shd w:val="clear" w:color="auto" w:fill="E1E4BB"/>
          </w:tcPr>
          <w:p>
            <w:pPr>
              <w:pStyle w:val="TableParagraph"/>
              <w:spacing w:before="35"/>
              <w:ind w:left="159"/>
              <w:rPr>
                <w:b/>
                <w:sz w:val="18"/>
              </w:rPr>
            </w:pPr>
            <w:r>
              <w:rPr>
                <w:b/>
                <w:sz w:val="18"/>
              </w:rPr>
              <w:t>(20,205)</w:t>
            </w:r>
          </w:p>
        </w:tc>
        <w:tc>
          <w:tcPr>
            <w:tcW w:w="1021" w:type="dxa"/>
            <w:gridSpan w:val="2"/>
            <w:tcBorders>
              <w:top w:val="single" w:sz="4" w:space="0" w:color="000000"/>
              <w:bottom w:val="single" w:sz="24" w:space="0" w:color="FFFFFF"/>
            </w:tcBorders>
            <w:shd w:val="clear" w:color="auto" w:fill="FAF9F9"/>
          </w:tcPr>
          <w:p>
            <w:pPr>
              <w:pStyle w:val="TableParagraph"/>
              <w:spacing w:before="35"/>
              <w:ind w:left="363"/>
              <w:rPr>
                <w:b/>
                <w:sz w:val="18"/>
              </w:rPr>
            </w:pPr>
            <w:r>
              <w:rPr>
                <w:b/>
                <w:sz w:val="18"/>
              </w:rPr>
              <w:t>10,841</w:t>
            </w:r>
          </w:p>
        </w:tc>
      </w:tr>
    </w:tbl>
    <w:p>
      <w:pPr>
        <w:pStyle w:val="BodyText"/>
        <w:spacing w:line="20" w:lineRule="exact"/>
        <w:ind w:left="13147"/>
        <w:rPr>
          <w:sz w:val="2"/>
        </w:rPr>
      </w:pPr>
      <w:r>
        <w:rPr>
          <w:sz w:val="2"/>
        </w:rPr>
        <w:pict>
          <v:group style="width:146pt;height:.550pt;mso-position-horizontal-relative:char;mso-position-vertical-relative:line" coordorigin="0,0" coordsize="2920,11">
            <v:line style="position:absolute" from="0,5" to="879,5" stroked="true" strokeweight=".501pt" strokecolor="#000000">
              <v:stroke dashstyle="solid"/>
            </v:line>
            <v:line style="position:absolute" from="879,5" to="1899,5" stroked="true" strokeweight=".501pt" strokecolor="#000000">
              <v:stroke dashstyle="solid"/>
            </v:line>
            <v:line style="position:absolute" from="1899,5" to="2920,5" stroked="true" strokeweight=".501pt" strokecolor="#000000">
              <v:stroke dashstyle="solid"/>
            </v:line>
          </v:group>
        </w:pict>
      </w:r>
      <w:r>
        <w:rPr>
          <w:sz w:val="2"/>
        </w:rPr>
      </w:r>
    </w:p>
    <w:p>
      <w:pPr>
        <w:spacing w:before="295"/>
        <w:ind w:left="766" w:right="0" w:firstLine="0"/>
        <w:jc w:val="left"/>
        <w:rPr>
          <w:sz w:val="18"/>
        </w:rPr>
      </w:pPr>
      <w:r>
        <w:rPr>
          <w:sz w:val="18"/>
        </w:rPr>
        <w:t>The Schedule of Income and Expenses by Service should be read in conjunction with the accompanying notes.</w:t>
      </w:r>
    </w:p>
    <w:p>
      <w:pPr>
        <w:pStyle w:val="BodyText"/>
        <w:spacing w:before="6"/>
        <w:rPr>
          <w:sz w:val="19"/>
        </w:rPr>
      </w:pPr>
    </w:p>
    <w:p>
      <w:pPr>
        <w:spacing w:before="0"/>
        <w:ind w:left="766" w:right="0" w:firstLine="0"/>
        <w:jc w:val="left"/>
        <w:rPr>
          <w:b/>
          <w:sz w:val="18"/>
        </w:rPr>
      </w:pPr>
      <w:r>
        <w:rPr>
          <w:b/>
          <w:sz w:val="18"/>
        </w:rPr>
        <w:t>Service 1: Revenue assessment and collection and grants and subsidies administration</w:t>
      </w:r>
    </w:p>
    <w:p>
      <w:pPr>
        <w:spacing w:line="249" w:lineRule="auto" w:before="9"/>
        <w:ind w:left="1683" w:right="1670" w:hanging="917"/>
        <w:jc w:val="left"/>
        <w:rPr>
          <w:b/>
          <w:sz w:val="18"/>
        </w:rPr>
      </w:pPr>
      <w:r>
        <w:rPr>
          <w:b/>
          <w:sz w:val="18"/>
        </w:rPr>
        <w:t>Service 2: Development and management of Common Use Contract Arrangements, State Fleet leasing and disposal, and providing facilitation service for agency specific contracts</w:t>
      </w:r>
    </w:p>
    <w:p>
      <w:pPr>
        <w:spacing w:before="2"/>
        <w:ind w:left="766" w:right="0" w:firstLine="0"/>
        <w:jc w:val="left"/>
        <w:rPr>
          <w:b/>
          <w:sz w:val="18"/>
        </w:rPr>
      </w:pPr>
      <w:r>
        <w:rPr>
          <w:b/>
          <w:sz w:val="18"/>
        </w:rPr>
        <w:t>Service 3: Corporate services to client agencies</w:t>
      </w:r>
    </w:p>
    <w:p>
      <w:pPr>
        <w:spacing w:line="249" w:lineRule="auto" w:before="9"/>
        <w:ind w:left="766" w:right="4121" w:firstLine="0"/>
        <w:jc w:val="left"/>
        <w:rPr>
          <w:b/>
          <w:sz w:val="10"/>
        </w:rPr>
      </w:pPr>
      <w:r>
        <w:rPr>
          <w:b/>
          <w:sz w:val="18"/>
        </w:rPr>
        <w:t>Service 4: Leads the planning, delivery, management and maintenance of government buildings, projects and office accommodation Service 5: Leads the planning and delivery of new government buildings</w:t>
      </w:r>
      <w:r>
        <w:rPr>
          <w:b/>
          <w:position w:val="6"/>
          <w:sz w:val="10"/>
        </w:rPr>
        <w:t>(a)</w:t>
      </w:r>
    </w:p>
    <w:p>
      <w:pPr>
        <w:spacing w:before="1"/>
        <w:ind w:left="765" w:right="0" w:firstLine="0"/>
        <w:jc w:val="left"/>
        <w:rPr>
          <w:b/>
          <w:sz w:val="10"/>
        </w:rPr>
      </w:pPr>
      <w:r>
        <w:rPr>
          <w:b/>
          <w:sz w:val="18"/>
        </w:rPr>
        <w:t>Service 6: Development and implementation of energy policy and economic reform, assessment of proposed policy changes and the impact on regulatory functions</w:t>
      </w:r>
      <w:r>
        <w:rPr>
          <w:b/>
          <w:position w:val="6"/>
          <w:sz w:val="10"/>
        </w:rPr>
        <w:t>(b)</w:t>
      </w:r>
    </w:p>
    <w:p>
      <w:pPr>
        <w:pStyle w:val="BodyText"/>
        <w:spacing w:before="6"/>
        <w:rPr>
          <w:b/>
          <w:sz w:val="19"/>
        </w:rPr>
      </w:pPr>
    </w:p>
    <w:p>
      <w:pPr>
        <w:pStyle w:val="ListParagraph"/>
        <w:numPr>
          <w:ilvl w:val="0"/>
          <w:numId w:val="2"/>
        </w:numPr>
        <w:tabs>
          <w:tab w:pos="996" w:val="left" w:leader="none"/>
        </w:tabs>
        <w:spacing w:line="240" w:lineRule="auto" w:before="1" w:after="0"/>
        <w:ind w:left="995" w:right="0" w:hanging="230"/>
        <w:jc w:val="left"/>
        <w:rPr>
          <w:sz w:val="18"/>
        </w:rPr>
      </w:pPr>
      <w:r>
        <w:rPr>
          <w:sz w:val="18"/>
        </w:rPr>
        <w:t>Strategic</w:t>
      </w:r>
      <w:r>
        <w:rPr>
          <w:spacing w:val="-5"/>
          <w:sz w:val="18"/>
        </w:rPr>
        <w:t> </w:t>
      </w:r>
      <w:r>
        <w:rPr>
          <w:sz w:val="18"/>
        </w:rPr>
        <w:t>Projects</w:t>
      </w:r>
      <w:r>
        <w:rPr>
          <w:spacing w:val="-4"/>
          <w:sz w:val="18"/>
        </w:rPr>
        <w:t> </w:t>
      </w:r>
      <w:r>
        <w:rPr>
          <w:sz w:val="18"/>
        </w:rPr>
        <w:t>(excluding</w:t>
      </w:r>
      <w:r>
        <w:rPr>
          <w:spacing w:val="-5"/>
          <w:sz w:val="18"/>
        </w:rPr>
        <w:t> </w:t>
      </w:r>
      <w:r>
        <w:rPr>
          <w:sz w:val="18"/>
        </w:rPr>
        <w:t>Asset</w:t>
      </w:r>
      <w:r>
        <w:rPr>
          <w:spacing w:val="-4"/>
          <w:sz w:val="18"/>
        </w:rPr>
        <w:t> </w:t>
      </w:r>
      <w:r>
        <w:rPr>
          <w:sz w:val="18"/>
        </w:rPr>
        <w:t>Sales)</w:t>
      </w:r>
      <w:r>
        <w:rPr>
          <w:spacing w:val="-5"/>
          <w:sz w:val="18"/>
        </w:rPr>
        <w:t> </w:t>
      </w:r>
      <w:r>
        <w:rPr>
          <w:sz w:val="18"/>
        </w:rPr>
        <w:t>was</w:t>
      </w:r>
      <w:r>
        <w:rPr>
          <w:spacing w:val="-4"/>
          <w:sz w:val="18"/>
        </w:rPr>
        <w:t> </w:t>
      </w:r>
      <w:r>
        <w:rPr>
          <w:sz w:val="18"/>
        </w:rPr>
        <w:t>transferred</w:t>
      </w:r>
      <w:r>
        <w:rPr>
          <w:spacing w:val="-5"/>
          <w:sz w:val="18"/>
        </w:rPr>
        <w:t> </w:t>
      </w:r>
      <w:r>
        <w:rPr>
          <w:sz w:val="18"/>
        </w:rPr>
        <w:t>from</w:t>
      </w:r>
      <w:r>
        <w:rPr>
          <w:spacing w:val="-4"/>
          <w:sz w:val="18"/>
        </w:rPr>
        <w:t> </w:t>
      </w:r>
      <w:r>
        <w:rPr>
          <w:sz w:val="18"/>
        </w:rPr>
        <w:t>the</w:t>
      </w:r>
      <w:r>
        <w:rPr>
          <w:spacing w:val="-5"/>
          <w:sz w:val="18"/>
        </w:rPr>
        <w:t> </w:t>
      </w:r>
      <w:r>
        <w:rPr>
          <w:sz w:val="18"/>
        </w:rPr>
        <w:t>Department</w:t>
      </w:r>
      <w:r>
        <w:rPr>
          <w:spacing w:val="-4"/>
          <w:sz w:val="18"/>
        </w:rPr>
        <w:t> </w:t>
      </w:r>
      <w:r>
        <w:rPr>
          <w:sz w:val="18"/>
        </w:rPr>
        <w:t>of</w:t>
      </w:r>
      <w:r>
        <w:rPr>
          <w:spacing w:val="-5"/>
          <w:sz w:val="18"/>
        </w:rPr>
        <w:t> </w:t>
      </w:r>
      <w:r>
        <w:rPr>
          <w:spacing w:val="-3"/>
          <w:sz w:val="18"/>
        </w:rPr>
        <w:t>Treasury</w:t>
      </w:r>
      <w:r>
        <w:rPr>
          <w:spacing w:val="-4"/>
          <w:sz w:val="18"/>
        </w:rPr>
        <w:t> </w:t>
      </w:r>
      <w:r>
        <w:rPr>
          <w:sz w:val="18"/>
        </w:rPr>
        <w:t>on</w:t>
      </w:r>
      <w:r>
        <w:rPr>
          <w:spacing w:val="-5"/>
          <w:sz w:val="18"/>
        </w:rPr>
        <w:t> </w:t>
      </w:r>
      <w:r>
        <w:rPr>
          <w:sz w:val="18"/>
        </w:rPr>
        <w:t>1</w:t>
      </w:r>
      <w:r>
        <w:rPr>
          <w:spacing w:val="-4"/>
          <w:sz w:val="18"/>
        </w:rPr>
        <w:t> </w:t>
      </w:r>
      <w:r>
        <w:rPr>
          <w:sz w:val="18"/>
        </w:rPr>
        <w:t>July</w:t>
      </w:r>
      <w:r>
        <w:rPr>
          <w:spacing w:val="-5"/>
          <w:sz w:val="18"/>
        </w:rPr>
        <w:t> </w:t>
      </w:r>
      <w:r>
        <w:rPr>
          <w:sz w:val="18"/>
        </w:rPr>
        <w:t>2017</w:t>
      </w:r>
      <w:r>
        <w:rPr>
          <w:spacing w:val="-4"/>
          <w:sz w:val="18"/>
        </w:rPr>
        <w:t> </w:t>
      </w:r>
      <w:r>
        <w:rPr>
          <w:sz w:val="18"/>
        </w:rPr>
        <w:t>and</w:t>
      </w:r>
      <w:r>
        <w:rPr>
          <w:spacing w:val="-5"/>
          <w:sz w:val="18"/>
        </w:rPr>
        <w:t> </w:t>
      </w:r>
      <w:r>
        <w:rPr>
          <w:sz w:val="18"/>
        </w:rPr>
        <w:t>hence</w:t>
      </w:r>
      <w:r>
        <w:rPr>
          <w:spacing w:val="-4"/>
          <w:sz w:val="18"/>
        </w:rPr>
        <w:t> </w:t>
      </w:r>
      <w:r>
        <w:rPr>
          <w:sz w:val="18"/>
        </w:rPr>
        <w:t>comparatives</w:t>
      </w:r>
      <w:r>
        <w:rPr>
          <w:spacing w:val="-5"/>
          <w:sz w:val="18"/>
        </w:rPr>
        <w:t> </w:t>
      </w:r>
      <w:r>
        <w:rPr>
          <w:sz w:val="18"/>
        </w:rPr>
        <w:t>for</w:t>
      </w:r>
      <w:r>
        <w:rPr>
          <w:spacing w:val="-4"/>
          <w:sz w:val="18"/>
        </w:rPr>
        <w:t> </w:t>
      </w:r>
      <w:r>
        <w:rPr>
          <w:sz w:val="18"/>
        </w:rPr>
        <w:t>2017</w:t>
      </w:r>
      <w:r>
        <w:rPr>
          <w:spacing w:val="-5"/>
          <w:sz w:val="18"/>
        </w:rPr>
        <w:t> </w:t>
      </w:r>
      <w:r>
        <w:rPr>
          <w:sz w:val="18"/>
        </w:rPr>
        <w:t>are</w:t>
      </w:r>
      <w:r>
        <w:rPr>
          <w:spacing w:val="-4"/>
          <w:sz w:val="18"/>
        </w:rPr>
        <w:t> </w:t>
      </w:r>
      <w:r>
        <w:rPr>
          <w:sz w:val="18"/>
        </w:rPr>
        <w:t>not</w:t>
      </w:r>
      <w:r>
        <w:rPr>
          <w:spacing w:val="-5"/>
          <w:sz w:val="18"/>
        </w:rPr>
        <w:t> </w:t>
      </w:r>
      <w:r>
        <w:rPr>
          <w:sz w:val="18"/>
        </w:rPr>
        <w:t>available.</w:t>
      </w:r>
    </w:p>
    <w:p>
      <w:pPr>
        <w:pStyle w:val="ListParagraph"/>
        <w:numPr>
          <w:ilvl w:val="0"/>
          <w:numId w:val="2"/>
        </w:numPr>
        <w:tabs>
          <w:tab w:pos="1006" w:val="left" w:leader="none"/>
        </w:tabs>
        <w:spacing w:line="240" w:lineRule="auto" w:before="9" w:after="0"/>
        <w:ind w:left="1005" w:right="0" w:hanging="240"/>
        <w:jc w:val="left"/>
        <w:rPr>
          <w:sz w:val="18"/>
        </w:rPr>
      </w:pPr>
      <w:r>
        <w:rPr>
          <w:sz w:val="18"/>
        </w:rPr>
        <w:t>Public Utilities Office and Economic Reform were transferred to the Department of </w:t>
      </w:r>
      <w:r>
        <w:rPr>
          <w:spacing w:val="-3"/>
          <w:sz w:val="18"/>
        </w:rPr>
        <w:t>Treasury </w:t>
      </w:r>
      <w:r>
        <w:rPr>
          <w:sz w:val="18"/>
        </w:rPr>
        <w:t>on 1 July</w:t>
      </w:r>
      <w:r>
        <w:rPr>
          <w:spacing w:val="-24"/>
          <w:sz w:val="18"/>
        </w:rPr>
        <w:t> </w:t>
      </w:r>
      <w:r>
        <w:rPr>
          <w:sz w:val="18"/>
        </w:rPr>
        <w:t>2017.</w:t>
      </w:r>
    </w:p>
    <w:p>
      <w:pPr>
        <w:spacing w:after="0" w:line="240" w:lineRule="auto"/>
        <w:jc w:val="left"/>
        <w:rPr>
          <w:sz w:val="18"/>
        </w:rPr>
        <w:sectPr>
          <w:footerReference w:type="default" r:id="rId135"/>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3" w:id="24"/>
      <w:bookmarkEnd w:id="24"/>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shape style="position:absolute;margin-left:601.348999pt;margin-top:-67.721718pt;width:120.3pt;height:42.55pt;mso-position-horizontal-relative:page;mso-position-vertical-relative:paragraph;z-index:11440"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721718pt;width:120.3pt;height:42.55pt;mso-position-horizontal-relative:page;mso-position-vertical-relative:paragraph;z-index:1146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721718pt;width:120.3pt;height:42.55pt;mso-position-horizontal-relative:page;mso-position-vertical-relative:paragraph;z-index:11488"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Schedule of Assets and Liabilities by</w:t>
      </w:r>
      <w:r>
        <w:rPr>
          <w:color w:val="6F2770"/>
          <w:spacing w:val="-92"/>
        </w:rPr>
        <w:t> </w:t>
      </w:r>
      <w:r>
        <w:rPr>
          <w:color w:val="6F2770"/>
        </w:rPr>
        <w:t>Service</w:t>
      </w:r>
    </w:p>
    <w:p>
      <w:pPr>
        <w:pStyle w:val="Heading4"/>
        <w:spacing w:before="28"/>
      </w:pPr>
      <w:r>
        <w:rPr>
          <w:color w:val="6F2770"/>
        </w:rPr>
        <w:t>As at 30 June 2018</w:t>
      </w:r>
    </w:p>
    <w:p>
      <w:pPr>
        <w:pStyle w:val="BodyText"/>
        <w:spacing w:before="4"/>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879"/>
        <w:gridCol w:w="879"/>
        <w:gridCol w:w="879"/>
        <w:gridCol w:w="879"/>
        <w:gridCol w:w="879"/>
        <w:gridCol w:w="879"/>
        <w:gridCol w:w="1049"/>
        <w:gridCol w:w="464"/>
        <w:gridCol w:w="585"/>
        <w:gridCol w:w="879"/>
        <w:gridCol w:w="879"/>
        <w:gridCol w:w="879"/>
        <w:gridCol w:w="879"/>
        <w:gridCol w:w="1021"/>
        <w:gridCol w:w="359"/>
        <w:gridCol w:w="664"/>
      </w:tblGrid>
      <w:tr>
        <w:trPr>
          <w:trHeight w:val="299" w:hRule="atLeast"/>
        </w:trPr>
        <w:tc>
          <w:tcPr>
            <w:tcW w:w="2381" w:type="dxa"/>
            <w:vMerge w:val="restart"/>
            <w:shd w:val="clear" w:color="auto" w:fill="783A79"/>
          </w:tcPr>
          <w:p>
            <w:pPr>
              <w:pStyle w:val="TableParagraph"/>
              <w:spacing w:before="0"/>
              <w:rPr>
                <w:rFonts w:ascii="Times New Roman"/>
                <w:sz w:val="18"/>
              </w:rPr>
            </w:pPr>
          </w:p>
        </w:tc>
        <w:tc>
          <w:tcPr>
            <w:tcW w:w="1758" w:type="dxa"/>
            <w:gridSpan w:val="2"/>
            <w:shd w:val="clear" w:color="auto" w:fill="783A79"/>
          </w:tcPr>
          <w:p>
            <w:pPr>
              <w:pStyle w:val="TableParagraph"/>
              <w:spacing w:before="49"/>
              <w:ind w:left="492"/>
              <w:rPr>
                <w:b/>
                <w:sz w:val="18"/>
              </w:rPr>
            </w:pPr>
            <w:r>
              <w:rPr>
                <w:b/>
                <w:color w:val="FFFFFF"/>
                <w:sz w:val="18"/>
              </w:rPr>
              <w:t>Service 1</w:t>
            </w:r>
          </w:p>
        </w:tc>
        <w:tc>
          <w:tcPr>
            <w:tcW w:w="1758" w:type="dxa"/>
            <w:gridSpan w:val="2"/>
            <w:shd w:val="clear" w:color="auto" w:fill="783A79"/>
          </w:tcPr>
          <w:p>
            <w:pPr>
              <w:pStyle w:val="TableParagraph"/>
              <w:spacing w:before="49"/>
              <w:ind w:left="492"/>
              <w:rPr>
                <w:b/>
                <w:sz w:val="18"/>
              </w:rPr>
            </w:pPr>
            <w:r>
              <w:rPr>
                <w:b/>
                <w:color w:val="FFFFFF"/>
                <w:sz w:val="18"/>
              </w:rPr>
              <w:t>Service 2</w:t>
            </w:r>
          </w:p>
        </w:tc>
        <w:tc>
          <w:tcPr>
            <w:tcW w:w="1758" w:type="dxa"/>
            <w:gridSpan w:val="2"/>
            <w:shd w:val="clear" w:color="auto" w:fill="783A79"/>
          </w:tcPr>
          <w:p>
            <w:pPr>
              <w:pStyle w:val="TableParagraph"/>
              <w:spacing w:before="49"/>
              <w:ind w:left="491"/>
              <w:rPr>
                <w:b/>
                <w:sz w:val="18"/>
              </w:rPr>
            </w:pPr>
            <w:r>
              <w:rPr>
                <w:b/>
                <w:color w:val="FFFFFF"/>
                <w:sz w:val="18"/>
              </w:rPr>
              <w:t>Service 3</w:t>
            </w:r>
          </w:p>
        </w:tc>
        <w:tc>
          <w:tcPr>
            <w:tcW w:w="1513" w:type="dxa"/>
            <w:gridSpan w:val="2"/>
            <w:shd w:val="clear" w:color="auto" w:fill="783A79"/>
          </w:tcPr>
          <w:p>
            <w:pPr>
              <w:pStyle w:val="TableParagraph"/>
              <w:spacing w:before="49"/>
              <w:ind w:left="661"/>
              <w:rPr>
                <w:b/>
                <w:sz w:val="18"/>
              </w:rPr>
            </w:pPr>
            <w:r>
              <w:rPr>
                <w:b/>
                <w:color w:val="FFFFFF"/>
                <w:sz w:val="18"/>
              </w:rPr>
              <w:t>Service 4</w:t>
            </w:r>
          </w:p>
        </w:tc>
        <w:tc>
          <w:tcPr>
            <w:tcW w:w="585" w:type="dxa"/>
            <w:shd w:val="clear" w:color="auto" w:fill="783A79"/>
          </w:tcPr>
          <w:p>
            <w:pPr>
              <w:pStyle w:val="TableParagraph"/>
              <w:spacing w:before="0"/>
              <w:rPr>
                <w:rFonts w:ascii="Times New Roman"/>
                <w:sz w:val="18"/>
              </w:rPr>
            </w:pPr>
          </w:p>
        </w:tc>
        <w:tc>
          <w:tcPr>
            <w:tcW w:w="1758" w:type="dxa"/>
            <w:gridSpan w:val="2"/>
            <w:shd w:val="clear" w:color="auto" w:fill="783A79"/>
          </w:tcPr>
          <w:p>
            <w:pPr>
              <w:pStyle w:val="TableParagraph"/>
              <w:spacing w:before="49"/>
              <w:ind w:left="490"/>
              <w:rPr>
                <w:b/>
                <w:sz w:val="18"/>
              </w:rPr>
            </w:pPr>
            <w:r>
              <w:rPr>
                <w:b/>
                <w:color w:val="FFFFFF"/>
                <w:sz w:val="18"/>
              </w:rPr>
              <w:t>Service 5</w:t>
            </w:r>
          </w:p>
        </w:tc>
        <w:tc>
          <w:tcPr>
            <w:tcW w:w="1758" w:type="dxa"/>
            <w:gridSpan w:val="2"/>
            <w:shd w:val="clear" w:color="auto" w:fill="783A79"/>
          </w:tcPr>
          <w:p>
            <w:pPr>
              <w:pStyle w:val="TableParagraph"/>
              <w:spacing w:before="49"/>
              <w:ind w:left="490"/>
              <w:rPr>
                <w:b/>
                <w:sz w:val="18"/>
              </w:rPr>
            </w:pPr>
            <w:r>
              <w:rPr>
                <w:b/>
                <w:color w:val="FFFFFF"/>
                <w:sz w:val="18"/>
              </w:rPr>
              <w:t>Service 6</w:t>
            </w:r>
          </w:p>
        </w:tc>
        <w:tc>
          <w:tcPr>
            <w:tcW w:w="1380" w:type="dxa"/>
            <w:gridSpan w:val="2"/>
            <w:shd w:val="clear" w:color="auto" w:fill="783A79"/>
          </w:tcPr>
          <w:p>
            <w:pPr>
              <w:pStyle w:val="TableParagraph"/>
              <w:spacing w:before="49"/>
              <w:ind w:left="814"/>
              <w:rPr>
                <w:b/>
                <w:sz w:val="18"/>
              </w:rPr>
            </w:pPr>
            <w:r>
              <w:rPr>
                <w:b/>
                <w:color w:val="FFFFFF"/>
                <w:sz w:val="18"/>
              </w:rPr>
              <w:t>Total</w:t>
            </w:r>
          </w:p>
        </w:tc>
        <w:tc>
          <w:tcPr>
            <w:tcW w:w="664" w:type="dxa"/>
            <w:shd w:val="clear" w:color="auto" w:fill="783A79"/>
          </w:tcPr>
          <w:p>
            <w:pPr>
              <w:pStyle w:val="TableParagraph"/>
              <w:spacing w:before="0"/>
              <w:rPr>
                <w:rFonts w:ascii="Times New Roman"/>
                <w:sz w:val="18"/>
              </w:rPr>
            </w:pPr>
          </w:p>
        </w:tc>
      </w:tr>
      <w:tr>
        <w:trPr>
          <w:trHeight w:val="257" w:hRule="atLeast"/>
        </w:trPr>
        <w:tc>
          <w:tcPr>
            <w:tcW w:w="2381" w:type="dxa"/>
            <w:vMerge/>
            <w:tcBorders>
              <w:top w:val="nil"/>
            </w:tcBorders>
            <w:shd w:val="clear" w:color="auto" w:fill="783A79"/>
          </w:tcPr>
          <w:p>
            <w:pPr>
              <w:rPr>
                <w:sz w:val="2"/>
                <w:szCs w:val="2"/>
              </w:rPr>
            </w:pPr>
          </w:p>
        </w:tc>
        <w:tc>
          <w:tcPr>
            <w:tcW w:w="1758" w:type="dxa"/>
            <w:gridSpan w:val="2"/>
            <w:shd w:val="clear" w:color="auto" w:fill="783A79"/>
          </w:tcPr>
          <w:p>
            <w:pPr>
              <w:pStyle w:val="TableParagraph"/>
              <w:tabs>
                <w:tab w:pos="1249" w:val="left" w:leader="none"/>
              </w:tabs>
              <w:spacing w:line="189" w:lineRule="exact" w:before="48"/>
              <w:ind w:left="370"/>
              <w:rPr>
                <w:b/>
                <w:sz w:val="18"/>
              </w:rPr>
            </w:pPr>
            <w:r>
              <w:rPr>
                <w:b/>
                <w:color w:val="FFFFFF"/>
                <w:sz w:val="18"/>
              </w:rPr>
              <w:t>2018</w:t>
              <w:tab/>
              <w:t>2017</w:t>
            </w:r>
          </w:p>
        </w:tc>
        <w:tc>
          <w:tcPr>
            <w:tcW w:w="1758" w:type="dxa"/>
            <w:gridSpan w:val="2"/>
            <w:shd w:val="clear" w:color="auto" w:fill="783A79"/>
          </w:tcPr>
          <w:p>
            <w:pPr>
              <w:pStyle w:val="TableParagraph"/>
              <w:tabs>
                <w:tab w:pos="1249" w:val="left" w:leader="none"/>
              </w:tabs>
              <w:spacing w:line="189" w:lineRule="exact" w:before="48"/>
              <w:ind w:left="370"/>
              <w:rPr>
                <w:b/>
                <w:sz w:val="18"/>
              </w:rPr>
            </w:pPr>
            <w:r>
              <w:rPr>
                <w:b/>
                <w:color w:val="FFFFFF"/>
                <w:sz w:val="18"/>
              </w:rPr>
              <w:t>2018</w:t>
              <w:tab/>
              <w:t>2017</w:t>
            </w:r>
          </w:p>
        </w:tc>
        <w:tc>
          <w:tcPr>
            <w:tcW w:w="1758" w:type="dxa"/>
            <w:gridSpan w:val="2"/>
            <w:shd w:val="clear" w:color="auto" w:fill="783A79"/>
          </w:tcPr>
          <w:p>
            <w:pPr>
              <w:pStyle w:val="TableParagraph"/>
              <w:tabs>
                <w:tab w:pos="1248" w:val="left" w:leader="none"/>
              </w:tabs>
              <w:spacing w:line="189" w:lineRule="exact" w:before="48"/>
              <w:ind w:left="369"/>
              <w:rPr>
                <w:b/>
                <w:sz w:val="18"/>
              </w:rPr>
            </w:pPr>
            <w:r>
              <w:rPr>
                <w:b/>
                <w:color w:val="FFFFFF"/>
                <w:sz w:val="18"/>
              </w:rPr>
              <w:t>2018</w:t>
              <w:tab/>
              <w:t>2017</w:t>
            </w:r>
          </w:p>
        </w:tc>
        <w:tc>
          <w:tcPr>
            <w:tcW w:w="1513" w:type="dxa"/>
            <w:gridSpan w:val="2"/>
            <w:shd w:val="clear" w:color="auto" w:fill="783A79"/>
          </w:tcPr>
          <w:p>
            <w:pPr>
              <w:pStyle w:val="TableParagraph"/>
              <w:spacing w:line="189" w:lineRule="exact" w:before="48"/>
              <w:ind w:left="517" w:right="555"/>
              <w:jc w:val="center"/>
              <w:rPr>
                <w:b/>
                <w:sz w:val="18"/>
              </w:rPr>
            </w:pPr>
            <w:r>
              <w:rPr>
                <w:b/>
                <w:color w:val="FFFFFF"/>
                <w:sz w:val="18"/>
              </w:rPr>
              <w:t>2018</w:t>
            </w:r>
          </w:p>
        </w:tc>
        <w:tc>
          <w:tcPr>
            <w:tcW w:w="585" w:type="dxa"/>
            <w:shd w:val="clear" w:color="auto" w:fill="783A79"/>
          </w:tcPr>
          <w:p>
            <w:pPr>
              <w:pStyle w:val="TableParagraph"/>
              <w:spacing w:line="189" w:lineRule="exact" w:before="48"/>
              <w:ind w:left="52" w:right="91"/>
              <w:jc w:val="center"/>
              <w:rPr>
                <w:b/>
                <w:sz w:val="18"/>
              </w:rPr>
            </w:pPr>
            <w:r>
              <w:rPr>
                <w:b/>
                <w:color w:val="FFFFFF"/>
                <w:sz w:val="18"/>
              </w:rPr>
              <w:t>2017</w:t>
            </w:r>
          </w:p>
        </w:tc>
        <w:tc>
          <w:tcPr>
            <w:tcW w:w="1758" w:type="dxa"/>
            <w:gridSpan w:val="2"/>
            <w:shd w:val="clear" w:color="auto" w:fill="783A79"/>
          </w:tcPr>
          <w:p>
            <w:pPr>
              <w:pStyle w:val="TableParagraph"/>
              <w:tabs>
                <w:tab w:pos="1247" w:val="left" w:leader="none"/>
              </w:tabs>
              <w:spacing w:line="189" w:lineRule="exact" w:before="48"/>
              <w:ind w:left="369"/>
              <w:rPr>
                <w:b/>
                <w:sz w:val="18"/>
              </w:rPr>
            </w:pPr>
            <w:r>
              <w:rPr>
                <w:b/>
                <w:color w:val="FFFFFF"/>
                <w:sz w:val="18"/>
              </w:rPr>
              <w:t>2018</w:t>
              <w:tab/>
              <w:t>2017</w:t>
            </w:r>
          </w:p>
        </w:tc>
        <w:tc>
          <w:tcPr>
            <w:tcW w:w="1758" w:type="dxa"/>
            <w:gridSpan w:val="2"/>
            <w:shd w:val="clear" w:color="auto" w:fill="783A79"/>
          </w:tcPr>
          <w:p>
            <w:pPr>
              <w:pStyle w:val="TableParagraph"/>
              <w:tabs>
                <w:tab w:pos="1247" w:val="left" w:leader="none"/>
              </w:tabs>
              <w:spacing w:line="189" w:lineRule="exact" w:before="48"/>
              <w:ind w:left="368"/>
              <w:rPr>
                <w:b/>
                <w:sz w:val="18"/>
              </w:rPr>
            </w:pPr>
            <w:r>
              <w:rPr>
                <w:b/>
                <w:color w:val="FFFFFF"/>
                <w:sz w:val="18"/>
              </w:rPr>
              <w:t>2018</w:t>
              <w:tab/>
              <w:t>2017</w:t>
            </w:r>
          </w:p>
        </w:tc>
        <w:tc>
          <w:tcPr>
            <w:tcW w:w="1380" w:type="dxa"/>
            <w:gridSpan w:val="2"/>
            <w:shd w:val="clear" w:color="auto" w:fill="783A79"/>
          </w:tcPr>
          <w:p>
            <w:pPr>
              <w:pStyle w:val="TableParagraph"/>
              <w:spacing w:line="189" w:lineRule="exact" w:before="48"/>
              <w:ind w:left="485" w:right="453"/>
              <w:jc w:val="center"/>
              <w:rPr>
                <w:b/>
                <w:sz w:val="18"/>
              </w:rPr>
            </w:pPr>
            <w:r>
              <w:rPr>
                <w:b/>
                <w:color w:val="FFFFFF"/>
                <w:sz w:val="18"/>
              </w:rPr>
              <w:t>2018</w:t>
            </w:r>
          </w:p>
        </w:tc>
        <w:tc>
          <w:tcPr>
            <w:tcW w:w="664" w:type="dxa"/>
            <w:shd w:val="clear" w:color="auto" w:fill="783A79"/>
          </w:tcPr>
          <w:p>
            <w:pPr>
              <w:pStyle w:val="TableParagraph"/>
              <w:spacing w:line="189" w:lineRule="exact" w:before="48"/>
              <w:ind w:left="126" w:right="97"/>
              <w:jc w:val="center"/>
              <w:rPr>
                <w:b/>
                <w:sz w:val="18"/>
              </w:rPr>
            </w:pPr>
            <w:r>
              <w:rPr>
                <w:b/>
                <w:color w:val="FFFFFF"/>
                <w:sz w:val="18"/>
              </w:rPr>
              <w:t>2017</w:t>
            </w:r>
          </w:p>
        </w:tc>
      </w:tr>
      <w:tr>
        <w:trPr>
          <w:trHeight w:val="261" w:hRule="atLeast"/>
        </w:trPr>
        <w:tc>
          <w:tcPr>
            <w:tcW w:w="2381" w:type="dxa"/>
            <w:vMerge/>
            <w:tcBorders>
              <w:top w:val="nil"/>
            </w:tcBorders>
            <w:shd w:val="clear" w:color="auto" w:fill="783A79"/>
          </w:tcPr>
          <w:p>
            <w:pPr>
              <w:rPr>
                <w:sz w:val="2"/>
                <w:szCs w:val="2"/>
              </w:rPr>
            </w:pPr>
          </w:p>
        </w:tc>
        <w:tc>
          <w:tcPr>
            <w:tcW w:w="1758" w:type="dxa"/>
            <w:gridSpan w:val="2"/>
            <w:shd w:val="clear" w:color="auto" w:fill="783A79"/>
          </w:tcPr>
          <w:p>
            <w:pPr>
              <w:pStyle w:val="TableParagraph"/>
              <w:tabs>
                <w:tab w:pos="1249" w:val="left" w:leader="none"/>
              </w:tabs>
              <w:spacing w:before="7"/>
              <w:ind w:left="370"/>
              <w:rPr>
                <w:b/>
                <w:sz w:val="18"/>
              </w:rPr>
            </w:pPr>
            <w:r>
              <w:rPr>
                <w:b/>
                <w:color w:val="FFFFFF"/>
                <w:sz w:val="18"/>
              </w:rPr>
              <w:t>$000</w:t>
              <w:tab/>
              <w:t>$000</w:t>
            </w:r>
          </w:p>
        </w:tc>
        <w:tc>
          <w:tcPr>
            <w:tcW w:w="1758" w:type="dxa"/>
            <w:gridSpan w:val="2"/>
            <w:shd w:val="clear" w:color="auto" w:fill="783A79"/>
          </w:tcPr>
          <w:p>
            <w:pPr>
              <w:pStyle w:val="TableParagraph"/>
              <w:tabs>
                <w:tab w:pos="1249" w:val="left" w:leader="none"/>
              </w:tabs>
              <w:spacing w:before="7"/>
              <w:ind w:left="370"/>
              <w:rPr>
                <w:b/>
                <w:sz w:val="18"/>
              </w:rPr>
            </w:pPr>
            <w:r>
              <w:rPr>
                <w:b/>
                <w:color w:val="FFFFFF"/>
                <w:sz w:val="18"/>
              </w:rPr>
              <w:t>$000</w:t>
              <w:tab/>
              <w:t>$000</w:t>
            </w:r>
          </w:p>
        </w:tc>
        <w:tc>
          <w:tcPr>
            <w:tcW w:w="1758" w:type="dxa"/>
            <w:gridSpan w:val="2"/>
            <w:shd w:val="clear" w:color="auto" w:fill="783A79"/>
          </w:tcPr>
          <w:p>
            <w:pPr>
              <w:pStyle w:val="TableParagraph"/>
              <w:tabs>
                <w:tab w:pos="1248" w:val="left" w:leader="none"/>
              </w:tabs>
              <w:spacing w:before="7"/>
              <w:ind w:left="369"/>
              <w:rPr>
                <w:b/>
                <w:sz w:val="18"/>
              </w:rPr>
            </w:pPr>
            <w:r>
              <w:rPr>
                <w:b/>
                <w:color w:val="FFFFFF"/>
                <w:sz w:val="18"/>
              </w:rPr>
              <w:t>$000</w:t>
              <w:tab/>
              <w:t>$000</w:t>
            </w:r>
          </w:p>
        </w:tc>
        <w:tc>
          <w:tcPr>
            <w:tcW w:w="1513" w:type="dxa"/>
            <w:gridSpan w:val="2"/>
            <w:shd w:val="clear" w:color="auto" w:fill="783A79"/>
          </w:tcPr>
          <w:p>
            <w:pPr>
              <w:pStyle w:val="TableParagraph"/>
              <w:spacing w:before="7"/>
              <w:ind w:left="517" w:right="555"/>
              <w:jc w:val="center"/>
              <w:rPr>
                <w:b/>
                <w:sz w:val="18"/>
              </w:rPr>
            </w:pPr>
            <w:r>
              <w:rPr>
                <w:b/>
                <w:color w:val="FFFFFF"/>
                <w:sz w:val="18"/>
              </w:rPr>
              <w:t>$000</w:t>
            </w:r>
          </w:p>
        </w:tc>
        <w:tc>
          <w:tcPr>
            <w:tcW w:w="585" w:type="dxa"/>
            <w:shd w:val="clear" w:color="auto" w:fill="783A79"/>
          </w:tcPr>
          <w:p>
            <w:pPr>
              <w:pStyle w:val="TableParagraph"/>
              <w:spacing w:before="7"/>
              <w:ind w:left="52" w:right="91"/>
              <w:jc w:val="center"/>
              <w:rPr>
                <w:b/>
                <w:sz w:val="18"/>
              </w:rPr>
            </w:pPr>
            <w:r>
              <w:rPr>
                <w:b/>
                <w:color w:val="FFFFFF"/>
                <w:sz w:val="18"/>
              </w:rPr>
              <w:t>$000</w:t>
            </w:r>
          </w:p>
        </w:tc>
        <w:tc>
          <w:tcPr>
            <w:tcW w:w="1758" w:type="dxa"/>
            <w:gridSpan w:val="2"/>
            <w:shd w:val="clear" w:color="auto" w:fill="783A79"/>
          </w:tcPr>
          <w:p>
            <w:pPr>
              <w:pStyle w:val="TableParagraph"/>
              <w:tabs>
                <w:tab w:pos="1247" w:val="left" w:leader="none"/>
              </w:tabs>
              <w:spacing w:before="7"/>
              <w:ind w:left="369"/>
              <w:rPr>
                <w:b/>
                <w:sz w:val="18"/>
              </w:rPr>
            </w:pPr>
            <w:r>
              <w:rPr>
                <w:b/>
                <w:color w:val="FFFFFF"/>
                <w:sz w:val="18"/>
              </w:rPr>
              <w:t>$000</w:t>
              <w:tab/>
              <w:t>$000</w:t>
            </w:r>
          </w:p>
        </w:tc>
        <w:tc>
          <w:tcPr>
            <w:tcW w:w="1758" w:type="dxa"/>
            <w:gridSpan w:val="2"/>
            <w:shd w:val="clear" w:color="auto" w:fill="783A79"/>
          </w:tcPr>
          <w:p>
            <w:pPr>
              <w:pStyle w:val="TableParagraph"/>
              <w:tabs>
                <w:tab w:pos="1247" w:val="left" w:leader="none"/>
              </w:tabs>
              <w:spacing w:before="7"/>
              <w:ind w:left="368"/>
              <w:rPr>
                <w:b/>
                <w:sz w:val="18"/>
              </w:rPr>
            </w:pPr>
            <w:r>
              <w:rPr>
                <w:b/>
                <w:color w:val="FFFFFF"/>
                <w:sz w:val="18"/>
              </w:rPr>
              <w:t>$000</w:t>
              <w:tab/>
              <w:t>$000</w:t>
            </w:r>
          </w:p>
        </w:tc>
        <w:tc>
          <w:tcPr>
            <w:tcW w:w="1380" w:type="dxa"/>
            <w:gridSpan w:val="2"/>
            <w:shd w:val="clear" w:color="auto" w:fill="783A79"/>
          </w:tcPr>
          <w:p>
            <w:pPr>
              <w:pStyle w:val="TableParagraph"/>
              <w:spacing w:before="7"/>
              <w:ind w:left="485" w:right="453"/>
              <w:jc w:val="center"/>
              <w:rPr>
                <w:b/>
                <w:sz w:val="18"/>
              </w:rPr>
            </w:pPr>
            <w:r>
              <w:rPr>
                <w:b/>
                <w:color w:val="FFFFFF"/>
                <w:sz w:val="18"/>
              </w:rPr>
              <w:t>$000</w:t>
            </w:r>
          </w:p>
        </w:tc>
        <w:tc>
          <w:tcPr>
            <w:tcW w:w="664" w:type="dxa"/>
            <w:shd w:val="clear" w:color="auto" w:fill="783A79"/>
          </w:tcPr>
          <w:p>
            <w:pPr>
              <w:pStyle w:val="TableParagraph"/>
              <w:spacing w:before="7"/>
              <w:ind w:left="126" w:right="97"/>
              <w:jc w:val="center"/>
              <w:rPr>
                <w:b/>
                <w:sz w:val="18"/>
              </w:rPr>
            </w:pPr>
            <w:r>
              <w:rPr>
                <w:b/>
                <w:color w:val="FFFFFF"/>
                <w:sz w:val="18"/>
              </w:rPr>
              <w:t>$000</w:t>
            </w:r>
          </w:p>
        </w:tc>
      </w:tr>
      <w:tr>
        <w:trPr>
          <w:trHeight w:val="317" w:hRule="atLeast"/>
        </w:trPr>
        <w:tc>
          <w:tcPr>
            <w:tcW w:w="2381" w:type="dxa"/>
            <w:tcBorders>
              <w:bottom w:val="single" w:sz="8" w:space="0" w:color="FFFFFF"/>
            </w:tcBorders>
            <w:shd w:val="clear" w:color="auto" w:fill="F4F4F4"/>
          </w:tcPr>
          <w:p>
            <w:pPr>
              <w:pStyle w:val="TableParagraph"/>
              <w:spacing w:before="44"/>
              <w:ind w:left="113"/>
              <w:rPr>
                <w:i/>
                <w:sz w:val="18"/>
              </w:rPr>
            </w:pPr>
            <w:r>
              <w:rPr>
                <w:i/>
                <w:color w:val="6F2770"/>
                <w:sz w:val="18"/>
              </w:rPr>
              <w:t>Assets</w:t>
            </w:r>
          </w:p>
        </w:tc>
        <w:tc>
          <w:tcPr>
            <w:tcW w:w="87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left="224"/>
              <w:rPr>
                <w:sz w:val="18"/>
              </w:rPr>
            </w:pPr>
            <w:r>
              <w:rPr>
                <w:spacing w:val="-2"/>
                <w:sz w:val="18"/>
              </w:rPr>
              <w:t>29,462</w:t>
            </w:r>
          </w:p>
          <w:p>
            <w:pPr>
              <w:pStyle w:val="TableParagraph"/>
              <w:spacing w:before="91"/>
              <w:ind w:left="126"/>
              <w:rPr>
                <w:sz w:val="18"/>
              </w:rPr>
            </w:pPr>
            <w:r>
              <w:rPr>
                <w:sz w:val="18"/>
              </w:rPr>
              <w:t>171,313</w:t>
            </w: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left="223"/>
              <w:rPr>
                <w:sz w:val="18"/>
              </w:rPr>
            </w:pPr>
            <w:r>
              <w:rPr>
                <w:spacing w:val="-2"/>
                <w:sz w:val="18"/>
              </w:rPr>
              <w:t>31,581</w:t>
            </w:r>
          </w:p>
          <w:p>
            <w:pPr>
              <w:pStyle w:val="TableParagraph"/>
              <w:spacing w:before="91"/>
              <w:ind w:left="125"/>
              <w:rPr>
                <w:sz w:val="18"/>
              </w:rPr>
            </w:pPr>
            <w:r>
              <w:rPr>
                <w:sz w:val="18"/>
              </w:rPr>
              <w:t>341,173</w:t>
            </w: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right="112"/>
              <w:jc w:val="right"/>
              <w:rPr>
                <w:sz w:val="18"/>
              </w:rPr>
            </w:pPr>
            <w:r>
              <w:rPr>
                <w:w w:val="111"/>
                <w:sz w:val="18"/>
              </w:rPr>
              <w:t>-</w:t>
            </w:r>
          </w:p>
          <w:p>
            <w:pPr>
              <w:pStyle w:val="TableParagraph"/>
              <w:spacing w:before="91"/>
              <w:ind w:right="112"/>
              <w:jc w:val="right"/>
              <w:rPr>
                <w:sz w:val="18"/>
              </w:rPr>
            </w:pPr>
            <w:r>
              <w:rPr>
                <w:w w:val="111"/>
                <w:sz w:val="18"/>
              </w:rPr>
              <w:t>-</w:t>
            </w: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4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left="294"/>
              <w:rPr>
                <w:sz w:val="18"/>
              </w:rPr>
            </w:pPr>
            <w:r>
              <w:rPr>
                <w:sz w:val="18"/>
              </w:rPr>
              <w:t>172,145</w:t>
            </w:r>
          </w:p>
          <w:p>
            <w:pPr>
              <w:pStyle w:val="TableParagraph"/>
              <w:spacing w:before="91"/>
              <w:ind w:left="294"/>
              <w:rPr>
                <w:sz w:val="18"/>
              </w:rPr>
            </w:pPr>
            <w:r>
              <w:rPr>
                <w:sz w:val="18"/>
              </w:rPr>
              <w:t>720,847</w:t>
            </w: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87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left="320"/>
              <w:rPr>
                <w:sz w:val="18"/>
              </w:rPr>
            </w:pPr>
            <w:r>
              <w:rPr>
                <w:sz w:val="18"/>
              </w:rPr>
              <w:t>6,624</w:t>
            </w:r>
          </w:p>
          <w:p>
            <w:pPr>
              <w:pStyle w:val="TableParagraph"/>
              <w:spacing w:before="91"/>
              <w:ind w:left="222"/>
              <w:rPr>
                <w:sz w:val="18"/>
              </w:rPr>
            </w:pPr>
            <w:r>
              <w:rPr>
                <w:spacing w:val="-2"/>
                <w:sz w:val="18"/>
              </w:rPr>
              <w:t>17,132</w:t>
            </w: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879"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right="113"/>
              <w:jc w:val="right"/>
              <w:rPr>
                <w:sz w:val="18"/>
              </w:rPr>
            </w:pPr>
            <w:r>
              <w:rPr>
                <w:w w:val="111"/>
                <w:sz w:val="18"/>
              </w:rPr>
              <w:t>-</w:t>
            </w:r>
          </w:p>
          <w:p>
            <w:pPr>
              <w:pStyle w:val="TableParagraph"/>
              <w:spacing w:before="91"/>
              <w:ind w:right="113"/>
              <w:jc w:val="right"/>
              <w:rPr>
                <w:sz w:val="18"/>
              </w:rPr>
            </w:pPr>
            <w:r>
              <w:rPr>
                <w:w w:val="111"/>
                <w:sz w:val="18"/>
              </w:rPr>
              <w:t>-</w:t>
            </w:r>
          </w:p>
        </w:tc>
        <w:tc>
          <w:tcPr>
            <w:tcW w:w="879" w:type="dxa"/>
            <w:tcBorders>
              <w:bottom w:val="single" w:sz="8" w:space="0" w:color="FFFFFF"/>
            </w:tcBorders>
            <w:shd w:val="clear" w:color="auto" w:fill="F4F4F4"/>
          </w:tcPr>
          <w:p>
            <w:pPr>
              <w:pStyle w:val="TableParagraph"/>
              <w:spacing w:before="0"/>
              <w:rPr>
                <w:rFonts w:ascii="Times New Roman"/>
                <w:sz w:val="18"/>
              </w:rPr>
            </w:pPr>
          </w:p>
        </w:tc>
        <w:tc>
          <w:tcPr>
            <w:tcW w:w="1021" w:type="dxa"/>
            <w:vMerge w:val="restart"/>
            <w:tcBorders>
              <w:bottom w:val="single" w:sz="4" w:space="0" w:color="000000"/>
            </w:tcBorders>
            <w:shd w:val="clear" w:color="auto" w:fill="E1E4BB"/>
          </w:tcPr>
          <w:p>
            <w:pPr>
              <w:pStyle w:val="TableParagraph"/>
              <w:spacing w:before="0"/>
              <w:rPr>
                <w:sz w:val="20"/>
              </w:rPr>
            </w:pPr>
          </w:p>
          <w:p>
            <w:pPr>
              <w:pStyle w:val="TableParagraph"/>
              <w:spacing w:before="142"/>
              <w:ind w:left="237" w:right="90"/>
              <w:jc w:val="center"/>
              <w:rPr>
                <w:sz w:val="18"/>
              </w:rPr>
            </w:pPr>
            <w:r>
              <w:rPr>
                <w:sz w:val="18"/>
              </w:rPr>
              <w:t>239,812</w:t>
            </w:r>
          </w:p>
          <w:p>
            <w:pPr>
              <w:pStyle w:val="TableParagraph"/>
              <w:spacing w:before="91"/>
              <w:ind w:left="90" w:right="90"/>
              <w:jc w:val="center"/>
              <w:rPr>
                <w:sz w:val="18"/>
              </w:rPr>
            </w:pPr>
            <w:r>
              <w:rPr>
                <w:sz w:val="18"/>
              </w:rPr>
              <w:t>1,250,465</w:t>
            </w:r>
          </w:p>
        </w:tc>
        <w:tc>
          <w:tcPr>
            <w:tcW w:w="1023" w:type="dxa"/>
            <w:gridSpan w:val="2"/>
            <w:tcBorders>
              <w:bottom w:val="single" w:sz="8" w:space="0" w:color="FFFFFF"/>
            </w:tcBorders>
            <w:shd w:val="clear" w:color="auto" w:fill="F4F4F4"/>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Current assets</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24,253</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95"/>
                <w:sz w:val="18"/>
              </w:rPr>
              <w:t>38,781</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111"/>
                <w:sz w:val="18"/>
              </w:rPr>
              <w:t>-</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spacing w:before="35"/>
              <w:ind w:left="294"/>
              <w:rPr>
                <w:sz w:val="18"/>
              </w:rPr>
            </w:pPr>
            <w:r>
              <w:rPr>
                <w:sz w:val="18"/>
              </w:rPr>
              <w:t>213,944</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8" w:space="0" w:color="FFFFFF"/>
            </w:tcBorders>
            <w:shd w:val="clear" w:color="auto" w:fill="FAF9F9"/>
          </w:tcPr>
          <w:p>
            <w:pPr>
              <w:pStyle w:val="TableParagraph"/>
              <w:spacing w:before="35"/>
              <w:ind w:right="113"/>
              <w:jc w:val="right"/>
              <w:rPr>
                <w:sz w:val="18"/>
              </w:rPr>
            </w:pPr>
            <w:r>
              <w:rPr>
                <w:w w:val="111"/>
                <w:sz w:val="18"/>
              </w:rPr>
              <w:t>-</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8" w:space="0" w:color="FFFFFF"/>
            </w:tcBorders>
            <w:shd w:val="clear" w:color="auto" w:fill="FAF9F9"/>
          </w:tcPr>
          <w:p>
            <w:pPr>
              <w:pStyle w:val="TableParagraph"/>
              <w:spacing w:before="35"/>
              <w:ind w:right="115"/>
              <w:jc w:val="right"/>
              <w:rPr>
                <w:sz w:val="18"/>
              </w:rPr>
            </w:pPr>
            <w:r>
              <w:rPr>
                <w:w w:val="95"/>
                <w:sz w:val="18"/>
              </w:rPr>
              <w:t>5,240</w:t>
            </w:r>
          </w:p>
        </w:tc>
        <w:tc>
          <w:tcPr>
            <w:tcW w:w="1021" w:type="dxa"/>
            <w:vMerge/>
            <w:tcBorders>
              <w:top w:val="nil"/>
              <w:bottom w:val="single" w:sz="4" w:space="0" w:color="000000"/>
            </w:tcBorders>
            <w:shd w:val="clear" w:color="auto" w:fill="E1E4BB"/>
          </w:tcPr>
          <w:p>
            <w:pPr>
              <w:rPr>
                <w:sz w:val="2"/>
                <w:szCs w:val="2"/>
              </w:rPr>
            </w:pPr>
          </w:p>
        </w:tc>
        <w:tc>
          <w:tcPr>
            <w:tcW w:w="1023" w:type="dxa"/>
            <w:gridSpan w:val="2"/>
            <w:tcBorders>
              <w:top w:val="single" w:sz="8" w:space="0" w:color="FFFFFF"/>
              <w:bottom w:val="single" w:sz="8" w:space="0" w:color="FFFFFF"/>
            </w:tcBorders>
            <w:shd w:val="clear" w:color="auto" w:fill="FAF9F9"/>
          </w:tcPr>
          <w:p>
            <w:pPr>
              <w:pStyle w:val="TableParagraph"/>
              <w:spacing w:before="35"/>
              <w:ind w:left="264"/>
              <w:rPr>
                <w:sz w:val="18"/>
              </w:rPr>
            </w:pPr>
            <w:r>
              <w:rPr>
                <w:sz w:val="18"/>
              </w:rPr>
              <w:t>282,218</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sz w:val="18"/>
              </w:rPr>
            </w:pPr>
            <w:r>
              <w:rPr>
                <w:sz w:val="18"/>
              </w:rPr>
              <w:t>Non-current assets</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4" w:space="0" w:color="000000"/>
            </w:tcBorders>
            <w:shd w:val="clear" w:color="auto" w:fill="F4F4F4"/>
          </w:tcPr>
          <w:p>
            <w:pPr>
              <w:pStyle w:val="TableParagraph"/>
              <w:spacing w:before="35"/>
              <w:ind w:right="113"/>
              <w:jc w:val="right"/>
              <w:rPr>
                <w:sz w:val="18"/>
              </w:rPr>
            </w:pPr>
            <w:r>
              <w:rPr>
                <w:w w:val="95"/>
                <w:sz w:val="18"/>
              </w:rPr>
              <w:t>140,658</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4" w:space="0" w:color="000000"/>
            </w:tcBorders>
            <w:shd w:val="clear" w:color="auto" w:fill="F4F4F4"/>
          </w:tcPr>
          <w:p>
            <w:pPr>
              <w:pStyle w:val="TableParagraph"/>
              <w:spacing w:before="35"/>
              <w:ind w:right="113"/>
              <w:jc w:val="right"/>
              <w:rPr>
                <w:sz w:val="18"/>
              </w:rPr>
            </w:pPr>
            <w:r>
              <w:rPr>
                <w:w w:val="95"/>
                <w:sz w:val="18"/>
              </w:rPr>
              <w:t>321,133</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4" w:space="0" w:color="000000"/>
            </w:tcBorders>
            <w:shd w:val="clear" w:color="auto" w:fill="F4F4F4"/>
          </w:tcPr>
          <w:p>
            <w:pPr>
              <w:pStyle w:val="TableParagraph"/>
              <w:spacing w:before="35"/>
              <w:ind w:right="112"/>
              <w:jc w:val="right"/>
              <w:rPr>
                <w:sz w:val="18"/>
              </w:rPr>
            </w:pPr>
            <w:r>
              <w:rPr>
                <w:w w:val="111"/>
                <w:sz w:val="18"/>
              </w:rPr>
              <w:t>-</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spacing w:before="35"/>
              <w:ind w:left="294"/>
              <w:rPr>
                <w:sz w:val="18"/>
              </w:rPr>
            </w:pPr>
            <w:r>
              <w:rPr>
                <w:sz w:val="18"/>
              </w:rPr>
              <w:t>738,180</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4" w:space="0" w:color="000000"/>
            </w:tcBorders>
            <w:shd w:val="clear" w:color="auto" w:fill="F4F4F4"/>
          </w:tcPr>
          <w:p>
            <w:pPr>
              <w:pStyle w:val="TableParagraph"/>
              <w:spacing w:before="35"/>
              <w:ind w:right="113"/>
              <w:jc w:val="right"/>
              <w:rPr>
                <w:sz w:val="18"/>
              </w:rPr>
            </w:pPr>
            <w:r>
              <w:rPr>
                <w:w w:val="111"/>
                <w:sz w:val="18"/>
              </w:rPr>
              <w:t>-</w:t>
            </w:r>
          </w:p>
        </w:tc>
        <w:tc>
          <w:tcPr>
            <w:tcW w:w="879" w:type="dxa"/>
            <w:vMerge/>
            <w:tcBorders>
              <w:top w:val="nil"/>
              <w:bottom w:val="single" w:sz="4" w:space="0" w:color="000000"/>
            </w:tcBorders>
            <w:shd w:val="clear" w:color="auto" w:fill="E1E4BB"/>
          </w:tcPr>
          <w:p>
            <w:pPr>
              <w:rPr>
                <w:sz w:val="2"/>
                <w:szCs w:val="2"/>
              </w:rPr>
            </w:pPr>
          </w:p>
        </w:tc>
        <w:tc>
          <w:tcPr>
            <w:tcW w:w="879" w:type="dxa"/>
            <w:tcBorders>
              <w:top w:val="single" w:sz="8" w:space="0" w:color="FFFFFF"/>
              <w:bottom w:val="single" w:sz="4" w:space="0" w:color="000000"/>
            </w:tcBorders>
            <w:shd w:val="clear" w:color="auto" w:fill="F4F4F4"/>
          </w:tcPr>
          <w:p>
            <w:pPr>
              <w:pStyle w:val="TableParagraph"/>
              <w:spacing w:before="35"/>
              <w:ind w:right="115"/>
              <w:jc w:val="right"/>
              <w:rPr>
                <w:sz w:val="18"/>
              </w:rPr>
            </w:pPr>
            <w:r>
              <w:rPr>
                <w:w w:val="95"/>
                <w:sz w:val="18"/>
              </w:rPr>
              <w:t>23,487</w:t>
            </w:r>
          </w:p>
        </w:tc>
        <w:tc>
          <w:tcPr>
            <w:tcW w:w="1021" w:type="dxa"/>
            <w:vMerge/>
            <w:tcBorders>
              <w:top w:val="nil"/>
              <w:bottom w:val="single" w:sz="4" w:space="0" w:color="000000"/>
            </w:tcBorders>
            <w:shd w:val="clear" w:color="auto" w:fill="E1E4BB"/>
          </w:tcPr>
          <w:p>
            <w:pPr>
              <w:rPr>
                <w:sz w:val="2"/>
                <w:szCs w:val="2"/>
              </w:rPr>
            </w:pPr>
          </w:p>
        </w:tc>
        <w:tc>
          <w:tcPr>
            <w:tcW w:w="1023" w:type="dxa"/>
            <w:gridSpan w:val="2"/>
            <w:tcBorders>
              <w:top w:val="single" w:sz="8" w:space="0" w:color="FFFFFF"/>
              <w:bottom w:val="single" w:sz="4" w:space="0" w:color="000000"/>
            </w:tcBorders>
            <w:shd w:val="clear" w:color="auto" w:fill="F4F4F4"/>
          </w:tcPr>
          <w:p>
            <w:pPr>
              <w:pStyle w:val="TableParagraph"/>
              <w:spacing w:before="35"/>
              <w:ind w:left="117"/>
              <w:rPr>
                <w:sz w:val="18"/>
              </w:rPr>
            </w:pPr>
            <w:r>
              <w:rPr>
                <w:sz w:val="18"/>
              </w:rPr>
              <w:t>1,223,458</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b/>
                <w:sz w:val="18"/>
              </w:rPr>
            </w:pPr>
            <w:r>
              <w:rPr>
                <w:b/>
                <w:sz w:val="18"/>
              </w:rPr>
              <w:t>Total assets</w:t>
            </w:r>
          </w:p>
        </w:tc>
        <w:tc>
          <w:tcPr>
            <w:tcW w:w="87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95"/>
                <w:sz w:val="18"/>
              </w:rPr>
              <w:t>200,775</w:t>
            </w:r>
          </w:p>
        </w:tc>
        <w:tc>
          <w:tcPr>
            <w:tcW w:w="879" w:type="dxa"/>
            <w:tcBorders>
              <w:top w:val="single" w:sz="4" w:space="0" w:color="000000"/>
              <w:bottom w:val="single" w:sz="4" w:space="0" w:color="000000"/>
            </w:tcBorders>
            <w:shd w:val="clear" w:color="auto" w:fill="FAF9F9"/>
          </w:tcPr>
          <w:p>
            <w:pPr>
              <w:pStyle w:val="TableParagraph"/>
              <w:spacing w:before="35"/>
              <w:ind w:right="113"/>
              <w:jc w:val="right"/>
              <w:rPr>
                <w:b/>
                <w:sz w:val="18"/>
              </w:rPr>
            </w:pPr>
            <w:r>
              <w:rPr>
                <w:b/>
                <w:w w:val="95"/>
                <w:sz w:val="18"/>
              </w:rPr>
              <w:t>164,911</w:t>
            </w:r>
          </w:p>
        </w:tc>
        <w:tc>
          <w:tcPr>
            <w:tcW w:w="879" w:type="dxa"/>
            <w:tcBorders>
              <w:top w:val="single" w:sz="4" w:space="0" w:color="000000"/>
              <w:bottom w:val="single" w:sz="4" w:space="0" w:color="000000"/>
            </w:tcBorders>
            <w:shd w:val="clear" w:color="auto" w:fill="E1E4BB"/>
          </w:tcPr>
          <w:p>
            <w:pPr>
              <w:pStyle w:val="TableParagraph"/>
              <w:spacing w:before="35"/>
              <w:ind w:right="113"/>
              <w:jc w:val="right"/>
              <w:rPr>
                <w:b/>
                <w:sz w:val="18"/>
              </w:rPr>
            </w:pPr>
            <w:r>
              <w:rPr>
                <w:b/>
                <w:w w:val="95"/>
                <w:sz w:val="18"/>
              </w:rPr>
              <w:t>372,754</w:t>
            </w:r>
          </w:p>
        </w:tc>
        <w:tc>
          <w:tcPr>
            <w:tcW w:w="879" w:type="dxa"/>
            <w:tcBorders>
              <w:top w:val="single" w:sz="4" w:space="0" w:color="000000"/>
              <w:bottom w:val="single" w:sz="4" w:space="0" w:color="000000"/>
            </w:tcBorders>
            <w:shd w:val="clear" w:color="auto" w:fill="FAF9F9"/>
          </w:tcPr>
          <w:p>
            <w:pPr>
              <w:pStyle w:val="TableParagraph"/>
              <w:spacing w:before="35"/>
              <w:ind w:right="113"/>
              <w:jc w:val="right"/>
              <w:rPr>
                <w:b/>
                <w:sz w:val="18"/>
              </w:rPr>
            </w:pPr>
            <w:r>
              <w:rPr>
                <w:b/>
                <w:w w:val="95"/>
                <w:sz w:val="18"/>
              </w:rPr>
              <w:t>359,914</w:t>
            </w:r>
          </w:p>
        </w:tc>
        <w:tc>
          <w:tcPr>
            <w:tcW w:w="879" w:type="dxa"/>
            <w:tcBorders>
              <w:top w:val="single" w:sz="4" w:space="0" w:color="000000"/>
              <w:bottom w:val="single" w:sz="4" w:space="0" w:color="000000"/>
            </w:tcBorders>
            <w:shd w:val="clear" w:color="auto" w:fill="E1E4BB"/>
          </w:tcPr>
          <w:p>
            <w:pPr>
              <w:pStyle w:val="TableParagraph"/>
              <w:spacing w:before="35"/>
              <w:ind w:right="112"/>
              <w:jc w:val="right"/>
              <w:rPr>
                <w:b/>
                <w:sz w:val="18"/>
              </w:rPr>
            </w:pPr>
            <w:r>
              <w:rPr>
                <w:b/>
                <w:w w:val="122"/>
                <w:sz w:val="18"/>
              </w:rPr>
              <w:t>-</w:t>
            </w:r>
          </w:p>
        </w:tc>
        <w:tc>
          <w:tcPr>
            <w:tcW w:w="879" w:type="dxa"/>
            <w:tcBorders>
              <w:top w:val="single" w:sz="4" w:space="0" w:color="000000"/>
              <w:bottom w:val="single" w:sz="4" w:space="0" w:color="000000"/>
            </w:tcBorders>
            <w:shd w:val="clear" w:color="auto" w:fill="FAF9F9"/>
          </w:tcPr>
          <w:p>
            <w:pPr>
              <w:pStyle w:val="TableParagraph"/>
              <w:spacing w:before="35"/>
              <w:ind w:right="112"/>
              <w:jc w:val="right"/>
              <w:rPr>
                <w:b/>
                <w:sz w:val="18"/>
              </w:rPr>
            </w:pPr>
            <w:r>
              <w:rPr>
                <w:b/>
                <w:w w:val="122"/>
                <w:sz w:val="18"/>
              </w:rPr>
              <w:t>-</w:t>
            </w:r>
          </w:p>
        </w:tc>
        <w:tc>
          <w:tcPr>
            <w:tcW w:w="104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95"/>
                <w:sz w:val="18"/>
              </w:rPr>
              <w:t>892,992</w:t>
            </w:r>
          </w:p>
        </w:tc>
        <w:tc>
          <w:tcPr>
            <w:tcW w:w="1049" w:type="dxa"/>
            <w:gridSpan w:val="2"/>
            <w:tcBorders>
              <w:top w:val="single" w:sz="4" w:space="0" w:color="000000"/>
              <w:bottom w:val="single" w:sz="4" w:space="0" w:color="000000"/>
            </w:tcBorders>
            <w:shd w:val="clear" w:color="auto" w:fill="FAF9F9"/>
          </w:tcPr>
          <w:p>
            <w:pPr>
              <w:pStyle w:val="TableParagraph"/>
              <w:spacing w:before="35"/>
              <w:ind w:left="294"/>
              <w:rPr>
                <w:b/>
                <w:sz w:val="18"/>
              </w:rPr>
            </w:pPr>
            <w:r>
              <w:rPr>
                <w:b/>
                <w:sz w:val="18"/>
              </w:rPr>
              <w:t>952,124</w:t>
            </w:r>
          </w:p>
        </w:tc>
        <w:tc>
          <w:tcPr>
            <w:tcW w:w="879" w:type="dxa"/>
            <w:tcBorders>
              <w:top w:val="single" w:sz="4" w:space="0" w:color="000000"/>
              <w:bottom w:val="single" w:sz="4" w:space="0" w:color="000000"/>
            </w:tcBorders>
            <w:shd w:val="clear" w:color="auto" w:fill="E1E4BB"/>
          </w:tcPr>
          <w:p>
            <w:pPr>
              <w:pStyle w:val="TableParagraph"/>
              <w:spacing w:before="35"/>
              <w:ind w:right="114"/>
              <w:jc w:val="right"/>
              <w:rPr>
                <w:b/>
                <w:sz w:val="18"/>
              </w:rPr>
            </w:pPr>
            <w:r>
              <w:rPr>
                <w:b/>
                <w:w w:val="95"/>
                <w:sz w:val="18"/>
              </w:rPr>
              <w:t>23,756</w:t>
            </w:r>
          </w:p>
        </w:tc>
        <w:tc>
          <w:tcPr>
            <w:tcW w:w="879" w:type="dxa"/>
            <w:tcBorders>
              <w:top w:val="single" w:sz="4" w:space="0" w:color="000000"/>
              <w:bottom w:val="single" w:sz="4" w:space="0" w:color="000000"/>
            </w:tcBorders>
            <w:shd w:val="clear" w:color="auto" w:fill="FAF9F9"/>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E1E4BB"/>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FAF9F9"/>
          </w:tcPr>
          <w:p>
            <w:pPr>
              <w:pStyle w:val="TableParagraph"/>
              <w:spacing w:before="35"/>
              <w:ind w:right="115"/>
              <w:jc w:val="right"/>
              <w:rPr>
                <w:b/>
                <w:sz w:val="18"/>
              </w:rPr>
            </w:pPr>
            <w:r>
              <w:rPr>
                <w:b/>
                <w:w w:val="95"/>
                <w:sz w:val="18"/>
              </w:rPr>
              <w:t>28,727</w:t>
            </w:r>
          </w:p>
        </w:tc>
        <w:tc>
          <w:tcPr>
            <w:tcW w:w="1021" w:type="dxa"/>
            <w:tcBorders>
              <w:top w:val="single" w:sz="4" w:space="0" w:color="000000"/>
              <w:bottom w:val="single" w:sz="4" w:space="0" w:color="000000"/>
            </w:tcBorders>
            <w:shd w:val="clear" w:color="auto" w:fill="E1E4BB"/>
          </w:tcPr>
          <w:p>
            <w:pPr>
              <w:pStyle w:val="TableParagraph"/>
              <w:spacing w:before="35"/>
              <w:ind w:right="116"/>
              <w:jc w:val="right"/>
              <w:rPr>
                <w:b/>
                <w:sz w:val="18"/>
              </w:rPr>
            </w:pPr>
            <w:r>
              <w:rPr>
                <w:b/>
                <w:w w:val="95"/>
                <w:sz w:val="18"/>
              </w:rPr>
              <w:t>1,490,277</w:t>
            </w:r>
          </w:p>
        </w:tc>
        <w:tc>
          <w:tcPr>
            <w:tcW w:w="1023" w:type="dxa"/>
            <w:gridSpan w:val="2"/>
            <w:tcBorders>
              <w:top w:val="single" w:sz="4" w:space="0" w:color="000000"/>
              <w:bottom w:val="single" w:sz="4" w:space="0" w:color="000000"/>
            </w:tcBorders>
            <w:shd w:val="clear" w:color="auto" w:fill="FAF9F9"/>
          </w:tcPr>
          <w:p>
            <w:pPr>
              <w:pStyle w:val="TableParagraph"/>
              <w:spacing w:before="35"/>
              <w:ind w:left="117"/>
              <w:rPr>
                <w:b/>
                <w:sz w:val="18"/>
              </w:rPr>
            </w:pPr>
            <w:r>
              <w:rPr>
                <w:b/>
                <w:sz w:val="18"/>
              </w:rPr>
              <w:t>1,505,676</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879" w:type="dxa"/>
            <w:tcBorders>
              <w:top w:val="single" w:sz="4" w:space="0" w:color="000000"/>
            </w:tcBorders>
            <w:shd w:val="clear" w:color="auto" w:fill="E1E4BB"/>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879" w:type="dxa"/>
            <w:tcBorders>
              <w:top w:val="single" w:sz="4" w:space="0" w:color="000000"/>
            </w:tcBorders>
            <w:shd w:val="clear" w:color="auto" w:fill="E1E4BB"/>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879" w:type="dxa"/>
            <w:tcBorders>
              <w:top w:val="single" w:sz="4" w:space="0" w:color="000000"/>
            </w:tcBorders>
            <w:shd w:val="clear" w:color="auto" w:fill="E1E4BB"/>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1049" w:type="dxa"/>
            <w:tcBorders>
              <w:top w:val="single" w:sz="4" w:space="0" w:color="000000"/>
            </w:tcBorders>
            <w:shd w:val="clear" w:color="auto" w:fill="E1E4BB"/>
          </w:tcPr>
          <w:p>
            <w:pPr>
              <w:pStyle w:val="TableParagraph"/>
              <w:spacing w:before="0"/>
              <w:rPr>
                <w:rFonts w:ascii="Times New Roman"/>
                <w:sz w:val="18"/>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879" w:type="dxa"/>
            <w:tcBorders>
              <w:top w:val="single" w:sz="4" w:space="0" w:color="000000"/>
            </w:tcBorders>
            <w:shd w:val="clear" w:color="auto" w:fill="E1E4BB"/>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879" w:type="dxa"/>
            <w:tcBorders>
              <w:top w:val="single" w:sz="4" w:space="0" w:color="000000"/>
            </w:tcBorders>
            <w:shd w:val="clear" w:color="auto" w:fill="E1E4BB"/>
          </w:tcPr>
          <w:p>
            <w:pPr>
              <w:pStyle w:val="TableParagraph"/>
              <w:spacing w:before="0"/>
              <w:rPr>
                <w:rFonts w:ascii="Times New Roman"/>
                <w:sz w:val="18"/>
              </w:rPr>
            </w:pPr>
          </w:p>
        </w:tc>
        <w:tc>
          <w:tcPr>
            <w:tcW w:w="879"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c>
          <w:tcPr>
            <w:tcW w:w="1021" w:type="dxa"/>
            <w:tcBorders>
              <w:top w:val="single" w:sz="4" w:space="0" w:color="000000"/>
            </w:tcBorders>
            <w:shd w:val="clear" w:color="auto" w:fill="E1E4BB"/>
          </w:tcPr>
          <w:p>
            <w:pPr>
              <w:pStyle w:val="TableParagraph"/>
              <w:spacing w:before="0"/>
              <w:rPr>
                <w:rFonts w:ascii="Times New Roman"/>
                <w:sz w:val="18"/>
              </w:rPr>
            </w:pPr>
          </w:p>
        </w:tc>
        <w:tc>
          <w:tcPr>
            <w:tcW w:w="1023" w:type="dxa"/>
            <w:gridSpan w:val="2"/>
            <w:tcBorders>
              <w:top w:val="single" w:sz="4" w:space="0" w:color="000000"/>
              <w:bottom w:val="single" w:sz="8" w:space="0" w:color="FFFFFF"/>
            </w:tcBorders>
            <w:shd w:val="clear" w:color="auto" w:fill="F4F4F4"/>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i/>
                <w:sz w:val="18"/>
              </w:rPr>
            </w:pPr>
            <w:r>
              <w:rPr>
                <w:i/>
                <w:color w:val="6F2770"/>
                <w:sz w:val="18"/>
              </w:rPr>
              <w:t>Liabilities</w:t>
            </w: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049" w:type="dxa"/>
            <w:shd w:val="clear" w:color="auto" w:fill="E1E4BB"/>
          </w:tcPr>
          <w:p>
            <w:pPr>
              <w:pStyle w:val="TableParagraph"/>
              <w:spacing w:before="0"/>
              <w:rPr>
                <w:rFonts w:ascii="Times New Roman"/>
                <w:sz w:val="18"/>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879" w:type="dxa"/>
            <w:shd w:val="clear" w:color="auto" w:fill="E1E4BB"/>
          </w:tcPr>
          <w:p>
            <w:pPr>
              <w:pStyle w:val="TableParagraph"/>
              <w:spacing w:before="0"/>
              <w:rPr>
                <w:rFonts w:ascii="Times New Roman"/>
                <w:sz w:val="18"/>
              </w:rPr>
            </w:pPr>
          </w:p>
        </w:tc>
        <w:tc>
          <w:tcPr>
            <w:tcW w:w="87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021" w:type="dxa"/>
            <w:shd w:val="clear" w:color="auto" w:fill="E1E4BB"/>
          </w:tcPr>
          <w:p>
            <w:pPr>
              <w:pStyle w:val="TableParagraph"/>
              <w:spacing w:before="0"/>
              <w:rPr>
                <w:rFonts w:ascii="Times New Roman"/>
                <w:sz w:val="18"/>
              </w:rPr>
            </w:pPr>
          </w:p>
        </w:tc>
        <w:tc>
          <w:tcPr>
            <w:tcW w:w="1023"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sz w:val="18"/>
              </w:rPr>
            </w:pPr>
            <w:r>
              <w:rPr>
                <w:sz w:val="18"/>
              </w:rPr>
              <w:t>Current liabilities</w:t>
            </w:r>
          </w:p>
        </w:tc>
        <w:tc>
          <w:tcPr>
            <w:tcW w:w="879" w:type="dxa"/>
            <w:shd w:val="clear" w:color="auto" w:fill="E1E4BB"/>
          </w:tcPr>
          <w:p>
            <w:pPr>
              <w:pStyle w:val="TableParagraph"/>
              <w:spacing w:before="35"/>
              <w:ind w:right="114"/>
              <w:jc w:val="right"/>
              <w:rPr>
                <w:sz w:val="18"/>
              </w:rPr>
            </w:pPr>
            <w:r>
              <w:rPr>
                <w:w w:val="95"/>
                <w:sz w:val="18"/>
              </w:rPr>
              <w:t>13,376</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2,972</w:t>
            </w:r>
          </w:p>
        </w:tc>
        <w:tc>
          <w:tcPr>
            <w:tcW w:w="879" w:type="dxa"/>
            <w:shd w:val="clear" w:color="auto" w:fill="E1E4BB"/>
          </w:tcPr>
          <w:p>
            <w:pPr>
              <w:pStyle w:val="TableParagraph"/>
              <w:spacing w:before="35"/>
              <w:ind w:right="113"/>
              <w:jc w:val="right"/>
              <w:rPr>
                <w:sz w:val="18"/>
              </w:rPr>
            </w:pPr>
            <w:r>
              <w:rPr>
                <w:w w:val="95"/>
                <w:sz w:val="18"/>
              </w:rPr>
              <w:t>34,697</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95"/>
                <w:sz w:val="18"/>
              </w:rPr>
              <w:t>43,428</w:t>
            </w:r>
          </w:p>
        </w:tc>
        <w:tc>
          <w:tcPr>
            <w:tcW w:w="879" w:type="dxa"/>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2"/>
              <w:jc w:val="right"/>
              <w:rPr>
                <w:sz w:val="18"/>
              </w:rPr>
            </w:pPr>
            <w:r>
              <w:rPr>
                <w:w w:val="111"/>
                <w:sz w:val="18"/>
              </w:rPr>
              <w:t>-</w:t>
            </w:r>
          </w:p>
        </w:tc>
        <w:tc>
          <w:tcPr>
            <w:tcW w:w="1049" w:type="dxa"/>
            <w:shd w:val="clear" w:color="auto" w:fill="E1E4BB"/>
          </w:tcPr>
          <w:p>
            <w:pPr>
              <w:pStyle w:val="TableParagraph"/>
              <w:spacing w:before="35"/>
              <w:ind w:right="114"/>
              <w:jc w:val="right"/>
              <w:rPr>
                <w:sz w:val="18"/>
              </w:rPr>
            </w:pPr>
            <w:r>
              <w:rPr>
                <w:w w:val="95"/>
                <w:sz w:val="18"/>
              </w:rPr>
              <w:t>140,563</w:t>
            </w:r>
          </w:p>
        </w:tc>
        <w:tc>
          <w:tcPr>
            <w:tcW w:w="1049" w:type="dxa"/>
            <w:gridSpan w:val="2"/>
            <w:tcBorders>
              <w:top w:val="single" w:sz="8" w:space="0" w:color="FFFFFF"/>
              <w:bottom w:val="single" w:sz="8" w:space="0" w:color="FFFFFF"/>
            </w:tcBorders>
            <w:shd w:val="clear" w:color="auto" w:fill="F4F4F4"/>
          </w:tcPr>
          <w:p>
            <w:pPr>
              <w:pStyle w:val="TableParagraph"/>
              <w:spacing w:before="35"/>
              <w:ind w:left="294"/>
              <w:rPr>
                <w:sz w:val="18"/>
              </w:rPr>
            </w:pPr>
            <w:r>
              <w:rPr>
                <w:sz w:val="18"/>
              </w:rPr>
              <w:t>154,247</w:t>
            </w:r>
          </w:p>
        </w:tc>
        <w:tc>
          <w:tcPr>
            <w:tcW w:w="879" w:type="dxa"/>
            <w:shd w:val="clear" w:color="auto" w:fill="E1E4BB"/>
          </w:tcPr>
          <w:p>
            <w:pPr>
              <w:pStyle w:val="TableParagraph"/>
              <w:spacing w:before="35"/>
              <w:ind w:right="114"/>
              <w:jc w:val="right"/>
              <w:rPr>
                <w:sz w:val="18"/>
              </w:rPr>
            </w:pPr>
            <w:r>
              <w:rPr>
                <w:w w:val="95"/>
                <w:sz w:val="18"/>
              </w:rPr>
              <w:t>14,088</w:t>
            </w:r>
          </w:p>
        </w:tc>
        <w:tc>
          <w:tcPr>
            <w:tcW w:w="879" w:type="dxa"/>
            <w:tcBorders>
              <w:top w:val="single" w:sz="8" w:space="0" w:color="FFFFFF"/>
              <w:bottom w:val="single" w:sz="8" w:space="0" w:color="FFFFFF"/>
            </w:tcBorders>
            <w:shd w:val="clear" w:color="auto" w:fill="F4F4F4"/>
          </w:tcPr>
          <w:p>
            <w:pPr>
              <w:pStyle w:val="TableParagraph"/>
              <w:spacing w:before="35"/>
              <w:ind w:right="113"/>
              <w:jc w:val="right"/>
              <w:rPr>
                <w:sz w:val="18"/>
              </w:rPr>
            </w:pPr>
            <w:r>
              <w:rPr>
                <w:w w:val="111"/>
                <w:sz w:val="18"/>
              </w:rPr>
              <w:t>-</w:t>
            </w:r>
          </w:p>
        </w:tc>
        <w:tc>
          <w:tcPr>
            <w:tcW w:w="879" w:type="dxa"/>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8" w:space="0" w:color="FFFFFF"/>
            </w:tcBorders>
            <w:shd w:val="clear" w:color="auto" w:fill="F4F4F4"/>
          </w:tcPr>
          <w:p>
            <w:pPr>
              <w:pStyle w:val="TableParagraph"/>
              <w:spacing w:before="35"/>
              <w:ind w:right="115"/>
              <w:jc w:val="right"/>
              <w:rPr>
                <w:sz w:val="18"/>
              </w:rPr>
            </w:pPr>
            <w:r>
              <w:rPr>
                <w:w w:val="95"/>
                <w:sz w:val="18"/>
              </w:rPr>
              <w:t>4,581</w:t>
            </w:r>
          </w:p>
        </w:tc>
        <w:tc>
          <w:tcPr>
            <w:tcW w:w="1021" w:type="dxa"/>
            <w:shd w:val="clear" w:color="auto" w:fill="E1E4BB"/>
          </w:tcPr>
          <w:p>
            <w:pPr>
              <w:pStyle w:val="TableParagraph"/>
              <w:spacing w:before="35"/>
              <w:ind w:right="116"/>
              <w:jc w:val="right"/>
              <w:rPr>
                <w:sz w:val="18"/>
              </w:rPr>
            </w:pPr>
            <w:r>
              <w:rPr>
                <w:w w:val="95"/>
                <w:sz w:val="18"/>
              </w:rPr>
              <w:t>202,724</w:t>
            </w:r>
          </w:p>
        </w:tc>
        <w:tc>
          <w:tcPr>
            <w:tcW w:w="1023" w:type="dxa"/>
            <w:gridSpan w:val="2"/>
            <w:tcBorders>
              <w:top w:val="single" w:sz="8" w:space="0" w:color="FFFFFF"/>
              <w:bottom w:val="single" w:sz="8" w:space="0" w:color="FFFFFF"/>
            </w:tcBorders>
            <w:shd w:val="clear" w:color="auto" w:fill="F4F4F4"/>
          </w:tcPr>
          <w:p>
            <w:pPr>
              <w:pStyle w:val="TableParagraph"/>
              <w:spacing w:before="35"/>
              <w:ind w:left="264"/>
              <w:rPr>
                <w:sz w:val="18"/>
              </w:rPr>
            </w:pPr>
            <w:r>
              <w:rPr>
                <w:sz w:val="18"/>
              </w:rPr>
              <w:t>205,228</w:t>
            </w:r>
          </w:p>
        </w:tc>
      </w:tr>
      <w:tr>
        <w:trPr>
          <w:trHeight w:val="278" w:hRule="atLeast"/>
        </w:trPr>
        <w:tc>
          <w:tcPr>
            <w:tcW w:w="2381" w:type="dxa"/>
            <w:tcBorders>
              <w:top w:val="single" w:sz="8" w:space="0" w:color="FFFFFF"/>
              <w:bottom w:val="single" w:sz="8" w:space="0" w:color="FFFFFF"/>
            </w:tcBorders>
            <w:shd w:val="clear" w:color="auto" w:fill="FAF9F9"/>
          </w:tcPr>
          <w:p>
            <w:pPr>
              <w:pStyle w:val="TableParagraph"/>
              <w:spacing w:before="35"/>
              <w:ind w:left="113"/>
              <w:rPr>
                <w:sz w:val="18"/>
              </w:rPr>
            </w:pPr>
            <w:r>
              <w:rPr>
                <w:sz w:val="18"/>
              </w:rPr>
              <w:t>Non-current liabilities</w:t>
            </w:r>
          </w:p>
        </w:tc>
        <w:tc>
          <w:tcPr>
            <w:tcW w:w="879" w:type="dxa"/>
            <w:tcBorders>
              <w:bottom w:val="single" w:sz="4" w:space="0" w:color="000000"/>
            </w:tcBorders>
            <w:shd w:val="clear" w:color="auto" w:fill="E1E4BB"/>
          </w:tcPr>
          <w:p>
            <w:pPr>
              <w:pStyle w:val="TableParagraph"/>
              <w:spacing w:before="35"/>
              <w:ind w:right="114"/>
              <w:jc w:val="right"/>
              <w:rPr>
                <w:sz w:val="18"/>
              </w:rPr>
            </w:pPr>
            <w:r>
              <w:rPr>
                <w:w w:val="95"/>
                <w:sz w:val="18"/>
              </w:rPr>
              <w:t>1,783</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95"/>
                <w:sz w:val="18"/>
              </w:rPr>
              <w:t>2,126</w:t>
            </w:r>
          </w:p>
        </w:tc>
        <w:tc>
          <w:tcPr>
            <w:tcW w:w="879" w:type="dxa"/>
            <w:tcBorders>
              <w:bottom w:val="single" w:sz="4" w:space="0" w:color="000000"/>
            </w:tcBorders>
            <w:shd w:val="clear" w:color="auto" w:fill="E1E4BB"/>
          </w:tcPr>
          <w:p>
            <w:pPr>
              <w:pStyle w:val="TableParagraph"/>
              <w:spacing w:before="35"/>
              <w:ind w:right="113"/>
              <w:jc w:val="right"/>
              <w:rPr>
                <w:sz w:val="18"/>
              </w:rPr>
            </w:pPr>
            <w:r>
              <w:rPr>
                <w:w w:val="95"/>
                <w:sz w:val="18"/>
              </w:rPr>
              <w:t>7,603</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95"/>
                <w:sz w:val="18"/>
              </w:rPr>
              <w:t>30,427</w:t>
            </w:r>
          </w:p>
        </w:tc>
        <w:tc>
          <w:tcPr>
            <w:tcW w:w="879" w:type="dxa"/>
            <w:tcBorders>
              <w:bottom w:val="single" w:sz="4" w:space="0" w:color="000000"/>
            </w:tcBorders>
            <w:shd w:val="clear" w:color="auto" w:fill="E1E4BB"/>
          </w:tcPr>
          <w:p>
            <w:pPr>
              <w:pStyle w:val="TableParagraph"/>
              <w:spacing w:before="35"/>
              <w:ind w:right="112"/>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2"/>
              <w:jc w:val="right"/>
              <w:rPr>
                <w:sz w:val="18"/>
              </w:rPr>
            </w:pPr>
            <w:r>
              <w:rPr>
                <w:w w:val="111"/>
                <w:sz w:val="18"/>
              </w:rPr>
              <w:t>-</w:t>
            </w:r>
          </w:p>
        </w:tc>
        <w:tc>
          <w:tcPr>
            <w:tcW w:w="1049" w:type="dxa"/>
            <w:tcBorders>
              <w:bottom w:val="single" w:sz="4" w:space="0" w:color="000000"/>
            </w:tcBorders>
            <w:shd w:val="clear" w:color="auto" w:fill="E1E4BB"/>
          </w:tcPr>
          <w:p>
            <w:pPr>
              <w:pStyle w:val="TableParagraph"/>
              <w:spacing w:before="35"/>
              <w:ind w:right="114"/>
              <w:jc w:val="right"/>
              <w:rPr>
                <w:sz w:val="18"/>
              </w:rPr>
            </w:pPr>
            <w:r>
              <w:rPr>
                <w:w w:val="95"/>
                <w:sz w:val="18"/>
              </w:rPr>
              <w:t>182,952</w:t>
            </w:r>
          </w:p>
        </w:tc>
        <w:tc>
          <w:tcPr>
            <w:tcW w:w="1049" w:type="dxa"/>
            <w:gridSpan w:val="2"/>
            <w:tcBorders>
              <w:top w:val="single" w:sz="8" w:space="0" w:color="FFFFFF"/>
              <w:bottom w:val="single" w:sz="4" w:space="0" w:color="000000"/>
            </w:tcBorders>
            <w:shd w:val="clear" w:color="auto" w:fill="FAF9F9"/>
          </w:tcPr>
          <w:p>
            <w:pPr>
              <w:pStyle w:val="TableParagraph"/>
              <w:spacing w:before="35"/>
              <w:ind w:left="294"/>
              <w:rPr>
                <w:sz w:val="18"/>
              </w:rPr>
            </w:pPr>
            <w:r>
              <w:rPr>
                <w:sz w:val="18"/>
              </w:rPr>
              <w:t>152,197</w:t>
            </w:r>
          </w:p>
        </w:tc>
        <w:tc>
          <w:tcPr>
            <w:tcW w:w="879" w:type="dxa"/>
            <w:tcBorders>
              <w:bottom w:val="single" w:sz="4" w:space="0" w:color="000000"/>
            </w:tcBorders>
            <w:shd w:val="clear" w:color="auto" w:fill="E1E4BB"/>
          </w:tcPr>
          <w:p>
            <w:pPr>
              <w:pStyle w:val="TableParagraph"/>
              <w:spacing w:before="35"/>
              <w:ind w:right="114"/>
              <w:jc w:val="right"/>
              <w:rPr>
                <w:sz w:val="18"/>
              </w:rPr>
            </w:pPr>
            <w:r>
              <w:rPr>
                <w:w w:val="95"/>
                <w:sz w:val="18"/>
              </w:rPr>
              <w:t>268</w:t>
            </w:r>
          </w:p>
        </w:tc>
        <w:tc>
          <w:tcPr>
            <w:tcW w:w="879" w:type="dxa"/>
            <w:tcBorders>
              <w:top w:val="single" w:sz="8" w:space="0" w:color="FFFFFF"/>
              <w:bottom w:val="single" w:sz="4" w:space="0" w:color="000000"/>
            </w:tcBorders>
            <w:shd w:val="clear" w:color="auto" w:fill="FAF9F9"/>
          </w:tcPr>
          <w:p>
            <w:pPr>
              <w:pStyle w:val="TableParagraph"/>
              <w:spacing w:before="35"/>
              <w:ind w:right="113"/>
              <w:jc w:val="right"/>
              <w:rPr>
                <w:sz w:val="18"/>
              </w:rPr>
            </w:pPr>
            <w:r>
              <w:rPr>
                <w:w w:val="111"/>
                <w:sz w:val="18"/>
              </w:rPr>
              <w:t>-</w:t>
            </w:r>
          </w:p>
        </w:tc>
        <w:tc>
          <w:tcPr>
            <w:tcW w:w="879" w:type="dxa"/>
            <w:tcBorders>
              <w:bottom w:val="single" w:sz="4" w:space="0" w:color="000000"/>
            </w:tcBorders>
            <w:shd w:val="clear" w:color="auto" w:fill="E1E4BB"/>
          </w:tcPr>
          <w:p>
            <w:pPr>
              <w:pStyle w:val="TableParagraph"/>
              <w:spacing w:before="35"/>
              <w:ind w:right="113"/>
              <w:jc w:val="right"/>
              <w:rPr>
                <w:sz w:val="18"/>
              </w:rPr>
            </w:pPr>
            <w:r>
              <w:rPr>
                <w:w w:val="111"/>
                <w:sz w:val="18"/>
              </w:rPr>
              <w:t>-</w:t>
            </w:r>
          </w:p>
        </w:tc>
        <w:tc>
          <w:tcPr>
            <w:tcW w:w="879" w:type="dxa"/>
            <w:tcBorders>
              <w:top w:val="single" w:sz="8" w:space="0" w:color="FFFFFF"/>
              <w:bottom w:val="single" w:sz="4" w:space="0" w:color="000000"/>
            </w:tcBorders>
            <w:shd w:val="clear" w:color="auto" w:fill="FAF9F9"/>
          </w:tcPr>
          <w:p>
            <w:pPr>
              <w:pStyle w:val="TableParagraph"/>
              <w:spacing w:before="35"/>
              <w:ind w:right="115"/>
              <w:jc w:val="right"/>
              <w:rPr>
                <w:sz w:val="18"/>
              </w:rPr>
            </w:pPr>
            <w:r>
              <w:rPr>
                <w:w w:val="95"/>
                <w:sz w:val="18"/>
              </w:rPr>
              <w:t>637</w:t>
            </w:r>
          </w:p>
        </w:tc>
        <w:tc>
          <w:tcPr>
            <w:tcW w:w="1021" w:type="dxa"/>
            <w:tcBorders>
              <w:bottom w:val="single" w:sz="4" w:space="0" w:color="000000"/>
            </w:tcBorders>
            <w:shd w:val="clear" w:color="auto" w:fill="E1E4BB"/>
          </w:tcPr>
          <w:p>
            <w:pPr>
              <w:pStyle w:val="TableParagraph"/>
              <w:spacing w:before="35"/>
              <w:ind w:right="116"/>
              <w:jc w:val="right"/>
              <w:rPr>
                <w:sz w:val="18"/>
              </w:rPr>
            </w:pPr>
            <w:r>
              <w:rPr>
                <w:w w:val="95"/>
                <w:sz w:val="18"/>
              </w:rPr>
              <w:t>192,606</w:t>
            </w:r>
          </w:p>
        </w:tc>
        <w:tc>
          <w:tcPr>
            <w:tcW w:w="1023" w:type="dxa"/>
            <w:gridSpan w:val="2"/>
            <w:tcBorders>
              <w:top w:val="single" w:sz="8" w:space="0" w:color="FFFFFF"/>
              <w:bottom w:val="single" w:sz="4" w:space="0" w:color="000000"/>
            </w:tcBorders>
            <w:shd w:val="clear" w:color="auto" w:fill="FAF9F9"/>
          </w:tcPr>
          <w:p>
            <w:pPr>
              <w:pStyle w:val="TableParagraph"/>
              <w:spacing w:before="35"/>
              <w:ind w:left="264"/>
              <w:rPr>
                <w:sz w:val="18"/>
              </w:rPr>
            </w:pPr>
            <w:r>
              <w:rPr>
                <w:sz w:val="18"/>
              </w:rPr>
              <w:t>185,387</w:t>
            </w:r>
          </w:p>
        </w:tc>
      </w:tr>
      <w:tr>
        <w:trPr>
          <w:trHeight w:val="278" w:hRule="atLeast"/>
        </w:trPr>
        <w:tc>
          <w:tcPr>
            <w:tcW w:w="2381" w:type="dxa"/>
            <w:tcBorders>
              <w:top w:val="single" w:sz="8" w:space="0" w:color="FFFFFF"/>
              <w:bottom w:val="single" w:sz="8" w:space="0" w:color="FFFFFF"/>
            </w:tcBorders>
            <w:shd w:val="clear" w:color="auto" w:fill="F4F4F4"/>
          </w:tcPr>
          <w:p>
            <w:pPr>
              <w:pStyle w:val="TableParagraph"/>
              <w:spacing w:before="35"/>
              <w:ind w:left="113"/>
              <w:rPr>
                <w:b/>
                <w:sz w:val="18"/>
              </w:rPr>
            </w:pPr>
            <w:r>
              <w:rPr>
                <w:b/>
                <w:sz w:val="18"/>
              </w:rPr>
              <w:t>Total liabilities</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15,159</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5,098</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95"/>
                <w:sz w:val="18"/>
              </w:rPr>
              <w:t>42,300</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95"/>
                <w:sz w:val="18"/>
              </w:rPr>
              <w:t>73,855</w:t>
            </w:r>
          </w:p>
        </w:tc>
        <w:tc>
          <w:tcPr>
            <w:tcW w:w="879" w:type="dxa"/>
            <w:tcBorders>
              <w:top w:val="single" w:sz="4" w:space="0" w:color="000000"/>
              <w:bottom w:val="single" w:sz="4" w:space="0" w:color="000000"/>
            </w:tcBorders>
            <w:shd w:val="clear" w:color="auto" w:fill="DFE1B8"/>
          </w:tcPr>
          <w:p>
            <w:pPr>
              <w:pStyle w:val="TableParagraph"/>
              <w:spacing w:before="35"/>
              <w:ind w:right="112"/>
              <w:jc w:val="right"/>
              <w:rPr>
                <w:b/>
                <w:sz w:val="18"/>
              </w:rPr>
            </w:pPr>
            <w:r>
              <w:rPr>
                <w:b/>
                <w:w w:val="122"/>
                <w:sz w:val="18"/>
              </w:rPr>
              <w:t>-</w:t>
            </w:r>
          </w:p>
        </w:tc>
        <w:tc>
          <w:tcPr>
            <w:tcW w:w="879" w:type="dxa"/>
            <w:tcBorders>
              <w:top w:val="single" w:sz="4" w:space="0" w:color="000000"/>
              <w:bottom w:val="single" w:sz="4" w:space="0" w:color="000000"/>
            </w:tcBorders>
            <w:shd w:val="clear" w:color="auto" w:fill="F4F4F4"/>
          </w:tcPr>
          <w:p>
            <w:pPr>
              <w:pStyle w:val="TableParagraph"/>
              <w:spacing w:before="35"/>
              <w:ind w:right="112"/>
              <w:jc w:val="right"/>
              <w:rPr>
                <w:b/>
                <w:sz w:val="18"/>
              </w:rPr>
            </w:pPr>
            <w:r>
              <w:rPr>
                <w:b/>
                <w:w w:val="122"/>
                <w:sz w:val="18"/>
              </w:rPr>
              <w:t>-</w:t>
            </w:r>
          </w:p>
        </w:tc>
        <w:tc>
          <w:tcPr>
            <w:tcW w:w="104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323,515</w:t>
            </w:r>
          </w:p>
        </w:tc>
        <w:tc>
          <w:tcPr>
            <w:tcW w:w="1049" w:type="dxa"/>
            <w:gridSpan w:val="2"/>
            <w:tcBorders>
              <w:top w:val="single" w:sz="4" w:space="0" w:color="000000"/>
              <w:bottom w:val="single" w:sz="4" w:space="0" w:color="000000"/>
            </w:tcBorders>
            <w:shd w:val="clear" w:color="auto" w:fill="F4F4F4"/>
          </w:tcPr>
          <w:p>
            <w:pPr>
              <w:pStyle w:val="TableParagraph"/>
              <w:spacing w:before="35"/>
              <w:ind w:left="294"/>
              <w:rPr>
                <w:b/>
                <w:sz w:val="18"/>
              </w:rPr>
            </w:pPr>
            <w:r>
              <w:rPr>
                <w:b/>
                <w:sz w:val="18"/>
              </w:rPr>
              <w:t>306,444</w:t>
            </w:r>
          </w:p>
        </w:tc>
        <w:tc>
          <w:tcPr>
            <w:tcW w:w="879" w:type="dxa"/>
            <w:tcBorders>
              <w:top w:val="single" w:sz="4" w:space="0" w:color="000000"/>
              <w:bottom w:val="single" w:sz="4" w:space="0" w:color="000000"/>
            </w:tcBorders>
            <w:shd w:val="clear" w:color="auto" w:fill="DFE1B8"/>
          </w:tcPr>
          <w:p>
            <w:pPr>
              <w:pStyle w:val="TableParagraph"/>
              <w:spacing w:before="35"/>
              <w:ind w:right="114"/>
              <w:jc w:val="right"/>
              <w:rPr>
                <w:b/>
                <w:sz w:val="18"/>
              </w:rPr>
            </w:pPr>
            <w:r>
              <w:rPr>
                <w:b/>
                <w:w w:val="95"/>
                <w:sz w:val="18"/>
              </w:rPr>
              <w:t>14,356</w:t>
            </w:r>
          </w:p>
        </w:tc>
        <w:tc>
          <w:tcPr>
            <w:tcW w:w="879" w:type="dxa"/>
            <w:tcBorders>
              <w:top w:val="single" w:sz="4" w:space="0" w:color="000000"/>
              <w:bottom w:val="single" w:sz="4" w:space="0" w:color="000000"/>
            </w:tcBorders>
            <w:shd w:val="clear" w:color="auto" w:fill="F4F4F4"/>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DFE1B8"/>
          </w:tcPr>
          <w:p>
            <w:pPr>
              <w:pStyle w:val="TableParagraph"/>
              <w:spacing w:before="35"/>
              <w:ind w:right="113"/>
              <w:jc w:val="right"/>
              <w:rPr>
                <w:b/>
                <w:sz w:val="18"/>
              </w:rPr>
            </w:pPr>
            <w:r>
              <w:rPr>
                <w:b/>
                <w:w w:val="122"/>
                <w:sz w:val="18"/>
              </w:rPr>
              <w:t>-</w:t>
            </w:r>
          </w:p>
        </w:tc>
        <w:tc>
          <w:tcPr>
            <w:tcW w:w="879" w:type="dxa"/>
            <w:tcBorders>
              <w:top w:val="single" w:sz="4" w:space="0" w:color="000000"/>
              <w:bottom w:val="single" w:sz="4" w:space="0" w:color="000000"/>
            </w:tcBorders>
            <w:shd w:val="clear" w:color="auto" w:fill="F4F4F4"/>
          </w:tcPr>
          <w:p>
            <w:pPr>
              <w:pStyle w:val="TableParagraph"/>
              <w:spacing w:before="35"/>
              <w:ind w:right="115"/>
              <w:jc w:val="right"/>
              <w:rPr>
                <w:b/>
                <w:sz w:val="18"/>
              </w:rPr>
            </w:pPr>
            <w:r>
              <w:rPr>
                <w:b/>
                <w:w w:val="95"/>
                <w:sz w:val="18"/>
              </w:rPr>
              <w:t>5,218</w:t>
            </w:r>
          </w:p>
        </w:tc>
        <w:tc>
          <w:tcPr>
            <w:tcW w:w="1021" w:type="dxa"/>
            <w:tcBorders>
              <w:top w:val="single" w:sz="4" w:space="0" w:color="000000"/>
              <w:bottom w:val="single" w:sz="4" w:space="0" w:color="000000"/>
            </w:tcBorders>
            <w:shd w:val="clear" w:color="auto" w:fill="DFE1B8"/>
          </w:tcPr>
          <w:p>
            <w:pPr>
              <w:pStyle w:val="TableParagraph"/>
              <w:spacing w:before="35"/>
              <w:ind w:right="116"/>
              <w:jc w:val="right"/>
              <w:rPr>
                <w:b/>
                <w:sz w:val="18"/>
              </w:rPr>
            </w:pPr>
            <w:r>
              <w:rPr>
                <w:b/>
                <w:w w:val="95"/>
                <w:sz w:val="18"/>
              </w:rPr>
              <w:t>395,330</w:t>
            </w:r>
          </w:p>
        </w:tc>
        <w:tc>
          <w:tcPr>
            <w:tcW w:w="1023" w:type="dxa"/>
            <w:gridSpan w:val="2"/>
            <w:tcBorders>
              <w:top w:val="single" w:sz="4" w:space="0" w:color="000000"/>
              <w:bottom w:val="single" w:sz="4" w:space="0" w:color="000000"/>
            </w:tcBorders>
            <w:shd w:val="clear" w:color="auto" w:fill="F4F4F4"/>
          </w:tcPr>
          <w:p>
            <w:pPr>
              <w:pStyle w:val="TableParagraph"/>
              <w:spacing w:before="35"/>
              <w:ind w:left="264"/>
              <w:rPr>
                <w:b/>
                <w:sz w:val="18"/>
              </w:rPr>
            </w:pPr>
            <w:r>
              <w:rPr>
                <w:b/>
                <w:sz w:val="18"/>
              </w:rPr>
              <w:t>390,615</w:t>
            </w:r>
          </w:p>
        </w:tc>
      </w:tr>
      <w:tr>
        <w:trPr>
          <w:trHeight w:val="258" w:hRule="atLeast"/>
        </w:trPr>
        <w:tc>
          <w:tcPr>
            <w:tcW w:w="2381" w:type="dxa"/>
            <w:tcBorders>
              <w:top w:val="single" w:sz="8" w:space="0" w:color="FFFFFF"/>
              <w:bottom w:val="single" w:sz="8" w:space="0" w:color="FFFFFF"/>
            </w:tcBorders>
            <w:shd w:val="clear" w:color="auto" w:fill="FAF9F9"/>
          </w:tcPr>
          <w:p>
            <w:pPr>
              <w:pStyle w:val="TableParagraph"/>
              <w:spacing w:line="204" w:lineRule="exact" w:before="35"/>
              <w:ind w:left="113"/>
              <w:rPr>
                <w:b/>
                <w:sz w:val="18"/>
              </w:rPr>
            </w:pPr>
            <w:r>
              <w:rPr>
                <w:b/>
                <w:sz w:val="18"/>
              </w:rPr>
              <w:t>NET ASSETS</w:t>
            </w:r>
          </w:p>
        </w:tc>
        <w:tc>
          <w:tcPr>
            <w:tcW w:w="879" w:type="dxa"/>
            <w:tcBorders>
              <w:top w:val="single" w:sz="4" w:space="0" w:color="000000"/>
              <w:bottom w:val="single" w:sz="24" w:space="0" w:color="FFFFFF"/>
            </w:tcBorders>
            <w:shd w:val="clear" w:color="auto" w:fill="E1E4BB"/>
          </w:tcPr>
          <w:p>
            <w:pPr>
              <w:pStyle w:val="TableParagraph"/>
              <w:spacing w:line="204" w:lineRule="exact" w:before="35"/>
              <w:ind w:right="114"/>
              <w:jc w:val="right"/>
              <w:rPr>
                <w:b/>
                <w:sz w:val="18"/>
              </w:rPr>
            </w:pPr>
            <w:r>
              <w:rPr>
                <w:b/>
                <w:w w:val="95"/>
                <w:sz w:val="18"/>
              </w:rPr>
              <w:t>185,616</w:t>
            </w:r>
          </w:p>
        </w:tc>
        <w:tc>
          <w:tcPr>
            <w:tcW w:w="879" w:type="dxa"/>
            <w:tcBorders>
              <w:top w:val="single" w:sz="4" w:space="0" w:color="000000"/>
              <w:bottom w:val="single" w:sz="24" w:space="0" w:color="FFFFFF"/>
            </w:tcBorders>
            <w:shd w:val="clear" w:color="auto" w:fill="FAF9F9"/>
          </w:tcPr>
          <w:p>
            <w:pPr>
              <w:pStyle w:val="TableParagraph"/>
              <w:spacing w:line="204" w:lineRule="exact" w:before="35"/>
              <w:ind w:right="113"/>
              <w:jc w:val="right"/>
              <w:rPr>
                <w:b/>
                <w:sz w:val="18"/>
              </w:rPr>
            </w:pPr>
            <w:r>
              <w:rPr>
                <w:b/>
                <w:w w:val="95"/>
                <w:sz w:val="18"/>
              </w:rPr>
              <w:t>159,813</w:t>
            </w:r>
          </w:p>
        </w:tc>
        <w:tc>
          <w:tcPr>
            <w:tcW w:w="879" w:type="dxa"/>
            <w:tcBorders>
              <w:top w:val="single" w:sz="4" w:space="0" w:color="000000"/>
              <w:bottom w:val="single" w:sz="24" w:space="0" w:color="FFFFFF"/>
            </w:tcBorders>
            <w:shd w:val="clear" w:color="auto" w:fill="E1E4BB"/>
          </w:tcPr>
          <w:p>
            <w:pPr>
              <w:pStyle w:val="TableParagraph"/>
              <w:spacing w:line="204" w:lineRule="exact" w:before="35"/>
              <w:ind w:right="113"/>
              <w:jc w:val="right"/>
              <w:rPr>
                <w:b/>
                <w:sz w:val="18"/>
              </w:rPr>
            </w:pPr>
            <w:r>
              <w:rPr>
                <w:b/>
                <w:w w:val="95"/>
                <w:sz w:val="18"/>
              </w:rPr>
              <w:t>330,454</w:t>
            </w:r>
          </w:p>
        </w:tc>
        <w:tc>
          <w:tcPr>
            <w:tcW w:w="879" w:type="dxa"/>
            <w:tcBorders>
              <w:top w:val="single" w:sz="4" w:space="0" w:color="000000"/>
              <w:bottom w:val="single" w:sz="24" w:space="0" w:color="FFFFFF"/>
            </w:tcBorders>
            <w:shd w:val="clear" w:color="auto" w:fill="FAF9F9"/>
          </w:tcPr>
          <w:p>
            <w:pPr>
              <w:pStyle w:val="TableParagraph"/>
              <w:spacing w:line="204" w:lineRule="exact" w:before="35"/>
              <w:ind w:right="113"/>
              <w:jc w:val="right"/>
              <w:rPr>
                <w:b/>
                <w:sz w:val="18"/>
              </w:rPr>
            </w:pPr>
            <w:r>
              <w:rPr>
                <w:b/>
                <w:w w:val="95"/>
                <w:sz w:val="18"/>
              </w:rPr>
              <w:t>286,059</w:t>
            </w:r>
          </w:p>
        </w:tc>
        <w:tc>
          <w:tcPr>
            <w:tcW w:w="879" w:type="dxa"/>
            <w:tcBorders>
              <w:top w:val="single" w:sz="4" w:space="0" w:color="000000"/>
              <w:bottom w:val="single" w:sz="24" w:space="0" w:color="FFFFFF"/>
            </w:tcBorders>
            <w:shd w:val="clear" w:color="auto" w:fill="E1E4BB"/>
          </w:tcPr>
          <w:p>
            <w:pPr>
              <w:pStyle w:val="TableParagraph"/>
              <w:spacing w:line="204" w:lineRule="exact" w:before="35"/>
              <w:ind w:right="112"/>
              <w:jc w:val="right"/>
              <w:rPr>
                <w:b/>
                <w:sz w:val="18"/>
              </w:rPr>
            </w:pPr>
            <w:r>
              <w:rPr>
                <w:b/>
                <w:w w:val="122"/>
                <w:sz w:val="18"/>
              </w:rPr>
              <w:t>-</w:t>
            </w:r>
          </w:p>
        </w:tc>
        <w:tc>
          <w:tcPr>
            <w:tcW w:w="879" w:type="dxa"/>
            <w:tcBorders>
              <w:top w:val="single" w:sz="4" w:space="0" w:color="000000"/>
              <w:bottom w:val="single" w:sz="24" w:space="0" w:color="FFFFFF"/>
            </w:tcBorders>
            <w:shd w:val="clear" w:color="auto" w:fill="FAF9F9"/>
          </w:tcPr>
          <w:p>
            <w:pPr>
              <w:pStyle w:val="TableParagraph"/>
              <w:spacing w:line="204" w:lineRule="exact" w:before="35"/>
              <w:ind w:right="112"/>
              <w:jc w:val="right"/>
              <w:rPr>
                <w:b/>
                <w:sz w:val="18"/>
              </w:rPr>
            </w:pPr>
            <w:r>
              <w:rPr>
                <w:b/>
                <w:w w:val="122"/>
                <w:sz w:val="18"/>
              </w:rPr>
              <w:t>-</w:t>
            </w:r>
          </w:p>
        </w:tc>
        <w:tc>
          <w:tcPr>
            <w:tcW w:w="1049" w:type="dxa"/>
            <w:tcBorders>
              <w:top w:val="single" w:sz="4" w:space="0" w:color="000000"/>
              <w:bottom w:val="single" w:sz="24" w:space="0" w:color="FFFFFF"/>
            </w:tcBorders>
            <w:shd w:val="clear" w:color="auto" w:fill="E1E4BB"/>
          </w:tcPr>
          <w:p>
            <w:pPr>
              <w:pStyle w:val="TableParagraph"/>
              <w:spacing w:line="204" w:lineRule="exact" w:before="35"/>
              <w:ind w:right="114"/>
              <w:jc w:val="right"/>
              <w:rPr>
                <w:b/>
                <w:sz w:val="18"/>
              </w:rPr>
            </w:pPr>
            <w:r>
              <w:rPr>
                <w:b/>
                <w:w w:val="95"/>
                <w:sz w:val="18"/>
              </w:rPr>
              <w:t>569,477</w:t>
            </w:r>
          </w:p>
        </w:tc>
        <w:tc>
          <w:tcPr>
            <w:tcW w:w="1049" w:type="dxa"/>
            <w:gridSpan w:val="2"/>
            <w:tcBorders>
              <w:top w:val="single" w:sz="4" w:space="0" w:color="000000"/>
              <w:bottom w:val="single" w:sz="24" w:space="0" w:color="FFFFFF"/>
            </w:tcBorders>
            <w:shd w:val="clear" w:color="auto" w:fill="FAF9F9"/>
          </w:tcPr>
          <w:p>
            <w:pPr>
              <w:pStyle w:val="TableParagraph"/>
              <w:spacing w:line="204" w:lineRule="exact" w:before="35"/>
              <w:ind w:left="294"/>
              <w:rPr>
                <w:b/>
                <w:sz w:val="18"/>
              </w:rPr>
            </w:pPr>
            <w:r>
              <w:rPr>
                <w:b/>
                <w:sz w:val="18"/>
              </w:rPr>
              <w:t>645,680</w:t>
            </w:r>
          </w:p>
        </w:tc>
        <w:tc>
          <w:tcPr>
            <w:tcW w:w="879" w:type="dxa"/>
            <w:tcBorders>
              <w:top w:val="single" w:sz="4" w:space="0" w:color="000000"/>
              <w:bottom w:val="single" w:sz="24" w:space="0" w:color="FFFFFF"/>
            </w:tcBorders>
            <w:shd w:val="clear" w:color="auto" w:fill="E1E4BB"/>
          </w:tcPr>
          <w:p>
            <w:pPr>
              <w:pStyle w:val="TableParagraph"/>
              <w:spacing w:line="204" w:lineRule="exact" w:before="35"/>
              <w:ind w:right="114"/>
              <w:jc w:val="right"/>
              <w:rPr>
                <w:b/>
                <w:sz w:val="18"/>
              </w:rPr>
            </w:pPr>
            <w:r>
              <w:rPr>
                <w:b/>
                <w:w w:val="95"/>
                <w:sz w:val="18"/>
              </w:rPr>
              <w:t>9,400</w:t>
            </w:r>
          </w:p>
        </w:tc>
        <w:tc>
          <w:tcPr>
            <w:tcW w:w="879" w:type="dxa"/>
            <w:tcBorders>
              <w:top w:val="single" w:sz="4" w:space="0" w:color="000000"/>
              <w:bottom w:val="single" w:sz="24" w:space="0" w:color="FFFFFF"/>
            </w:tcBorders>
            <w:shd w:val="clear" w:color="auto" w:fill="FAF9F9"/>
          </w:tcPr>
          <w:p>
            <w:pPr>
              <w:pStyle w:val="TableParagraph"/>
              <w:spacing w:line="204" w:lineRule="exact" w:before="35"/>
              <w:ind w:right="113"/>
              <w:jc w:val="right"/>
              <w:rPr>
                <w:b/>
                <w:sz w:val="18"/>
              </w:rPr>
            </w:pPr>
            <w:r>
              <w:rPr>
                <w:b/>
                <w:w w:val="122"/>
                <w:sz w:val="18"/>
              </w:rPr>
              <w:t>-</w:t>
            </w:r>
          </w:p>
        </w:tc>
        <w:tc>
          <w:tcPr>
            <w:tcW w:w="879" w:type="dxa"/>
            <w:tcBorders>
              <w:top w:val="single" w:sz="4" w:space="0" w:color="000000"/>
              <w:bottom w:val="single" w:sz="24" w:space="0" w:color="FFFFFF"/>
            </w:tcBorders>
            <w:shd w:val="clear" w:color="auto" w:fill="E1E4BB"/>
          </w:tcPr>
          <w:p>
            <w:pPr>
              <w:pStyle w:val="TableParagraph"/>
              <w:spacing w:line="204" w:lineRule="exact" w:before="35"/>
              <w:ind w:right="113"/>
              <w:jc w:val="right"/>
              <w:rPr>
                <w:b/>
                <w:sz w:val="18"/>
              </w:rPr>
            </w:pPr>
            <w:r>
              <w:rPr>
                <w:b/>
                <w:w w:val="122"/>
                <w:sz w:val="18"/>
              </w:rPr>
              <w:t>-</w:t>
            </w:r>
          </w:p>
        </w:tc>
        <w:tc>
          <w:tcPr>
            <w:tcW w:w="879" w:type="dxa"/>
            <w:tcBorders>
              <w:top w:val="single" w:sz="4" w:space="0" w:color="000000"/>
              <w:bottom w:val="single" w:sz="24" w:space="0" w:color="FFFFFF"/>
            </w:tcBorders>
            <w:shd w:val="clear" w:color="auto" w:fill="FAF9F9"/>
          </w:tcPr>
          <w:p>
            <w:pPr>
              <w:pStyle w:val="TableParagraph"/>
              <w:spacing w:line="204" w:lineRule="exact" w:before="35"/>
              <w:ind w:right="115"/>
              <w:jc w:val="right"/>
              <w:rPr>
                <w:b/>
                <w:sz w:val="18"/>
              </w:rPr>
            </w:pPr>
            <w:r>
              <w:rPr>
                <w:b/>
                <w:w w:val="95"/>
                <w:sz w:val="18"/>
              </w:rPr>
              <w:t>23,509</w:t>
            </w:r>
          </w:p>
        </w:tc>
        <w:tc>
          <w:tcPr>
            <w:tcW w:w="1021" w:type="dxa"/>
            <w:tcBorders>
              <w:top w:val="single" w:sz="4" w:space="0" w:color="000000"/>
              <w:bottom w:val="single" w:sz="24" w:space="0" w:color="FFFFFF"/>
            </w:tcBorders>
            <w:shd w:val="clear" w:color="auto" w:fill="E1E4BB"/>
          </w:tcPr>
          <w:p>
            <w:pPr>
              <w:pStyle w:val="TableParagraph"/>
              <w:spacing w:line="204" w:lineRule="exact" w:before="35"/>
              <w:ind w:right="116"/>
              <w:jc w:val="right"/>
              <w:rPr>
                <w:b/>
                <w:sz w:val="18"/>
              </w:rPr>
            </w:pPr>
            <w:r>
              <w:rPr>
                <w:b/>
                <w:w w:val="95"/>
                <w:sz w:val="18"/>
              </w:rPr>
              <w:t>1,094,947</w:t>
            </w:r>
          </w:p>
        </w:tc>
        <w:tc>
          <w:tcPr>
            <w:tcW w:w="1023" w:type="dxa"/>
            <w:gridSpan w:val="2"/>
            <w:tcBorders>
              <w:top w:val="single" w:sz="4" w:space="0" w:color="000000"/>
              <w:bottom w:val="single" w:sz="24" w:space="0" w:color="FFFFFF"/>
            </w:tcBorders>
            <w:shd w:val="clear" w:color="auto" w:fill="FAF9F9"/>
          </w:tcPr>
          <w:p>
            <w:pPr>
              <w:pStyle w:val="TableParagraph"/>
              <w:spacing w:line="204" w:lineRule="exact" w:before="35"/>
              <w:ind w:left="117"/>
              <w:rPr>
                <w:b/>
                <w:sz w:val="18"/>
              </w:rPr>
            </w:pPr>
            <w:r>
              <w:rPr>
                <w:b/>
                <w:sz w:val="18"/>
              </w:rPr>
              <w:t>1,115,061</w:t>
            </w:r>
          </w:p>
        </w:tc>
      </w:tr>
    </w:tbl>
    <w:p>
      <w:pPr>
        <w:pStyle w:val="BodyText"/>
        <w:spacing w:line="20" w:lineRule="exact"/>
        <w:ind w:left="13147"/>
        <w:rPr>
          <w:sz w:val="2"/>
        </w:rPr>
      </w:pPr>
      <w:r>
        <w:rPr>
          <w:sz w:val="2"/>
        </w:rPr>
        <w:pict>
          <v:group style="width:146pt;height:.550pt;mso-position-horizontal-relative:char;mso-position-vertical-relative:line" coordorigin="0,0" coordsize="2920,11">
            <v:line style="position:absolute" from="0,5" to="879,5" stroked="true" strokeweight=".501pt" strokecolor="#000000">
              <v:stroke dashstyle="solid"/>
            </v:line>
            <v:line style="position:absolute" from="879,5" to="1899,5" stroked="true" strokeweight=".501pt" strokecolor="#000000">
              <v:stroke dashstyle="solid"/>
            </v:line>
            <v:line style="position:absolute" from="1899,5" to="2920,5" stroked="true" strokeweight=".501pt" strokecolor="#000000">
              <v:stroke dashstyle="solid"/>
            </v:line>
          </v:group>
        </w:pict>
      </w:r>
      <w:r>
        <w:rPr>
          <w:sz w:val="2"/>
        </w:rPr>
      </w:r>
    </w:p>
    <w:p>
      <w:pPr>
        <w:spacing w:before="177"/>
        <w:ind w:left="765" w:right="0" w:firstLine="0"/>
        <w:jc w:val="left"/>
        <w:rPr>
          <w:sz w:val="18"/>
        </w:rPr>
      </w:pPr>
      <w:r>
        <w:rPr>
          <w:sz w:val="18"/>
        </w:rPr>
        <w:t>The Schedule of Assets and Liabilities by Service should be read in conjunction with the accompanying notes.</w:t>
      </w:r>
    </w:p>
    <w:p>
      <w:pPr>
        <w:pStyle w:val="BodyText"/>
        <w:spacing w:before="6"/>
        <w:rPr>
          <w:sz w:val="19"/>
        </w:rPr>
      </w:pPr>
    </w:p>
    <w:p>
      <w:pPr>
        <w:spacing w:before="1"/>
        <w:ind w:left="765" w:right="0" w:firstLine="0"/>
        <w:jc w:val="left"/>
        <w:rPr>
          <w:b/>
          <w:sz w:val="18"/>
        </w:rPr>
      </w:pPr>
      <w:r>
        <w:rPr>
          <w:b/>
          <w:sz w:val="18"/>
        </w:rPr>
        <w:t>Service 1: Revenue assessment and collection and grants and subsidies administration</w:t>
      </w:r>
    </w:p>
    <w:p>
      <w:pPr>
        <w:spacing w:line="249" w:lineRule="auto" w:before="9"/>
        <w:ind w:left="765" w:right="720" w:firstLine="0"/>
        <w:jc w:val="left"/>
        <w:rPr>
          <w:b/>
          <w:sz w:val="18"/>
        </w:rPr>
      </w:pPr>
      <w:r>
        <w:rPr>
          <w:b/>
          <w:sz w:val="18"/>
        </w:rPr>
        <w:t>Service 2: Development and management of Common Use Contract Arrangements, State Fleet leasing and disposal, and providing facilitation service for agency specific contracts Service 3: Corporate services to client agencies</w:t>
      </w:r>
    </w:p>
    <w:p>
      <w:pPr>
        <w:spacing w:line="249" w:lineRule="auto" w:before="1"/>
        <w:ind w:left="765" w:right="4121" w:firstLine="0"/>
        <w:jc w:val="left"/>
        <w:rPr>
          <w:b/>
          <w:sz w:val="10"/>
        </w:rPr>
      </w:pPr>
      <w:r>
        <w:rPr>
          <w:b/>
          <w:sz w:val="18"/>
        </w:rPr>
        <w:t>Service 4: Leads the planning, delivery, management and maintenance of government buildings, projects and office accommodation Service 5: Leads the planning and delivery of new government buildings</w:t>
      </w:r>
      <w:r>
        <w:rPr>
          <w:b/>
          <w:position w:val="6"/>
          <w:sz w:val="10"/>
        </w:rPr>
        <w:t>(a)</w:t>
      </w:r>
    </w:p>
    <w:p>
      <w:pPr>
        <w:spacing w:before="2"/>
        <w:ind w:left="765" w:right="0" w:firstLine="0"/>
        <w:jc w:val="left"/>
        <w:rPr>
          <w:b/>
          <w:sz w:val="10"/>
        </w:rPr>
      </w:pPr>
      <w:r>
        <w:rPr>
          <w:b/>
          <w:sz w:val="18"/>
        </w:rPr>
        <w:t>Service 6: Development and implementation of energy policy and economic reform, assessment of proposed policy changes and the impact on regulatory functions</w:t>
      </w:r>
      <w:r>
        <w:rPr>
          <w:b/>
          <w:position w:val="6"/>
          <w:sz w:val="10"/>
        </w:rPr>
        <w:t>(b)</w:t>
      </w:r>
    </w:p>
    <w:p>
      <w:pPr>
        <w:pStyle w:val="BodyText"/>
        <w:spacing w:before="6"/>
        <w:rPr>
          <w:b/>
          <w:sz w:val="19"/>
        </w:rPr>
      </w:pPr>
    </w:p>
    <w:p>
      <w:pPr>
        <w:pStyle w:val="ListParagraph"/>
        <w:numPr>
          <w:ilvl w:val="0"/>
          <w:numId w:val="3"/>
        </w:numPr>
        <w:tabs>
          <w:tab w:pos="996" w:val="left" w:leader="none"/>
        </w:tabs>
        <w:spacing w:line="240" w:lineRule="auto" w:before="0" w:after="0"/>
        <w:ind w:left="995" w:right="0" w:hanging="230"/>
        <w:jc w:val="left"/>
        <w:rPr>
          <w:sz w:val="18"/>
        </w:rPr>
      </w:pPr>
      <w:r>
        <w:rPr>
          <w:sz w:val="18"/>
        </w:rPr>
        <w:t>Strategic</w:t>
      </w:r>
      <w:r>
        <w:rPr>
          <w:spacing w:val="-5"/>
          <w:sz w:val="18"/>
        </w:rPr>
        <w:t> </w:t>
      </w:r>
      <w:r>
        <w:rPr>
          <w:sz w:val="18"/>
        </w:rPr>
        <w:t>Projects</w:t>
      </w:r>
      <w:r>
        <w:rPr>
          <w:spacing w:val="-4"/>
          <w:sz w:val="18"/>
        </w:rPr>
        <w:t> </w:t>
      </w:r>
      <w:r>
        <w:rPr>
          <w:sz w:val="18"/>
        </w:rPr>
        <w:t>(excluding</w:t>
      </w:r>
      <w:r>
        <w:rPr>
          <w:spacing w:val="-5"/>
          <w:sz w:val="18"/>
        </w:rPr>
        <w:t> </w:t>
      </w:r>
      <w:r>
        <w:rPr>
          <w:sz w:val="18"/>
        </w:rPr>
        <w:t>Asset</w:t>
      </w:r>
      <w:r>
        <w:rPr>
          <w:spacing w:val="-4"/>
          <w:sz w:val="18"/>
        </w:rPr>
        <w:t> </w:t>
      </w:r>
      <w:r>
        <w:rPr>
          <w:sz w:val="18"/>
        </w:rPr>
        <w:t>Sales)</w:t>
      </w:r>
      <w:r>
        <w:rPr>
          <w:spacing w:val="-5"/>
          <w:sz w:val="18"/>
        </w:rPr>
        <w:t> </w:t>
      </w:r>
      <w:r>
        <w:rPr>
          <w:sz w:val="18"/>
        </w:rPr>
        <w:t>was</w:t>
      </w:r>
      <w:r>
        <w:rPr>
          <w:spacing w:val="-4"/>
          <w:sz w:val="18"/>
        </w:rPr>
        <w:t> </w:t>
      </w:r>
      <w:r>
        <w:rPr>
          <w:sz w:val="18"/>
        </w:rPr>
        <w:t>transferred</w:t>
      </w:r>
      <w:r>
        <w:rPr>
          <w:spacing w:val="-5"/>
          <w:sz w:val="18"/>
        </w:rPr>
        <w:t> </w:t>
      </w:r>
      <w:r>
        <w:rPr>
          <w:sz w:val="18"/>
        </w:rPr>
        <w:t>from</w:t>
      </w:r>
      <w:r>
        <w:rPr>
          <w:spacing w:val="-4"/>
          <w:sz w:val="18"/>
        </w:rPr>
        <w:t> </w:t>
      </w:r>
      <w:r>
        <w:rPr>
          <w:sz w:val="18"/>
        </w:rPr>
        <w:t>the</w:t>
      </w:r>
      <w:r>
        <w:rPr>
          <w:spacing w:val="-5"/>
          <w:sz w:val="18"/>
        </w:rPr>
        <w:t> </w:t>
      </w:r>
      <w:r>
        <w:rPr>
          <w:sz w:val="18"/>
        </w:rPr>
        <w:t>Department</w:t>
      </w:r>
      <w:r>
        <w:rPr>
          <w:spacing w:val="-4"/>
          <w:sz w:val="18"/>
        </w:rPr>
        <w:t> </w:t>
      </w:r>
      <w:r>
        <w:rPr>
          <w:sz w:val="18"/>
        </w:rPr>
        <w:t>of</w:t>
      </w:r>
      <w:r>
        <w:rPr>
          <w:spacing w:val="-5"/>
          <w:sz w:val="18"/>
        </w:rPr>
        <w:t> </w:t>
      </w:r>
      <w:r>
        <w:rPr>
          <w:spacing w:val="-3"/>
          <w:sz w:val="18"/>
        </w:rPr>
        <w:t>Treasury</w:t>
      </w:r>
      <w:r>
        <w:rPr>
          <w:spacing w:val="-4"/>
          <w:sz w:val="18"/>
        </w:rPr>
        <w:t> </w:t>
      </w:r>
      <w:r>
        <w:rPr>
          <w:sz w:val="18"/>
        </w:rPr>
        <w:t>on</w:t>
      </w:r>
      <w:r>
        <w:rPr>
          <w:spacing w:val="-5"/>
          <w:sz w:val="18"/>
        </w:rPr>
        <w:t> </w:t>
      </w:r>
      <w:r>
        <w:rPr>
          <w:sz w:val="18"/>
        </w:rPr>
        <w:t>1</w:t>
      </w:r>
      <w:r>
        <w:rPr>
          <w:spacing w:val="-4"/>
          <w:sz w:val="18"/>
        </w:rPr>
        <w:t> </w:t>
      </w:r>
      <w:r>
        <w:rPr>
          <w:sz w:val="18"/>
        </w:rPr>
        <w:t>July</w:t>
      </w:r>
      <w:r>
        <w:rPr>
          <w:spacing w:val="-5"/>
          <w:sz w:val="18"/>
        </w:rPr>
        <w:t> </w:t>
      </w:r>
      <w:r>
        <w:rPr>
          <w:sz w:val="18"/>
        </w:rPr>
        <w:t>2017</w:t>
      </w:r>
      <w:r>
        <w:rPr>
          <w:spacing w:val="-4"/>
          <w:sz w:val="18"/>
        </w:rPr>
        <w:t> </w:t>
      </w:r>
      <w:r>
        <w:rPr>
          <w:sz w:val="18"/>
        </w:rPr>
        <w:t>and</w:t>
      </w:r>
      <w:r>
        <w:rPr>
          <w:spacing w:val="-5"/>
          <w:sz w:val="18"/>
        </w:rPr>
        <w:t> </w:t>
      </w:r>
      <w:r>
        <w:rPr>
          <w:sz w:val="18"/>
        </w:rPr>
        <w:t>hence</w:t>
      </w:r>
      <w:r>
        <w:rPr>
          <w:spacing w:val="-4"/>
          <w:sz w:val="18"/>
        </w:rPr>
        <w:t> </w:t>
      </w:r>
      <w:r>
        <w:rPr>
          <w:sz w:val="18"/>
        </w:rPr>
        <w:t>comparatives</w:t>
      </w:r>
      <w:r>
        <w:rPr>
          <w:spacing w:val="-5"/>
          <w:sz w:val="18"/>
        </w:rPr>
        <w:t> </w:t>
      </w:r>
      <w:r>
        <w:rPr>
          <w:sz w:val="18"/>
        </w:rPr>
        <w:t>for</w:t>
      </w:r>
      <w:r>
        <w:rPr>
          <w:spacing w:val="-4"/>
          <w:sz w:val="18"/>
        </w:rPr>
        <w:t> </w:t>
      </w:r>
      <w:r>
        <w:rPr>
          <w:sz w:val="18"/>
        </w:rPr>
        <w:t>2017</w:t>
      </w:r>
      <w:r>
        <w:rPr>
          <w:spacing w:val="-5"/>
          <w:sz w:val="18"/>
        </w:rPr>
        <w:t> </w:t>
      </w:r>
      <w:r>
        <w:rPr>
          <w:sz w:val="18"/>
        </w:rPr>
        <w:t>are</w:t>
      </w:r>
      <w:r>
        <w:rPr>
          <w:spacing w:val="-4"/>
          <w:sz w:val="18"/>
        </w:rPr>
        <w:t> </w:t>
      </w:r>
      <w:r>
        <w:rPr>
          <w:sz w:val="18"/>
        </w:rPr>
        <w:t>not</w:t>
      </w:r>
      <w:r>
        <w:rPr>
          <w:spacing w:val="-5"/>
          <w:sz w:val="18"/>
        </w:rPr>
        <w:t> </w:t>
      </w:r>
      <w:r>
        <w:rPr>
          <w:sz w:val="18"/>
        </w:rPr>
        <w:t>available.</w:t>
      </w:r>
    </w:p>
    <w:p>
      <w:pPr>
        <w:pStyle w:val="ListParagraph"/>
        <w:numPr>
          <w:ilvl w:val="0"/>
          <w:numId w:val="3"/>
        </w:numPr>
        <w:tabs>
          <w:tab w:pos="1006" w:val="left" w:leader="none"/>
        </w:tabs>
        <w:spacing w:line="240" w:lineRule="auto" w:before="9" w:after="0"/>
        <w:ind w:left="1005" w:right="0" w:hanging="240"/>
        <w:jc w:val="left"/>
        <w:rPr>
          <w:sz w:val="18"/>
        </w:rPr>
      </w:pPr>
      <w:r>
        <w:rPr>
          <w:sz w:val="18"/>
        </w:rPr>
        <w:t>Public Utilities Office and Economic Reform were transferred to the Department of </w:t>
      </w:r>
      <w:r>
        <w:rPr>
          <w:spacing w:val="-3"/>
          <w:sz w:val="18"/>
        </w:rPr>
        <w:t>Treasury </w:t>
      </w:r>
      <w:r>
        <w:rPr>
          <w:sz w:val="18"/>
        </w:rPr>
        <w:t>on 1 July</w:t>
      </w:r>
      <w:r>
        <w:rPr>
          <w:spacing w:val="-24"/>
          <w:sz w:val="18"/>
        </w:rPr>
        <w:t> </w:t>
      </w:r>
      <w:r>
        <w:rPr>
          <w:sz w:val="18"/>
        </w:rPr>
        <w:t>2017.</w:t>
      </w:r>
    </w:p>
    <w:p>
      <w:pPr>
        <w:spacing w:after="0" w:line="240" w:lineRule="auto"/>
        <w:jc w:val="left"/>
        <w:rPr>
          <w:sz w:val="18"/>
        </w:rPr>
        <w:sectPr>
          <w:footerReference w:type="default" r:id="rId136"/>
          <w:pgSz w:w="16840" w:h="11910" w:orient="landscape"/>
          <w:pgMar w:footer="774" w:header="0" w:top="0" w:bottom="960" w:left="0" w:right="0"/>
        </w:sectPr>
      </w:pPr>
    </w:p>
    <w:p>
      <w:pPr>
        <w:pStyle w:val="BodyText"/>
        <w:rPr>
          <w:sz w:val="20"/>
        </w:rPr>
      </w:pPr>
      <w:bookmarkStart w:name="_bookmark24" w:id="25"/>
      <w:bookmarkEnd w:id="25"/>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10"/>
        <w:rPr>
          <w:sz w:val="19"/>
        </w:rPr>
      </w:pPr>
    </w:p>
    <w:p>
      <w:pPr>
        <w:pStyle w:val="Heading2"/>
      </w:pPr>
      <w:r>
        <w:rPr/>
        <w:pict>
          <v:group style="position:absolute;margin-left:120.271004pt;margin-top:-67.721718pt;width:721.65pt;height:42.55pt;mso-position-horizontal-relative:page;mso-position-vertical-relative:paragraph;z-index:11776" coordorigin="2405,-1354" coordsize="14433,851">
            <v:rect style="position:absolute;left:14432;top:-1355;width:2406;height:851" filled="true" fillcolor="#bba1bc" stroked="false">
              <v:fill type="solid"/>
            </v:rect>
            <v:shape style="position:absolute;left:14432;top:-1355;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5;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5;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5;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5;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5;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pacing w:val="-10"/>
        </w:rPr>
        <w:t>Summary</w:t>
      </w:r>
      <w:r>
        <w:rPr>
          <w:color w:val="6F2770"/>
          <w:spacing w:val="-104"/>
        </w:rPr>
        <w:t> </w:t>
      </w:r>
      <w:r>
        <w:rPr>
          <w:color w:val="6F2770"/>
          <w:spacing w:val="-13"/>
        </w:rPr>
        <w:t>of</w:t>
      </w:r>
      <w:r>
        <w:rPr>
          <w:color w:val="6F2770"/>
          <w:spacing w:val="-104"/>
        </w:rPr>
        <w:t> </w:t>
      </w:r>
      <w:r>
        <w:rPr>
          <w:color w:val="6F2770"/>
          <w:spacing w:val="-18"/>
        </w:rPr>
        <w:t>Consolidated</w:t>
      </w:r>
      <w:r>
        <w:rPr>
          <w:color w:val="6F2770"/>
          <w:spacing w:val="-104"/>
        </w:rPr>
        <w:t> </w:t>
      </w:r>
      <w:r>
        <w:rPr>
          <w:color w:val="6F2770"/>
          <w:spacing w:val="-16"/>
        </w:rPr>
        <w:t>Account</w:t>
      </w:r>
      <w:r>
        <w:rPr>
          <w:color w:val="6F2770"/>
          <w:spacing w:val="-103"/>
        </w:rPr>
        <w:t> </w:t>
      </w:r>
      <w:r>
        <w:rPr>
          <w:color w:val="6F2770"/>
          <w:spacing w:val="-16"/>
        </w:rPr>
        <w:t>Appropriations</w:t>
      </w:r>
      <w:r>
        <w:rPr>
          <w:color w:val="6F2770"/>
          <w:spacing w:val="-104"/>
        </w:rPr>
        <w:t> </w:t>
      </w:r>
      <w:r>
        <w:rPr>
          <w:color w:val="6F2770"/>
          <w:spacing w:val="-10"/>
        </w:rPr>
        <w:t>and</w:t>
      </w:r>
      <w:r>
        <w:rPr>
          <w:color w:val="6F2770"/>
          <w:spacing w:val="-104"/>
        </w:rPr>
        <w:t> </w:t>
      </w:r>
      <w:r>
        <w:rPr>
          <w:color w:val="6F2770"/>
          <w:spacing w:val="-14"/>
        </w:rPr>
        <w:t>Income</w:t>
      </w:r>
      <w:r>
        <w:rPr>
          <w:color w:val="6F2770"/>
          <w:spacing w:val="-103"/>
        </w:rPr>
        <w:t> </w:t>
      </w:r>
      <w:r>
        <w:rPr>
          <w:color w:val="6F2770"/>
          <w:spacing w:val="-19"/>
        </w:rPr>
        <w:t>Estimates</w:t>
      </w:r>
    </w:p>
    <w:p>
      <w:pPr>
        <w:pStyle w:val="Heading4"/>
        <w:spacing w:before="28"/>
      </w:pPr>
      <w:r>
        <w:rPr/>
        <w:pict>
          <v:group style="position:absolute;margin-left:38.2677pt;margin-top:63.664383pt;width:443.65pt;height:89.6pt;mso-position-horizontal-relative:page;mso-position-vertical-relative:paragraph;z-index:-700888" coordorigin="765,1273" coordsize="8873,1792">
            <v:shape style="position:absolute;left:765;top:1273;width:8873;height:896" coordorigin="765,1273" coordsize="8873,896" path="m8306,1870l765,1870,765,2169,8306,2169,8306,1870m8306,1273l765,1273,765,1572,8306,1572,8306,1273m9638,1870l8306,1870,8306,2169,9638,2169,9638,1870m9638,1273l8306,1273,8306,1572,9638,1572,9638,1273e" filled="true" fillcolor="#f4f4f4" stroked="false">
              <v:path arrowok="t"/>
              <v:fill type="solid"/>
            </v:shape>
            <v:shape style="position:absolute;left:765;top:1571;width:8873;height:299" coordorigin="765,1572" coordsize="8873,299" path="m8306,1572l765,1572,765,1870,8306,1870,8306,1572m9638,1572l8306,1572,8306,1870,9638,1870,9638,1572e" filled="true" fillcolor="#faf9f9" stroked="false">
              <v:path arrowok="t"/>
              <v:fill type="solid"/>
            </v:shape>
            <v:shape style="position:absolute;left:765;top:2467;width:8873;height:299" coordorigin="765,2468" coordsize="8873,299" path="m8306,2468l765,2468,765,2766,8306,2766,8306,2468m9638,2468l8306,2468,8306,2766,9638,2766,9638,2468e" filled="true" fillcolor="#f4f4f4" stroked="false">
              <v:path arrowok="t"/>
              <v:fill type="solid"/>
            </v:shape>
            <v:shape style="position:absolute;left:765;top:2169;width:8873;height:896" coordorigin="765,2169" coordsize="8873,896" path="m8306,2766l765,2766,765,3065,8306,3065,8306,2766m8306,2169l765,2169,765,2468,8306,2468,8306,2169m9638,2766l8306,2766,8306,3065,9638,3065,9638,2766m9638,2169l8306,2169,8306,2468,9638,2468,9638,2169e" filled="true" fillcolor="#faf9f9" stroked="false">
              <v:path arrowok="t"/>
              <v:fill type="solid"/>
            </v:shape>
            <v:shape style="position:absolute;left:765;top:1561;width:8873;height:1215" coordorigin="765,1562" coordsize="8873,1215" path="m8296,2756l765,2756,765,2776,8296,2776,8296,2756m8296,1860l765,1860,765,1880,8296,1880,8296,1860m8296,1562l765,1562,765,1582,8296,1582,8296,1562m9638,2159l8296,2159,765,2159,765,2179,8296,2179,9638,2179,9638,2159m9638,1860l8316,1860,8316,1880,9638,1880,9638,1860m9638,1562l8316,1562,8316,1582,9638,1582,9638,1562e" filled="true" fillcolor="#ffffff" stroked="false">
              <v:path arrowok="t"/>
              <v:fill type="solid"/>
            </v:shape>
            <v:line style="position:absolute" from="8306,1572" to="8306,1278" stroked="true" strokeweight="1pt" strokecolor="#ffffff">
              <v:stroke dashstyle="solid"/>
            </v:line>
            <v:line style="position:absolute" from="8306,1870" to="8306,1572" stroked="true" strokeweight="1pt" strokecolor="#ffffff">
              <v:stroke dashstyle="solid"/>
            </v:line>
            <v:line style="position:absolute" from="8306,2159" to="8306,1870" stroked="true" strokeweight="1pt" strokecolor="#ffffff">
              <v:stroke dashstyle="solid"/>
            </v:line>
            <v:line style="position:absolute" from="8306,2468" to="8306,2179" stroked="true" strokeweight="1pt" strokecolor="#ffffff">
              <v:stroke dashstyle="solid"/>
            </v:line>
            <w10:wrap type="none"/>
          </v:group>
        </w:pict>
      </w:r>
      <w:r>
        <w:rPr>
          <w:color w:val="6F2770"/>
        </w:rPr>
        <w:t>For the year ended 30 June 2018</w:t>
      </w:r>
    </w:p>
    <w:p>
      <w:pPr>
        <w:pStyle w:val="BodyText"/>
        <w:spacing w:before="4"/>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0"/>
        <w:gridCol w:w="1332"/>
        <w:gridCol w:w="1332"/>
        <w:gridCol w:w="1275"/>
        <w:gridCol w:w="1275"/>
        <w:gridCol w:w="1275"/>
        <w:gridCol w:w="1275"/>
      </w:tblGrid>
      <w:tr>
        <w:trPr>
          <w:trHeight w:val="735" w:hRule="atLeast"/>
        </w:trPr>
        <w:tc>
          <w:tcPr>
            <w:tcW w:w="8872" w:type="dxa"/>
            <w:gridSpan w:val="2"/>
            <w:shd w:val="clear" w:color="auto" w:fill="783A79"/>
          </w:tcPr>
          <w:p>
            <w:pPr>
              <w:pStyle w:val="TableParagraph"/>
              <w:spacing w:before="49"/>
              <w:ind w:right="115"/>
              <w:jc w:val="right"/>
              <w:rPr>
                <w:b/>
                <w:sz w:val="18"/>
              </w:rPr>
            </w:pPr>
            <w:r>
              <w:rPr>
                <w:b/>
                <w:color w:val="FFFFFF"/>
                <w:spacing w:val="-3"/>
                <w:sz w:val="18"/>
              </w:rPr>
              <w:t>2018</w:t>
            </w:r>
          </w:p>
          <w:p>
            <w:pPr>
              <w:pStyle w:val="TableParagraph"/>
              <w:spacing w:before="9"/>
              <w:ind w:right="111"/>
              <w:jc w:val="right"/>
              <w:rPr>
                <w:b/>
                <w:sz w:val="18"/>
              </w:rPr>
            </w:pPr>
            <w:r>
              <w:rPr>
                <w:b/>
                <w:color w:val="FFFFFF"/>
                <w:sz w:val="18"/>
              </w:rPr>
              <w:t>Estimate</w:t>
            </w:r>
          </w:p>
          <w:p>
            <w:pPr>
              <w:pStyle w:val="TableParagraph"/>
              <w:spacing w:before="9"/>
              <w:ind w:right="105"/>
              <w:jc w:val="right"/>
              <w:rPr>
                <w:b/>
                <w:sz w:val="18"/>
              </w:rPr>
            </w:pPr>
            <w:r>
              <w:rPr>
                <w:b/>
                <w:color w:val="FFFFFF"/>
                <w:spacing w:val="5"/>
                <w:w w:val="95"/>
                <w:sz w:val="18"/>
              </w:rPr>
              <w:t>$000</w:t>
            </w:r>
          </w:p>
        </w:tc>
        <w:tc>
          <w:tcPr>
            <w:tcW w:w="1332" w:type="dxa"/>
            <w:shd w:val="clear" w:color="auto" w:fill="783A79"/>
          </w:tcPr>
          <w:p>
            <w:pPr>
              <w:pStyle w:val="TableParagraph"/>
              <w:spacing w:before="49"/>
              <w:ind w:left="718" w:right="15"/>
              <w:jc w:val="center"/>
              <w:rPr>
                <w:b/>
                <w:sz w:val="18"/>
              </w:rPr>
            </w:pPr>
            <w:r>
              <w:rPr>
                <w:b/>
                <w:color w:val="FFFFFF"/>
                <w:spacing w:val="-3"/>
                <w:sz w:val="18"/>
              </w:rPr>
              <w:t>2018</w:t>
            </w:r>
          </w:p>
          <w:p>
            <w:pPr>
              <w:pStyle w:val="TableParagraph"/>
              <w:spacing w:before="9"/>
              <w:ind w:left="553" w:right="1"/>
              <w:jc w:val="center"/>
              <w:rPr>
                <w:b/>
                <w:sz w:val="18"/>
              </w:rPr>
            </w:pPr>
            <w:r>
              <w:rPr>
                <w:b/>
                <w:color w:val="FFFFFF"/>
                <w:sz w:val="18"/>
              </w:rPr>
              <w:t>Actual</w:t>
            </w:r>
          </w:p>
          <w:p>
            <w:pPr>
              <w:pStyle w:val="TableParagraph"/>
              <w:spacing w:before="9"/>
              <w:ind w:left="718" w:right="23"/>
              <w:jc w:val="center"/>
              <w:rPr>
                <w:b/>
                <w:sz w:val="18"/>
              </w:rPr>
            </w:pPr>
            <w:r>
              <w:rPr>
                <w:b/>
                <w:color w:val="FFFFFF"/>
                <w:spacing w:val="5"/>
                <w:sz w:val="18"/>
              </w:rPr>
              <w:t>$000</w:t>
            </w:r>
          </w:p>
        </w:tc>
        <w:tc>
          <w:tcPr>
            <w:tcW w:w="1275" w:type="dxa"/>
            <w:shd w:val="clear" w:color="auto" w:fill="783A79"/>
          </w:tcPr>
          <w:p>
            <w:pPr>
              <w:pStyle w:val="TableParagraph"/>
              <w:spacing w:before="49"/>
              <w:ind w:left="407"/>
              <w:rPr>
                <w:b/>
                <w:sz w:val="18"/>
              </w:rPr>
            </w:pPr>
            <w:r>
              <w:rPr>
                <w:b/>
                <w:color w:val="FFFFFF"/>
                <w:sz w:val="18"/>
              </w:rPr>
              <w:t>Variance</w:t>
            </w:r>
          </w:p>
          <w:p>
            <w:pPr>
              <w:pStyle w:val="TableParagraph"/>
              <w:spacing w:before="7"/>
              <w:rPr>
                <w:sz w:val="19"/>
              </w:rPr>
            </w:pPr>
          </w:p>
          <w:p>
            <w:pPr>
              <w:pStyle w:val="TableParagraph"/>
              <w:spacing w:before="0"/>
              <w:ind w:left="746"/>
              <w:rPr>
                <w:b/>
                <w:sz w:val="18"/>
              </w:rPr>
            </w:pPr>
            <w:r>
              <w:rPr>
                <w:b/>
                <w:color w:val="FFFFFF"/>
                <w:spacing w:val="5"/>
                <w:sz w:val="18"/>
              </w:rPr>
              <w:t>$000</w:t>
            </w:r>
          </w:p>
        </w:tc>
        <w:tc>
          <w:tcPr>
            <w:tcW w:w="1275" w:type="dxa"/>
            <w:shd w:val="clear" w:color="auto" w:fill="783A79"/>
          </w:tcPr>
          <w:p>
            <w:pPr>
              <w:pStyle w:val="TableParagraph"/>
              <w:spacing w:before="49"/>
              <w:ind w:left="720" w:right="72"/>
              <w:jc w:val="center"/>
              <w:rPr>
                <w:b/>
                <w:sz w:val="18"/>
              </w:rPr>
            </w:pPr>
            <w:r>
              <w:rPr>
                <w:b/>
                <w:color w:val="FFFFFF"/>
                <w:spacing w:val="-3"/>
                <w:sz w:val="18"/>
              </w:rPr>
              <w:t>2018</w:t>
            </w:r>
          </w:p>
          <w:p>
            <w:pPr>
              <w:pStyle w:val="TableParagraph"/>
              <w:spacing w:before="9"/>
              <w:ind w:left="524" w:right="27"/>
              <w:jc w:val="center"/>
              <w:rPr>
                <w:b/>
                <w:sz w:val="18"/>
              </w:rPr>
            </w:pPr>
            <w:r>
              <w:rPr>
                <w:b/>
                <w:color w:val="FFFFFF"/>
                <w:sz w:val="18"/>
              </w:rPr>
              <w:t>Actual</w:t>
            </w:r>
          </w:p>
          <w:p>
            <w:pPr>
              <w:pStyle w:val="TableParagraph"/>
              <w:spacing w:before="9"/>
              <w:ind w:left="720" w:right="80"/>
              <w:jc w:val="center"/>
              <w:rPr>
                <w:b/>
                <w:sz w:val="18"/>
              </w:rPr>
            </w:pPr>
            <w:r>
              <w:rPr>
                <w:b/>
                <w:color w:val="FFFFFF"/>
                <w:spacing w:val="5"/>
                <w:sz w:val="18"/>
              </w:rPr>
              <w:t>$000</w:t>
            </w:r>
          </w:p>
        </w:tc>
        <w:tc>
          <w:tcPr>
            <w:tcW w:w="1275" w:type="dxa"/>
            <w:shd w:val="clear" w:color="auto" w:fill="783A79"/>
          </w:tcPr>
          <w:p>
            <w:pPr>
              <w:pStyle w:val="TableParagraph"/>
              <w:spacing w:before="49"/>
              <w:ind w:left="720" w:right="60"/>
              <w:jc w:val="center"/>
              <w:rPr>
                <w:b/>
                <w:sz w:val="18"/>
              </w:rPr>
            </w:pPr>
            <w:r>
              <w:rPr>
                <w:b/>
                <w:color w:val="FFFFFF"/>
                <w:spacing w:val="-3"/>
                <w:sz w:val="18"/>
              </w:rPr>
              <w:t>2017</w:t>
            </w:r>
          </w:p>
          <w:p>
            <w:pPr>
              <w:pStyle w:val="TableParagraph"/>
              <w:spacing w:before="9"/>
              <w:ind w:left="524" w:right="26"/>
              <w:jc w:val="center"/>
              <w:rPr>
                <w:b/>
                <w:sz w:val="18"/>
              </w:rPr>
            </w:pPr>
            <w:r>
              <w:rPr>
                <w:b/>
                <w:color w:val="FFFFFF"/>
                <w:sz w:val="18"/>
              </w:rPr>
              <w:t>Actual</w:t>
            </w:r>
          </w:p>
          <w:p>
            <w:pPr>
              <w:pStyle w:val="TableParagraph"/>
              <w:spacing w:before="9"/>
              <w:ind w:left="720" w:right="80"/>
              <w:jc w:val="center"/>
              <w:rPr>
                <w:b/>
                <w:sz w:val="18"/>
              </w:rPr>
            </w:pPr>
            <w:r>
              <w:rPr>
                <w:b/>
                <w:color w:val="FFFFFF"/>
                <w:spacing w:val="5"/>
                <w:sz w:val="18"/>
              </w:rPr>
              <w:t>$000</w:t>
            </w:r>
          </w:p>
        </w:tc>
        <w:tc>
          <w:tcPr>
            <w:tcW w:w="1275" w:type="dxa"/>
            <w:shd w:val="clear" w:color="auto" w:fill="783A79"/>
          </w:tcPr>
          <w:p>
            <w:pPr>
              <w:pStyle w:val="TableParagraph"/>
              <w:spacing w:before="49"/>
              <w:ind w:left="408"/>
              <w:rPr>
                <w:b/>
                <w:sz w:val="18"/>
              </w:rPr>
            </w:pPr>
            <w:r>
              <w:rPr>
                <w:b/>
                <w:color w:val="FFFFFF"/>
                <w:sz w:val="18"/>
              </w:rPr>
              <w:t>Variance</w:t>
            </w:r>
          </w:p>
          <w:p>
            <w:pPr>
              <w:pStyle w:val="TableParagraph"/>
              <w:spacing w:before="7"/>
              <w:rPr>
                <w:sz w:val="19"/>
              </w:rPr>
            </w:pPr>
          </w:p>
          <w:p>
            <w:pPr>
              <w:pStyle w:val="TableParagraph"/>
              <w:spacing w:before="0"/>
              <w:ind w:left="747"/>
              <w:rPr>
                <w:b/>
                <w:sz w:val="18"/>
              </w:rPr>
            </w:pPr>
            <w:r>
              <w:rPr>
                <w:b/>
                <w:color w:val="FFFFFF"/>
                <w:spacing w:val="5"/>
                <w:sz w:val="18"/>
              </w:rPr>
              <w:t>$000</w:t>
            </w:r>
          </w:p>
        </w:tc>
      </w:tr>
      <w:tr>
        <w:trPr>
          <w:trHeight w:val="288" w:hRule="atLeast"/>
        </w:trPr>
        <w:tc>
          <w:tcPr>
            <w:tcW w:w="7540" w:type="dxa"/>
            <w:vMerge w:val="restart"/>
          </w:tcPr>
          <w:p>
            <w:pPr>
              <w:pStyle w:val="TableParagraph"/>
              <w:spacing w:before="44"/>
              <w:ind w:left="112"/>
              <w:rPr>
                <w:i/>
                <w:sz w:val="18"/>
              </w:rPr>
            </w:pPr>
            <w:r>
              <w:rPr>
                <w:i/>
                <w:color w:val="6F2770"/>
                <w:sz w:val="18"/>
              </w:rPr>
              <w:t>Delivery of services</w:t>
            </w:r>
          </w:p>
          <w:p>
            <w:pPr>
              <w:pStyle w:val="TableParagraph"/>
              <w:spacing w:line="300" w:lineRule="atLeast" w:before="0"/>
              <w:ind w:left="112" w:right="3468"/>
              <w:rPr>
                <w:sz w:val="18"/>
              </w:rPr>
            </w:pPr>
            <w:r>
              <w:rPr>
                <w:sz w:val="18"/>
              </w:rPr>
              <w:t>Item</w:t>
            </w:r>
            <w:r>
              <w:rPr>
                <w:spacing w:val="-22"/>
                <w:sz w:val="18"/>
              </w:rPr>
              <w:t> </w:t>
            </w:r>
            <w:r>
              <w:rPr>
                <w:spacing w:val="-4"/>
                <w:sz w:val="18"/>
              </w:rPr>
              <w:t>73</w:t>
            </w:r>
            <w:r>
              <w:rPr>
                <w:spacing w:val="-21"/>
                <w:sz w:val="18"/>
              </w:rPr>
              <w:t> </w:t>
            </w:r>
            <w:r>
              <w:rPr>
                <w:sz w:val="18"/>
              </w:rPr>
              <w:t>net</w:t>
            </w:r>
            <w:r>
              <w:rPr>
                <w:spacing w:val="-21"/>
                <w:sz w:val="18"/>
              </w:rPr>
              <w:t> </w:t>
            </w:r>
            <w:r>
              <w:rPr>
                <w:sz w:val="18"/>
              </w:rPr>
              <w:t>amount</w:t>
            </w:r>
            <w:r>
              <w:rPr>
                <w:spacing w:val="-21"/>
                <w:sz w:val="18"/>
              </w:rPr>
              <w:t> </w:t>
            </w:r>
            <w:r>
              <w:rPr>
                <w:sz w:val="18"/>
              </w:rPr>
              <w:t>appropriated</w:t>
            </w:r>
            <w:r>
              <w:rPr>
                <w:spacing w:val="-21"/>
                <w:sz w:val="18"/>
              </w:rPr>
              <w:t> </w:t>
            </w:r>
            <w:r>
              <w:rPr>
                <w:spacing w:val="-3"/>
                <w:sz w:val="18"/>
              </w:rPr>
              <w:t>to</w:t>
            </w:r>
            <w:r>
              <w:rPr>
                <w:spacing w:val="-21"/>
                <w:sz w:val="18"/>
              </w:rPr>
              <w:t> </w:t>
            </w:r>
            <w:r>
              <w:rPr>
                <w:sz w:val="18"/>
              </w:rPr>
              <w:t>deliver</w:t>
            </w:r>
            <w:r>
              <w:rPr>
                <w:spacing w:val="-22"/>
                <w:sz w:val="18"/>
              </w:rPr>
              <w:t> </w:t>
            </w:r>
            <w:r>
              <w:rPr>
                <w:sz w:val="18"/>
              </w:rPr>
              <w:t>services Amount authorised by other</w:t>
            </w:r>
            <w:r>
              <w:rPr>
                <w:spacing w:val="-30"/>
                <w:sz w:val="18"/>
              </w:rPr>
              <w:t> </w:t>
            </w:r>
            <w:r>
              <w:rPr>
                <w:sz w:val="18"/>
              </w:rPr>
              <w:t>statutes:</w:t>
            </w:r>
          </w:p>
        </w:tc>
        <w:tc>
          <w:tcPr>
            <w:tcW w:w="1332" w:type="dxa"/>
            <w:vMerge w:val="restart"/>
          </w:tcPr>
          <w:p>
            <w:pPr>
              <w:pStyle w:val="TableParagraph"/>
              <w:spacing w:before="9"/>
              <w:rPr>
                <w:sz w:val="29"/>
              </w:rPr>
            </w:pPr>
          </w:p>
          <w:p>
            <w:pPr>
              <w:pStyle w:val="TableParagraph"/>
              <w:spacing w:before="1"/>
              <w:ind w:left="585"/>
              <w:rPr>
                <w:sz w:val="18"/>
              </w:rPr>
            </w:pPr>
            <w:r>
              <w:rPr>
                <w:sz w:val="18"/>
              </w:rPr>
              <w:t>150,906</w:t>
            </w:r>
          </w:p>
        </w:tc>
        <w:tc>
          <w:tcPr>
            <w:tcW w:w="1332" w:type="dxa"/>
            <w:vMerge w:val="restart"/>
            <w:tcBorders>
              <w:bottom w:val="single" w:sz="4" w:space="0" w:color="000000"/>
            </w:tcBorders>
            <w:shd w:val="clear" w:color="auto" w:fill="E1E4BB"/>
          </w:tcPr>
          <w:p>
            <w:pPr>
              <w:pStyle w:val="TableParagraph"/>
              <w:spacing w:before="9"/>
              <w:rPr>
                <w:sz w:val="29"/>
              </w:rPr>
            </w:pPr>
          </w:p>
          <w:p>
            <w:pPr>
              <w:pStyle w:val="TableParagraph"/>
              <w:spacing w:before="1"/>
              <w:ind w:left="592"/>
              <w:rPr>
                <w:sz w:val="18"/>
              </w:rPr>
            </w:pPr>
            <w:r>
              <w:rPr>
                <w:spacing w:val="-4"/>
                <w:sz w:val="18"/>
              </w:rPr>
              <w:t>149,299</w:t>
            </w:r>
          </w:p>
          <w:p>
            <w:pPr>
              <w:pStyle w:val="TableParagraph"/>
              <w:spacing w:before="0"/>
              <w:rPr>
                <w:sz w:val="20"/>
              </w:rPr>
            </w:pPr>
          </w:p>
          <w:p>
            <w:pPr>
              <w:pStyle w:val="TableParagraph"/>
              <w:spacing w:before="160"/>
              <w:ind w:left="792"/>
              <w:rPr>
                <w:sz w:val="18"/>
              </w:rPr>
            </w:pPr>
            <w:r>
              <w:rPr>
                <w:spacing w:val="-6"/>
                <w:sz w:val="18"/>
              </w:rPr>
              <w:t>1,601</w:t>
            </w:r>
          </w:p>
        </w:tc>
        <w:tc>
          <w:tcPr>
            <w:tcW w:w="1275" w:type="dxa"/>
            <w:tcBorders>
              <w:bottom w:val="single" w:sz="8" w:space="0" w:color="FFFFFF"/>
            </w:tcBorders>
            <w:shd w:val="clear" w:color="auto" w:fill="F4F4F4"/>
          </w:tcPr>
          <w:p>
            <w:pPr>
              <w:pStyle w:val="TableParagraph"/>
              <w:spacing w:before="0"/>
              <w:rPr>
                <w:rFonts w:ascii="Times New Roman"/>
                <w:sz w:val="20"/>
              </w:rPr>
            </w:pPr>
          </w:p>
        </w:tc>
        <w:tc>
          <w:tcPr>
            <w:tcW w:w="1275" w:type="dxa"/>
            <w:vMerge w:val="restart"/>
            <w:shd w:val="clear" w:color="auto" w:fill="E1E4BB"/>
          </w:tcPr>
          <w:p>
            <w:pPr>
              <w:pStyle w:val="TableParagraph"/>
              <w:spacing w:before="9"/>
              <w:rPr>
                <w:sz w:val="29"/>
              </w:rPr>
            </w:pPr>
          </w:p>
          <w:p>
            <w:pPr>
              <w:pStyle w:val="TableParagraph"/>
              <w:spacing w:before="1"/>
              <w:ind w:left="536"/>
              <w:rPr>
                <w:sz w:val="18"/>
              </w:rPr>
            </w:pPr>
            <w:r>
              <w:rPr>
                <w:sz w:val="18"/>
              </w:rPr>
              <w:t>149,299</w:t>
            </w:r>
          </w:p>
        </w:tc>
        <w:tc>
          <w:tcPr>
            <w:tcW w:w="1275" w:type="dxa"/>
            <w:vMerge w:val="restart"/>
            <w:tcBorders>
              <w:bottom w:val="single" w:sz="4" w:space="0" w:color="000000"/>
            </w:tcBorders>
            <w:shd w:val="clear" w:color="auto" w:fill="FFFFFF"/>
          </w:tcPr>
          <w:p>
            <w:pPr>
              <w:pStyle w:val="TableParagraph"/>
              <w:spacing w:before="9"/>
              <w:rPr>
                <w:sz w:val="29"/>
              </w:rPr>
            </w:pPr>
          </w:p>
          <w:p>
            <w:pPr>
              <w:pStyle w:val="TableParagraph"/>
              <w:spacing w:before="1"/>
              <w:ind w:left="516" w:right="87"/>
              <w:jc w:val="center"/>
              <w:rPr>
                <w:sz w:val="18"/>
              </w:rPr>
            </w:pPr>
            <w:r>
              <w:rPr>
                <w:spacing w:val="-5"/>
                <w:sz w:val="18"/>
              </w:rPr>
              <w:t>165,525</w:t>
            </w:r>
          </w:p>
          <w:p>
            <w:pPr>
              <w:pStyle w:val="TableParagraph"/>
              <w:spacing w:before="0"/>
              <w:rPr>
                <w:sz w:val="20"/>
              </w:rPr>
            </w:pPr>
          </w:p>
          <w:p>
            <w:pPr>
              <w:pStyle w:val="TableParagraph"/>
              <w:spacing w:before="160"/>
              <w:ind w:left="714" w:right="87"/>
              <w:jc w:val="center"/>
              <w:rPr>
                <w:sz w:val="18"/>
              </w:rPr>
            </w:pPr>
            <w:r>
              <w:rPr>
                <w:spacing w:val="-6"/>
                <w:sz w:val="18"/>
              </w:rPr>
              <w:t>1,625</w:t>
            </w:r>
          </w:p>
        </w:tc>
        <w:tc>
          <w:tcPr>
            <w:tcW w:w="1275" w:type="dxa"/>
            <w:vMerge w:val="restart"/>
            <w:tcBorders>
              <w:bottom w:val="single" w:sz="4" w:space="0" w:color="000000"/>
            </w:tcBorders>
            <w:shd w:val="clear" w:color="auto" w:fill="FFFFFF"/>
          </w:tcPr>
          <w:p>
            <w:pPr>
              <w:pStyle w:val="TableParagraph"/>
              <w:spacing w:before="9"/>
              <w:rPr>
                <w:sz w:val="29"/>
              </w:rPr>
            </w:pPr>
          </w:p>
          <w:p>
            <w:pPr>
              <w:pStyle w:val="TableParagraph"/>
              <w:spacing w:before="1"/>
              <w:ind w:right="111"/>
              <w:jc w:val="right"/>
              <w:rPr>
                <w:sz w:val="18"/>
              </w:rPr>
            </w:pPr>
            <w:r>
              <w:rPr>
                <w:spacing w:val="-5"/>
                <w:w w:val="95"/>
                <w:sz w:val="18"/>
              </w:rPr>
              <w:t>(16,226)</w:t>
            </w:r>
          </w:p>
          <w:p>
            <w:pPr>
              <w:pStyle w:val="TableParagraph"/>
              <w:spacing w:before="0"/>
              <w:rPr>
                <w:sz w:val="20"/>
              </w:rPr>
            </w:pPr>
          </w:p>
          <w:p>
            <w:pPr>
              <w:pStyle w:val="TableParagraph"/>
              <w:spacing w:before="160"/>
              <w:ind w:right="109"/>
              <w:jc w:val="right"/>
              <w:rPr>
                <w:sz w:val="18"/>
              </w:rPr>
            </w:pPr>
            <w:r>
              <w:rPr>
                <w:spacing w:val="-6"/>
                <w:w w:val="90"/>
                <w:sz w:val="18"/>
              </w:rPr>
              <w:t>(24)</w:t>
            </w:r>
          </w:p>
        </w:tc>
      </w:tr>
      <w:tr>
        <w:trPr>
          <w:trHeight w:val="278" w:hRule="atLeast"/>
        </w:trPr>
        <w:tc>
          <w:tcPr>
            <w:tcW w:w="7540" w:type="dxa"/>
            <w:vMerge/>
            <w:tcBorders>
              <w:top w:val="nil"/>
            </w:tcBorders>
          </w:tcPr>
          <w:p>
            <w:pPr>
              <w:rPr>
                <w:sz w:val="2"/>
                <w:szCs w:val="2"/>
              </w:rPr>
            </w:pPr>
          </w:p>
        </w:tc>
        <w:tc>
          <w:tcPr>
            <w:tcW w:w="1332" w:type="dxa"/>
            <w:vMerge/>
            <w:tcBorders>
              <w:top w:val="nil"/>
            </w:tcBorders>
          </w:tcPr>
          <w:p>
            <w:pPr>
              <w:rPr>
                <w:sz w:val="2"/>
                <w:szCs w:val="2"/>
              </w:rPr>
            </w:pPr>
          </w:p>
        </w:tc>
        <w:tc>
          <w:tcPr>
            <w:tcW w:w="1332" w:type="dxa"/>
            <w:vMerge/>
            <w:tcBorders>
              <w:top w:val="nil"/>
              <w:bottom w:val="single" w:sz="4" w:space="0" w:color="000000"/>
            </w:tcBorders>
            <w:shd w:val="clear" w:color="auto" w:fill="E1E4BB"/>
          </w:tcPr>
          <w:p>
            <w:pPr>
              <w:rPr>
                <w:sz w:val="2"/>
                <w:szCs w:val="2"/>
              </w:rPr>
            </w:pPr>
          </w:p>
        </w:tc>
        <w:tc>
          <w:tcPr>
            <w:tcW w:w="1275" w:type="dxa"/>
            <w:tcBorders>
              <w:top w:val="single" w:sz="8" w:space="0" w:color="FFFFFF"/>
              <w:bottom w:val="single" w:sz="8" w:space="0" w:color="FFFFFF"/>
            </w:tcBorders>
            <w:shd w:val="clear" w:color="auto" w:fill="FAF9F9"/>
          </w:tcPr>
          <w:p>
            <w:pPr>
              <w:pStyle w:val="TableParagraph"/>
              <w:spacing w:before="34"/>
              <w:ind w:right="110"/>
              <w:jc w:val="right"/>
              <w:rPr>
                <w:sz w:val="18"/>
              </w:rPr>
            </w:pPr>
            <w:r>
              <w:rPr>
                <w:w w:val="95"/>
                <w:sz w:val="18"/>
              </w:rPr>
              <w:t>(1,607)</w:t>
            </w:r>
          </w:p>
        </w:tc>
        <w:tc>
          <w:tcPr>
            <w:tcW w:w="1275" w:type="dxa"/>
            <w:vMerge/>
            <w:tcBorders>
              <w:top w:val="nil"/>
            </w:tcBorders>
            <w:shd w:val="clear" w:color="auto" w:fill="E1E4BB"/>
          </w:tcPr>
          <w:p>
            <w:pPr>
              <w:rPr>
                <w:sz w:val="2"/>
                <w:szCs w:val="2"/>
              </w:rPr>
            </w:pPr>
          </w:p>
        </w:tc>
        <w:tc>
          <w:tcPr>
            <w:tcW w:w="1275" w:type="dxa"/>
            <w:vMerge/>
            <w:tcBorders>
              <w:top w:val="nil"/>
              <w:bottom w:val="single" w:sz="4" w:space="0" w:color="000000"/>
            </w:tcBorders>
            <w:shd w:val="clear" w:color="auto" w:fill="FFFFFF"/>
          </w:tcPr>
          <w:p>
            <w:pPr>
              <w:rPr>
                <w:sz w:val="2"/>
                <w:szCs w:val="2"/>
              </w:rPr>
            </w:pPr>
          </w:p>
        </w:tc>
        <w:tc>
          <w:tcPr>
            <w:tcW w:w="1275" w:type="dxa"/>
            <w:vMerge/>
            <w:tcBorders>
              <w:top w:val="nil"/>
              <w:bottom w:val="single" w:sz="4" w:space="0" w:color="000000"/>
            </w:tcBorders>
            <w:shd w:val="clear" w:color="auto" w:fill="FFFFFF"/>
          </w:tcPr>
          <w:p>
            <w:pPr>
              <w:rPr>
                <w:sz w:val="2"/>
                <w:szCs w:val="2"/>
              </w:rPr>
            </w:pPr>
          </w:p>
        </w:tc>
      </w:tr>
      <w:tr>
        <w:trPr>
          <w:trHeight w:val="273" w:hRule="atLeast"/>
        </w:trPr>
        <w:tc>
          <w:tcPr>
            <w:tcW w:w="7540" w:type="dxa"/>
            <w:vMerge/>
            <w:tcBorders>
              <w:top w:val="nil"/>
            </w:tcBorders>
          </w:tcPr>
          <w:p>
            <w:pPr>
              <w:rPr>
                <w:sz w:val="2"/>
                <w:szCs w:val="2"/>
              </w:rPr>
            </w:pPr>
          </w:p>
        </w:tc>
        <w:tc>
          <w:tcPr>
            <w:tcW w:w="1332" w:type="dxa"/>
            <w:vMerge/>
            <w:tcBorders>
              <w:top w:val="nil"/>
            </w:tcBorders>
          </w:tcPr>
          <w:p>
            <w:pPr>
              <w:rPr>
                <w:sz w:val="2"/>
                <w:szCs w:val="2"/>
              </w:rPr>
            </w:pPr>
          </w:p>
        </w:tc>
        <w:tc>
          <w:tcPr>
            <w:tcW w:w="1332" w:type="dxa"/>
            <w:vMerge/>
            <w:tcBorders>
              <w:top w:val="nil"/>
              <w:bottom w:val="single" w:sz="4" w:space="0" w:color="000000"/>
            </w:tcBorders>
            <w:shd w:val="clear" w:color="auto" w:fill="E1E4BB"/>
          </w:tcPr>
          <w:p>
            <w:pPr>
              <w:rPr>
                <w:sz w:val="2"/>
                <w:szCs w:val="2"/>
              </w:rPr>
            </w:pPr>
          </w:p>
        </w:tc>
        <w:tc>
          <w:tcPr>
            <w:tcW w:w="1275"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275" w:type="dxa"/>
            <w:vMerge/>
            <w:tcBorders>
              <w:top w:val="nil"/>
            </w:tcBorders>
            <w:shd w:val="clear" w:color="auto" w:fill="E1E4BB"/>
          </w:tcPr>
          <w:p>
            <w:pPr>
              <w:rPr>
                <w:sz w:val="2"/>
                <w:szCs w:val="2"/>
              </w:rPr>
            </w:pPr>
          </w:p>
        </w:tc>
        <w:tc>
          <w:tcPr>
            <w:tcW w:w="1275" w:type="dxa"/>
            <w:vMerge/>
            <w:tcBorders>
              <w:top w:val="nil"/>
              <w:bottom w:val="single" w:sz="4" w:space="0" w:color="000000"/>
            </w:tcBorders>
            <w:shd w:val="clear" w:color="auto" w:fill="FFFFFF"/>
          </w:tcPr>
          <w:p>
            <w:pPr>
              <w:rPr>
                <w:sz w:val="2"/>
                <w:szCs w:val="2"/>
              </w:rPr>
            </w:pPr>
          </w:p>
        </w:tc>
        <w:tc>
          <w:tcPr>
            <w:tcW w:w="1275" w:type="dxa"/>
            <w:vMerge/>
            <w:tcBorders>
              <w:top w:val="nil"/>
              <w:bottom w:val="single" w:sz="4" w:space="0" w:color="000000"/>
            </w:tcBorders>
            <w:shd w:val="clear" w:color="auto" w:fill="FFFFFF"/>
          </w:tcPr>
          <w:p>
            <w:pPr>
              <w:rPr>
                <w:sz w:val="2"/>
                <w:szCs w:val="2"/>
              </w:rPr>
            </w:pPr>
          </w:p>
        </w:tc>
      </w:tr>
      <w:tr>
        <w:trPr>
          <w:trHeight w:val="288" w:hRule="atLeast"/>
        </w:trPr>
        <w:tc>
          <w:tcPr>
            <w:tcW w:w="7540" w:type="dxa"/>
          </w:tcPr>
          <w:p>
            <w:pPr>
              <w:pStyle w:val="TableParagraph"/>
              <w:spacing w:before="40"/>
              <w:ind w:left="160"/>
              <w:rPr>
                <w:i/>
                <w:sz w:val="18"/>
              </w:rPr>
            </w:pPr>
            <w:r>
              <w:rPr>
                <w:i/>
                <w:sz w:val="18"/>
              </w:rPr>
              <w:t>- Salaries and Allowances Act 1975</w:t>
            </w:r>
          </w:p>
        </w:tc>
        <w:tc>
          <w:tcPr>
            <w:tcW w:w="1332" w:type="dxa"/>
            <w:tcBorders>
              <w:bottom w:val="single" w:sz="4" w:space="0" w:color="000000"/>
            </w:tcBorders>
          </w:tcPr>
          <w:p>
            <w:pPr>
              <w:pStyle w:val="TableParagraph"/>
              <w:spacing w:before="40"/>
              <w:ind w:right="111"/>
              <w:jc w:val="right"/>
              <w:rPr>
                <w:sz w:val="18"/>
              </w:rPr>
            </w:pPr>
            <w:r>
              <w:rPr>
                <w:sz w:val="18"/>
              </w:rPr>
              <w:t>1,601</w:t>
            </w:r>
          </w:p>
        </w:tc>
        <w:tc>
          <w:tcPr>
            <w:tcW w:w="1332" w:type="dxa"/>
            <w:vMerge/>
            <w:tcBorders>
              <w:top w:val="nil"/>
              <w:bottom w:val="single" w:sz="4" w:space="0" w:color="000000"/>
            </w:tcBorders>
            <w:shd w:val="clear" w:color="auto" w:fill="E1E4BB"/>
          </w:tcPr>
          <w:p>
            <w:pPr>
              <w:rPr>
                <w:sz w:val="2"/>
                <w:szCs w:val="2"/>
              </w:rPr>
            </w:pPr>
          </w:p>
        </w:tc>
        <w:tc>
          <w:tcPr>
            <w:tcW w:w="1275" w:type="dxa"/>
            <w:tcBorders>
              <w:top w:val="single" w:sz="8" w:space="0" w:color="FFFFFF"/>
              <w:bottom w:val="single" w:sz="4" w:space="0" w:color="000000"/>
            </w:tcBorders>
            <w:shd w:val="clear" w:color="auto" w:fill="FAF9F9"/>
          </w:tcPr>
          <w:p>
            <w:pPr>
              <w:pStyle w:val="TableParagraph"/>
              <w:spacing w:before="40"/>
              <w:ind w:right="110"/>
              <w:jc w:val="right"/>
              <w:rPr>
                <w:sz w:val="18"/>
              </w:rPr>
            </w:pPr>
            <w:r>
              <w:rPr>
                <w:w w:val="111"/>
                <w:sz w:val="18"/>
              </w:rPr>
              <w:t>-</w:t>
            </w:r>
          </w:p>
        </w:tc>
        <w:tc>
          <w:tcPr>
            <w:tcW w:w="1275" w:type="dxa"/>
            <w:tcBorders>
              <w:bottom w:val="single" w:sz="4" w:space="0" w:color="000000"/>
            </w:tcBorders>
            <w:shd w:val="clear" w:color="auto" w:fill="E1E4BB"/>
          </w:tcPr>
          <w:p>
            <w:pPr>
              <w:pStyle w:val="TableParagraph"/>
              <w:spacing w:before="40"/>
              <w:ind w:right="110"/>
              <w:jc w:val="right"/>
              <w:rPr>
                <w:sz w:val="18"/>
              </w:rPr>
            </w:pPr>
            <w:r>
              <w:rPr>
                <w:sz w:val="18"/>
              </w:rPr>
              <w:t>1,601</w:t>
            </w:r>
          </w:p>
        </w:tc>
        <w:tc>
          <w:tcPr>
            <w:tcW w:w="1275" w:type="dxa"/>
            <w:vMerge/>
            <w:tcBorders>
              <w:top w:val="nil"/>
              <w:bottom w:val="single" w:sz="4" w:space="0" w:color="000000"/>
            </w:tcBorders>
            <w:shd w:val="clear" w:color="auto" w:fill="FFFFFF"/>
          </w:tcPr>
          <w:p>
            <w:pPr>
              <w:rPr>
                <w:sz w:val="2"/>
                <w:szCs w:val="2"/>
              </w:rPr>
            </w:pPr>
          </w:p>
        </w:tc>
        <w:tc>
          <w:tcPr>
            <w:tcW w:w="1275" w:type="dxa"/>
            <w:vMerge/>
            <w:tcBorders>
              <w:top w:val="nil"/>
              <w:bottom w:val="single" w:sz="4" w:space="0" w:color="000000"/>
            </w:tcBorders>
            <w:shd w:val="clear" w:color="auto" w:fill="FFFFFF"/>
          </w:tcPr>
          <w:p>
            <w:pPr>
              <w:rPr>
                <w:sz w:val="2"/>
                <w:szCs w:val="2"/>
              </w:rPr>
            </w:pPr>
          </w:p>
        </w:tc>
      </w:tr>
      <w:tr>
        <w:trPr>
          <w:trHeight w:val="288" w:hRule="atLeast"/>
        </w:trPr>
        <w:tc>
          <w:tcPr>
            <w:tcW w:w="7540" w:type="dxa"/>
            <w:vMerge w:val="restart"/>
          </w:tcPr>
          <w:p>
            <w:pPr>
              <w:pStyle w:val="TableParagraph"/>
              <w:spacing w:before="40"/>
              <w:ind w:left="112"/>
              <w:rPr>
                <w:b/>
                <w:sz w:val="18"/>
              </w:rPr>
            </w:pPr>
            <w:r>
              <w:rPr>
                <w:b/>
                <w:sz w:val="18"/>
              </w:rPr>
              <w:t>Total appropriations provided to deliver services</w:t>
            </w:r>
          </w:p>
          <w:p>
            <w:pPr>
              <w:pStyle w:val="TableParagraph"/>
              <w:spacing w:before="91"/>
              <w:ind w:left="112"/>
              <w:rPr>
                <w:i/>
                <w:sz w:val="18"/>
              </w:rPr>
            </w:pPr>
            <w:r>
              <w:rPr>
                <w:i/>
                <w:color w:val="6F2770"/>
                <w:sz w:val="18"/>
              </w:rPr>
              <w:t>Capital</w:t>
            </w:r>
          </w:p>
        </w:tc>
        <w:tc>
          <w:tcPr>
            <w:tcW w:w="1332" w:type="dxa"/>
            <w:tcBorders>
              <w:top w:val="single" w:sz="4" w:space="0" w:color="000000"/>
              <w:bottom w:val="single" w:sz="4" w:space="0" w:color="000000"/>
            </w:tcBorders>
            <w:shd w:val="clear" w:color="auto" w:fill="F4F4F4"/>
          </w:tcPr>
          <w:p>
            <w:pPr>
              <w:pStyle w:val="TableParagraph"/>
              <w:spacing w:before="40"/>
              <w:ind w:right="111"/>
              <w:jc w:val="right"/>
              <w:rPr>
                <w:b/>
                <w:sz w:val="18"/>
              </w:rPr>
            </w:pPr>
            <w:r>
              <w:rPr>
                <w:b/>
                <w:sz w:val="18"/>
              </w:rPr>
              <w:t>152,507</w:t>
            </w:r>
          </w:p>
        </w:tc>
        <w:tc>
          <w:tcPr>
            <w:tcW w:w="1332" w:type="dxa"/>
            <w:tcBorders>
              <w:top w:val="single" w:sz="4" w:space="0" w:color="000000"/>
              <w:bottom w:val="single" w:sz="4" w:space="0" w:color="000000"/>
            </w:tcBorders>
            <w:shd w:val="clear" w:color="auto" w:fill="DFE1B8"/>
          </w:tcPr>
          <w:p>
            <w:pPr>
              <w:pStyle w:val="TableParagraph"/>
              <w:spacing w:before="40"/>
              <w:ind w:right="111"/>
              <w:jc w:val="right"/>
              <w:rPr>
                <w:b/>
                <w:sz w:val="18"/>
              </w:rPr>
            </w:pPr>
            <w:r>
              <w:rPr>
                <w:b/>
                <w:sz w:val="18"/>
              </w:rPr>
              <w:t>150,900</w:t>
            </w:r>
          </w:p>
        </w:tc>
        <w:tc>
          <w:tcPr>
            <w:tcW w:w="1275" w:type="dxa"/>
            <w:tcBorders>
              <w:top w:val="single" w:sz="4" w:space="0" w:color="000000"/>
              <w:bottom w:val="single" w:sz="4" w:space="0" w:color="000000"/>
            </w:tcBorders>
            <w:shd w:val="clear" w:color="auto" w:fill="F4F4F4"/>
          </w:tcPr>
          <w:p>
            <w:pPr>
              <w:pStyle w:val="TableParagraph"/>
              <w:spacing w:before="40"/>
              <w:ind w:right="110"/>
              <w:jc w:val="right"/>
              <w:rPr>
                <w:b/>
                <w:sz w:val="18"/>
              </w:rPr>
            </w:pPr>
            <w:r>
              <w:rPr>
                <w:b/>
                <w:w w:val="95"/>
                <w:sz w:val="18"/>
              </w:rPr>
              <w:t>(1,607)</w:t>
            </w:r>
          </w:p>
        </w:tc>
        <w:tc>
          <w:tcPr>
            <w:tcW w:w="1275" w:type="dxa"/>
            <w:tcBorders>
              <w:top w:val="single" w:sz="4" w:space="0" w:color="000000"/>
              <w:bottom w:val="single" w:sz="4" w:space="0" w:color="000000"/>
            </w:tcBorders>
            <w:shd w:val="clear" w:color="auto" w:fill="DFE1B8"/>
          </w:tcPr>
          <w:p>
            <w:pPr>
              <w:pStyle w:val="TableParagraph"/>
              <w:spacing w:before="40"/>
              <w:ind w:right="110"/>
              <w:jc w:val="right"/>
              <w:rPr>
                <w:b/>
                <w:sz w:val="18"/>
              </w:rPr>
            </w:pPr>
            <w:r>
              <w:rPr>
                <w:b/>
                <w:sz w:val="18"/>
              </w:rPr>
              <w:t>150,900</w:t>
            </w:r>
          </w:p>
        </w:tc>
        <w:tc>
          <w:tcPr>
            <w:tcW w:w="1275" w:type="dxa"/>
            <w:tcBorders>
              <w:top w:val="single" w:sz="4" w:space="0" w:color="000000"/>
              <w:bottom w:val="single" w:sz="4" w:space="0" w:color="000000"/>
            </w:tcBorders>
            <w:shd w:val="clear" w:color="auto" w:fill="FFFFFF"/>
          </w:tcPr>
          <w:p>
            <w:pPr>
              <w:pStyle w:val="TableParagraph"/>
              <w:spacing w:before="40"/>
              <w:ind w:right="109"/>
              <w:jc w:val="right"/>
              <w:rPr>
                <w:b/>
                <w:sz w:val="18"/>
              </w:rPr>
            </w:pPr>
            <w:r>
              <w:rPr>
                <w:b/>
                <w:sz w:val="18"/>
              </w:rPr>
              <w:t>167,150</w:t>
            </w:r>
          </w:p>
        </w:tc>
        <w:tc>
          <w:tcPr>
            <w:tcW w:w="1275" w:type="dxa"/>
            <w:tcBorders>
              <w:top w:val="single" w:sz="4" w:space="0" w:color="000000"/>
              <w:bottom w:val="single" w:sz="4" w:space="0" w:color="000000"/>
            </w:tcBorders>
            <w:shd w:val="clear" w:color="auto" w:fill="FFFFFF"/>
          </w:tcPr>
          <w:p>
            <w:pPr>
              <w:pStyle w:val="TableParagraph"/>
              <w:spacing w:before="40"/>
              <w:ind w:right="110"/>
              <w:jc w:val="right"/>
              <w:rPr>
                <w:b/>
                <w:sz w:val="18"/>
              </w:rPr>
            </w:pPr>
            <w:r>
              <w:rPr>
                <w:b/>
                <w:w w:val="95"/>
                <w:sz w:val="18"/>
              </w:rPr>
              <w:t>(16,250)</w:t>
            </w:r>
          </w:p>
        </w:tc>
      </w:tr>
      <w:tr>
        <w:trPr>
          <w:trHeight w:val="288" w:hRule="atLeast"/>
        </w:trPr>
        <w:tc>
          <w:tcPr>
            <w:tcW w:w="7540" w:type="dxa"/>
            <w:vMerge/>
            <w:tcBorders>
              <w:top w:val="nil"/>
            </w:tcBorders>
          </w:tcPr>
          <w:p>
            <w:pPr>
              <w:rPr>
                <w:sz w:val="2"/>
                <w:szCs w:val="2"/>
              </w:rPr>
            </w:pPr>
          </w:p>
        </w:tc>
        <w:tc>
          <w:tcPr>
            <w:tcW w:w="1332"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c>
          <w:tcPr>
            <w:tcW w:w="1332" w:type="dxa"/>
            <w:tcBorders>
              <w:top w:val="single" w:sz="4" w:space="0" w:color="000000"/>
              <w:bottom w:val="single" w:sz="4" w:space="0" w:color="000000"/>
            </w:tcBorders>
            <w:shd w:val="clear" w:color="auto" w:fill="E1E4BB"/>
          </w:tcPr>
          <w:p>
            <w:pPr>
              <w:pStyle w:val="TableParagraph"/>
              <w:spacing w:before="0"/>
              <w:rPr>
                <w:rFonts w:ascii="Times New Roman"/>
                <w:sz w:val="20"/>
              </w:rPr>
            </w:pPr>
          </w:p>
        </w:tc>
        <w:tc>
          <w:tcPr>
            <w:tcW w:w="1275"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c>
          <w:tcPr>
            <w:tcW w:w="1275" w:type="dxa"/>
            <w:tcBorders>
              <w:top w:val="single" w:sz="4" w:space="0" w:color="000000"/>
              <w:bottom w:val="single" w:sz="4" w:space="0" w:color="000000"/>
            </w:tcBorders>
            <w:shd w:val="clear" w:color="auto" w:fill="E1E4BB"/>
          </w:tcPr>
          <w:p>
            <w:pPr>
              <w:pStyle w:val="TableParagraph"/>
              <w:spacing w:before="0"/>
              <w:rPr>
                <w:rFonts w:ascii="Times New Roman"/>
                <w:sz w:val="20"/>
              </w:rPr>
            </w:pPr>
          </w:p>
        </w:tc>
        <w:tc>
          <w:tcPr>
            <w:tcW w:w="2550" w:type="dxa"/>
            <w:gridSpan w:val="2"/>
            <w:tcBorders>
              <w:top w:val="single" w:sz="4" w:space="0" w:color="000000"/>
              <w:bottom w:val="single" w:sz="4" w:space="0" w:color="000000"/>
            </w:tcBorders>
            <w:shd w:val="clear" w:color="auto" w:fill="FFFFFF"/>
          </w:tcPr>
          <w:p>
            <w:pPr>
              <w:pStyle w:val="TableParagraph"/>
              <w:spacing w:before="0"/>
              <w:rPr>
                <w:rFonts w:ascii="Times New Roman"/>
                <w:sz w:val="20"/>
              </w:rPr>
            </w:pPr>
          </w:p>
        </w:tc>
      </w:tr>
      <w:tr>
        <w:trPr>
          <w:trHeight w:val="283" w:hRule="atLeast"/>
        </w:trPr>
        <w:tc>
          <w:tcPr>
            <w:tcW w:w="7540" w:type="dxa"/>
            <w:vMerge w:val="restart"/>
            <w:tcBorders>
              <w:bottom w:val="single" w:sz="8" w:space="0" w:color="FFFFFF"/>
            </w:tcBorders>
            <w:shd w:val="clear" w:color="auto" w:fill="FAF9F9"/>
          </w:tcPr>
          <w:p>
            <w:pPr>
              <w:pStyle w:val="TableParagraph"/>
              <w:spacing w:before="40"/>
              <w:ind w:left="112"/>
              <w:rPr>
                <w:sz w:val="18"/>
              </w:rPr>
            </w:pPr>
            <w:r>
              <w:rPr>
                <w:sz w:val="18"/>
              </w:rPr>
              <w:t>Item 123 Capital appropriations</w:t>
            </w:r>
          </w:p>
          <w:p>
            <w:pPr>
              <w:pStyle w:val="TableParagraph"/>
              <w:spacing w:before="91" w:after="37"/>
              <w:ind w:left="112"/>
              <w:rPr>
                <w:b/>
                <w:sz w:val="18"/>
              </w:rPr>
            </w:pPr>
            <w:r>
              <w:rPr>
                <w:b/>
                <w:sz w:val="18"/>
              </w:rPr>
              <w:t>Total capital appropriations provided to deliver services</w:t>
            </w:r>
          </w:p>
          <w:p>
            <w:pPr>
              <w:pStyle w:val="TableParagraph"/>
              <w:spacing w:line="20" w:lineRule="exact" w:before="0"/>
              <w:ind w:right="-58"/>
              <w:rPr>
                <w:sz w:val="2"/>
              </w:rPr>
            </w:pPr>
            <w:r>
              <w:rPr>
                <w:sz w:val="2"/>
              </w:rPr>
              <w:pict>
                <v:group style="width:376.55pt;height:1pt;mso-position-horizontal-relative:char;mso-position-vertical-relative:line" coordorigin="0,0" coordsize="7531,20">
                  <v:rect style="position:absolute;left:0;top:0;width:7531;height:20" filled="true" fillcolor="#ffffff" stroked="false">
                    <v:fill type="solid"/>
                  </v:rect>
                </v:group>
              </w:pict>
            </w:r>
            <w:r>
              <w:rPr>
                <w:sz w:val="2"/>
              </w:rPr>
            </w:r>
          </w:p>
          <w:p>
            <w:pPr>
              <w:pStyle w:val="TableParagraph"/>
              <w:spacing w:before="35"/>
              <w:ind w:left="112"/>
              <w:rPr>
                <w:i/>
                <w:sz w:val="18"/>
              </w:rPr>
            </w:pPr>
            <w:r>
              <w:rPr>
                <w:i/>
                <w:color w:val="6F2770"/>
                <w:sz w:val="18"/>
              </w:rPr>
              <w:t>Administered Transactions</w:t>
            </w:r>
          </w:p>
          <w:p>
            <w:pPr>
              <w:pStyle w:val="TableParagraph"/>
              <w:spacing w:before="91"/>
              <w:ind w:left="112"/>
              <w:rPr>
                <w:sz w:val="18"/>
              </w:rPr>
            </w:pPr>
            <w:r>
              <w:rPr>
                <w:sz w:val="18"/>
              </w:rPr>
              <w:t>Community service obligation payments</w:t>
            </w:r>
          </w:p>
        </w:tc>
        <w:tc>
          <w:tcPr>
            <w:tcW w:w="1332" w:type="dxa"/>
            <w:tcBorders>
              <w:top w:val="single" w:sz="4" w:space="0" w:color="000000"/>
              <w:bottom w:val="single" w:sz="4" w:space="0" w:color="000000"/>
            </w:tcBorders>
            <w:shd w:val="clear" w:color="auto" w:fill="F4F4F4"/>
          </w:tcPr>
          <w:p>
            <w:pPr>
              <w:pStyle w:val="TableParagraph"/>
              <w:spacing w:before="40"/>
              <w:ind w:right="111"/>
              <w:jc w:val="right"/>
              <w:rPr>
                <w:sz w:val="18"/>
              </w:rPr>
            </w:pPr>
            <w:r>
              <w:rPr>
                <w:sz w:val="18"/>
              </w:rPr>
              <w:t>15,932</w:t>
            </w:r>
          </w:p>
        </w:tc>
        <w:tc>
          <w:tcPr>
            <w:tcW w:w="1332" w:type="dxa"/>
            <w:tcBorders>
              <w:top w:val="single" w:sz="4" w:space="0" w:color="000000"/>
              <w:bottom w:val="single" w:sz="4" w:space="0" w:color="000000"/>
            </w:tcBorders>
            <w:shd w:val="clear" w:color="auto" w:fill="DFE1B8"/>
          </w:tcPr>
          <w:p>
            <w:pPr>
              <w:pStyle w:val="TableParagraph"/>
              <w:spacing w:before="40"/>
              <w:ind w:right="111"/>
              <w:jc w:val="right"/>
              <w:rPr>
                <w:sz w:val="18"/>
              </w:rPr>
            </w:pPr>
            <w:r>
              <w:rPr>
                <w:sz w:val="18"/>
              </w:rPr>
              <w:t>14,902</w:t>
            </w:r>
          </w:p>
        </w:tc>
        <w:tc>
          <w:tcPr>
            <w:tcW w:w="1275" w:type="dxa"/>
            <w:tcBorders>
              <w:top w:val="single" w:sz="4" w:space="0" w:color="000000"/>
              <w:bottom w:val="single" w:sz="4" w:space="0" w:color="000000"/>
            </w:tcBorders>
            <w:shd w:val="clear" w:color="auto" w:fill="F4F4F4"/>
          </w:tcPr>
          <w:p>
            <w:pPr>
              <w:pStyle w:val="TableParagraph"/>
              <w:spacing w:before="40"/>
              <w:ind w:right="110"/>
              <w:jc w:val="right"/>
              <w:rPr>
                <w:sz w:val="18"/>
              </w:rPr>
            </w:pPr>
            <w:r>
              <w:rPr>
                <w:w w:val="90"/>
                <w:sz w:val="18"/>
              </w:rPr>
              <w:t>(1,030)</w:t>
            </w:r>
          </w:p>
        </w:tc>
        <w:tc>
          <w:tcPr>
            <w:tcW w:w="1275" w:type="dxa"/>
            <w:tcBorders>
              <w:top w:val="single" w:sz="4" w:space="0" w:color="000000"/>
              <w:bottom w:val="single" w:sz="4" w:space="0" w:color="000000"/>
            </w:tcBorders>
            <w:shd w:val="clear" w:color="auto" w:fill="DFE1B8"/>
          </w:tcPr>
          <w:p>
            <w:pPr>
              <w:pStyle w:val="TableParagraph"/>
              <w:spacing w:before="40"/>
              <w:ind w:right="110"/>
              <w:jc w:val="right"/>
              <w:rPr>
                <w:sz w:val="18"/>
              </w:rPr>
            </w:pPr>
            <w:r>
              <w:rPr>
                <w:sz w:val="18"/>
              </w:rPr>
              <w:t>14,902</w:t>
            </w:r>
          </w:p>
        </w:tc>
        <w:tc>
          <w:tcPr>
            <w:tcW w:w="1275" w:type="dxa"/>
            <w:tcBorders>
              <w:top w:val="single" w:sz="4" w:space="0" w:color="000000"/>
              <w:bottom w:val="single" w:sz="4" w:space="0" w:color="000000"/>
              <w:right w:val="single" w:sz="8" w:space="0" w:color="FFFFFF"/>
            </w:tcBorders>
            <w:shd w:val="clear" w:color="auto" w:fill="F4F4F4"/>
          </w:tcPr>
          <w:p>
            <w:pPr>
              <w:pStyle w:val="TableParagraph"/>
              <w:spacing w:before="40"/>
              <w:ind w:right="99"/>
              <w:jc w:val="right"/>
              <w:rPr>
                <w:sz w:val="18"/>
              </w:rPr>
            </w:pPr>
            <w:r>
              <w:rPr>
                <w:sz w:val="18"/>
              </w:rPr>
              <w:t>28,763</w:t>
            </w:r>
          </w:p>
        </w:tc>
        <w:tc>
          <w:tcPr>
            <w:tcW w:w="1275" w:type="dxa"/>
            <w:tcBorders>
              <w:top w:val="single" w:sz="4" w:space="0" w:color="000000"/>
              <w:left w:val="single" w:sz="8" w:space="0" w:color="FFFFFF"/>
              <w:bottom w:val="single" w:sz="4" w:space="0" w:color="000000"/>
            </w:tcBorders>
            <w:shd w:val="clear" w:color="auto" w:fill="F4F4F4"/>
          </w:tcPr>
          <w:p>
            <w:pPr>
              <w:pStyle w:val="TableParagraph"/>
              <w:spacing w:before="40"/>
              <w:ind w:right="122"/>
              <w:jc w:val="right"/>
              <w:rPr>
                <w:sz w:val="18"/>
              </w:rPr>
            </w:pPr>
            <w:r>
              <w:rPr>
                <w:w w:val="95"/>
                <w:sz w:val="18"/>
              </w:rPr>
              <w:t>(13,861)</w:t>
            </w:r>
          </w:p>
        </w:tc>
      </w:tr>
      <w:tr>
        <w:trPr>
          <w:trHeight w:val="278" w:hRule="atLeast"/>
        </w:trPr>
        <w:tc>
          <w:tcPr>
            <w:tcW w:w="7540" w:type="dxa"/>
            <w:vMerge/>
            <w:tcBorders>
              <w:top w:val="nil"/>
              <w:bottom w:val="single" w:sz="8" w:space="0" w:color="FFFFFF"/>
            </w:tcBorders>
            <w:shd w:val="clear" w:color="auto" w:fill="FAF9F9"/>
          </w:tcPr>
          <w:p>
            <w:pPr>
              <w:rPr>
                <w:sz w:val="2"/>
                <w:szCs w:val="2"/>
              </w:rPr>
            </w:pPr>
          </w:p>
        </w:tc>
        <w:tc>
          <w:tcPr>
            <w:tcW w:w="1332" w:type="dxa"/>
            <w:tcBorders>
              <w:top w:val="single" w:sz="4" w:space="0" w:color="000000"/>
              <w:bottom w:val="single" w:sz="4" w:space="0" w:color="000000"/>
            </w:tcBorders>
            <w:shd w:val="clear" w:color="auto" w:fill="FAF9F9"/>
          </w:tcPr>
          <w:p>
            <w:pPr>
              <w:pStyle w:val="TableParagraph"/>
              <w:spacing w:before="35"/>
              <w:ind w:right="111"/>
              <w:jc w:val="right"/>
              <w:rPr>
                <w:b/>
                <w:sz w:val="18"/>
              </w:rPr>
            </w:pPr>
            <w:r>
              <w:rPr>
                <w:b/>
                <w:sz w:val="18"/>
              </w:rPr>
              <w:t>15,932</w:t>
            </w:r>
          </w:p>
        </w:tc>
        <w:tc>
          <w:tcPr>
            <w:tcW w:w="1332" w:type="dxa"/>
            <w:tcBorders>
              <w:top w:val="single" w:sz="4" w:space="0" w:color="000000"/>
              <w:bottom w:val="single" w:sz="4" w:space="0" w:color="000000"/>
            </w:tcBorders>
            <w:shd w:val="clear" w:color="auto" w:fill="E1E4BB"/>
          </w:tcPr>
          <w:p>
            <w:pPr>
              <w:pStyle w:val="TableParagraph"/>
              <w:spacing w:before="35"/>
              <w:ind w:right="111"/>
              <w:jc w:val="right"/>
              <w:rPr>
                <w:b/>
                <w:sz w:val="18"/>
              </w:rPr>
            </w:pPr>
            <w:r>
              <w:rPr>
                <w:b/>
                <w:sz w:val="18"/>
              </w:rPr>
              <w:t>14,902</w:t>
            </w:r>
          </w:p>
        </w:tc>
        <w:tc>
          <w:tcPr>
            <w:tcW w:w="1275" w:type="dxa"/>
            <w:tcBorders>
              <w:top w:val="single" w:sz="4" w:space="0" w:color="000000"/>
              <w:bottom w:val="single" w:sz="4" w:space="0" w:color="000000"/>
            </w:tcBorders>
            <w:shd w:val="clear" w:color="auto" w:fill="FAF9F9"/>
          </w:tcPr>
          <w:p>
            <w:pPr>
              <w:pStyle w:val="TableParagraph"/>
              <w:spacing w:before="35"/>
              <w:ind w:right="110"/>
              <w:jc w:val="right"/>
              <w:rPr>
                <w:b/>
                <w:sz w:val="18"/>
              </w:rPr>
            </w:pPr>
            <w:r>
              <w:rPr>
                <w:b/>
                <w:w w:val="95"/>
                <w:sz w:val="18"/>
              </w:rPr>
              <w:t>(1,030)</w:t>
            </w:r>
          </w:p>
        </w:tc>
        <w:tc>
          <w:tcPr>
            <w:tcW w:w="1275" w:type="dxa"/>
            <w:tcBorders>
              <w:top w:val="single" w:sz="4" w:space="0" w:color="000000"/>
              <w:bottom w:val="single" w:sz="4" w:space="0" w:color="000000"/>
            </w:tcBorders>
            <w:shd w:val="clear" w:color="auto" w:fill="E1E4BB"/>
          </w:tcPr>
          <w:p>
            <w:pPr>
              <w:pStyle w:val="TableParagraph"/>
              <w:spacing w:before="35"/>
              <w:ind w:right="110"/>
              <w:jc w:val="right"/>
              <w:rPr>
                <w:b/>
                <w:sz w:val="18"/>
              </w:rPr>
            </w:pPr>
            <w:r>
              <w:rPr>
                <w:b/>
                <w:sz w:val="18"/>
              </w:rPr>
              <w:t>14,902</w:t>
            </w:r>
          </w:p>
        </w:tc>
        <w:tc>
          <w:tcPr>
            <w:tcW w:w="1275" w:type="dxa"/>
            <w:tcBorders>
              <w:top w:val="single" w:sz="4" w:space="0" w:color="000000"/>
              <w:bottom w:val="single" w:sz="4" w:space="0" w:color="000000"/>
            </w:tcBorders>
            <w:shd w:val="clear" w:color="auto" w:fill="FFFFFF"/>
          </w:tcPr>
          <w:p>
            <w:pPr>
              <w:pStyle w:val="TableParagraph"/>
              <w:spacing w:before="35"/>
              <w:ind w:right="109"/>
              <w:jc w:val="right"/>
              <w:rPr>
                <w:b/>
                <w:sz w:val="18"/>
              </w:rPr>
            </w:pPr>
            <w:r>
              <w:rPr>
                <w:b/>
                <w:sz w:val="18"/>
              </w:rPr>
              <w:t>28,763</w:t>
            </w:r>
          </w:p>
        </w:tc>
        <w:tc>
          <w:tcPr>
            <w:tcW w:w="1275" w:type="dxa"/>
            <w:tcBorders>
              <w:top w:val="single" w:sz="4" w:space="0" w:color="000000"/>
              <w:bottom w:val="single" w:sz="4" w:space="0" w:color="000000"/>
            </w:tcBorders>
            <w:shd w:val="clear" w:color="auto" w:fill="FFFFFF"/>
          </w:tcPr>
          <w:p>
            <w:pPr>
              <w:pStyle w:val="TableParagraph"/>
              <w:spacing w:before="35"/>
              <w:ind w:right="116"/>
              <w:jc w:val="right"/>
              <w:rPr>
                <w:b/>
                <w:sz w:val="18"/>
              </w:rPr>
            </w:pPr>
            <w:r>
              <w:rPr>
                <w:b/>
                <w:w w:val="95"/>
                <w:sz w:val="18"/>
              </w:rPr>
              <w:t>(13,861)</w:t>
            </w:r>
          </w:p>
        </w:tc>
      </w:tr>
      <w:tr>
        <w:trPr>
          <w:trHeight w:val="278" w:hRule="atLeast"/>
        </w:trPr>
        <w:tc>
          <w:tcPr>
            <w:tcW w:w="7540" w:type="dxa"/>
            <w:vMerge/>
            <w:tcBorders>
              <w:top w:val="nil"/>
              <w:bottom w:val="single" w:sz="8" w:space="0" w:color="FFFFFF"/>
            </w:tcBorders>
            <w:shd w:val="clear" w:color="auto" w:fill="FAF9F9"/>
          </w:tcPr>
          <w:p>
            <w:pPr>
              <w:rPr>
                <w:sz w:val="2"/>
                <w:szCs w:val="2"/>
              </w:rPr>
            </w:pPr>
          </w:p>
        </w:tc>
        <w:tc>
          <w:tcPr>
            <w:tcW w:w="1332" w:type="dxa"/>
            <w:vMerge w:val="restart"/>
            <w:tcBorders>
              <w:top w:val="single" w:sz="4" w:space="0" w:color="000000"/>
            </w:tcBorders>
            <w:shd w:val="clear" w:color="auto" w:fill="FFFFFF"/>
          </w:tcPr>
          <w:p>
            <w:pPr>
              <w:pStyle w:val="TableParagraph"/>
              <w:spacing w:before="0"/>
              <w:rPr>
                <w:rFonts w:ascii="Times New Roman"/>
                <w:sz w:val="20"/>
              </w:rPr>
            </w:pPr>
          </w:p>
        </w:tc>
        <w:tc>
          <w:tcPr>
            <w:tcW w:w="1332" w:type="dxa"/>
            <w:vMerge w:val="restart"/>
            <w:tcBorders>
              <w:top w:val="single" w:sz="4" w:space="0" w:color="000000"/>
            </w:tcBorders>
            <w:shd w:val="clear" w:color="auto" w:fill="DFE1B8"/>
          </w:tcPr>
          <w:p>
            <w:pPr>
              <w:pStyle w:val="TableParagraph"/>
              <w:spacing w:before="0"/>
              <w:rPr>
                <w:rFonts w:ascii="Times New Roman"/>
                <w:sz w:val="20"/>
              </w:rPr>
            </w:pPr>
          </w:p>
        </w:tc>
        <w:tc>
          <w:tcPr>
            <w:tcW w:w="1275"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275" w:type="dxa"/>
            <w:vMerge w:val="restart"/>
            <w:tcBorders>
              <w:top w:val="single" w:sz="4" w:space="0" w:color="000000"/>
            </w:tcBorders>
            <w:shd w:val="clear" w:color="auto" w:fill="DFE1B8"/>
          </w:tcPr>
          <w:p>
            <w:pPr>
              <w:pStyle w:val="TableParagraph"/>
              <w:spacing w:before="0"/>
              <w:rPr>
                <w:rFonts w:ascii="Times New Roman"/>
                <w:sz w:val="20"/>
              </w:rPr>
            </w:pPr>
          </w:p>
        </w:tc>
        <w:tc>
          <w:tcPr>
            <w:tcW w:w="1275" w:type="dxa"/>
            <w:tcBorders>
              <w:top w:val="single" w:sz="4" w:space="0" w:color="000000"/>
              <w:right w:val="single" w:sz="8" w:space="0" w:color="FFFFFF"/>
            </w:tcBorders>
            <w:shd w:val="clear" w:color="auto" w:fill="F4F4F4"/>
          </w:tcPr>
          <w:p>
            <w:pPr>
              <w:pStyle w:val="TableParagraph"/>
              <w:spacing w:before="0"/>
              <w:rPr>
                <w:rFonts w:ascii="Times New Roman"/>
                <w:sz w:val="18"/>
              </w:rPr>
            </w:pPr>
          </w:p>
        </w:tc>
        <w:tc>
          <w:tcPr>
            <w:tcW w:w="1275" w:type="dxa"/>
            <w:tcBorders>
              <w:top w:val="single" w:sz="4" w:space="0" w:color="000000"/>
              <w:left w:val="single" w:sz="8" w:space="0" w:color="FFFFFF"/>
            </w:tcBorders>
            <w:shd w:val="clear" w:color="auto" w:fill="F4F4F4"/>
          </w:tcPr>
          <w:p>
            <w:pPr>
              <w:pStyle w:val="TableParagraph"/>
              <w:spacing w:before="0"/>
              <w:rPr>
                <w:rFonts w:ascii="Times New Roman"/>
                <w:sz w:val="18"/>
              </w:rPr>
            </w:pPr>
          </w:p>
        </w:tc>
      </w:tr>
      <w:tr>
        <w:trPr>
          <w:trHeight w:val="288" w:hRule="atLeast"/>
        </w:trPr>
        <w:tc>
          <w:tcPr>
            <w:tcW w:w="7540" w:type="dxa"/>
            <w:vMerge/>
            <w:tcBorders>
              <w:top w:val="nil"/>
              <w:bottom w:val="single" w:sz="8" w:space="0" w:color="FFFFFF"/>
            </w:tcBorders>
            <w:shd w:val="clear" w:color="auto" w:fill="FAF9F9"/>
          </w:tcPr>
          <w:p>
            <w:pPr>
              <w:rPr>
                <w:sz w:val="2"/>
                <w:szCs w:val="2"/>
              </w:rPr>
            </w:pPr>
          </w:p>
        </w:tc>
        <w:tc>
          <w:tcPr>
            <w:tcW w:w="1332" w:type="dxa"/>
            <w:vMerge/>
            <w:tcBorders>
              <w:top w:val="nil"/>
            </w:tcBorders>
            <w:shd w:val="clear" w:color="auto" w:fill="FFFFFF"/>
          </w:tcPr>
          <w:p>
            <w:pPr>
              <w:rPr>
                <w:sz w:val="2"/>
                <w:szCs w:val="2"/>
              </w:rPr>
            </w:pPr>
          </w:p>
        </w:tc>
        <w:tc>
          <w:tcPr>
            <w:tcW w:w="1332" w:type="dxa"/>
            <w:vMerge/>
            <w:tcBorders>
              <w:top w:val="nil"/>
            </w:tcBorders>
            <w:shd w:val="clear" w:color="auto" w:fill="DFE1B8"/>
          </w:tcPr>
          <w:p>
            <w:pPr>
              <w:rPr>
                <w:sz w:val="2"/>
                <w:szCs w:val="2"/>
              </w:rPr>
            </w:pPr>
          </w:p>
        </w:tc>
        <w:tc>
          <w:tcPr>
            <w:tcW w:w="1275"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275" w:type="dxa"/>
            <w:vMerge/>
            <w:tcBorders>
              <w:top w:val="nil"/>
            </w:tcBorders>
            <w:shd w:val="clear" w:color="auto" w:fill="DFE1B8"/>
          </w:tcPr>
          <w:p>
            <w:pPr>
              <w:rPr>
                <w:sz w:val="2"/>
                <w:szCs w:val="2"/>
              </w:rPr>
            </w:pPr>
          </w:p>
        </w:tc>
        <w:tc>
          <w:tcPr>
            <w:tcW w:w="2550" w:type="dxa"/>
            <w:gridSpan w:val="2"/>
            <w:shd w:val="clear" w:color="auto" w:fill="FFFFFF"/>
          </w:tcPr>
          <w:p>
            <w:pPr>
              <w:pStyle w:val="TableParagraph"/>
              <w:spacing w:before="0"/>
              <w:rPr>
                <w:rFonts w:ascii="Times New Roman"/>
                <w:sz w:val="20"/>
              </w:rPr>
            </w:pPr>
          </w:p>
        </w:tc>
      </w:tr>
      <w:tr>
        <w:trPr>
          <w:trHeight w:val="245" w:hRule="atLeast"/>
        </w:trPr>
        <w:tc>
          <w:tcPr>
            <w:tcW w:w="7540" w:type="dxa"/>
            <w:vMerge w:val="restart"/>
            <w:tcBorders>
              <w:top w:val="single" w:sz="8" w:space="0" w:color="FFFFFF"/>
              <w:bottom w:val="single" w:sz="8" w:space="0" w:color="FFFFFF"/>
              <w:right w:val="single" w:sz="8" w:space="0" w:color="FFFFFF"/>
            </w:tcBorders>
            <w:shd w:val="clear" w:color="auto" w:fill="F4F4F4"/>
          </w:tcPr>
          <w:p>
            <w:pPr>
              <w:pStyle w:val="TableParagraph"/>
              <w:spacing w:before="35"/>
              <w:ind w:left="112"/>
              <w:rPr>
                <w:sz w:val="18"/>
              </w:rPr>
            </w:pPr>
            <w:r>
              <w:rPr>
                <w:sz w:val="18"/>
              </w:rPr>
              <w:t>Item 74 Amount provided for Administered Grants, Subsidies and Other Transfer Payments</w:t>
            </w:r>
          </w:p>
        </w:tc>
        <w:tc>
          <w:tcPr>
            <w:tcW w:w="1332" w:type="dxa"/>
            <w:vMerge w:val="restart"/>
            <w:tcBorders>
              <w:top w:val="single" w:sz="8" w:space="0" w:color="FFFFFF"/>
              <w:left w:val="single" w:sz="8" w:space="0" w:color="FFFFFF"/>
              <w:bottom w:val="single" w:sz="8" w:space="0" w:color="FFFFFF"/>
            </w:tcBorders>
            <w:shd w:val="clear" w:color="auto" w:fill="F4F4F4"/>
          </w:tcPr>
          <w:p>
            <w:pPr>
              <w:pStyle w:val="TableParagraph"/>
              <w:spacing w:before="35"/>
              <w:ind w:left="592"/>
              <w:rPr>
                <w:sz w:val="18"/>
              </w:rPr>
            </w:pPr>
            <w:r>
              <w:rPr>
                <w:sz w:val="18"/>
              </w:rPr>
              <w:t>185,070</w:t>
            </w:r>
          </w:p>
        </w:tc>
        <w:tc>
          <w:tcPr>
            <w:tcW w:w="1332" w:type="dxa"/>
            <w:shd w:val="clear" w:color="auto" w:fill="DFE1B8"/>
          </w:tcPr>
          <w:p>
            <w:pPr>
              <w:pStyle w:val="TableParagraph"/>
              <w:spacing w:line="200" w:lineRule="exact" w:before="25"/>
              <w:ind w:right="111"/>
              <w:jc w:val="right"/>
              <w:rPr>
                <w:sz w:val="18"/>
              </w:rPr>
            </w:pPr>
            <w:r>
              <w:rPr>
                <w:sz w:val="18"/>
              </w:rPr>
              <w:t>160,994</w:t>
            </w:r>
          </w:p>
        </w:tc>
        <w:tc>
          <w:tcPr>
            <w:tcW w:w="1275" w:type="dxa"/>
            <w:vMerge w:val="restart"/>
            <w:tcBorders>
              <w:top w:val="single" w:sz="8" w:space="0" w:color="FFFFFF"/>
              <w:bottom w:val="single" w:sz="8" w:space="0" w:color="FFFFFF"/>
            </w:tcBorders>
            <w:shd w:val="clear" w:color="auto" w:fill="F4F4F4"/>
          </w:tcPr>
          <w:p>
            <w:pPr>
              <w:pStyle w:val="TableParagraph"/>
              <w:spacing w:before="35"/>
              <w:ind w:left="566"/>
              <w:rPr>
                <w:sz w:val="18"/>
              </w:rPr>
            </w:pPr>
            <w:r>
              <w:rPr>
                <w:sz w:val="18"/>
              </w:rPr>
              <w:t>(24,076)</w:t>
            </w:r>
          </w:p>
        </w:tc>
        <w:tc>
          <w:tcPr>
            <w:tcW w:w="1275" w:type="dxa"/>
            <w:shd w:val="clear" w:color="auto" w:fill="DFE1B8"/>
          </w:tcPr>
          <w:p>
            <w:pPr>
              <w:pStyle w:val="TableParagraph"/>
              <w:spacing w:line="200" w:lineRule="exact" w:before="25"/>
              <w:ind w:right="110"/>
              <w:jc w:val="right"/>
              <w:rPr>
                <w:sz w:val="18"/>
              </w:rPr>
            </w:pPr>
            <w:r>
              <w:rPr>
                <w:sz w:val="18"/>
              </w:rPr>
              <w:t>160,994</w:t>
            </w:r>
          </w:p>
        </w:tc>
        <w:tc>
          <w:tcPr>
            <w:tcW w:w="1275" w:type="dxa"/>
            <w:vMerge w:val="restart"/>
            <w:tcBorders>
              <w:top w:val="single" w:sz="8" w:space="0" w:color="FFFFFF"/>
              <w:bottom w:val="single" w:sz="8" w:space="0" w:color="FFFFFF"/>
              <w:right w:val="single" w:sz="8" w:space="0" w:color="FFFFFF"/>
            </w:tcBorders>
            <w:shd w:val="clear" w:color="auto" w:fill="F4F4F4"/>
          </w:tcPr>
          <w:p>
            <w:pPr>
              <w:pStyle w:val="TableParagraph"/>
              <w:spacing w:before="35"/>
              <w:ind w:left="542"/>
              <w:rPr>
                <w:sz w:val="18"/>
              </w:rPr>
            </w:pPr>
            <w:r>
              <w:rPr>
                <w:sz w:val="18"/>
              </w:rPr>
              <w:t>164,281</w:t>
            </w:r>
          </w:p>
        </w:tc>
        <w:tc>
          <w:tcPr>
            <w:tcW w:w="1275" w:type="dxa"/>
            <w:vMerge w:val="restart"/>
            <w:tcBorders>
              <w:top w:val="single" w:sz="8" w:space="0" w:color="FFFFFF"/>
              <w:left w:val="single" w:sz="8" w:space="0" w:color="FFFFFF"/>
              <w:bottom w:val="single" w:sz="8" w:space="0" w:color="FFFFFF"/>
            </w:tcBorders>
            <w:shd w:val="clear" w:color="auto" w:fill="F4F4F4"/>
          </w:tcPr>
          <w:p>
            <w:pPr>
              <w:pStyle w:val="TableParagraph"/>
              <w:spacing w:before="35"/>
              <w:ind w:left="634"/>
              <w:rPr>
                <w:sz w:val="18"/>
              </w:rPr>
            </w:pPr>
            <w:r>
              <w:rPr>
                <w:sz w:val="18"/>
              </w:rPr>
              <w:t>(3,287)</w:t>
            </w:r>
          </w:p>
        </w:tc>
      </w:tr>
      <w:tr>
        <w:trPr>
          <w:trHeight w:val="13" w:hRule="atLeast"/>
        </w:trPr>
        <w:tc>
          <w:tcPr>
            <w:tcW w:w="7540" w:type="dxa"/>
            <w:vMerge/>
            <w:tcBorders>
              <w:top w:val="nil"/>
              <w:bottom w:val="single" w:sz="8" w:space="0" w:color="FFFFFF"/>
              <w:right w:val="single" w:sz="8" w:space="0" w:color="FFFFFF"/>
            </w:tcBorders>
            <w:shd w:val="clear" w:color="auto" w:fill="F4F4F4"/>
          </w:tcPr>
          <w:p>
            <w:pPr>
              <w:rPr>
                <w:sz w:val="2"/>
                <w:szCs w:val="2"/>
              </w:rPr>
            </w:pPr>
          </w:p>
        </w:tc>
        <w:tc>
          <w:tcPr>
            <w:tcW w:w="1332" w:type="dxa"/>
            <w:vMerge/>
            <w:tcBorders>
              <w:top w:val="nil"/>
              <w:left w:val="single" w:sz="8" w:space="0" w:color="FFFFFF"/>
              <w:bottom w:val="single" w:sz="8" w:space="0" w:color="FFFFFF"/>
            </w:tcBorders>
            <w:shd w:val="clear" w:color="auto" w:fill="F4F4F4"/>
          </w:tcPr>
          <w:p>
            <w:pPr>
              <w:rPr>
                <w:sz w:val="2"/>
                <w:szCs w:val="2"/>
              </w:rPr>
            </w:pPr>
          </w:p>
        </w:tc>
        <w:tc>
          <w:tcPr>
            <w:tcW w:w="1332" w:type="dxa"/>
            <w:vMerge w:val="restart"/>
            <w:shd w:val="clear" w:color="auto" w:fill="DFE1B8"/>
          </w:tcPr>
          <w:p>
            <w:pPr>
              <w:pStyle w:val="TableParagraph"/>
              <w:spacing w:before="0"/>
              <w:rPr>
                <w:rFonts w:ascii="Times New Roman"/>
                <w:sz w:val="20"/>
              </w:rPr>
            </w:pPr>
          </w:p>
        </w:tc>
        <w:tc>
          <w:tcPr>
            <w:tcW w:w="1275" w:type="dxa"/>
            <w:vMerge/>
            <w:tcBorders>
              <w:top w:val="nil"/>
              <w:bottom w:val="single" w:sz="8" w:space="0" w:color="FFFFFF"/>
            </w:tcBorders>
            <w:shd w:val="clear" w:color="auto" w:fill="F4F4F4"/>
          </w:tcPr>
          <w:p>
            <w:pPr>
              <w:rPr>
                <w:sz w:val="2"/>
                <w:szCs w:val="2"/>
              </w:rPr>
            </w:pPr>
          </w:p>
        </w:tc>
        <w:tc>
          <w:tcPr>
            <w:tcW w:w="1275" w:type="dxa"/>
            <w:vMerge w:val="restart"/>
            <w:shd w:val="clear" w:color="auto" w:fill="DFE1B8"/>
          </w:tcPr>
          <w:p>
            <w:pPr>
              <w:pStyle w:val="TableParagraph"/>
              <w:spacing w:before="0"/>
              <w:rPr>
                <w:rFonts w:ascii="Times New Roman"/>
                <w:sz w:val="20"/>
              </w:rPr>
            </w:pPr>
          </w:p>
        </w:tc>
        <w:tc>
          <w:tcPr>
            <w:tcW w:w="1275" w:type="dxa"/>
            <w:vMerge/>
            <w:tcBorders>
              <w:top w:val="nil"/>
              <w:bottom w:val="single" w:sz="8" w:space="0" w:color="FFFFFF"/>
              <w:right w:val="single" w:sz="8" w:space="0" w:color="FFFFFF"/>
            </w:tcBorders>
            <w:shd w:val="clear" w:color="auto" w:fill="F4F4F4"/>
          </w:tcPr>
          <w:p>
            <w:pPr>
              <w:rPr>
                <w:sz w:val="2"/>
                <w:szCs w:val="2"/>
              </w:rPr>
            </w:pPr>
          </w:p>
        </w:tc>
        <w:tc>
          <w:tcPr>
            <w:tcW w:w="1275" w:type="dxa"/>
            <w:vMerge/>
            <w:tcBorders>
              <w:top w:val="nil"/>
              <w:left w:val="single" w:sz="8" w:space="0" w:color="FFFFFF"/>
              <w:bottom w:val="single" w:sz="8" w:space="0" w:color="FFFFFF"/>
            </w:tcBorders>
            <w:shd w:val="clear" w:color="auto" w:fill="F4F4F4"/>
          </w:tcPr>
          <w:p>
            <w:pPr>
              <w:rPr>
                <w:sz w:val="2"/>
                <w:szCs w:val="2"/>
              </w:rPr>
            </w:pPr>
          </w:p>
        </w:tc>
      </w:tr>
      <w:tr>
        <w:trPr>
          <w:trHeight w:val="278" w:hRule="atLeast"/>
        </w:trPr>
        <w:tc>
          <w:tcPr>
            <w:tcW w:w="8872" w:type="dxa"/>
            <w:gridSpan w:val="2"/>
            <w:tcBorders>
              <w:top w:val="single" w:sz="8" w:space="0" w:color="FFFFFF"/>
              <w:bottom w:val="single" w:sz="8" w:space="0" w:color="FFFFFF"/>
            </w:tcBorders>
            <w:shd w:val="clear" w:color="auto" w:fill="FAF9F9"/>
          </w:tcPr>
          <w:p>
            <w:pPr>
              <w:pStyle w:val="TableParagraph"/>
              <w:spacing w:before="35"/>
              <w:ind w:left="112"/>
              <w:rPr>
                <w:sz w:val="18"/>
              </w:rPr>
            </w:pPr>
            <w:r>
              <w:rPr>
                <w:sz w:val="18"/>
              </w:rPr>
              <w:t>Amount authorised by other statutes</w:t>
            </w:r>
          </w:p>
        </w:tc>
        <w:tc>
          <w:tcPr>
            <w:tcW w:w="1332" w:type="dxa"/>
            <w:vMerge/>
            <w:tcBorders>
              <w:top w:val="nil"/>
            </w:tcBorders>
            <w:shd w:val="clear" w:color="auto" w:fill="DFE1B8"/>
          </w:tcPr>
          <w:p>
            <w:pPr>
              <w:rPr>
                <w:sz w:val="2"/>
                <w:szCs w:val="2"/>
              </w:rPr>
            </w:pPr>
          </w:p>
        </w:tc>
        <w:tc>
          <w:tcPr>
            <w:tcW w:w="1275"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275" w:type="dxa"/>
            <w:vMerge/>
            <w:tcBorders>
              <w:top w:val="nil"/>
            </w:tcBorders>
            <w:shd w:val="clear" w:color="auto" w:fill="DFE1B8"/>
          </w:tcPr>
          <w:p>
            <w:pPr>
              <w:rPr>
                <w:sz w:val="2"/>
                <w:szCs w:val="2"/>
              </w:rPr>
            </w:pPr>
          </w:p>
        </w:tc>
        <w:tc>
          <w:tcPr>
            <w:tcW w:w="2550" w:type="dxa"/>
            <w:gridSpan w:val="2"/>
            <w:shd w:val="clear" w:color="auto" w:fill="FFFFFF"/>
          </w:tcPr>
          <w:p>
            <w:pPr>
              <w:pStyle w:val="TableParagraph"/>
              <w:spacing w:before="0"/>
              <w:rPr>
                <w:rFonts w:ascii="Times New Roman"/>
                <w:sz w:val="20"/>
              </w:rPr>
            </w:pPr>
          </w:p>
        </w:tc>
      </w:tr>
      <w:tr>
        <w:trPr>
          <w:trHeight w:val="283" w:hRule="atLeast"/>
        </w:trPr>
        <w:tc>
          <w:tcPr>
            <w:tcW w:w="7540" w:type="dxa"/>
            <w:vMerge w:val="restart"/>
            <w:shd w:val="clear" w:color="auto" w:fill="FFFFFF"/>
          </w:tcPr>
          <w:p>
            <w:pPr>
              <w:pStyle w:val="TableParagraph"/>
              <w:spacing w:before="35"/>
              <w:ind w:left="112"/>
              <w:rPr>
                <w:i/>
                <w:sz w:val="18"/>
              </w:rPr>
            </w:pPr>
            <w:r>
              <w:rPr>
                <w:i/>
                <w:sz w:val="18"/>
              </w:rPr>
              <w:t>First Home Owner Grant Act 2000</w:t>
            </w:r>
          </w:p>
          <w:p>
            <w:pPr>
              <w:pStyle w:val="TableParagraph"/>
              <w:spacing w:before="91"/>
              <w:ind w:left="112"/>
              <w:rPr>
                <w:b/>
                <w:sz w:val="18"/>
              </w:rPr>
            </w:pPr>
            <w:r>
              <w:rPr>
                <w:b/>
                <w:sz w:val="18"/>
              </w:rPr>
              <w:t>Total administered transactions</w:t>
            </w:r>
          </w:p>
        </w:tc>
        <w:tc>
          <w:tcPr>
            <w:tcW w:w="1332" w:type="dxa"/>
            <w:tcBorders>
              <w:top w:val="single" w:sz="8" w:space="0" w:color="FFFFFF"/>
              <w:left w:val="single" w:sz="8" w:space="0" w:color="FFFFFF"/>
              <w:bottom w:val="single" w:sz="4" w:space="0" w:color="000000"/>
            </w:tcBorders>
            <w:shd w:val="clear" w:color="auto" w:fill="F4F4F4"/>
          </w:tcPr>
          <w:p>
            <w:pPr>
              <w:pStyle w:val="TableParagraph"/>
              <w:spacing w:before="35"/>
              <w:ind w:right="111"/>
              <w:jc w:val="right"/>
              <w:rPr>
                <w:sz w:val="18"/>
              </w:rPr>
            </w:pPr>
            <w:r>
              <w:rPr>
                <w:sz w:val="18"/>
              </w:rPr>
              <w:t>74,612</w:t>
            </w:r>
          </w:p>
        </w:tc>
        <w:tc>
          <w:tcPr>
            <w:tcW w:w="1332" w:type="dxa"/>
            <w:tcBorders>
              <w:bottom w:val="single" w:sz="4" w:space="0" w:color="000000"/>
            </w:tcBorders>
            <w:shd w:val="clear" w:color="auto" w:fill="DFE1B8"/>
          </w:tcPr>
          <w:p>
            <w:pPr>
              <w:pStyle w:val="TableParagraph"/>
              <w:spacing w:before="25"/>
              <w:ind w:right="111"/>
              <w:jc w:val="right"/>
              <w:rPr>
                <w:sz w:val="18"/>
              </w:rPr>
            </w:pPr>
            <w:r>
              <w:rPr>
                <w:w w:val="95"/>
                <w:sz w:val="18"/>
              </w:rPr>
              <w:t>91,171</w:t>
            </w:r>
          </w:p>
        </w:tc>
        <w:tc>
          <w:tcPr>
            <w:tcW w:w="1275" w:type="dxa"/>
            <w:tcBorders>
              <w:top w:val="single" w:sz="8" w:space="0" w:color="FFFFFF"/>
              <w:bottom w:val="single" w:sz="4" w:space="0" w:color="000000"/>
            </w:tcBorders>
            <w:shd w:val="clear" w:color="auto" w:fill="F4F4F4"/>
          </w:tcPr>
          <w:p>
            <w:pPr>
              <w:pStyle w:val="TableParagraph"/>
              <w:spacing w:before="35"/>
              <w:ind w:right="113"/>
              <w:jc w:val="right"/>
              <w:rPr>
                <w:sz w:val="18"/>
              </w:rPr>
            </w:pPr>
            <w:r>
              <w:rPr>
                <w:sz w:val="18"/>
              </w:rPr>
              <w:t>16,559</w:t>
            </w:r>
          </w:p>
        </w:tc>
        <w:tc>
          <w:tcPr>
            <w:tcW w:w="1275" w:type="dxa"/>
            <w:tcBorders>
              <w:bottom w:val="single" w:sz="4" w:space="0" w:color="000000"/>
            </w:tcBorders>
            <w:shd w:val="clear" w:color="auto" w:fill="DFE1B8"/>
          </w:tcPr>
          <w:p>
            <w:pPr>
              <w:pStyle w:val="TableParagraph"/>
              <w:spacing w:before="25"/>
              <w:ind w:right="110"/>
              <w:jc w:val="right"/>
              <w:rPr>
                <w:sz w:val="18"/>
              </w:rPr>
            </w:pPr>
            <w:r>
              <w:rPr>
                <w:w w:val="95"/>
                <w:sz w:val="18"/>
              </w:rPr>
              <w:t>91,171</w:t>
            </w:r>
          </w:p>
        </w:tc>
        <w:tc>
          <w:tcPr>
            <w:tcW w:w="1275" w:type="dxa"/>
            <w:tcBorders>
              <w:top w:val="single" w:sz="8" w:space="0" w:color="FFFFFF"/>
              <w:bottom w:val="single" w:sz="4" w:space="0" w:color="000000"/>
              <w:right w:val="single" w:sz="8" w:space="0" w:color="FFFFFF"/>
            </w:tcBorders>
            <w:shd w:val="clear" w:color="auto" w:fill="F4F4F4"/>
          </w:tcPr>
          <w:p>
            <w:pPr>
              <w:pStyle w:val="TableParagraph"/>
              <w:spacing w:before="35"/>
              <w:ind w:right="99"/>
              <w:jc w:val="right"/>
              <w:rPr>
                <w:sz w:val="18"/>
              </w:rPr>
            </w:pPr>
            <w:r>
              <w:rPr>
                <w:sz w:val="18"/>
              </w:rPr>
              <w:t>72,765</w:t>
            </w:r>
          </w:p>
        </w:tc>
        <w:tc>
          <w:tcPr>
            <w:tcW w:w="1275" w:type="dxa"/>
            <w:tcBorders>
              <w:top w:val="single" w:sz="8" w:space="0" w:color="FFFFFF"/>
              <w:left w:val="single" w:sz="8" w:space="0" w:color="FFFFFF"/>
              <w:bottom w:val="single" w:sz="4" w:space="0" w:color="000000"/>
            </w:tcBorders>
            <w:shd w:val="clear" w:color="auto" w:fill="F4F4F4"/>
          </w:tcPr>
          <w:p>
            <w:pPr>
              <w:pStyle w:val="TableParagraph"/>
              <w:spacing w:before="35"/>
              <w:ind w:right="109"/>
              <w:jc w:val="right"/>
              <w:rPr>
                <w:sz w:val="18"/>
              </w:rPr>
            </w:pPr>
            <w:r>
              <w:rPr>
                <w:sz w:val="18"/>
              </w:rPr>
              <w:t>18,406</w:t>
            </w:r>
          </w:p>
        </w:tc>
      </w:tr>
      <w:tr>
        <w:trPr>
          <w:trHeight w:val="283" w:hRule="atLeast"/>
        </w:trPr>
        <w:tc>
          <w:tcPr>
            <w:tcW w:w="7540" w:type="dxa"/>
            <w:vMerge/>
            <w:tcBorders>
              <w:top w:val="nil"/>
            </w:tcBorders>
            <w:shd w:val="clear" w:color="auto" w:fill="FFFFFF"/>
          </w:tcPr>
          <w:p>
            <w:pPr>
              <w:rPr>
                <w:sz w:val="2"/>
                <w:szCs w:val="2"/>
              </w:rPr>
            </w:pPr>
          </w:p>
        </w:tc>
        <w:tc>
          <w:tcPr>
            <w:tcW w:w="1332" w:type="dxa"/>
            <w:tcBorders>
              <w:top w:val="single" w:sz="4" w:space="0" w:color="000000"/>
              <w:left w:val="single" w:sz="8" w:space="0" w:color="FFFFFF"/>
              <w:bottom w:val="single" w:sz="4" w:space="0" w:color="000000"/>
            </w:tcBorders>
            <w:shd w:val="clear" w:color="auto" w:fill="FAF9F9"/>
          </w:tcPr>
          <w:p>
            <w:pPr>
              <w:pStyle w:val="TableParagraph"/>
              <w:spacing w:before="40"/>
              <w:ind w:right="111"/>
              <w:jc w:val="right"/>
              <w:rPr>
                <w:b/>
                <w:sz w:val="18"/>
              </w:rPr>
            </w:pPr>
            <w:r>
              <w:rPr>
                <w:b/>
                <w:sz w:val="18"/>
              </w:rPr>
              <w:t>259,682</w:t>
            </w:r>
          </w:p>
        </w:tc>
        <w:tc>
          <w:tcPr>
            <w:tcW w:w="1332" w:type="dxa"/>
            <w:tcBorders>
              <w:top w:val="single" w:sz="4" w:space="0" w:color="000000"/>
              <w:bottom w:val="single" w:sz="4" w:space="0" w:color="000000"/>
            </w:tcBorders>
            <w:shd w:val="clear" w:color="auto" w:fill="E1E4BB"/>
          </w:tcPr>
          <w:p>
            <w:pPr>
              <w:pStyle w:val="TableParagraph"/>
              <w:spacing w:before="40"/>
              <w:ind w:right="111"/>
              <w:jc w:val="right"/>
              <w:rPr>
                <w:b/>
                <w:sz w:val="18"/>
              </w:rPr>
            </w:pPr>
            <w:r>
              <w:rPr>
                <w:b/>
                <w:sz w:val="18"/>
              </w:rPr>
              <w:t>252,165</w:t>
            </w:r>
          </w:p>
        </w:tc>
        <w:tc>
          <w:tcPr>
            <w:tcW w:w="1275" w:type="dxa"/>
            <w:tcBorders>
              <w:top w:val="single" w:sz="4" w:space="0" w:color="000000"/>
              <w:bottom w:val="single" w:sz="4" w:space="0" w:color="000000"/>
            </w:tcBorders>
            <w:shd w:val="clear" w:color="auto" w:fill="FAF9F9"/>
          </w:tcPr>
          <w:p>
            <w:pPr>
              <w:pStyle w:val="TableParagraph"/>
              <w:spacing w:before="40"/>
              <w:ind w:right="110"/>
              <w:jc w:val="right"/>
              <w:rPr>
                <w:b/>
                <w:sz w:val="18"/>
              </w:rPr>
            </w:pPr>
            <w:r>
              <w:rPr>
                <w:b/>
                <w:w w:val="95"/>
                <w:sz w:val="18"/>
              </w:rPr>
              <w:t>(7,517)</w:t>
            </w:r>
          </w:p>
        </w:tc>
        <w:tc>
          <w:tcPr>
            <w:tcW w:w="1275" w:type="dxa"/>
            <w:tcBorders>
              <w:top w:val="single" w:sz="4" w:space="0" w:color="000000"/>
              <w:bottom w:val="single" w:sz="4" w:space="0" w:color="000000"/>
            </w:tcBorders>
            <w:shd w:val="clear" w:color="auto" w:fill="E1E4BB"/>
          </w:tcPr>
          <w:p>
            <w:pPr>
              <w:pStyle w:val="TableParagraph"/>
              <w:spacing w:before="40"/>
              <w:ind w:right="110"/>
              <w:jc w:val="right"/>
              <w:rPr>
                <w:b/>
                <w:sz w:val="18"/>
              </w:rPr>
            </w:pPr>
            <w:r>
              <w:rPr>
                <w:b/>
                <w:sz w:val="18"/>
              </w:rPr>
              <w:t>252,165</w:t>
            </w:r>
          </w:p>
        </w:tc>
        <w:tc>
          <w:tcPr>
            <w:tcW w:w="1275" w:type="dxa"/>
            <w:tcBorders>
              <w:top w:val="single" w:sz="4" w:space="0" w:color="000000"/>
              <w:bottom w:val="single" w:sz="4" w:space="0" w:color="000000"/>
            </w:tcBorders>
            <w:shd w:val="clear" w:color="auto" w:fill="FFFFFF"/>
          </w:tcPr>
          <w:p>
            <w:pPr>
              <w:pStyle w:val="TableParagraph"/>
              <w:spacing w:before="40"/>
              <w:ind w:right="106"/>
              <w:jc w:val="right"/>
              <w:rPr>
                <w:b/>
                <w:sz w:val="18"/>
              </w:rPr>
            </w:pPr>
            <w:r>
              <w:rPr>
                <w:b/>
                <w:sz w:val="18"/>
              </w:rPr>
              <w:t>237,046</w:t>
            </w:r>
          </w:p>
        </w:tc>
        <w:tc>
          <w:tcPr>
            <w:tcW w:w="1275" w:type="dxa"/>
            <w:tcBorders>
              <w:top w:val="single" w:sz="4" w:space="0" w:color="000000"/>
              <w:bottom w:val="single" w:sz="4" w:space="0" w:color="000000"/>
            </w:tcBorders>
            <w:shd w:val="clear" w:color="auto" w:fill="FFFFFF"/>
          </w:tcPr>
          <w:p>
            <w:pPr>
              <w:pStyle w:val="TableParagraph"/>
              <w:spacing w:before="40"/>
              <w:ind w:right="109"/>
              <w:jc w:val="right"/>
              <w:rPr>
                <w:b/>
                <w:sz w:val="18"/>
              </w:rPr>
            </w:pPr>
            <w:r>
              <w:rPr>
                <w:b/>
                <w:sz w:val="18"/>
              </w:rPr>
              <w:t>15,119</w:t>
            </w:r>
          </w:p>
        </w:tc>
      </w:tr>
      <w:tr>
        <w:trPr>
          <w:trHeight w:val="268" w:hRule="atLeast"/>
        </w:trPr>
        <w:tc>
          <w:tcPr>
            <w:tcW w:w="7540" w:type="dxa"/>
            <w:tcBorders>
              <w:top w:val="single" w:sz="8" w:space="0" w:color="FFFFFF"/>
              <w:bottom w:val="single" w:sz="8" w:space="0" w:color="FFFFFF"/>
              <w:right w:val="single" w:sz="8" w:space="0" w:color="FFFFFF"/>
            </w:tcBorders>
            <w:shd w:val="clear" w:color="auto" w:fill="F4F4F4"/>
          </w:tcPr>
          <w:p>
            <w:pPr>
              <w:pStyle w:val="TableParagraph"/>
              <w:spacing w:before="35"/>
              <w:ind w:left="112"/>
              <w:rPr>
                <w:b/>
                <w:sz w:val="18"/>
              </w:rPr>
            </w:pPr>
            <w:r>
              <w:rPr>
                <w:b/>
                <w:sz w:val="18"/>
              </w:rPr>
              <w:t>GRAND TOTAL</w:t>
            </w:r>
          </w:p>
        </w:tc>
        <w:tc>
          <w:tcPr>
            <w:tcW w:w="1332" w:type="dxa"/>
            <w:tcBorders>
              <w:top w:val="single" w:sz="4" w:space="0" w:color="000000"/>
              <w:left w:val="single" w:sz="8" w:space="0" w:color="FFFFFF"/>
              <w:bottom w:val="single" w:sz="6" w:space="0" w:color="000000"/>
            </w:tcBorders>
            <w:shd w:val="clear" w:color="auto" w:fill="F4F4F4"/>
          </w:tcPr>
          <w:p>
            <w:pPr>
              <w:pStyle w:val="TableParagraph"/>
              <w:spacing w:before="35"/>
              <w:ind w:right="111"/>
              <w:jc w:val="right"/>
              <w:rPr>
                <w:b/>
                <w:sz w:val="18"/>
              </w:rPr>
            </w:pPr>
            <w:r>
              <w:rPr>
                <w:b/>
                <w:sz w:val="18"/>
              </w:rPr>
              <w:t>428,121</w:t>
            </w:r>
          </w:p>
        </w:tc>
        <w:tc>
          <w:tcPr>
            <w:tcW w:w="1332" w:type="dxa"/>
            <w:tcBorders>
              <w:top w:val="single" w:sz="4" w:space="0" w:color="000000"/>
              <w:bottom w:val="single" w:sz="6" w:space="0" w:color="000000"/>
            </w:tcBorders>
            <w:shd w:val="clear" w:color="auto" w:fill="DFE1B8"/>
          </w:tcPr>
          <w:p>
            <w:pPr>
              <w:pStyle w:val="TableParagraph"/>
              <w:spacing w:before="35"/>
              <w:ind w:right="111"/>
              <w:jc w:val="right"/>
              <w:rPr>
                <w:b/>
                <w:sz w:val="18"/>
              </w:rPr>
            </w:pPr>
            <w:r>
              <w:rPr>
                <w:b/>
                <w:sz w:val="18"/>
              </w:rPr>
              <w:t>417,967</w:t>
            </w:r>
          </w:p>
        </w:tc>
        <w:tc>
          <w:tcPr>
            <w:tcW w:w="1275" w:type="dxa"/>
            <w:tcBorders>
              <w:top w:val="single" w:sz="4" w:space="0" w:color="000000"/>
              <w:bottom w:val="single" w:sz="6" w:space="0" w:color="000000"/>
            </w:tcBorders>
            <w:shd w:val="clear" w:color="auto" w:fill="F4F4F4"/>
          </w:tcPr>
          <w:p>
            <w:pPr>
              <w:pStyle w:val="TableParagraph"/>
              <w:spacing w:before="35"/>
              <w:ind w:right="110"/>
              <w:jc w:val="right"/>
              <w:rPr>
                <w:b/>
                <w:sz w:val="18"/>
              </w:rPr>
            </w:pPr>
            <w:r>
              <w:rPr>
                <w:b/>
                <w:w w:val="95"/>
                <w:sz w:val="18"/>
              </w:rPr>
              <w:t>(10,154)</w:t>
            </w:r>
          </w:p>
        </w:tc>
        <w:tc>
          <w:tcPr>
            <w:tcW w:w="1275" w:type="dxa"/>
            <w:tcBorders>
              <w:top w:val="single" w:sz="4" w:space="0" w:color="000000"/>
              <w:bottom w:val="single" w:sz="6" w:space="0" w:color="000000"/>
            </w:tcBorders>
            <w:shd w:val="clear" w:color="auto" w:fill="DFE1B8"/>
          </w:tcPr>
          <w:p>
            <w:pPr>
              <w:pStyle w:val="TableParagraph"/>
              <w:spacing w:before="35"/>
              <w:ind w:right="110"/>
              <w:jc w:val="right"/>
              <w:rPr>
                <w:b/>
                <w:sz w:val="18"/>
              </w:rPr>
            </w:pPr>
            <w:r>
              <w:rPr>
                <w:b/>
                <w:sz w:val="18"/>
              </w:rPr>
              <w:t>417,967</w:t>
            </w:r>
          </w:p>
        </w:tc>
        <w:tc>
          <w:tcPr>
            <w:tcW w:w="1275" w:type="dxa"/>
            <w:tcBorders>
              <w:top w:val="single" w:sz="4" w:space="0" w:color="000000"/>
              <w:bottom w:val="single" w:sz="6" w:space="0" w:color="000000"/>
              <w:right w:val="single" w:sz="8" w:space="0" w:color="FFFFFF"/>
            </w:tcBorders>
            <w:shd w:val="clear" w:color="auto" w:fill="F4F4F4"/>
          </w:tcPr>
          <w:p>
            <w:pPr>
              <w:pStyle w:val="TableParagraph"/>
              <w:spacing w:before="35"/>
              <w:ind w:right="96"/>
              <w:jc w:val="right"/>
              <w:rPr>
                <w:b/>
                <w:sz w:val="18"/>
              </w:rPr>
            </w:pPr>
            <w:r>
              <w:rPr>
                <w:b/>
                <w:sz w:val="18"/>
              </w:rPr>
              <w:t>432,959</w:t>
            </w:r>
          </w:p>
        </w:tc>
        <w:tc>
          <w:tcPr>
            <w:tcW w:w="1275" w:type="dxa"/>
            <w:tcBorders>
              <w:top w:val="single" w:sz="4" w:space="0" w:color="000000"/>
              <w:left w:val="single" w:sz="8" w:space="0" w:color="FFFFFF"/>
              <w:bottom w:val="single" w:sz="6" w:space="0" w:color="000000"/>
            </w:tcBorders>
            <w:shd w:val="clear" w:color="auto" w:fill="F4F4F4"/>
          </w:tcPr>
          <w:p>
            <w:pPr>
              <w:pStyle w:val="TableParagraph"/>
              <w:spacing w:before="35"/>
              <w:ind w:right="109"/>
              <w:jc w:val="right"/>
              <w:rPr>
                <w:b/>
                <w:sz w:val="18"/>
              </w:rPr>
            </w:pPr>
            <w:r>
              <w:rPr>
                <w:b/>
                <w:w w:val="95"/>
                <w:sz w:val="18"/>
              </w:rPr>
              <w:t>(14,992)</w:t>
            </w:r>
          </w:p>
        </w:tc>
      </w:tr>
    </w:tbl>
    <w:p>
      <w:pPr>
        <w:pStyle w:val="BodyText"/>
        <w:spacing w:line="20" w:lineRule="exact"/>
        <w:ind w:left="8300"/>
        <w:rPr>
          <w:sz w:val="2"/>
        </w:rPr>
      </w:pPr>
      <w:r>
        <w:rPr>
          <w:sz w:val="2"/>
        </w:rPr>
        <w:pict>
          <v:group style="width:388.35pt;height:.550pt;mso-position-horizontal-relative:char;mso-position-vertical-relative:line" coordorigin="0,0" coordsize="7767,11">
            <v:line style="position:absolute" from="0,5" to="1332,5" stroked="true" strokeweight=".501pt" strokecolor="#000000">
              <v:stroke dashstyle="solid"/>
            </v:line>
            <v:line style="position:absolute" from="1332,5" to="2665,5" stroked="true" strokeweight=".501pt" strokecolor="#000000">
              <v:stroke dashstyle="solid"/>
            </v:line>
            <v:line style="position:absolute" from="2665,5" to="3940,5" stroked="true" strokeweight=".501pt" strokecolor="#000000">
              <v:stroke dashstyle="solid"/>
            </v:line>
            <v:line style="position:absolute" from="3940,5" to="5216,5" stroked="true" strokeweight=".501pt" strokecolor="#000000">
              <v:stroke dashstyle="solid"/>
            </v:line>
            <v:line style="position:absolute" from="5216,5" to="6491,5" stroked="true" strokeweight=".501pt" strokecolor="#000000">
              <v:stroke dashstyle="solid"/>
            </v:line>
            <v:line style="position:absolute" from="6491,5" to="7767,5" stroked="true" strokeweight=".501pt" strokecolor="#000000">
              <v:stroke dashstyle="solid"/>
            </v:line>
          </v:group>
        </w:pict>
      </w:r>
      <w:r>
        <w:rPr>
          <w:sz w:val="2"/>
        </w:rPr>
      </w:r>
    </w:p>
    <w:p>
      <w:pPr>
        <w:spacing w:after="0" w:line="20" w:lineRule="exact"/>
        <w:rPr>
          <w:sz w:val="2"/>
        </w:rPr>
        <w:sectPr>
          <w:footerReference w:type="default" r:id="rId137"/>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8"/>
        <w:rPr>
          <w:sz w:val="20"/>
        </w:rPr>
      </w:pPr>
    </w:p>
    <w:p>
      <w:pPr>
        <w:spacing w:before="95"/>
        <w:ind w:left="765" w:right="0" w:firstLine="0"/>
        <w:jc w:val="left"/>
        <w:rPr>
          <w:sz w:val="54"/>
        </w:rPr>
      </w:pPr>
      <w:r>
        <w:rPr/>
        <w:pict>
          <v:group style="position:absolute;margin-left:120.271004pt;margin-top:-67.671722pt;width:721.65pt;height:42.55pt;mso-position-horizontal-relative:page;mso-position-vertical-relative:paragraph;z-index:12040" coordorigin="2405,-1353" coordsize="14433,851">
            <v:rect style="position:absolute;left:14432;top:-1354;width:2406;height:851" filled="true" fillcolor="#bba1bc"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54;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54;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54;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54;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54;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pacing w:val="-10"/>
          <w:sz w:val="54"/>
        </w:rPr>
        <w:t>Summary</w:t>
      </w:r>
      <w:r>
        <w:rPr>
          <w:color w:val="6F2770"/>
          <w:spacing w:val="-104"/>
          <w:sz w:val="54"/>
        </w:rPr>
        <w:t> </w:t>
      </w:r>
      <w:r>
        <w:rPr>
          <w:color w:val="6F2770"/>
          <w:spacing w:val="-13"/>
          <w:sz w:val="54"/>
        </w:rPr>
        <w:t>of</w:t>
      </w:r>
      <w:r>
        <w:rPr>
          <w:color w:val="6F2770"/>
          <w:spacing w:val="-104"/>
          <w:sz w:val="54"/>
        </w:rPr>
        <w:t> </w:t>
      </w:r>
      <w:r>
        <w:rPr>
          <w:color w:val="6F2770"/>
          <w:spacing w:val="-18"/>
          <w:sz w:val="54"/>
        </w:rPr>
        <w:t>Consolidated</w:t>
      </w:r>
      <w:r>
        <w:rPr>
          <w:color w:val="6F2770"/>
          <w:spacing w:val="-104"/>
          <w:sz w:val="54"/>
        </w:rPr>
        <w:t> </w:t>
      </w:r>
      <w:r>
        <w:rPr>
          <w:color w:val="6F2770"/>
          <w:spacing w:val="-16"/>
          <w:sz w:val="54"/>
        </w:rPr>
        <w:t>Account</w:t>
      </w:r>
      <w:r>
        <w:rPr>
          <w:color w:val="6F2770"/>
          <w:spacing w:val="-103"/>
          <w:sz w:val="54"/>
        </w:rPr>
        <w:t> </w:t>
      </w:r>
      <w:r>
        <w:rPr>
          <w:color w:val="6F2770"/>
          <w:spacing w:val="-16"/>
          <w:sz w:val="54"/>
        </w:rPr>
        <w:t>Appropriations</w:t>
      </w:r>
      <w:r>
        <w:rPr>
          <w:color w:val="6F2770"/>
          <w:spacing w:val="-104"/>
          <w:sz w:val="54"/>
        </w:rPr>
        <w:t> </w:t>
      </w:r>
      <w:r>
        <w:rPr>
          <w:color w:val="6F2770"/>
          <w:spacing w:val="-10"/>
          <w:sz w:val="54"/>
        </w:rPr>
        <w:t>and</w:t>
      </w:r>
      <w:r>
        <w:rPr>
          <w:color w:val="6F2770"/>
          <w:spacing w:val="-104"/>
          <w:sz w:val="54"/>
        </w:rPr>
        <w:t> </w:t>
      </w:r>
      <w:r>
        <w:rPr>
          <w:color w:val="6F2770"/>
          <w:spacing w:val="-14"/>
          <w:sz w:val="54"/>
        </w:rPr>
        <w:t>Income</w:t>
      </w:r>
      <w:r>
        <w:rPr>
          <w:color w:val="6F2770"/>
          <w:spacing w:val="-103"/>
          <w:sz w:val="54"/>
        </w:rPr>
        <w:t> </w:t>
      </w:r>
      <w:r>
        <w:rPr>
          <w:color w:val="6F2770"/>
          <w:spacing w:val="-19"/>
          <w:sz w:val="54"/>
        </w:rPr>
        <w:t>Estimates</w:t>
      </w:r>
    </w:p>
    <w:p>
      <w:pPr>
        <w:spacing w:before="28"/>
        <w:ind w:left="765" w:right="0" w:firstLine="0"/>
        <w:jc w:val="left"/>
        <w:rPr>
          <w:sz w:val="36"/>
        </w:rPr>
      </w:pPr>
      <w:r>
        <w:rPr/>
        <w:pict>
          <v:group style="position:absolute;margin-left:38.2677pt;margin-top:63.414684pt;width:765.4pt;height:211.85pt;mso-position-horizontal-relative:page;mso-position-vertical-relative:paragraph;z-index:-700648" coordorigin="765,1268" coordsize="15308,4237">
            <v:shape style="position:absolute;left:13521;top:1273;width:2552;height:1112" coordorigin="13521,1273" coordsize="2552,1112" path="m16072,1870l14797,1870,13521,1870,13521,2385,14797,2385,16072,2385,16072,1870m16072,1273l14797,1273,13521,1273,13521,1572,14797,1572,16072,1572,16072,1273e" filled="true" fillcolor="#f4f4f4" stroked="false">
              <v:path arrowok="t"/>
              <v:fill type="solid"/>
            </v:shape>
            <v:shape style="position:absolute;left:13521;top:1571;width:2552;height:299" coordorigin="13521,1572" coordsize="2552,299" path="m16072,1572l14797,1572,13521,1572,13521,1870,14797,1870,16072,1870,16072,1572e" filled="true" fillcolor="#faf9f9" stroked="false">
              <v:path arrowok="t"/>
              <v:fill type="solid"/>
            </v:shape>
            <v:shape style="position:absolute;left:13521;top:2683;width:2552;height:515" coordorigin="13521,2684" coordsize="2552,515" path="m16072,2684l14797,2684,13521,2684,13521,3198,14797,3198,16072,3198,16072,2684e" filled="true" fillcolor="#f4f4f4" stroked="false">
              <v:path arrowok="t"/>
              <v:fill type="solid"/>
            </v:shape>
            <v:shape style="position:absolute;left:13521;top:2385;width:2552;height:299" coordorigin="13521,2385" coordsize="2552,299" path="m16072,2385l14797,2385,13521,2385,13521,2684,14797,2684,16072,2684,16072,2385e" filled="true" fillcolor="#faf9f9" stroked="false">
              <v:path arrowok="t"/>
              <v:fill type="solid"/>
            </v:shape>
            <v:shape style="position:absolute;left:13521;top:3496;width:2552;height:515" coordorigin="13521,3497" coordsize="2552,515" path="m16072,3497l14797,3497,13521,3497,13521,4011,14797,4011,16072,4011,16072,3497e" filled="true" fillcolor="#f4f4f4" stroked="false">
              <v:path arrowok="t"/>
              <v:fill type="solid"/>
            </v:shape>
            <v:shape style="position:absolute;left:13521;top:3198;width:2552;height:299" coordorigin="13521,3198" coordsize="2552,299" path="m16072,3198l14797,3198,13521,3198,13521,3497,14797,3497,16072,3497,16072,3198e" filled="true" fillcolor="#faf9f9" stroked="false">
              <v:path arrowok="t"/>
              <v:fill type="solid"/>
            </v:shape>
            <v:shape style="position:absolute;left:13521;top:4310;width:2552;height:299" coordorigin="13521,4310" coordsize="2552,299" path="m16072,4310l14797,4310,13521,4310,13521,4609,14797,4609,16072,4609,16072,4310e" filled="true" fillcolor="#f4f4f4" stroked="false">
              <v:path arrowok="t"/>
              <v:fill type="solid"/>
            </v:shape>
            <v:shape style="position:absolute;left:13521;top:4011;width:2552;height:299" coordorigin="13521,4011" coordsize="2552,299" path="m16072,4011l14797,4011,13521,4011,13521,4310,14797,4310,16072,4310,16072,4011e" filled="true" fillcolor="#faf9f9" stroked="false">
              <v:path arrowok="t"/>
              <v:fill type="solid"/>
            </v:shape>
            <v:shape style="position:absolute;left:13521;top:4907;width:2552;height:299" coordorigin="13521,4907" coordsize="2552,299" path="m16072,4907l14797,4907,13521,4907,13521,5206,14797,5206,16072,5206,16072,4907e" filled="true" fillcolor="#f4f4f4" stroked="false">
              <v:path arrowok="t"/>
              <v:fill type="solid"/>
            </v:shape>
            <v:shape style="position:absolute;left:13521;top:4608;width:2552;height:896" coordorigin="13521,4609" coordsize="2552,896" path="m16072,5206l14797,5206,13521,5206,13521,5504,14797,5504,16072,5504,16072,5206m16072,4609l14797,4609,13521,4609,13521,4907,14797,4907,16072,4907,16072,4609e" filled="true" fillcolor="#faf9f9" stroked="false">
              <v:path arrowok="t"/>
              <v:fill type="solid"/>
            </v:shape>
            <v:shape style="position:absolute;left:13521;top:1561;width:2552;height:1945" coordorigin="13521,1562" coordsize="2552,1945" path="m16072,3487l14797,3487,14797,3487,13521,3487,13521,3507,14797,3507,14797,3507,16072,3507,16072,3487m16072,3188l14797,3188,14797,3188,13521,3188,13521,3208,14797,3208,14797,3208,16072,3208,16072,3188m16072,2674l14797,2674,14797,2674,13521,2674,13521,2694,14797,2694,14797,2694,16072,2694,16072,2674m16072,2375l14797,2375,14797,2375,13521,2375,13521,2395,14797,2395,14797,2395,16072,2395,16072,2375m16072,1860l14797,1860,14797,1860,13521,1860,13521,1880,14797,1880,14797,1880,16072,1880,16072,1860m16072,1562l14797,1562,14797,1562,13521,1562,13521,1582,14797,1582,14797,1582,16072,1582,16072,1562e" filled="true" fillcolor="#ffffff" stroked="false">
              <v:path arrowok="t"/>
              <v:fill type="solid"/>
            </v:shape>
            <v:line style="position:absolute" from="14797,1562" to="14797,1278" stroked="true" strokeweight="1pt" strokecolor="#ffffff">
              <v:stroke dashstyle="solid"/>
            </v:line>
            <v:line style="position:absolute" from="14797,1860" to="14797,1582" stroked="true" strokeweight="1pt" strokecolor="#ffffff">
              <v:stroke dashstyle="solid"/>
            </v:line>
            <v:line style="position:absolute" from="14797,2375" to="14797,1880" stroked="true" strokeweight="1pt" strokecolor="#ffffff">
              <v:stroke dashstyle="solid"/>
            </v:line>
            <v:line style="position:absolute" from="14797,2674" to="14797,2395" stroked="true" strokeweight="1pt" strokecolor="#ffffff">
              <v:stroke dashstyle="solid"/>
            </v:line>
            <v:line style="position:absolute" from="14797,3188" to="14797,2694" stroked="true" strokeweight="1pt" strokecolor="#ffffff">
              <v:stroke dashstyle="solid"/>
            </v:line>
            <v:line style="position:absolute" from="14797,3487" to="14797,3208" stroked="true" strokeweight="1pt" strokecolor="#ffffff">
              <v:stroke dashstyle="solid"/>
            </v:line>
            <v:line style="position:absolute" from="14797,4006" to="14797,3507" stroked="true" strokeweight="1pt" strokecolor="#ffffff">
              <v:stroke dashstyle="solid"/>
            </v:line>
            <v:line style="position:absolute" from="14797,4310" to="14797,4016" stroked="true" strokeweight="1pt" strokecolor="#ffffff">
              <v:stroke dashstyle="solid"/>
            </v:line>
            <v:line style="position:absolute" from="14797,4604" to="14797,4310" stroked="true" strokeweight="1pt" strokecolor="#ffffff">
              <v:stroke dashstyle="solid"/>
            </v:line>
            <v:line style="position:absolute" from="14797,5201" to="14797,4907" stroked="true" strokeweight="1pt" strokecolor="#ffffff">
              <v:stroke dashstyle="solid"/>
            </v:line>
            <v:line style="position:absolute" from="14797,4907" to="14797,4614" stroked="true" strokeweight="1pt" strokecolor="#ffffff">
              <v:stroke dashstyle="solid"/>
            </v:line>
            <v:line style="position:absolute" from="14797,5499" to="14797,5211" stroked="true" strokeweight="1pt" strokecolor="#ffffff">
              <v:stroke dashstyle="solid"/>
            </v:line>
            <v:line style="position:absolute" from="765,1273" to="8306,1273" stroked="true" strokeweight=".5pt" strokecolor="#834d83">
              <v:stroke dashstyle="solid"/>
            </v:line>
            <v:line style="position:absolute" from="8306,1273" to="9638,1273" stroked="true" strokeweight=".5pt" strokecolor="#6f2770">
              <v:stroke dashstyle="solid"/>
            </v:line>
            <v:line style="position:absolute" from="9638,1273" to="10970,1273" stroked="true" strokeweight=".5pt" strokecolor="#6f2770">
              <v:stroke dashstyle="solid"/>
            </v:line>
            <v:line style="position:absolute" from="10970,1273" to="12246,1273" stroked="true" strokeweight=".5pt" strokecolor="#6f2770">
              <v:stroke dashstyle="solid"/>
            </v:line>
            <v:line style="position:absolute" from="12246,1273" to="13521,1273" stroked="true" strokeweight=".5pt" strokecolor="#6f2770">
              <v:stroke dashstyle="solid"/>
            </v:line>
            <v:line style="position:absolute" from="13521,1273" to="14797,1273" stroked="true" strokeweight=".5pt" strokecolor="#6f2770">
              <v:stroke dashstyle="solid"/>
            </v:line>
            <v:line style="position:absolute" from="14797,1273" to="16072,1273" stroked="true" strokeweight=".5pt" strokecolor="#6f2770">
              <v:stroke dashstyle="solid"/>
            </v:line>
            <w10:wrap type="none"/>
          </v:group>
        </w:pict>
      </w:r>
      <w:r>
        <w:rPr>
          <w:color w:val="6F2770"/>
          <w:sz w:val="36"/>
        </w:rPr>
        <w:t>For the year ended 30 June 2018</w:t>
      </w:r>
    </w:p>
    <w:p>
      <w:pPr>
        <w:pStyle w:val="BodyText"/>
        <w:spacing w:before="3"/>
        <w:rPr>
          <w:sz w:val="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4"/>
        <w:gridCol w:w="1329"/>
        <w:gridCol w:w="1332"/>
        <w:gridCol w:w="1275"/>
        <w:gridCol w:w="1275"/>
        <w:gridCol w:w="1424"/>
        <w:gridCol w:w="1126"/>
      </w:tblGrid>
      <w:tr>
        <w:trPr>
          <w:trHeight w:val="474" w:hRule="atLeast"/>
        </w:trPr>
        <w:tc>
          <w:tcPr>
            <w:tcW w:w="7544" w:type="dxa"/>
            <w:vMerge w:val="restart"/>
            <w:shd w:val="clear" w:color="auto" w:fill="783A79"/>
          </w:tcPr>
          <w:p>
            <w:pPr>
              <w:pStyle w:val="TableParagraph"/>
              <w:spacing w:before="0"/>
              <w:rPr>
                <w:rFonts w:ascii="Times New Roman"/>
                <w:sz w:val="18"/>
              </w:rPr>
            </w:pPr>
          </w:p>
        </w:tc>
        <w:tc>
          <w:tcPr>
            <w:tcW w:w="1329" w:type="dxa"/>
            <w:shd w:val="clear" w:color="auto" w:fill="783A79"/>
          </w:tcPr>
          <w:p>
            <w:pPr>
              <w:pStyle w:val="TableParagraph"/>
              <w:spacing w:before="49"/>
              <w:ind w:left="817"/>
              <w:rPr>
                <w:b/>
                <w:sz w:val="18"/>
              </w:rPr>
            </w:pPr>
            <w:r>
              <w:rPr>
                <w:b/>
                <w:color w:val="FFFFFF"/>
                <w:spacing w:val="-3"/>
                <w:sz w:val="18"/>
              </w:rPr>
              <w:t>2018</w:t>
            </w:r>
          </w:p>
          <w:p>
            <w:pPr>
              <w:pStyle w:val="TableParagraph"/>
              <w:spacing w:line="189" w:lineRule="exact" w:before="9"/>
              <w:ind w:left="447"/>
              <w:rPr>
                <w:b/>
                <w:sz w:val="18"/>
              </w:rPr>
            </w:pPr>
            <w:r>
              <w:rPr>
                <w:b/>
                <w:color w:val="FFFFFF"/>
                <w:sz w:val="18"/>
              </w:rPr>
              <w:t>Estimate</w:t>
            </w:r>
          </w:p>
        </w:tc>
        <w:tc>
          <w:tcPr>
            <w:tcW w:w="1332" w:type="dxa"/>
            <w:shd w:val="clear" w:color="auto" w:fill="783A79"/>
          </w:tcPr>
          <w:p>
            <w:pPr>
              <w:pStyle w:val="TableParagraph"/>
              <w:spacing w:before="49"/>
              <w:ind w:left="718" w:right="17"/>
              <w:jc w:val="center"/>
              <w:rPr>
                <w:b/>
                <w:sz w:val="18"/>
              </w:rPr>
            </w:pPr>
            <w:r>
              <w:rPr>
                <w:b/>
                <w:color w:val="FFFFFF"/>
                <w:spacing w:val="-3"/>
                <w:sz w:val="18"/>
              </w:rPr>
              <w:t>2018</w:t>
            </w:r>
          </w:p>
          <w:p>
            <w:pPr>
              <w:pStyle w:val="TableParagraph"/>
              <w:spacing w:line="189" w:lineRule="exact" w:before="9"/>
              <w:ind w:left="553" w:right="3"/>
              <w:jc w:val="center"/>
              <w:rPr>
                <w:b/>
                <w:sz w:val="18"/>
              </w:rPr>
            </w:pPr>
            <w:r>
              <w:rPr>
                <w:b/>
                <w:color w:val="FFFFFF"/>
                <w:sz w:val="18"/>
              </w:rPr>
              <w:t>Actual</w:t>
            </w:r>
          </w:p>
        </w:tc>
        <w:tc>
          <w:tcPr>
            <w:tcW w:w="1275" w:type="dxa"/>
            <w:shd w:val="clear" w:color="auto" w:fill="783A79"/>
          </w:tcPr>
          <w:p>
            <w:pPr>
              <w:pStyle w:val="TableParagraph"/>
              <w:spacing w:before="49"/>
              <w:ind w:right="111"/>
              <w:jc w:val="right"/>
              <w:rPr>
                <w:b/>
                <w:sz w:val="18"/>
              </w:rPr>
            </w:pPr>
            <w:r>
              <w:rPr>
                <w:b/>
                <w:color w:val="FFFFFF"/>
                <w:sz w:val="18"/>
              </w:rPr>
              <w:t>Variance</w:t>
            </w:r>
          </w:p>
        </w:tc>
        <w:tc>
          <w:tcPr>
            <w:tcW w:w="1275" w:type="dxa"/>
            <w:shd w:val="clear" w:color="auto" w:fill="783A79"/>
          </w:tcPr>
          <w:p>
            <w:pPr>
              <w:pStyle w:val="TableParagraph"/>
              <w:spacing w:before="49"/>
              <w:ind w:left="720" w:right="74"/>
              <w:jc w:val="center"/>
              <w:rPr>
                <w:b/>
                <w:sz w:val="18"/>
              </w:rPr>
            </w:pPr>
            <w:r>
              <w:rPr>
                <w:b/>
                <w:color w:val="FFFFFF"/>
                <w:spacing w:val="-3"/>
                <w:sz w:val="18"/>
              </w:rPr>
              <w:t>2018</w:t>
            </w:r>
          </w:p>
          <w:p>
            <w:pPr>
              <w:pStyle w:val="TableParagraph"/>
              <w:spacing w:line="189" w:lineRule="exact" w:before="9"/>
              <w:ind w:left="524" w:right="29"/>
              <w:jc w:val="center"/>
              <w:rPr>
                <w:b/>
                <w:sz w:val="18"/>
              </w:rPr>
            </w:pPr>
            <w:r>
              <w:rPr>
                <w:b/>
                <w:color w:val="FFFFFF"/>
                <w:sz w:val="18"/>
              </w:rPr>
              <w:t>Actual</w:t>
            </w:r>
          </w:p>
        </w:tc>
        <w:tc>
          <w:tcPr>
            <w:tcW w:w="1424" w:type="dxa"/>
            <w:shd w:val="clear" w:color="auto" w:fill="783A79"/>
          </w:tcPr>
          <w:p>
            <w:pPr>
              <w:pStyle w:val="TableParagraph"/>
              <w:spacing w:before="49"/>
              <w:ind w:left="590" w:right="81"/>
              <w:jc w:val="center"/>
              <w:rPr>
                <w:b/>
                <w:sz w:val="18"/>
              </w:rPr>
            </w:pPr>
            <w:r>
              <w:rPr>
                <w:b/>
                <w:color w:val="FFFFFF"/>
                <w:spacing w:val="-3"/>
                <w:sz w:val="18"/>
              </w:rPr>
              <w:t>2017</w:t>
            </w:r>
          </w:p>
          <w:p>
            <w:pPr>
              <w:pStyle w:val="TableParagraph"/>
              <w:spacing w:line="189" w:lineRule="exact" w:before="9"/>
              <w:ind w:left="590" w:right="243"/>
              <w:jc w:val="center"/>
              <w:rPr>
                <w:b/>
                <w:sz w:val="18"/>
              </w:rPr>
            </w:pPr>
            <w:r>
              <w:rPr>
                <w:b/>
                <w:color w:val="FFFFFF"/>
                <w:sz w:val="18"/>
              </w:rPr>
              <w:t>Actual</w:t>
            </w:r>
          </w:p>
        </w:tc>
        <w:tc>
          <w:tcPr>
            <w:tcW w:w="1126" w:type="dxa"/>
            <w:shd w:val="clear" w:color="auto" w:fill="783A79"/>
          </w:tcPr>
          <w:p>
            <w:pPr>
              <w:pStyle w:val="TableParagraph"/>
              <w:spacing w:before="49"/>
              <w:ind w:right="110"/>
              <w:jc w:val="right"/>
              <w:rPr>
                <w:b/>
                <w:sz w:val="18"/>
              </w:rPr>
            </w:pPr>
            <w:r>
              <w:rPr>
                <w:b/>
                <w:color w:val="FFFFFF"/>
                <w:sz w:val="18"/>
              </w:rPr>
              <w:t>Variance</w:t>
            </w:r>
          </w:p>
        </w:tc>
      </w:tr>
      <w:tr>
        <w:trPr>
          <w:trHeight w:val="261" w:hRule="atLeast"/>
        </w:trPr>
        <w:tc>
          <w:tcPr>
            <w:tcW w:w="7544" w:type="dxa"/>
            <w:vMerge/>
            <w:tcBorders>
              <w:top w:val="nil"/>
            </w:tcBorders>
            <w:shd w:val="clear" w:color="auto" w:fill="783A79"/>
          </w:tcPr>
          <w:p>
            <w:pPr>
              <w:rPr>
                <w:sz w:val="2"/>
                <w:szCs w:val="2"/>
              </w:rPr>
            </w:pPr>
          </w:p>
        </w:tc>
        <w:tc>
          <w:tcPr>
            <w:tcW w:w="1329" w:type="dxa"/>
            <w:shd w:val="clear" w:color="auto" w:fill="783A79"/>
          </w:tcPr>
          <w:p>
            <w:pPr>
              <w:pStyle w:val="TableParagraph"/>
              <w:spacing w:before="7"/>
              <w:ind w:right="106"/>
              <w:jc w:val="right"/>
              <w:rPr>
                <w:b/>
                <w:sz w:val="18"/>
              </w:rPr>
            </w:pPr>
            <w:r>
              <w:rPr>
                <w:b/>
                <w:color w:val="FFFFFF"/>
                <w:w w:val="95"/>
                <w:sz w:val="18"/>
              </w:rPr>
              <w:t>$000</w:t>
            </w:r>
          </w:p>
        </w:tc>
        <w:tc>
          <w:tcPr>
            <w:tcW w:w="1332" w:type="dxa"/>
            <w:shd w:val="clear" w:color="auto" w:fill="783A79"/>
          </w:tcPr>
          <w:p>
            <w:pPr>
              <w:pStyle w:val="TableParagraph"/>
              <w:spacing w:before="7"/>
              <w:ind w:right="106"/>
              <w:jc w:val="right"/>
              <w:rPr>
                <w:b/>
                <w:sz w:val="18"/>
              </w:rPr>
            </w:pPr>
            <w:r>
              <w:rPr>
                <w:b/>
                <w:color w:val="FFFFFF"/>
                <w:w w:val="95"/>
                <w:sz w:val="18"/>
              </w:rPr>
              <w:t>$000</w:t>
            </w:r>
          </w:p>
        </w:tc>
        <w:tc>
          <w:tcPr>
            <w:tcW w:w="1275" w:type="dxa"/>
            <w:shd w:val="clear" w:color="auto" w:fill="783A79"/>
          </w:tcPr>
          <w:p>
            <w:pPr>
              <w:pStyle w:val="TableParagraph"/>
              <w:spacing w:before="7"/>
              <w:ind w:right="106"/>
              <w:jc w:val="right"/>
              <w:rPr>
                <w:b/>
                <w:sz w:val="18"/>
              </w:rPr>
            </w:pPr>
            <w:r>
              <w:rPr>
                <w:b/>
                <w:color w:val="FFFFFF"/>
                <w:w w:val="95"/>
                <w:sz w:val="18"/>
              </w:rPr>
              <w:t>$000</w:t>
            </w:r>
          </w:p>
        </w:tc>
        <w:tc>
          <w:tcPr>
            <w:tcW w:w="1275" w:type="dxa"/>
            <w:shd w:val="clear" w:color="auto" w:fill="783A79"/>
          </w:tcPr>
          <w:p>
            <w:pPr>
              <w:pStyle w:val="TableParagraph"/>
              <w:spacing w:before="7"/>
              <w:ind w:right="105"/>
              <w:jc w:val="right"/>
              <w:rPr>
                <w:b/>
                <w:sz w:val="18"/>
              </w:rPr>
            </w:pPr>
            <w:r>
              <w:rPr>
                <w:b/>
                <w:color w:val="FFFFFF"/>
                <w:w w:val="95"/>
                <w:sz w:val="18"/>
              </w:rPr>
              <w:t>$000</w:t>
            </w:r>
          </w:p>
        </w:tc>
        <w:tc>
          <w:tcPr>
            <w:tcW w:w="1424" w:type="dxa"/>
            <w:shd w:val="clear" w:color="auto" w:fill="783A79"/>
          </w:tcPr>
          <w:p>
            <w:pPr>
              <w:pStyle w:val="TableParagraph"/>
              <w:spacing w:before="7"/>
              <w:ind w:right="254"/>
              <w:jc w:val="right"/>
              <w:rPr>
                <w:b/>
                <w:sz w:val="18"/>
              </w:rPr>
            </w:pPr>
            <w:r>
              <w:rPr>
                <w:b/>
                <w:color w:val="FFFFFF"/>
                <w:w w:val="95"/>
                <w:sz w:val="18"/>
              </w:rPr>
              <w:t>$000</w:t>
            </w:r>
          </w:p>
        </w:tc>
        <w:tc>
          <w:tcPr>
            <w:tcW w:w="1126" w:type="dxa"/>
            <w:shd w:val="clear" w:color="auto" w:fill="783A79"/>
          </w:tcPr>
          <w:p>
            <w:pPr>
              <w:pStyle w:val="TableParagraph"/>
              <w:spacing w:before="7"/>
              <w:ind w:right="104"/>
              <w:jc w:val="right"/>
              <w:rPr>
                <w:b/>
                <w:sz w:val="18"/>
              </w:rPr>
            </w:pPr>
            <w:r>
              <w:rPr>
                <w:b/>
                <w:color w:val="FFFFFF"/>
                <w:w w:val="95"/>
                <w:sz w:val="18"/>
              </w:rPr>
              <w:t>$000</w:t>
            </w:r>
          </w:p>
        </w:tc>
      </w:tr>
      <w:tr>
        <w:trPr>
          <w:trHeight w:val="288" w:hRule="atLeast"/>
        </w:trPr>
        <w:tc>
          <w:tcPr>
            <w:tcW w:w="7544" w:type="dxa"/>
            <w:shd w:val="clear" w:color="auto" w:fill="F4F4F4"/>
          </w:tcPr>
          <w:p>
            <w:pPr>
              <w:pStyle w:val="TableParagraph"/>
              <w:spacing w:before="44"/>
              <w:ind w:left="112"/>
              <w:rPr>
                <w:i/>
                <w:sz w:val="18"/>
              </w:rPr>
            </w:pPr>
            <w:r>
              <w:rPr>
                <w:i/>
                <w:color w:val="6F2770"/>
                <w:sz w:val="18"/>
              </w:rPr>
              <w:t>Details of expenses by service</w:t>
            </w:r>
          </w:p>
        </w:tc>
        <w:tc>
          <w:tcPr>
            <w:tcW w:w="1329" w:type="dxa"/>
            <w:shd w:val="clear" w:color="auto" w:fill="F4F4F4"/>
          </w:tcPr>
          <w:p>
            <w:pPr>
              <w:pStyle w:val="TableParagraph"/>
              <w:spacing w:before="0"/>
              <w:rPr>
                <w:rFonts w:ascii="Times New Roman"/>
                <w:sz w:val="18"/>
              </w:rPr>
            </w:pPr>
          </w:p>
        </w:tc>
        <w:tc>
          <w:tcPr>
            <w:tcW w:w="1332" w:type="dxa"/>
            <w:shd w:val="clear" w:color="auto" w:fill="DFE1B8"/>
          </w:tcPr>
          <w:p>
            <w:pPr>
              <w:pStyle w:val="TableParagraph"/>
              <w:spacing w:before="0"/>
              <w:rPr>
                <w:rFonts w:ascii="Times New Roman"/>
                <w:sz w:val="18"/>
              </w:rPr>
            </w:pPr>
          </w:p>
        </w:tc>
        <w:tc>
          <w:tcPr>
            <w:tcW w:w="1275" w:type="dxa"/>
            <w:tcBorders>
              <w:bottom w:val="single" w:sz="8" w:space="0" w:color="FFFFFF"/>
            </w:tcBorders>
            <w:shd w:val="clear" w:color="auto" w:fill="F4F4F4"/>
          </w:tcPr>
          <w:p>
            <w:pPr>
              <w:pStyle w:val="TableParagraph"/>
              <w:spacing w:before="0"/>
              <w:rPr>
                <w:rFonts w:ascii="Times New Roman"/>
                <w:sz w:val="18"/>
              </w:rPr>
            </w:pPr>
          </w:p>
        </w:tc>
        <w:tc>
          <w:tcPr>
            <w:tcW w:w="1275" w:type="dxa"/>
            <w:shd w:val="clear" w:color="auto" w:fill="DFE1B8"/>
          </w:tcPr>
          <w:p>
            <w:pPr>
              <w:pStyle w:val="TableParagraph"/>
              <w:spacing w:before="0"/>
              <w:rPr>
                <w:rFonts w:ascii="Times New Roman"/>
                <w:sz w:val="18"/>
              </w:rPr>
            </w:pPr>
          </w:p>
        </w:tc>
        <w:tc>
          <w:tcPr>
            <w:tcW w:w="1424" w:type="dxa"/>
            <w:shd w:val="clear" w:color="auto" w:fill="F4F4F4"/>
          </w:tcPr>
          <w:p>
            <w:pPr>
              <w:pStyle w:val="TableParagraph"/>
              <w:spacing w:before="0"/>
              <w:rPr>
                <w:rFonts w:ascii="Times New Roman"/>
                <w:sz w:val="18"/>
              </w:rPr>
            </w:pPr>
          </w:p>
        </w:tc>
        <w:tc>
          <w:tcPr>
            <w:tcW w:w="1126" w:type="dxa"/>
            <w:shd w:val="clear" w:color="auto" w:fill="F4F4F4"/>
          </w:tcPr>
          <w:p>
            <w:pPr>
              <w:pStyle w:val="TableParagraph"/>
              <w:spacing w:before="0"/>
              <w:rPr>
                <w:rFonts w:ascii="Times New Roman"/>
                <w:sz w:val="18"/>
              </w:rPr>
            </w:pPr>
          </w:p>
        </w:tc>
      </w:tr>
      <w:tr>
        <w:trPr>
          <w:trHeight w:val="278" w:hRule="atLeast"/>
        </w:trPr>
        <w:tc>
          <w:tcPr>
            <w:tcW w:w="7544" w:type="dxa"/>
            <w:shd w:val="clear" w:color="auto" w:fill="FAF9F9"/>
          </w:tcPr>
          <w:p>
            <w:pPr>
              <w:pStyle w:val="TableParagraph"/>
              <w:spacing w:before="34"/>
              <w:ind w:left="112"/>
              <w:rPr>
                <w:sz w:val="18"/>
              </w:rPr>
            </w:pPr>
            <w:r>
              <w:rPr>
                <w:sz w:val="18"/>
              </w:rPr>
              <w:t>Revenue assessment and collection, and grants and subsidies administration</w:t>
            </w:r>
          </w:p>
        </w:tc>
        <w:tc>
          <w:tcPr>
            <w:tcW w:w="1329" w:type="dxa"/>
            <w:shd w:val="clear" w:color="auto" w:fill="FAF9F9"/>
          </w:tcPr>
          <w:p>
            <w:pPr>
              <w:pStyle w:val="TableParagraph"/>
              <w:spacing w:before="34"/>
              <w:ind w:right="112"/>
              <w:jc w:val="right"/>
              <w:rPr>
                <w:sz w:val="18"/>
              </w:rPr>
            </w:pPr>
            <w:r>
              <w:rPr>
                <w:sz w:val="18"/>
              </w:rPr>
              <w:t>62,257</w:t>
            </w:r>
          </w:p>
        </w:tc>
        <w:tc>
          <w:tcPr>
            <w:tcW w:w="1332" w:type="dxa"/>
            <w:shd w:val="clear" w:color="auto" w:fill="E1E4BB"/>
          </w:tcPr>
          <w:p>
            <w:pPr>
              <w:pStyle w:val="TableParagraph"/>
              <w:spacing w:before="34"/>
              <w:ind w:right="112"/>
              <w:jc w:val="right"/>
              <w:rPr>
                <w:sz w:val="18"/>
              </w:rPr>
            </w:pPr>
            <w:r>
              <w:rPr>
                <w:sz w:val="18"/>
              </w:rPr>
              <w:t>62,285</w:t>
            </w:r>
          </w:p>
        </w:tc>
        <w:tc>
          <w:tcPr>
            <w:tcW w:w="1275" w:type="dxa"/>
            <w:tcBorders>
              <w:top w:val="single" w:sz="8" w:space="0" w:color="FFFFFF"/>
              <w:bottom w:val="single" w:sz="8" w:space="0" w:color="FFFFFF"/>
            </w:tcBorders>
            <w:shd w:val="clear" w:color="auto" w:fill="FAF9F9"/>
          </w:tcPr>
          <w:p>
            <w:pPr>
              <w:pStyle w:val="TableParagraph"/>
              <w:spacing w:before="34"/>
              <w:ind w:right="116"/>
              <w:jc w:val="right"/>
              <w:rPr>
                <w:sz w:val="18"/>
              </w:rPr>
            </w:pPr>
            <w:r>
              <w:rPr>
                <w:w w:val="95"/>
                <w:sz w:val="18"/>
              </w:rPr>
              <w:t>28</w:t>
            </w:r>
          </w:p>
        </w:tc>
        <w:tc>
          <w:tcPr>
            <w:tcW w:w="1275" w:type="dxa"/>
            <w:shd w:val="clear" w:color="auto" w:fill="E1E4BB"/>
          </w:tcPr>
          <w:p>
            <w:pPr>
              <w:pStyle w:val="TableParagraph"/>
              <w:spacing w:before="34"/>
              <w:ind w:right="111"/>
              <w:jc w:val="right"/>
              <w:rPr>
                <w:sz w:val="18"/>
              </w:rPr>
            </w:pPr>
            <w:r>
              <w:rPr>
                <w:sz w:val="18"/>
              </w:rPr>
              <w:t>62,285</w:t>
            </w:r>
          </w:p>
        </w:tc>
        <w:tc>
          <w:tcPr>
            <w:tcW w:w="1424" w:type="dxa"/>
            <w:shd w:val="clear" w:color="auto" w:fill="FAF9F9"/>
          </w:tcPr>
          <w:p>
            <w:pPr>
              <w:pStyle w:val="TableParagraph"/>
              <w:spacing w:before="34"/>
              <w:ind w:right="259"/>
              <w:jc w:val="right"/>
              <w:rPr>
                <w:sz w:val="18"/>
              </w:rPr>
            </w:pPr>
            <w:r>
              <w:rPr>
                <w:sz w:val="18"/>
              </w:rPr>
              <w:t>56,985</w:t>
            </w:r>
          </w:p>
        </w:tc>
        <w:tc>
          <w:tcPr>
            <w:tcW w:w="1126" w:type="dxa"/>
            <w:shd w:val="clear" w:color="auto" w:fill="FAF9F9"/>
          </w:tcPr>
          <w:p>
            <w:pPr>
              <w:pStyle w:val="TableParagraph"/>
              <w:spacing w:before="34"/>
              <w:ind w:right="110"/>
              <w:jc w:val="right"/>
              <w:rPr>
                <w:sz w:val="18"/>
              </w:rPr>
            </w:pPr>
            <w:r>
              <w:rPr>
                <w:sz w:val="18"/>
              </w:rPr>
              <w:t>5,300</w:t>
            </w:r>
          </w:p>
        </w:tc>
      </w:tr>
      <w:tr>
        <w:trPr>
          <w:trHeight w:val="494" w:hRule="atLeast"/>
        </w:trPr>
        <w:tc>
          <w:tcPr>
            <w:tcW w:w="7544" w:type="dxa"/>
            <w:shd w:val="clear" w:color="auto" w:fill="F4F4F4"/>
          </w:tcPr>
          <w:p>
            <w:pPr>
              <w:pStyle w:val="TableParagraph"/>
              <w:spacing w:line="249" w:lineRule="auto" w:before="34"/>
              <w:ind w:left="112" w:right="335"/>
              <w:rPr>
                <w:sz w:val="18"/>
              </w:rPr>
            </w:pPr>
            <w:r>
              <w:rPr>
                <w:sz w:val="18"/>
              </w:rPr>
              <w:t>Development</w:t>
            </w:r>
            <w:r>
              <w:rPr>
                <w:spacing w:val="-29"/>
                <w:sz w:val="18"/>
              </w:rPr>
              <w:t> </w:t>
            </w:r>
            <w:r>
              <w:rPr>
                <w:sz w:val="18"/>
              </w:rPr>
              <w:t>and</w:t>
            </w:r>
            <w:r>
              <w:rPr>
                <w:spacing w:val="-29"/>
                <w:sz w:val="18"/>
              </w:rPr>
              <w:t> </w:t>
            </w:r>
            <w:r>
              <w:rPr>
                <w:sz w:val="18"/>
              </w:rPr>
              <w:t>management</w:t>
            </w:r>
            <w:r>
              <w:rPr>
                <w:spacing w:val="-28"/>
                <w:sz w:val="18"/>
              </w:rPr>
              <w:t> </w:t>
            </w:r>
            <w:r>
              <w:rPr>
                <w:sz w:val="18"/>
              </w:rPr>
              <w:t>of</w:t>
            </w:r>
            <w:r>
              <w:rPr>
                <w:spacing w:val="-29"/>
                <w:sz w:val="18"/>
              </w:rPr>
              <w:t> </w:t>
            </w:r>
            <w:r>
              <w:rPr>
                <w:sz w:val="18"/>
              </w:rPr>
              <w:t>Common</w:t>
            </w:r>
            <w:r>
              <w:rPr>
                <w:spacing w:val="-29"/>
                <w:sz w:val="18"/>
              </w:rPr>
              <w:t> </w:t>
            </w:r>
            <w:r>
              <w:rPr>
                <w:sz w:val="18"/>
              </w:rPr>
              <w:t>Use</w:t>
            </w:r>
            <w:r>
              <w:rPr>
                <w:spacing w:val="-28"/>
                <w:sz w:val="18"/>
              </w:rPr>
              <w:t> </w:t>
            </w:r>
            <w:r>
              <w:rPr>
                <w:sz w:val="18"/>
              </w:rPr>
              <w:t>Contract</w:t>
            </w:r>
            <w:r>
              <w:rPr>
                <w:spacing w:val="-29"/>
                <w:sz w:val="18"/>
              </w:rPr>
              <w:t> </w:t>
            </w:r>
            <w:r>
              <w:rPr>
                <w:sz w:val="18"/>
              </w:rPr>
              <w:t>Arrangements,</w:t>
            </w:r>
            <w:r>
              <w:rPr>
                <w:spacing w:val="-29"/>
                <w:sz w:val="18"/>
              </w:rPr>
              <w:t> </w:t>
            </w:r>
            <w:r>
              <w:rPr>
                <w:sz w:val="18"/>
              </w:rPr>
              <w:t>State</w:t>
            </w:r>
            <w:r>
              <w:rPr>
                <w:spacing w:val="-28"/>
                <w:sz w:val="18"/>
              </w:rPr>
              <w:t> </w:t>
            </w:r>
            <w:r>
              <w:rPr>
                <w:sz w:val="18"/>
              </w:rPr>
              <w:t>Fleet</w:t>
            </w:r>
            <w:r>
              <w:rPr>
                <w:spacing w:val="-29"/>
                <w:sz w:val="18"/>
              </w:rPr>
              <w:t> </w:t>
            </w:r>
            <w:r>
              <w:rPr>
                <w:sz w:val="18"/>
              </w:rPr>
              <w:t>leasing and</w:t>
            </w:r>
            <w:r>
              <w:rPr>
                <w:spacing w:val="-10"/>
                <w:sz w:val="18"/>
              </w:rPr>
              <w:t> </w:t>
            </w:r>
            <w:r>
              <w:rPr>
                <w:sz w:val="18"/>
              </w:rPr>
              <w:t>disposal</w:t>
            </w:r>
            <w:r>
              <w:rPr>
                <w:spacing w:val="-9"/>
                <w:sz w:val="18"/>
              </w:rPr>
              <w:t> </w:t>
            </w:r>
            <w:r>
              <w:rPr>
                <w:sz w:val="18"/>
              </w:rPr>
              <w:t>and</w:t>
            </w:r>
            <w:r>
              <w:rPr>
                <w:spacing w:val="-9"/>
                <w:sz w:val="18"/>
              </w:rPr>
              <w:t> </w:t>
            </w:r>
            <w:r>
              <w:rPr>
                <w:sz w:val="18"/>
              </w:rPr>
              <w:t>providing</w:t>
            </w:r>
            <w:r>
              <w:rPr>
                <w:spacing w:val="-9"/>
                <w:sz w:val="18"/>
              </w:rPr>
              <w:t> </w:t>
            </w:r>
            <w:r>
              <w:rPr>
                <w:sz w:val="18"/>
              </w:rPr>
              <w:t>facilitation</w:t>
            </w:r>
            <w:r>
              <w:rPr>
                <w:spacing w:val="-9"/>
                <w:sz w:val="18"/>
              </w:rPr>
              <w:t> </w:t>
            </w:r>
            <w:r>
              <w:rPr>
                <w:sz w:val="18"/>
              </w:rPr>
              <w:t>service</w:t>
            </w:r>
            <w:r>
              <w:rPr>
                <w:spacing w:val="-10"/>
                <w:sz w:val="18"/>
              </w:rPr>
              <w:t> </w:t>
            </w:r>
            <w:r>
              <w:rPr>
                <w:sz w:val="18"/>
              </w:rPr>
              <w:t>for</w:t>
            </w:r>
            <w:r>
              <w:rPr>
                <w:spacing w:val="-9"/>
                <w:sz w:val="18"/>
              </w:rPr>
              <w:t> </w:t>
            </w:r>
            <w:r>
              <w:rPr>
                <w:sz w:val="18"/>
              </w:rPr>
              <w:t>agency</w:t>
            </w:r>
            <w:r>
              <w:rPr>
                <w:spacing w:val="-9"/>
                <w:sz w:val="18"/>
              </w:rPr>
              <w:t> </w:t>
            </w:r>
            <w:r>
              <w:rPr>
                <w:sz w:val="18"/>
              </w:rPr>
              <w:t>specific</w:t>
            </w:r>
            <w:r>
              <w:rPr>
                <w:spacing w:val="-9"/>
                <w:sz w:val="18"/>
              </w:rPr>
              <w:t> </w:t>
            </w:r>
            <w:r>
              <w:rPr>
                <w:sz w:val="18"/>
              </w:rPr>
              <w:t>contracts</w:t>
            </w:r>
          </w:p>
        </w:tc>
        <w:tc>
          <w:tcPr>
            <w:tcW w:w="1329" w:type="dxa"/>
            <w:shd w:val="clear" w:color="auto" w:fill="F4F4F4"/>
          </w:tcPr>
          <w:p>
            <w:pPr>
              <w:pStyle w:val="TableParagraph"/>
              <w:spacing w:before="34"/>
              <w:ind w:right="112"/>
              <w:jc w:val="right"/>
              <w:rPr>
                <w:sz w:val="18"/>
              </w:rPr>
            </w:pPr>
            <w:r>
              <w:rPr>
                <w:sz w:val="18"/>
              </w:rPr>
              <w:t>83,966</w:t>
            </w:r>
          </w:p>
        </w:tc>
        <w:tc>
          <w:tcPr>
            <w:tcW w:w="1332" w:type="dxa"/>
            <w:shd w:val="clear" w:color="auto" w:fill="DFE1B8"/>
          </w:tcPr>
          <w:p>
            <w:pPr>
              <w:pStyle w:val="TableParagraph"/>
              <w:spacing w:before="34"/>
              <w:ind w:right="112"/>
              <w:jc w:val="right"/>
              <w:rPr>
                <w:sz w:val="18"/>
              </w:rPr>
            </w:pPr>
            <w:r>
              <w:rPr>
                <w:sz w:val="18"/>
              </w:rPr>
              <w:t>76,082</w:t>
            </w:r>
          </w:p>
        </w:tc>
        <w:tc>
          <w:tcPr>
            <w:tcW w:w="1275" w:type="dxa"/>
            <w:tcBorders>
              <w:top w:val="single" w:sz="8" w:space="0" w:color="FFFFFF"/>
              <w:bottom w:val="single" w:sz="8" w:space="0" w:color="FFFFFF"/>
            </w:tcBorders>
            <w:shd w:val="clear" w:color="auto" w:fill="F4F4F4"/>
          </w:tcPr>
          <w:p>
            <w:pPr>
              <w:pStyle w:val="TableParagraph"/>
              <w:spacing w:before="34"/>
              <w:ind w:right="111"/>
              <w:jc w:val="right"/>
              <w:rPr>
                <w:sz w:val="18"/>
              </w:rPr>
            </w:pPr>
            <w:r>
              <w:rPr>
                <w:w w:val="95"/>
                <w:sz w:val="18"/>
              </w:rPr>
              <w:t>(7,884)</w:t>
            </w:r>
          </w:p>
        </w:tc>
        <w:tc>
          <w:tcPr>
            <w:tcW w:w="1275" w:type="dxa"/>
            <w:shd w:val="clear" w:color="auto" w:fill="DFE1B8"/>
          </w:tcPr>
          <w:p>
            <w:pPr>
              <w:pStyle w:val="TableParagraph"/>
              <w:spacing w:before="34"/>
              <w:ind w:right="111"/>
              <w:jc w:val="right"/>
              <w:rPr>
                <w:sz w:val="18"/>
              </w:rPr>
            </w:pPr>
            <w:r>
              <w:rPr>
                <w:sz w:val="18"/>
              </w:rPr>
              <w:t>76,082</w:t>
            </w:r>
          </w:p>
        </w:tc>
        <w:tc>
          <w:tcPr>
            <w:tcW w:w="1424" w:type="dxa"/>
            <w:shd w:val="clear" w:color="auto" w:fill="F4F4F4"/>
          </w:tcPr>
          <w:p>
            <w:pPr>
              <w:pStyle w:val="TableParagraph"/>
              <w:spacing w:before="34"/>
              <w:ind w:right="259"/>
              <w:jc w:val="right"/>
              <w:rPr>
                <w:sz w:val="18"/>
              </w:rPr>
            </w:pPr>
            <w:r>
              <w:rPr>
                <w:sz w:val="18"/>
              </w:rPr>
              <w:t>77,994</w:t>
            </w:r>
          </w:p>
        </w:tc>
        <w:tc>
          <w:tcPr>
            <w:tcW w:w="1126" w:type="dxa"/>
            <w:shd w:val="clear" w:color="auto" w:fill="F4F4F4"/>
          </w:tcPr>
          <w:p>
            <w:pPr>
              <w:pStyle w:val="TableParagraph"/>
              <w:spacing w:before="34"/>
              <w:ind w:right="110"/>
              <w:jc w:val="right"/>
              <w:rPr>
                <w:sz w:val="18"/>
              </w:rPr>
            </w:pPr>
            <w:r>
              <w:rPr>
                <w:w w:val="90"/>
                <w:sz w:val="18"/>
              </w:rPr>
              <w:t>(1,912)</w:t>
            </w:r>
          </w:p>
        </w:tc>
      </w:tr>
      <w:tr>
        <w:trPr>
          <w:trHeight w:val="278" w:hRule="atLeast"/>
        </w:trPr>
        <w:tc>
          <w:tcPr>
            <w:tcW w:w="7544" w:type="dxa"/>
            <w:shd w:val="clear" w:color="auto" w:fill="FAF9F9"/>
          </w:tcPr>
          <w:p>
            <w:pPr>
              <w:pStyle w:val="TableParagraph"/>
              <w:spacing w:before="35"/>
              <w:ind w:left="112"/>
              <w:rPr>
                <w:sz w:val="18"/>
              </w:rPr>
            </w:pPr>
            <w:r>
              <w:rPr>
                <w:sz w:val="18"/>
              </w:rPr>
              <w:t>Corporate services to client agencies</w:t>
            </w:r>
          </w:p>
        </w:tc>
        <w:tc>
          <w:tcPr>
            <w:tcW w:w="1329" w:type="dxa"/>
            <w:shd w:val="clear" w:color="auto" w:fill="FAF9F9"/>
          </w:tcPr>
          <w:p>
            <w:pPr>
              <w:pStyle w:val="TableParagraph"/>
              <w:spacing w:before="35"/>
              <w:ind w:right="112"/>
              <w:jc w:val="right"/>
              <w:rPr>
                <w:sz w:val="18"/>
              </w:rPr>
            </w:pPr>
            <w:r>
              <w:rPr>
                <w:sz w:val="18"/>
              </w:rPr>
              <w:t>7,643</w:t>
            </w:r>
          </w:p>
        </w:tc>
        <w:tc>
          <w:tcPr>
            <w:tcW w:w="1332" w:type="dxa"/>
            <w:shd w:val="clear" w:color="auto" w:fill="E1E4BB"/>
          </w:tcPr>
          <w:p>
            <w:pPr>
              <w:pStyle w:val="TableParagraph"/>
              <w:spacing w:before="35"/>
              <w:ind w:right="112"/>
              <w:jc w:val="right"/>
              <w:rPr>
                <w:sz w:val="18"/>
              </w:rPr>
            </w:pPr>
            <w:r>
              <w:rPr>
                <w:sz w:val="18"/>
              </w:rPr>
              <w:t>6,567</w:t>
            </w:r>
          </w:p>
        </w:tc>
        <w:tc>
          <w:tcPr>
            <w:tcW w:w="1275" w:type="dxa"/>
            <w:tcBorders>
              <w:top w:val="single" w:sz="8" w:space="0" w:color="FFFFFF"/>
              <w:bottom w:val="single" w:sz="8" w:space="0" w:color="FFFFFF"/>
            </w:tcBorders>
            <w:shd w:val="clear" w:color="auto" w:fill="FAF9F9"/>
          </w:tcPr>
          <w:p>
            <w:pPr>
              <w:pStyle w:val="TableParagraph"/>
              <w:spacing w:before="35"/>
              <w:ind w:right="112"/>
              <w:jc w:val="right"/>
              <w:rPr>
                <w:sz w:val="18"/>
              </w:rPr>
            </w:pPr>
            <w:r>
              <w:rPr>
                <w:w w:val="90"/>
                <w:sz w:val="18"/>
              </w:rPr>
              <w:t>(1,076)</w:t>
            </w:r>
          </w:p>
        </w:tc>
        <w:tc>
          <w:tcPr>
            <w:tcW w:w="1275" w:type="dxa"/>
            <w:shd w:val="clear" w:color="auto" w:fill="E1E4BB"/>
          </w:tcPr>
          <w:p>
            <w:pPr>
              <w:pStyle w:val="TableParagraph"/>
              <w:spacing w:before="35"/>
              <w:ind w:right="111"/>
              <w:jc w:val="right"/>
              <w:rPr>
                <w:sz w:val="18"/>
              </w:rPr>
            </w:pPr>
            <w:r>
              <w:rPr>
                <w:sz w:val="18"/>
              </w:rPr>
              <w:t>6,567</w:t>
            </w:r>
          </w:p>
        </w:tc>
        <w:tc>
          <w:tcPr>
            <w:tcW w:w="1424" w:type="dxa"/>
            <w:shd w:val="clear" w:color="auto" w:fill="FAF9F9"/>
          </w:tcPr>
          <w:p>
            <w:pPr>
              <w:pStyle w:val="TableParagraph"/>
              <w:spacing w:before="35"/>
              <w:ind w:right="259"/>
              <w:jc w:val="right"/>
              <w:rPr>
                <w:sz w:val="18"/>
              </w:rPr>
            </w:pPr>
            <w:r>
              <w:rPr>
                <w:w w:val="95"/>
                <w:sz w:val="18"/>
              </w:rPr>
              <w:t>7,354</w:t>
            </w:r>
          </w:p>
        </w:tc>
        <w:tc>
          <w:tcPr>
            <w:tcW w:w="1126" w:type="dxa"/>
            <w:shd w:val="clear" w:color="auto" w:fill="FAF9F9"/>
          </w:tcPr>
          <w:p>
            <w:pPr>
              <w:pStyle w:val="TableParagraph"/>
              <w:spacing w:before="35"/>
              <w:ind w:right="110"/>
              <w:jc w:val="right"/>
              <w:rPr>
                <w:sz w:val="18"/>
              </w:rPr>
            </w:pPr>
            <w:r>
              <w:rPr>
                <w:w w:val="90"/>
                <w:sz w:val="18"/>
              </w:rPr>
              <w:t>(787)</w:t>
            </w:r>
          </w:p>
        </w:tc>
      </w:tr>
      <w:tr>
        <w:trPr>
          <w:trHeight w:val="494" w:hRule="atLeast"/>
        </w:trPr>
        <w:tc>
          <w:tcPr>
            <w:tcW w:w="7544" w:type="dxa"/>
            <w:shd w:val="clear" w:color="auto" w:fill="F4F4F4"/>
          </w:tcPr>
          <w:p>
            <w:pPr>
              <w:pStyle w:val="TableParagraph"/>
              <w:spacing w:line="249" w:lineRule="auto" w:before="35"/>
              <w:ind w:left="112" w:right="201"/>
              <w:rPr>
                <w:sz w:val="18"/>
              </w:rPr>
            </w:pPr>
            <w:r>
              <w:rPr>
                <w:sz w:val="18"/>
              </w:rPr>
              <w:t>Leads</w:t>
            </w:r>
            <w:r>
              <w:rPr>
                <w:spacing w:val="-31"/>
                <w:sz w:val="18"/>
              </w:rPr>
              <w:t> </w:t>
            </w:r>
            <w:r>
              <w:rPr>
                <w:sz w:val="18"/>
              </w:rPr>
              <w:t>the</w:t>
            </w:r>
            <w:r>
              <w:rPr>
                <w:spacing w:val="-30"/>
                <w:sz w:val="18"/>
              </w:rPr>
              <w:t> </w:t>
            </w:r>
            <w:r>
              <w:rPr>
                <w:sz w:val="18"/>
              </w:rPr>
              <w:t>planning,</w:t>
            </w:r>
            <w:r>
              <w:rPr>
                <w:spacing w:val="-31"/>
                <w:sz w:val="18"/>
              </w:rPr>
              <w:t> </w:t>
            </w:r>
            <w:r>
              <w:rPr>
                <w:sz w:val="18"/>
              </w:rPr>
              <w:t>delivery,</w:t>
            </w:r>
            <w:r>
              <w:rPr>
                <w:spacing w:val="-30"/>
                <w:sz w:val="18"/>
              </w:rPr>
              <w:t> </w:t>
            </w:r>
            <w:r>
              <w:rPr>
                <w:sz w:val="18"/>
              </w:rPr>
              <w:t>management</w:t>
            </w:r>
            <w:r>
              <w:rPr>
                <w:spacing w:val="-30"/>
                <w:sz w:val="18"/>
              </w:rPr>
              <w:t> </w:t>
            </w:r>
            <w:r>
              <w:rPr>
                <w:sz w:val="18"/>
              </w:rPr>
              <w:t>and</w:t>
            </w:r>
            <w:r>
              <w:rPr>
                <w:spacing w:val="-31"/>
                <w:sz w:val="18"/>
              </w:rPr>
              <w:t> </w:t>
            </w:r>
            <w:r>
              <w:rPr>
                <w:sz w:val="18"/>
              </w:rPr>
              <w:t>maintenance</w:t>
            </w:r>
            <w:r>
              <w:rPr>
                <w:spacing w:val="-30"/>
                <w:sz w:val="18"/>
              </w:rPr>
              <w:t> </w:t>
            </w:r>
            <w:r>
              <w:rPr>
                <w:sz w:val="18"/>
              </w:rPr>
              <w:t>of</w:t>
            </w:r>
            <w:r>
              <w:rPr>
                <w:spacing w:val="-31"/>
                <w:sz w:val="18"/>
              </w:rPr>
              <w:t> </w:t>
            </w:r>
            <w:r>
              <w:rPr>
                <w:sz w:val="18"/>
              </w:rPr>
              <w:t>government</w:t>
            </w:r>
            <w:r>
              <w:rPr>
                <w:spacing w:val="-30"/>
                <w:sz w:val="18"/>
              </w:rPr>
              <w:t> </w:t>
            </w:r>
            <w:r>
              <w:rPr>
                <w:sz w:val="18"/>
              </w:rPr>
              <w:t>buildings,</w:t>
            </w:r>
            <w:r>
              <w:rPr>
                <w:spacing w:val="-30"/>
                <w:sz w:val="18"/>
              </w:rPr>
              <w:t> </w:t>
            </w:r>
            <w:r>
              <w:rPr>
                <w:sz w:val="18"/>
              </w:rPr>
              <w:t>projects and office</w:t>
            </w:r>
            <w:r>
              <w:rPr>
                <w:spacing w:val="-9"/>
                <w:sz w:val="18"/>
              </w:rPr>
              <w:t> </w:t>
            </w:r>
            <w:r>
              <w:rPr>
                <w:sz w:val="18"/>
              </w:rPr>
              <w:t>accommodation</w:t>
            </w:r>
          </w:p>
        </w:tc>
        <w:tc>
          <w:tcPr>
            <w:tcW w:w="1329" w:type="dxa"/>
            <w:shd w:val="clear" w:color="auto" w:fill="F4F4F4"/>
          </w:tcPr>
          <w:p>
            <w:pPr>
              <w:pStyle w:val="TableParagraph"/>
              <w:spacing w:before="35"/>
              <w:ind w:right="113"/>
              <w:jc w:val="right"/>
              <w:rPr>
                <w:sz w:val="18"/>
              </w:rPr>
            </w:pPr>
            <w:r>
              <w:rPr>
                <w:sz w:val="18"/>
              </w:rPr>
              <w:t>1,095,634</w:t>
            </w:r>
          </w:p>
        </w:tc>
        <w:tc>
          <w:tcPr>
            <w:tcW w:w="1332" w:type="dxa"/>
            <w:shd w:val="clear" w:color="auto" w:fill="DFE1B8"/>
          </w:tcPr>
          <w:p>
            <w:pPr>
              <w:pStyle w:val="TableParagraph"/>
              <w:spacing w:before="35"/>
              <w:ind w:right="112"/>
              <w:jc w:val="right"/>
              <w:rPr>
                <w:sz w:val="18"/>
              </w:rPr>
            </w:pPr>
            <w:r>
              <w:rPr>
                <w:sz w:val="18"/>
              </w:rPr>
              <w:t>1,051,058</w:t>
            </w:r>
          </w:p>
        </w:tc>
        <w:tc>
          <w:tcPr>
            <w:tcW w:w="1275" w:type="dxa"/>
            <w:tcBorders>
              <w:top w:val="single" w:sz="8" w:space="0" w:color="FFFFFF"/>
              <w:bottom w:val="single" w:sz="8" w:space="0" w:color="FFFFFF"/>
            </w:tcBorders>
            <w:shd w:val="clear" w:color="auto" w:fill="F4F4F4"/>
          </w:tcPr>
          <w:p>
            <w:pPr>
              <w:pStyle w:val="TableParagraph"/>
              <w:spacing w:before="35"/>
              <w:ind w:right="112"/>
              <w:jc w:val="right"/>
              <w:rPr>
                <w:sz w:val="18"/>
              </w:rPr>
            </w:pPr>
            <w:r>
              <w:rPr>
                <w:w w:val="95"/>
                <w:sz w:val="18"/>
              </w:rPr>
              <w:t>(44,576)</w:t>
            </w:r>
          </w:p>
        </w:tc>
        <w:tc>
          <w:tcPr>
            <w:tcW w:w="1275" w:type="dxa"/>
            <w:shd w:val="clear" w:color="auto" w:fill="DFE1B8"/>
          </w:tcPr>
          <w:p>
            <w:pPr>
              <w:pStyle w:val="TableParagraph"/>
              <w:spacing w:before="35"/>
              <w:ind w:right="111"/>
              <w:jc w:val="right"/>
              <w:rPr>
                <w:sz w:val="18"/>
              </w:rPr>
            </w:pPr>
            <w:r>
              <w:rPr>
                <w:sz w:val="18"/>
              </w:rPr>
              <w:t>1,051,058</w:t>
            </w:r>
          </w:p>
        </w:tc>
        <w:tc>
          <w:tcPr>
            <w:tcW w:w="1424" w:type="dxa"/>
            <w:shd w:val="clear" w:color="auto" w:fill="F4F4F4"/>
          </w:tcPr>
          <w:p>
            <w:pPr>
              <w:pStyle w:val="TableParagraph"/>
              <w:spacing w:before="35"/>
              <w:ind w:right="259"/>
              <w:jc w:val="right"/>
              <w:rPr>
                <w:sz w:val="18"/>
              </w:rPr>
            </w:pPr>
            <w:r>
              <w:rPr>
                <w:sz w:val="18"/>
              </w:rPr>
              <w:t>1,084,641</w:t>
            </w:r>
          </w:p>
        </w:tc>
        <w:tc>
          <w:tcPr>
            <w:tcW w:w="1126" w:type="dxa"/>
            <w:shd w:val="clear" w:color="auto" w:fill="F4F4F4"/>
          </w:tcPr>
          <w:p>
            <w:pPr>
              <w:pStyle w:val="TableParagraph"/>
              <w:spacing w:before="35"/>
              <w:ind w:right="110"/>
              <w:jc w:val="right"/>
              <w:rPr>
                <w:sz w:val="18"/>
              </w:rPr>
            </w:pPr>
            <w:r>
              <w:rPr>
                <w:w w:val="90"/>
                <w:sz w:val="18"/>
              </w:rPr>
              <w:t>(33,583)</w:t>
            </w:r>
          </w:p>
        </w:tc>
      </w:tr>
      <w:tr>
        <w:trPr>
          <w:trHeight w:val="278" w:hRule="atLeast"/>
        </w:trPr>
        <w:tc>
          <w:tcPr>
            <w:tcW w:w="7544" w:type="dxa"/>
            <w:shd w:val="clear" w:color="auto" w:fill="FAF9F9"/>
          </w:tcPr>
          <w:p>
            <w:pPr>
              <w:pStyle w:val="TableParagraph"/>
              <w:spacing w:before="35"/>
              <w:ind w:left="112"/>
              <w:rPr>
                <w:sz w:val="10"/>
              </w:rPr>
            </w:pPr>
            <w:r>
              <w:rPr>
                <w:sz w:val="18"/>
              </w:rPr>
              <w:t>Leads the planning and delivery of new government buildings</w:t>
            </w:r>
            <w:r>
              <w:rPr>
                <w:position w:val="6"/>
                <w:sz w:val="10"/>
              </w:rPr>
              <w:t>(a)</w:t>
            </w:r>
          </w:p>
        </w:tc>
        <w:tc>
          <w:tcPr>
            <w:tcW w:w="1329" w:type="dxa"/>
            <w:shd w:val="clear" w:color="auto" w:fill="FAF9F9"/>
          </w:tcPr>
          <w:p>
            <w:pPr>
              <w:pStyle w:val="TableParagraph"/>
              <w:spacing w:before="34"/>
              <w:ind w:right="111"/>
              <w:jc w:val="right"/>
              <w:rPr>
                <w:sz w:val="18"/>
              </w:rPr>
            </w:pPr>
            <w:r>
              <w:rPr>
                <w:sz w:val="18"/>
              </w:rPr>
              <w:t>185,695</w:t>
            </w:r>
          </w:p>
        </w:tc>
        <w:tc>
          <w:tcPr>
            <w:tcW w:w="1332" w:type="dxa"/>
            <w:shd w:val="clear" w:color="auto" w:fill="E1E4BB"/>
          </w:tcPr>
          <w:p>
            <w:pPr>
              <w:pStyle w:val="TableParagraph"/>
              <w:spacing w:before="34"/>
              <w:ind w:right="111"/>
              <w:jc w:val="right"/>
              <w:rPr>
                <w:sz w:val="18"/>
              </w:rPr>
            </w:pPr>
            <w:r>
              <w:rPr>
                <w:sz w:val="18"/>
              </w:rPr>
              <w:t>181,840</w:t>
            </w:r>
          </w:p>
        </w:tc>
        <w:tc>
          <w:tcPr>
            <w:tcW w:w="1275" w:type="dxa"/>
            <w:tcBorders>
              <w:top w:val="single" w:sz="8" w:space="0" w:color="FFFFFF"/>
              <w:bottom w:val="single" w:sz="8" w:space="0" w:color="FFFFFF"/>
            </w:tcBorders>
            <w:shd w:val="clear" w:color="auto" w:fill="FAF9F9"/>
          </w:tcPr>
          <w:p>
            <w:pPr>
              <w:pStyle w:val="TableParagraph"/>
              <w:spacing w:before="34"/>
              <w:ind w:right="113"/>
              <w:jc w:val="right"/>
              <w:rPr>
                <w:sz w:val="18"/>
              </w:rPr>
            </w:pPr>
            <w:r>
              <w:rPr>
                <w:w w:val="90"/>
                <w:sz w:val="18"/>
              </w:rPr>
              <w:t>(3,855)</w:t>
            </w:r>
          </w:p>
        </w:tc>
        <w:tc>
          <w:tcPr>
            <w:tcW w:w="1275" w:type="dxa"/>
            <w:shd w:val="clear" w:color="auto" w:fill="E1E4BB"/>
          </w:tcPr>
          <w:p>
            <w:pPr>
              <w:pStyle w:val="TableParagraph"/>
              <w:spacing w:before="34"/>
              <w:ind w:right="110"/>
              <w:jc w:val="right"/>
              <w:rPr>
                <w:sz w:val="18"/>
              </w:rPr>
            </w:pPr>
            <w:r>
              <w:rPr>
                <w:sz w:val="18"/>
              </w:rPr>
              <w:t>181,840</w:t>
            </w:r>
          </w:p>
        </w:tc>
        <w:tc>
          <w:tcPr>
            <w:tcW w:w="1424" w:type="dxa"/>
            <w:shd w:val="clear" w:color="auto" w:fill="FAF9F9"/>
          </w:tcPr>
          <w:p>
            <w:pPr>
              <w:pStyle w:val="TableParagraph"/>
              <w:spacing w:before="34"/>
              <w:ind w:right="258"/>
              <w:jc w:val="right"/>
              <w:rPr>
                <w:sz w:val="18"/>
              </w:rPr>
            </w:pPr>
            <w:r>
              <w:rPr>
                <w:w w:val="111"/>
                <w:sz w:val="18"/>
              </w:rPr>
              <w:t>-</w:t>
            </w:r>
          </w:p>
        </w:tc>
        <w:tc>
          <w:tcPr>
            <w:tcW w:w="1126" w:type="dxa"/>
            <w:shd w:val="clear" w:color="auto" w:fill="FAF9F9"/>
          </w:tcPr>
          <w:p>
            <w:pPr>
              <w:pStyle w:val="TableParagraph"/>
              <w:spacing w:before="34"/>
              <w:ind w:right="109"/>
              <w:jc w:val="right"/>
              <w:rPr>
                <w:sz w:val="18"/>
              </w:rPr>
            </w:pPr>
            <w:r>
              <w:rPr>
                <w:sz w:val="18"/>
              </w:rPr>
              <w:t>181,840</w:t>
            </w:r>
          </w:p>
        </w:tc>
      </w:tr>
      <w:tr>
        <w:trPr>
          <w:trHeight w:val="499" w:hRule="atLeast"/>
        </w:trPr>
        <w:tc>
          <w:tcPr>
            <w:tcW w:w="7544" w:type="dxa"/>
            <w:tcBorders>
              <w:right w:val="single" w:sz="8" w:space="0" w:color="FFFFFF"/>
            </w:tcBorders>
            <w:shd w:val="clear" w:color="auto" w:fill="F4F4F4"/>
          </w:tcPr>
          <w:p>
            <w:pPr>
              <w:pStyle w:val="TableParagraph"/>
              <w:spacing w:line="249" w:lineRule="auto" w:before="34"/>
              <w:ind w:left="113" w:right="666"/>
              <w:rPr>
                <w:sz w:val="10"/>
              </w:rPr>
            </w:pPr>
            <w:r>
              <w:rPr>
                <w:sz w:val="18"/>
              </w:rPr>
              <w:t>Development</w:t>
            </w:r>
            <w:r>
              <w:rPr>
                <w:spacing w:val="-26"/>
                <w:sz w:val="18"/>
              </w:rPr>
              <w:t> </w:t>
            </w:r>
            <w:r>
              <w:rPr>
                <w:sz w:val="18"/>
              </w:rPr>
              <w:t>and</w:t>
            </w:r>
            <w:r>
              <w:rPr>
                <w:spacing w:val="-26"/>
                <w:sz w:val="18"/>
              </w:rPr>
              <w:t> </w:t>
            </w:r>
            <w:r>
              <w:rPr>
                <w:sz w:val="18"/>
              </w:rPr>
              <w:t>implementation</w:t>
            </w:r>
            <w:r>
              <w:rPr>
                <w:spacing w:val="-26"/>
                <w:sz w:val="18"/>
              </w:rPr>
              <w:t> </w:t>
            </w:r>
            <w:r>
              <w:rPr>
                <w:sz w:val="18"/>
              </w:rPr>
              <w:t>of</w:t>
            </w:r>
            <w:r>
              <w:rPr>
                <w:spacing w:val="-26"/>
                <w:sz w:val="18"/>
              </w:rPr>
              <w:t> </w:t>
            </w:r>
            <w:r>
              <w:rPr>
                <w:sz w:val="18"/>
              </w:rPr>
              <w:t>energy</w:t>
            </w:r>
            <w:r>
              <w:rPr>
                <w:spacing w:val="-26"/>
                <w:sz w:val="18"/>
              </w:rPr>
              <w:t> </w:t>
            </w:r>
            <w:r>
              <w:rPr>
                <w:sz w:val="18"/>
              </w:rPr>
              <w:t>policy</w:t>
            </w:r>
            <w:r>
              <w:rPr>
                <w:spacing w:val="-26"/>
                <w:sz w:val="18"/>
              </w:rPr>
              <w:t> </w:t>
            </w:r>
            <w:r>
              <w:rPr>
                <w:sz w:val="18"/>
              </w:rPr>
              <w:t>and</w:t>
            </w:r>
            <w:r>
              <w:rPr>
                <w:spacing w:val="-25"/>
                <w:sz w:val="18"/>
              </w:rPr>
              <w:t> </w:t>
            </w:r>
            <w:r>
              <w:rPr>
                <w:sz w:val="18"/>
              </w:rPr>
              <w:t>economic</w:t>
            </w:r>
            <w:r>
              <w:rPr>
                <w:spacing w:val="-26"/>
                <w:sz w:val="18"/>
              </w:rPr>
              <w:t> </w:t>
            </w:r>
            <w:r>
              <w:rPr>
                <w:sz w:val="18"/>
              </w:rPr>
              <w:t>reform,</w:t>
            </w:r>
            <w:r>
              <w:rPr>
                <w:spacing w:val="-26"/>
                <w:sz w:val="18"/>
              </w:rPr>
              <w:t> </w:t>
            </w:r>
            <w:r>
              <w:rPr>
                <w:sz w:val="18"/>
              </w:rPr>
              <w:t>assessment</w:t>
            </w:r>
            <w:r>
              <w:rPr>
                <w:spacing w:val="-26"/>
                <w:sz w:val="18"/>
              </w:rPr>
              <w:t> </w:t>
            </w:r>
            <w:r>
              <w:rPr>
                <w:sz w:val="18"/>
              </w:rPr>
              <w:t>of proposed</w:t>
            </w:r>
            <w:r>
              <w:rPr>
                <w:spacing w:val="-8"/>
                <w:sz w:val="18"/>
              </w:rPr>
              <w:t> </w:t>
            </w:r>
            <w:r>
              <w:rPr>
                <w:sz w:val="18"/>
              </w:rPr>
              <w:t>policy</w:t>
            </w:r>
            <w:r>
              <w:rPr>
                <w:spacing w:val="-7"/>
                <w:sz w:val="18"/>
              </w:rPr>
              <w:t> </w:t>
            </w:r>
            <w:r>
              <w:rPr>
                <w:sz w:val="18"/>
              </w:rPr>
              <w:t>changes</w:t>
            </w:r>
            <w:r>
              <w:rPr>
                <w:spacing w:val="-7"/>
                <w:sz w:val="18"/>
              </w:rPr>
              <w:t> </w:t>
            </w:r>
            <w:r>
              <w:rPr>
                <w:sz w:val="18"/>
              </w:rPr>
              <w:t>and</w:t>
            </w:r>
            <w:r>
              <w:rPr>
                <w:spacing w:val="-8"/>
                <w:sz w:val="18"/>
              </w:rPr>
              <w:t> </w:t>
            </w:r>
            <w:r>
              <w:rPr>
                <w:sz w:val="18"/>
              </w:rPr>
              <w:t>the</w:t>
            </w:r>
            <w:r>
              <w:rPr>
                <w:spacing w:val="-7"/>
                <w:sz w:val="18"/>
              </w:rPr>
              <w:t> </w:t>
            </w:r>
            <w:r>
              <w:rPr>
                <w:sz w:val="18"/>
              </w:rPr>
              <w:t>impact</w:t>
            </w:r>
            <w:r>
              <w:rPr>
                <w:spacing w:val="-7"/>
                <w:sz w:val="18"/>
              </w:rPr>
              <w:t> </w:t>
            </w:r>
            <w:r>
              <w:rPr>
                <w:sz w:val="18"/>
              </w:rPr>
              <w:t>on</w:t>
            </w:r>
            <w:r>
              <w:rPr>
                <w:spacing w:val="-7"/>
                <w:sz w:val="18"/>
              </w:rPr>
              <w:t> </w:t>
            </w:r>
            <w:r>
              <w:rPr>
                <w:sz w:val="18"/>
              </w:rPr>
              <w:t>regulatory</w:t>
            </w:r>
            <w:r>
              <w:rPr>
                <w:spacing w:val="-8"/>
                <w:sz w:val="18"/>
              </w:rPr>
              <w:t> </w:t>
            </w:r>
            <w:r>
              <w:rPr>
                <w:sz w:val="18"/>
              </w:rPr>
              <w:t>functions</w:t>
            </w:r>
            <w:r>
              <w:rPr>
                <w:position w:val="6"/>
                <w:sz w:val="10"/>
              </w:rPr>
              <w:t>(b)</w:t>
            </w:r>
          </w:p>
        </w:tc>
        <w:tc>
          <w:tcPr>
            <w:tcW w:w="1329" w:type="dxa"/>
            <w:tcBorders>
              <w:left w:val="single" w:sz="8" w:space="0" w:color="FFFFFF"/>
              <w:bottom w:val="single" w:sz="4" w:space="0" w:color="000000"/>
            </w:tcBorders>
            <w:shd w:val="clear" w:color="auto" w:fill="F4F4F4"/>
          </w:tcPr>
          <w:p>
            <w:pPr>
              <w:pStyle w:val="TableParagraph"/>
              <w:spacing w:before="34"/>
              <w:ind w:right="111"/>
              <w:jc w:val="right"/>
              <w:rPr>
                <w:sz w:val="18"/>
              </w:rPr>
            </w:pPr>
            <w:r>
              <w:rPr>
                <w:w w:val="111"/>
                <w:sz w:val="18"/>
              </w:rPr>
              <w:t>-</w:t>
            </w:r>
          </w:p>
        </w:tc>
        <w:tc>
          <w:tcPr>
            <w:tcW w:w="1332" w:type="dxa"/>
            <w:tcBorders>
              <w:bottom w:val="single" w:sz="4" w:space="0" w:color="000000"/>
            </w:tcBorders>
            <w:shd w:val="clear" w:color="auto" w:fill="DFE1B8"/>
          </w:tcPr>
          <w:p>
            <w:pPr>
              <w:pStyle w:val="TableParagraph"/>
              <w:spacing w:before="34"/>
              <w:ind w:right="111"/>
              <w:jc w:val="right"/>
              <w:rPr>
                <w:sz w:val="18"/>
              </w:rPr>
            </w:pPr>
            <w:r>
              <w:rPr>
                <w:w w:val="111"/>
                <w:sz w:val="18"/>
              </w:rPr>
              <w:t>-</w:t>
            </w:r>
          </w:p>
        </w:tc>
        <w:tc>
          <w:tcPr>
            <w:tcW w:w="1275" w:type="dxa"/>
            <w:tcBorders>
              <w:top w:val="single" w:sz="8" w:space="0" w:color="FFFFFF"/>
              <w:bottom w:val="single" w:sz="4" w:space="0" w:color="000000"/>
            </w:tcBorders>
            <w:shd w:val="clear" w:color="auto" w:fill="F4F4F4"/>
          </w:tcPr>
          <w:p>
            <w:pPr>
              <w:pStyle w:val="TableParagraph"/>
              <w:spacing w:before="34"/>
              <w:ind w:right="110"/>
              <w:jc w:val="right"/>
              <w:rPr>
                <w:sz w:val="18"/>
              </w:rPr>
            </w:pPr>
            <w:r>
              <w:rPr>
                <w:w w:val="111"/>
                <w:sz w:val="18"/>
              </w:rPr>
              <w:t>-</w:t>
            </w:r>
          </w:p>
        </w:tc>
        <w:tc>
          <w:tcPr>
            <w:tcW w:w="1275" w:type="dxa"/>
            <w:tcBorders>
              <w:bottom w:val="single" w:sz="4" w:space="0" w:color="000000"/>
            </w:tcBorders>
            <w:shd w:val="clear" w:color="auto" w:fill="DFE1B8"/>
          </w:tcPr>
          <w:p>
            <w:pPr>
              <w:pStyle w:val="TableParagraph"/>
              <w:spacing w:before="34"/>
              <w:ind w:right="110"/>
              <w:jc w:val="right"/>
              <w:rPr>
                <w:sz w:val="18"/>
              </w:rPr>
            </w:pPr>
            <w:r>
              <w:rPr>
                <w:w w:val="111"/>
                <w:sz w:val="18"/>
              </w:rPr>
              <w:t>-</w:t>
            </w:r>
          </w:p>
        </w:tc>
        <w:tc>
          <w:tcPr>
            <w:tcW w:w="1424" w:type="dxa"/>
            <w:tcBorders>
              <w:bottom w:val="single" w:sz="4" w:space="0" w:color="000000"/>
            </w:tcBorders>
            <w:shd w:val="clear" w:color="auto" w:fill="F4F4F4"/>
          </w:tcPr>
          <w:p>
            <w:pPr>
              <w:pStyle w:val="TableParagraph"/>
              <w:spacing w:before="34"/>
              <w:ind w:right="258"/>
              <w:jc w:val="right"/>
              <w:rPr>
                <w:sz w:val="18"/>
              </w:rPr>
            </w:pPr>
            <w:r>
              <w:rPr>
                <w:sz w:val="18"/>
              </w:rPr>
              <w:t>16,004</w:t>
            </w:r>
          </w:p>
        </w:tc>
        <w:tc>
          <w:tcPr>
            <w:tcW w:w="1126" w:type="dxa"/>
            <w:tcBorders>
              <w:bottom w:val="single" w:sz="4" w:space="0" w:color="000000"/>
            </w:tcBorders>
            <w:shd w:val="clear" w:color="auto" w:fill="F4F4F4"/>
          </w:tcPr>
          <w:p>
            <w:pPr>
              <w:pStyle w:val="TableParagraph"/>
              <w:spacing w:before="34"/>
              <w:ind w:right="109"/>
              <w:jc w:val="right"/>
              <w:rPr>
                <w:sz w:val="18"/>
              </w:rPr>
            </w:pPr>
            <w:r>
              <w:rPr>
                <w:w w:val="95"/>
                <w:sz w:val="18"/>
              </w:rPr>
              <w:t>(16,004)</w:t>
            </w:r>
          </w:p>
        </w:tc>
      </w:tr>
      <w:tr>
        <w:trPr>
          <w:trHeight w:val="283" w:hRule="atLeast"/>
        </w:trPr>
        <w:tc>
          <w:tcPr>
            <w:tcW w:w="7544" w:type="dxa"/>
            <w:tcBorders>
              <w:bottom w:val="single" w:sz="8" w:space="0" w:color="FFFFFF"/>
              <w:right w:val="single" w:sz="8" w:space="0" w:color="FFFFFF"/>
            </w:tcBorders>
            <w:shd w:val="clear" w:color="auto" w:fill="FAF9F9"/>
          </w:tcPr>
          <w:p>
            <w:pPr>
              <w:pStyle w:val="TableParagraph"/>
              <w:spacing w:before="39"/>
              <w:ind w:left="113"/>
              <w:rPr>
                <w:sz w:val="18"/>
              </w:rPr>
            </w:pPr>
            <w:r>
              <w:rPr>
                <w:sz w:val="18"/>
              </w:rPr>
              <w:t>Total cost of services</w:t>
            </w:r>
          </w:p>
        </w:tc>
        <w:tc>
          <w:tcPr>
            <w:tcW w:w="1329" w:type="dxa"/>
            <w:tcBorders>
              <w:top w:val="single" w:sz="4" w:space="0" w:color="000000"/>
              <w:left w:val="single" w:sz="8" w:space="0" w:color="FFFFFF"/>
            </w:tcBorders>
            <w:shd w:val="clear" w:color="auto" w:fill="FAF9F9"/>
          </w:tcPr>
          <w:p>
            <w:pPr>
              <w:pStyle w:val="TableParagraph"/>
              <w:spacing w:before="39"/>
              <w:ind w:right="111"/>
              <w:jc w:val="right"/>
              <w:rPr>
                <w:sz w:val="18"/>
              </w:rPr>
            </w:pPr>
            <w:r>
              <w:rPr>
                <w:sz w:val="18"/>
              </w:rPr>
              <w:t>1,435,195</w:t>
            </w:r>
          </w:p>
        </w:tc>
        <w:tc>
          <w:tcPr>
            <w:tcW w:w="1332" w:type="dxa"/>
            <w:tcBorders>
              <w:top w:val="single" w:sz="4" w:space="0" w:color="000000"/>
            </w:tcBorders>
            <w:shd w:val="clear" w:color="auto" w:fill="E1E4BB"/>
          </w:tcPr>
          <w:p>
            <w:pPr>
              <w:pStyle w:val="TableParagraph"/>
              <w:spacing w:before="39"/>
              <w:ind w:right="111"/>
              <w:jc w:val="right"/>
              <w:rPr>
                <w:sz w:val="18"/>
              </w:rPr>
            </w:pPr>
            <w:r>
              <w:rPr>
                <w:sz w:val="18"/>
              </w:rPr>
              <w:t>1,377,832</w:t>
            </w:r>
          </w:p>
        </w:tc>
        <w:tc>
          <w:tcPr>
            <w:tcW w:w="1275" w:type="dxa"/>
            <w:tcBorders>
              <w:top w:val="single" w:sz="4" w:space="0" w:color="000000"/>
            </w:tcBorders>
            <w:shd w:val="clear" w:color="auto" w:fill="FAF9F9"/>
          </w:tcPr>
          <w:p>
            <w:pPr>
              <w:pStyle w:val="TableParagraph"/>
              <w:spacing w:before="39"/>
              <w:ind w:right="110"/>
              <w:jc w:val="right"/>
              <w:rPr>
                <w:sz w:val="18"/>
              </w:rPr>
            </w:pPr>
            <w:r>
              <w:rPr>
                <w:w w:val="95"/>
                <w:sz w:val="18"/>
              </w:rPr>
              <w:t>(57,363)</w:t>
            </w:r>
          </w:p>
        </w:tc>
        <w:tc>
          <w:tcPr>
            <w:tcW w:w="1275" w:type="dxa"/>
            <w:tcBorders>
              <w:top w:val="single" w:sz="4" w:space="0" w:color="000000"/>
            </w:tcBorders>
            <w:shd w:val="clear" w:color="auto" w:fill="E1E4BB"/>
          </w:tcPr>
          <w:p>
            <w:pPr>
              <w:pStyle w:val="TableParagraph"/>
              <w:spacing w:before="39"/>
              <w:ind w:right="110"/>
              <w:jc w:val="right"/>
              <w:rPr>
                <w:sz w:val="18"/>
              </w:rPr>
            </w:pPr>
            <w:r>
              <w:rPr>
                <w:sz w:val="18"/>
              </w:rPr>
              <w:t>1,377,832</w:t>
            </w:r>
          </w:p>
        </w:tc>
        <w:tc>
          <w:tcPr>
            <w:tcW w:w="1424" w:type="dxa"/>
            <w:tcBorders>
              <w:top w:val="single" w:sz="4" w:space="0" w:color="000000"/>
            </w:tcBorders>
            <w:shd w:val="clear" w:color="auto" w:fill="FAF9F9"/>
          </w:tcPr>
          <w:p>
            <w:pPr>
              <w:pStyle w:val="TableParagraph"/>
              <w:spacing w:before="39"/>
              <w:ind w:right="258"/>
              <w:jc w:val="right"/>
              <w:rPr>
                <w:sz w:val="18"/>
              </w:rPr>
            </w:pPr>
            <w:r>
              <w:rPr>
                <w:sz w:val="18"/>
              </w:rPr>
              <w:t>1,242,978</w:t>
            </w:r>
          </w:p>
        </w:tc>
        <w:tc>
          <w:tcPr>
            <w:tcW w:w="1126" w:type="dxa"/>
            <w:tcBorders>
              <w:top w:val="single" w:sz="4" w:space="0" w:color="000000"/>
            </w:tcBorders>
            <w:shd w:val="clear" w:color="auto" w:fill="FAF9F9"/>
          </w:tcPr>
          <w:p>
            <w:pPr>
              <w:pStyle w:val="TableParagraph"/>
              <w:spacing w:before="39"/>
              <w:ind w:right="109"/>
              <w:jc w:val="right"/>
              <w:rPr>
                <w:sz w:val="18"/>
              </w:rPr>
            </w:pPr>
            <w:r>
              <w:rPr>
                <w:sz w:val="18"/>
              </w:rPr>
              <w:t>134,854</w:t>
            </w:r>
          </w:p>
        </w:tc>
      </w:tr>
      <w:tr>
        <w:trPr>
          <w:trHeight w:val="283" w:hRule="atLeast"/>
        </w:trPr>
        <w:tc>
          <w:tcPr>
            <w:tcW w:w="7544" w:type="dxa"/>
            <w:tcBorders>
              <w:top w:val="single" w:sz="8" w:space="0" w:color="FFFFFF"/>
              <w:right w:val="single" w:sz="8" w:space="0" w:color="FFFFFF"/>
            </w:tcBorders>
            <w:shd w:val="clear" w:color="auto" w:fill="F4F4F4"/>
          </w:tcPr>
          <w:p>
            <w:pPr>
              <w:pStyle w:val="TableParagraph"/>
              <w:spacing w:before="34"/>
              <w:ind w:left="113"/>
              <w:rPr>
                <w:sz w:val="18"/>
              </w:rPr>
            </w:pPr>
            <w:r>
              <w:rPr>
                <w:i/>
                <w:sz w:val="18"/>
              </w:rPr>
              <w:t>Less </w:t>
            </w:r>
            <w:r>
              <w:rPr>
                <w:sz w:val="18"/>
              </w:rPr>
              <w:t>total income</w:t>
            </w:r>
          </w:p>
        </w:tc>
        <w:tc>
          <w:tcPr>
            <w:tcW w:w="1329" w:type="dxa"/>
            <w:tcBorders>
              <w:left w:val="single" w:sz="8" w:space="0" w:color="FFFFFF"/>
              <w:bottom w:val="single" w:sz="4" w:space="0" w:color="000000"/>
            </w:tcBorders>
            <w:shd w:val="clear" w:color="auto" w:fill="F4F4F4"/>
          </w:tcPr>
          <w:p>
            <w:pPr>
              <w:pStyle w:val="TableParagraph"/>
              <w:spacing w:before="34"/>
              <w:ind w:right="111"/>
              <w:jc w:val="right"/>
              <w:rPr>
                <w:sz w:val="18"/>
              </w:rPr>
            </w:pPr>
            <w:r>
              <w:rPr>
                <w:w w:val="95"/>
                <w:sz w:val="18"/>
              </w:rPr>
              <w:t>(1,283,873)</w:t>
            </w:r>
          </w:p>
        </w:tc>
        <w:tc>
          <w:tcPr>
            <w:tcW w:w="1332" w:type="dxa"/>
            <w:tcBorders>
              <w:bottom w:val="single" w:sz="4" w:space="0" w:color="000000"/>
            </w:tcBorders>
            <w:shd w:val="clear" w:color="auto" w:fill="DFE1B8"/>
          </w:tcPr>
          <w:p>
            <w:pPr>
              <w:pStyle w:val="TableParagraph"/>
              <w:spacing w:before="34"/>
              <w:ind w:right="111"/>
              <w:jc w:val="right"/>
              <w:rPr>
                <w:sz w:val="18"/>
              </w:rPr>
            </w:pPr>
            <w:r>
              <w:rPr>
                <w:w w:val="95"/>
                <w:sz w:val="18"/>
              </w:rPr>
              <w:t>(1,193,110)</w:t>
            </w:r>
          </w:p>
        </w:tc>
        <w:tc>
          <w:tcPr>
            <w:tcW w:w="1275" w:type="dxa"/>
            <w:tcBorders>
              <w:bottom w:val="single" w:sz="4" w:space="0" w:color="000000"/>
            </w:tcBorders>
            <w:shd w:val="clear" w:color="auto" w:fill="F4F4F4"/>
          </w:tcPr>
          <w:p>
            <w:pPr>
              <w:pStyle w:val="TableParagraph"/>
              <w:spacing w:before="34"/>
              <w:ind w:right="111"/>
              <w:jc w:val="right"/>
              <w:rPr>
                <w:sz w:val="18"/>
              </w:rPr>
            </w:pPr>
            <w:r>
              <w:rPr>
                <w:sz w:val="18"/>
              </w:rPr>
              <w:t>90,763</w:t>
            </w:r>
          </w:p>
        </w:tc>
        <w:tc>
          <w:tcPr>
            <w:tcW w:w="1275" w:type="dxa"/>
            <w:tcBorders>
              <w:bottom w:val="single" w:sz="4" w:space="0" w:color="000000"/>
            </w:tcBorders>
            <w:shd w:val="clear" w:color="auto" w:fill="DFE1B8"/>
          </w:tcPr>
          <w:p>
            <w:pPr>
              <w:pStyle w:val="TableParagraph"/>
              <w:spacing w:before="34"/>
              <w:ind w:right="110"/>
              <w:jc w:val="right"/>
              <w:rPr>
                <w:sz w:val="18"/>
              </w:rPr>
            </w:pPr>
            <w:r>
              <w:rPr>
                <w:w w:val="95"/>
                <w:sz w:val="18"/>
              </w:rPr>
              <w:t>(1,193,110)</w:t>
            </w:r>
          </w:p>
        </w:tc>
        <w:tc>
          <w:tcPr>
            <w:tcW w:w="1424" w:type="dxa"/>
            <w:tcBorders>
              <w:bottom w:val="single" w:sz="4" w:space="0" w:color="000000"/>
            </w:tcBorders>
            <w:shd w:val="clear" w:color="auto" w:fill="F4F4F4"/>
          </w:tcPr>
          <w:p>
            <w:pPr>
              <w:pStyle w:val="TableParagraph"/>
              <w:spacing w:before="34"/>
              <w:ind w:right="258"/>
              <w:jc w:val="right"/>
              <w:rPr>
                <w:sz w:val="18"/>
              </w:rPr>
            </w:pPr>
            <w:r>
              <w:rPr>
                <w:w w:val="95"/>
                <w:sz w:val="18"/>
              </w:rPr>
              <w:t>(1,073,241)</w:t>
            </w:r>
          </w:p>
        </w:tc>
        <w:tc>
          <w:tcPr>
            <w:tcW w:w="1126" w:type="dxa"/>
            <w:tcBorders>
              <w:bottom w:val="single" w:sz="4" w:space="0" w:color="000000"/>
            </w:tcBorders>
            <w:shd w:val="clear" w:color="auto" w:fill="F4F4F4"/>
          </w:tcPr>
          <w:p>
            <w:pPr>
              <w:pStyle w:val="TableParagraph"/>
              <w:spacing w:before="34"/>
              <w:ind w:right="109"/>
              <w:jc w:val="right"/>
              <w:rPr>
                <w:sz w:val="18"/>
              </w:rPr>
            </w:pPr>
            <w:r>
              <w:rPr>
                <w:w w:val="95"/>
                <w:sz w:val="18"/>
              </w:rPr>
              <w:t>(119,869)</w:t>
            </w:r>
          </w:p>
        </w:tc>
      </w:tr>
      <w:tr>
        <w:trPr>
          <w:trHeight w:val="283" w:hRule="atLeast"/>
        </w:trPr>
        <w:tc>
          <w:tcPr>
            <w:tcW w:w="7544" w:type="dxa"/>
            <w:tcBorders>
              <w:bottom w:val="single" w:sz="8" w:space="0" w:color="FFFFFF"/>
              <w:right w:val="single" w:sz="8" w:space="0" w:color="FFFFFF"/>
            </w:tcBorders>
            <w:shd w:val="clear" w:color="auto" w:fill="FAF9F9"/>
          </w:tcPr>
          <w:p>
            <w:pPr>
              <w:pStyle w:val="TableParagraph"/>
              <w:spacing w:before="39"/>
              <w:ind w:left="113"/>
              <w:rPr>
                <w:sz w:val="18"/>
              </w:rPr>
            </w:pPr>
            <w:r>
              <w:rPr>
                <w:sz w:val="18"/>
              </w:rPr>
              <w:t>Net cost of services</w:t>
            </w:r>
          </w:p>
        </w:tc>
        <w:tc>
          <w:tcPr>
            <w:tcW w:w="1329" w:type="dxa"/>
            <w:tcBorders>
              <w:top w:val="single" w:sz="4" w:space="0" w:color="000000"/>
              <w:left w:val="single" w:sz="8" w:space="0" w:color="FFFFFF"/>
            </w:tcBorders>
            <w:shd w:val="clear" w:color="auto" w:fill="FAF9F9"/>
          </w:tcPr>
          <w:p>
            <w:pPr>
              <w:pStyle w:val="TableParagraph"/>
              <w:spacing w:before="39"/>
              <w:ind w:right="111"/>
              <w:jc w:val="right"/>
              <w:rPr>
                <w:sz w:val="18"/>
              </w:rPr>
            </w:pPr>
            <w:r>
              <w:rPr>
                <w:sz w:val="18"/>
              </w:rPr>
              <w:t>151,322</w:t>
            </w:r>
          </w:p>
        </w:tc>
        <w:tc>
          <w:tcPr>
            <w:tcW w:w="1332" w:type="dxa"/>
            <w:tcBorders>
              <w:top w:val="single" w:sz="4" w:space="0" w:color="000000"/>
            </w:tcBorders>
            <w:shd w:val="clear" w:color="auto" w:fill="E1E4BB"/>
          </w:tcPr>
          <w:p>
            <w:pPr>
              <w:pStyle w:val="TableParagraph"/>
              <w:spacing w:before="39"/>
              <w:ind w:right="111"/>
              <w:jc w:val="right"/>
              <w:rPr>
                <w:sz w:val="18"/>
              </w:rPr>
            </w:pPr>
            <w:r>
              <w:rPr>
                <w:sz w:val="18"/>
              </w:rPr>
              <w:t>184,722</w:t>
            </w:r>
          </w:p>
        </w:tc>
        <w:tc>
          <w:tcPr>
            <w:tcW w:w="1275" w:type="dxa"/>
            <w:tcBorders>
              <w:top w:val="single" w:sz="4" w:space="0" w:color="000000"/>
            </w:tcBorders>
            <w:shd w:val="clear" w:color="auto" w:fill="FAF9F9"/>
          </w:tcPr>
          <w:p>
            <w:pPr>
              <w:pStyle w:val="TableParagraph"/>
              <w:spacing w:before="39"/>
              <w:ind w:right="110"/>
              <w:jc w:val="right"/>
              <w:rPr>
                <w:sz w:val="18"/>
              </w:rPr>
            </w:pPr>
            <w:r>
              <w:rPr>
                <w:sz w:val="18"/>
              </w:rPr>
              <w:t>33,400</w:t>
            </w:r>
          </w:p>
        </w:tc>
        <w:tc>
          <w:tcPr>
            <w:tcW w:w="1275" w:type="dxa"/>
            <w:tcBorders>
              <w:top w:val="single" w:sz="4" w:space="0" w:color="000000"/>
            </w:tcBorders>
            <w:shd w:val="clear" w:color="auto" w:fill="E1E4BB"/>
          </w:tcPr>
          <w:p>
            <w:pPr>
              <w:pStyle w:val="TableParagraph"/>
              <w:spacing w:before="39"/>
              <w:ind w:right="110"/>
              <w:jc w:val="right"/>
              <w:rPr>
                <w:sz w:val="18"/>
              </w:rPr>
            </w:pPr>
            <w:r>
              <w:rPr>
                <w:sz w:val="18"/>
              </w:rPr>
              <w:t>184,722</w:t>
            </w:r>
          </w:p>
        </w:tc>
        <w:tc>
          <w:tcPr>
            <w:tcW w:w="1424" w:type="dxa"/>
            <w:tcBorders>
              <w:top w:val="single" w:sz="4" w:space="0" w:color="000000"/>
            </w:tcBorders>
            <w:shd w:val="clear" w:color="auto" w:fill="FAF9F9"/>
          </w:tcPr>
          <w:p>
            <w:pPr>
              <w:pStyle w:val="TableParagraph"/>
              <w:spacing w:before="39"/>
              <w:ind w:right="265"/>
              <w:jc w:val="right"/>
              <w:rPr>
                <w:sz w:val="18"/>
              </w:rPr>
            </w:pPr>
            <w:r>
              <w:rPr>
                <w:sz w:val="18"/>
              </w:rPr>
              <w:t>169,737</w:t>
            </w:r>
          </w:p>
        </w:tc>
        <w:tc>
          <w:tcPr>
            <w:tcW w:w="1126" w:type="dxa"/>
            <w:tcBorders>
              <w:top w:val="single" w:sz="4" w:space="0" w:color="000000"/>
            </w:tcBorders>
            <w:shd w:val="clear" w:color="auto" w:fill="FAF9F9"/>
          </w:tcPr>
          <w:p>
            <w:pPr>
              <w:pStyle w:val="TableParagraph"/>
              <w:spacing w:before="39"/>
              <w:ind w:right="109"/>
              <w:jc w:val="right"/>
              <w:rPr>
                <w:sz w:val="18"/>
              </w:rPr>
            </w:pPr>
            <w:r>
              <w:rPr>
                <w:sz w:val="18"/>
              </w:rPr>
              <w:t>14,985</w:t>
            </w:r>
          </w:p>
        </w:tc>
      </w:tr>
      <w:tr>
        <w:trPr>
          <w:trHeight w:val="283" w:hRule="atLeast"/>
        </w:trPr>
        <w:tc>
          <w:tcPr>
            <w:tcW w:w="7544" w:type="dxa"/>
            <w:tcBorders>
              <w:top w:val="single" w:sz="8" w:space="0" w:color="FFFFFF"/>
              <w:right w:val="single" w:sz="8" w:space="0" w:color="FFFFFF"/>
            </w:tcBorders>
            <w:shd w:val="clear" w:color="auto" w:fill="F4F4F4"/>
          </w:tcPr>
          <w:p>
            <w:pPr>
              <w:pStyle w:val="TableParagraph"/>
              <w:spacing w:before="35"/>
              <w:ind w:left="113"/>
              <w:rPr>
                <w:sz w:val="18"/>
              </w:rPr>
            </w:pPr>
            <w:r>
              <w:rPr>
                <w:sz w:val="18"/>
              </w:rPr>
              <w:t>Adjustments</w:t>
            </w:r>
          </w:p>
        </w:tc>
        <w:tc>
          <w:tcPr>
            <w:tcW w:w="1329" w:type="dxa"/>
            <w:tcBorders>
              <w:left w:val="single" w:sz="8" w:space="0" w:color="FFFFFF"/>
              <w:bottom w:val="single" w:sz="4" w:space="0" w:color="000000"/>
            </w:tcBorders>
            <w:shd w:val="clear" w:color="auto" w:fill="F4F4F4"/>
          </w:tcPr>
          <w:p>
            <w:pPr>
              <w:pStyle w:val="TableParagraph"/>
              <w:spacing w:before="35"/>
              <w:ind w:right="112"/>
              <w:jc w:val="right"/>
              <w:rPr>
                <w:sz w:val="18"/>
              </w:rPr>
            </w:pPr>
            <w:r>
              <w:rPr>
                <w:sz w:val="18"/>
              </w:rPr>
              <w:t>1,185</w:t>
            </w:r>
          </w:p>
        </w:tc>
        <w:tc>
          <w:tcPr>
            <w:tcW w:w="1332" w:type="dxa"/>
            <w:tcBorders>
              <w:bottom w:val="single" w:sz="4" w:space="0" w:color="000000"/>
            </w:tcBorders>
            <w:shd w:val="clear" w:color="auto" w:fill="DFE1B8"/>
          </w:tcPr>
          <w:p>
            <w:pPr>
              <w:pStyle w:val="TableParagraph"/>
              <w:spacing w:before="35"/>
              <w:ind w:right="117"/>
              <w:jc w:val="right"/>
              <w:rPr>
                <w:sz w:val="18"/>
              </w:rPr>
            </w:pPr>
            <w:r>
              <w:rPr>
                <w:w w:val="95"/>
                <w:sz w:val="18"/>
              </w:rPr>
              <w:t>(33,822)</w:t>
            </w:r>
          </w:p>
        </w:tc>
        <w:tc>
          <w:tcPr>
            <w:tcW w:w="1275" w:type="dxa"/>
            <w:tcBorders>
              <w:bottom w:val="single" w:sz="4" w:space="0" w:color="000000"/>
            </w:tcBorders>
            <w:shd w:val="clear" w:color="auto" w:fill="F4F4F4"/>
          </w:tcPr>
          <w:p>
            <w:pPr>
              <w:pStyle w:val="TableParagraph"/>
              <w:spacing w:before="35"/>
              <w:ind w:right="111"/>
              <w:jc w:val="right"/>
              <w:rPr>
                <w:sz w:val="18"/>
              </w:rPr>
            </w:pPr>
            <w:r>
              <w:rPr>
                <w:w w:val="95"/>
                <w:sz w:val="18"/>
              </w:rPr>
              <w:t>(35,007)</w:t>
            </w:r>
          </w:p>
        </w:tc>
        <w:tc>
          <w:tcPr>
            <w:tcW w:w="1275" w:type="dxa"/>
            <w:tcBorders>
              <w:bottom w:val="single" w:sz="4" w:space="0" w:color="000000"/>
            </w:tcBorders>
            <w:shd w:val="clear" w:color="auto" w:fill="DFE1B8"/>
          </w:tcPr>
          <w:p>
            <w:pPr>
              <w:pStyle w:val="TableParagraph"/>
              <w:spacing w:before="35"/>
              <w:ind w:right="116"/>
              <w:jc w:val="right"/>
              <w:rPr>
                <w:sz w:val="18"/>
              </w:rPr>
            </w:pPr>
            <w:r>
              <w:rPr>
                <w:w w:val="95"/>
                <w:sz w:val="18"/>
              </w:rPr>
              <w:t>(33,822)</w:t>
            </w:r>
          </w:p>
        </w:tc>
        <w:tc>
          <w:tcPr>
            <w:tcW w:w="1424" w:type="dxa"/>
            <w:tcBorders>
              <w:bottom w:val="single" w:sz="4" w:space="0" w:color="000000"/>
            </w:tcBorders>
            <w:shd w:val="clear" w:color="auto" w:fill="F4F4F4"/>
          </w:tcPr>
          <w:p>
            <w:pPr>
              <w:pStyle w:val="TableParagraph"/>
              <w:spacing w:before="35"/>
              <w:ind w:right="258"/>
              <w:jc w:val="right"/>
              <w:rPr>
                <w:sz w:val="18"/>
              </w:rPr>
            </w:pPr>
            <w:r>
              <w:rPr>
                <w:w w:val="90"/>
                <w:sz w:val="18"/>
              </w:rPr>
              <w:t>(2,587)</w:t>
            </w:r>
          </w:p>
        </w:tc>
        <w:tc>
          <w:tcPr>
            <w:tcW w:w="1126" w:type="dxa"/>
            <w:tcBorders>
              <w:bottom w:val="single" w:sz="4" w:space="0" w:color="000000"/>
            </w:tcBorders>
            <w:shd w:val="clear" w:color="auto" w:fill="F4F4F4"/>
          </w:tcPr>
          <w:p>
            <w:pPr>
              <w:pStyle w:val="TableParagraph"/>
              <w:spacing w:before="35"/>
              <w:ind w:right="109"/>
              <w:jc w:val="right"/>
              <w:rPr>
                <w:sz w:val="18"/>
              </w:rPr>
            </w:pPr>
            <w:r>
              <w:rPr>
                <w:w w:val="95"/>
                <w:sz w:val="18"/>
              </w:rPr>
              <w:t>(31,235)</w:t>
            </w:r>
          </w:p>
        </w:tc>
      </w:tr>
      <w:tr>
        <w:trPr>
          <w:trHeight w:val="283" w:hRule="atLeast"/>
        </w:trPr>
        <w:tc>
          <w:tcPr>
            <w:tcW w:w="7544" w:type="dxa"/>
            <w:tcBorders>
              <w:bottom w:val="single" w:sz="8" w:space="0" w:color="FFFFFF"/>
              <w:right w:val="single" w:sz="8" w:space="0" w:color="FFFFFF"/>
            </w:tcBorders>
            <w:shd w:val="clear" w:color="auto" w:fill="FAF9F9"/>
          </w:tcPr>
          <w:p>
            <w:pPr>
              <w:pStyle w:val="TableParagraph"/>
              <w:spacing w:before="40"/>
              <w:ind w:left="113"/>
              <w:rPr>
                <w:b/>
                <w:sz w:val="18"/>
              </w:rPr>
            </w:pPr>
            <w:r>
              <w:rPr>
                <w:b/>
                <w:sz w:val="18"/>
              </w:rPr>
              <w:t>Total appropriations provided to deliver services</w:t>
            </w:r>
          </w:p>
        </w:tc>
        <w:tc>
          <w:tcPr>
            <w:tcW w:w="1329" w:type="dxa"/>
            <w:tcBorders>
              <w:top w:val="single" w:sz="4" w:space="0" w:color="000000"/>
              <w:left w:val="single" w:sz="8" w:space="0" w:color="FFFFFF"/>
              <w:bottom w:val="single" w:sz="4" w:space="0" w:color="000000"/>
            </w:tcBorders>
            <w:shd w:val="clear" w:color="auto" w:fill="FAF9F9"/>
          </w:tcPr>
          <w:p>
            <w:pPr>
              <w:pStyle w:val="TableParagraph"/>
              <w:spacing w:before="40"/>
              <w:ind w:right="112"/>
              <w:jc w:val="right"/>
              <w:rPr>
                <w:b/>
                <w:sz w:val="18"/>
              </w:rPr>
            </w:pPr>
            <w:r>
              <w:rPr>
                <w:b/>
                <w:sz w:val="18"/>
              </w:rPr>
              <w:t>152,507</w:t>
            </w:r>
          </w:p>
        </w:tc>
        <w:tc>
          <w:tcPr>
            <w:tcW w:w="1332" w:type="dxa"/>
            <w:tcBorders>
              <w:top w:val="single" w:sz="4" w:space="0" w:color="000000"/>
              <w:bottom w:val="single" w:sz="4" w:space="0" w:color="000000"/>
            </w:tcBorders>
            <w:shd w:val="clear" w:color="auto" w:fill="E1E4BB"/>
          </w:tcPr>
          <w:p>
            <w:pPr>
              <w:pStyle w:val="TableParagraph"/>
              <w:spacing w:before="40"/>
              <w:ind w:right="111"/>
              <w:jc w:val="right"/>
              <w:rPr>
                <w:b/>
                <w:sz w:val="18"/>
              </w:rPr>
            </w:pPr>
            <w:r>
              <w:rPr>
                <w:b/>
                <w:sz w:val="18"/>
              </w:rPr>
              <w:t>150,900</w:t>
            </w:r>
          </w:p>
        </w:tc>
        <w:tc>
          <w:tcPr>
            <w:tcW w:w="1275" w:type="dxa"/>
            <w:tcBorders>
              <w:top w:val="single" w:sz="4" w:space="0" w:color="000000"/>
              <w:bottom w:val="single" w:sz="4" w:space="0" w:color="000000"/>
            </w:tcBorders>
            <w:shd w:val="clear" w:color="auto" w:fill="FAF9F9"/>
          </w:tcPr>
          <w:p>
            <w:pPr>
              <w:pStyle w:val="TableParagraph"/>
              <w:spacing w:before="40"/>
              <w:ind w:right="111"/>
              <w:jc w:val="right"/>
              <w:rPr>
                <w:b/>
                <w:sz w:val="18"/>
              </w:rPr>
            </w:pPr>
            <w:r>
              <w:rPr>
                <w:b/>
                <w:w w:val="95"/>
                <w:sz w:val="18"/>
              </w:rPr>
              <w:t>(1,607)</w:t>
            </w:r>
          </w:p>
        </w:tc>
        <w:tc>
          <w:tcPr>
            <w:tcW w:w="1275" w:type="dxa"/>
            <w:tcBorders>
              <w:top w:val="single" w:sz="4" w:space="0" w:color="000000"/>
              <w:bottom w:val="single" w:sz="4" w:space="0" w:color="000000"/>
            </w:tcBorders>
            <w:shd w:val="clear" w:color="auto" w:fill="E1E4BB"/>
          </w:tcPr>
          <w:p>
            <w:pPr>
              <w:pStyle w:val="TableParagraph"/>
              <w:spacing w:before="40"/>
              <w:ind w:right="110"/>
              <w:jc w:val="right"/>
              <w:rPr>
                <w:b/>
                <w:sz w:val="18"/>
              </w:rPr>
            </w:pPr>
            <w:r>
              <w:rPr>
                <w:b/>
                <w:sz w:val="18"/>
              </w:rPr>
              <w:t>150,900</w:t>
            </w:r>
          </w:p>
        </w:tc>
        <w:tc>
          <w:tcPr>
            <w:tcW w:w="1424" w:type="dxa"/>
            <w:tcBorders>
              <w:top w:val="single" w:sz="4" w:space="0" w:color="000000"/>
              <w:bottom w:val="single" w:sz="4" w:space="0" w:color="000000"/>
            </w:tcBorders>
            <w:shd w:val="clear" w:color="auto" w:fill="FAF9F9"/>
          </w:tcPr>
          <w:p>
            <w:pPr>
              <w:pStyle w:val="TableParagraph"/>
              <w:spacing w:before="40"/>
              <w:ind w:right="258"/>
              <w:jc w:val="right"/>
              <w:rPr>
                <w:b/>
                <w:sz w:val="18"/>
              </w:rPr>
            </w:pPr>
            <w:r>
              <w:rPr>
                <w:b/>
                <w:sz w:val="18"/>
              </w:rPr>
              <w:t>167,150</w:t>
            </w:r>
          </w:p>
        </w:tc>
        <w:tc>
          <w:tcPr>
            <w:tcW w:w="1126" w:type="dxa"/>
            <w:tcBorders>
              <w:top w:val="single" w:sz="4" w:space="0" w:color="000000"/>
              <w:bottom w:val="single" w:sz="4" w:space="0" w:color="000000"/>
            </w:tcBorders>
            <w:shd w:val="clear" w:color="auto" w:fill="FAF9F9"/>
          </w:tcPr>
          <w:p>
            <w:pPr>
              <w:pStyle w:val="TableParagraph"/>
              <w:spacing w:before="40"/>
              <w:ind w:right="109"/>
              <w:jc w:val="right"/>
              <w:rPr>
                <w:b/>
                <w:sz w:val="18"/>
              </w:rPr>
            </w:pPr>
            <w:r>
              <w:rPr>
                <w:b/>
                <w:w w:val="95"/>
                <w:sz w:val="18"/>
              </w:rPr>
              <w:t>(16,250)</w:t>
            </w:r>
          </w:p>
        </w:tc>
      </w:tr>
    </w:tbl>
    <w:p>
      <w:pPr>
        <w:pStyle w:val="ListParagraph"/>
        <w:numPr>
          <w:ilvl w:val="0"/>
          <w:numId w:val="4"/>
        </w:numPr>
        <w:tabs>
          <w:tab w:pos="996" w:val="left" w:leader="none"/>
        </w:tabs>
        <w:spacing w:line="240" w:lineRule="auto" w:before="251" w:after="0"/>
        <w:ind w:left="995" w:right="0" w:hanging="230"/>
        <w:jc w:val="left"/>
        <w:rPr>
          <w:sz w:val="18"/>
        </w:rPr>
      </w:pPr>
      <w:r>
        <w:rPr>
          <w:sz w:val="18"/>
        </w:rPr>
        <w:t>Strategic</w:t>
      </w:r>
      <w:r>
        <w:rPr>
          <w:spacing w:val="-5"/>
          <w:sz w:val="18"/>
        </w:rPr>
        <w:t> </w:t>
      </w:r>
      <w:r>
        <w:rPr>
          <w:sz w:val="18"/>
        </w:rPr>
        <w:t>Projects</w:t>
      </w:r>
      <w:r>
        <w:rPr>
          <w:spacing w:val="-4"/>
          <w:sz w:val="18"/>
        </w:rPr>
        <w:t> </w:t>
      </w:r>
      <w:r>
        <w:rPr>
          <w:sz w:val="18"/>
        </w:rPr>
        <w:t>(excluding</w:t>
      </w:r>
      <w:r>
        <w:rPr>
          <w:spacing w:val="-5"/>
          <w:sz w:val="18"/>
        </w:rPr>
        <w:t> </w:t>
      </w:r>
      <w:r>
        <w:rPr>
          <w:sz w:val="18"/>
        </w:rPr>
        <w:t>Asset</w:t>
      </w:r>
      <w:r>
        <w:rPr>
          <w:spacing w:val="-4"/>
          <w:sz w:val="18"/>
        </w:rPr>
        <w:t> </w:t>
      </w:r>
      <w:r>
        <w:rPr>
          <w:sz w:val="18"/>
        </w:rPr>
        <w:t>Sales)</w:t>
      </w:r>
      <w:r>
        <w:rPr>
          <w:spacing w:val="-5"/>
          <w:sz w:val="18"/>
        </w:rPr>
        <w:t> </w:t>
      </w:r>
      <w:r>
        <w:rPr>
          <w:sz w:val="18"/>
        </w:rPr>
        <w:t>was</w:t>
      </w:r>
      <w:r>
        <w:rPr>
          <w:spacing w:val="-4"/>
          <w:sz w:val="18"/>
        </w:rPr>
        <w:t> </w:t>
      </w:r>
      <w:r>
        <w:rPr>
          <w:sz w:val="18"/>
        </w:rPr>
        <w:t>transferred</w:t>
      </w:r>
      <w:r>
        <w:rPr>
          <w:spacing w:val="-5"/>
          <w:sz w:val="18"/>
        </w:rPr>
        <w:t> </w:t>
      </w:r>
      <w:r>
        <w:rPr>
          <w:sz w:val="18"/>
        </w:rPr>
        <w:t>from</w:t>
      </w:r>
      <w:r>
        <w:rPr>
          <w:spacing w:val="-4"/>
          <w:sz w:val="18"/>
        </w:rPr>
        <w:t> </w:t>
      </w:r>
      <w:r>
        <w:rPr>
          <w:sz w:val="18"/>
        </w:rPr>
        <w:t>the</w:t>
      </w:r>
      <w:r>
        <w:rPr>
          <w:spacing w:val="-5"/>
          <w:sz w:val="18"/>
        </w:rPr>
        <w:t> </w:t>
      </w:r>
      <w:r>
        <w:rPr>
          <w:sz w:val="18"/>
        </w:rPr>
        <w:t>Department</w:t>
      </w:r>
      <w:r>
        <w:rPr>
          <w:spacing w:val="-4"/>
          <w:sz w:val="18"/>
        </w:rPr>
        <w:t> </w:t>
      </w:r>
      <w:r>
        <w:rPr>
          <w:sz w:val="18"/>
        </w:rPr>
        <w:t>of</w:t>
      </w:r>
      <w:r>
        <w:rPr>
          <w:spacing w:val="-5"/>
          <w:sz w:val="18"/>
        </w:rPr>
        <w:t> </w:t>
      </w:r>
      <w:r>
        <w:rPr>
          <w:spacing w:val="-3"/>
          <w:sz w:val="18"/>
        </w:rPr>
        <w:t>Treasury</w:t>
      </w:r>
      <w:r>
        <w:rPr>
          <w:spacing w:val="-4"/>
          <w:sz w:val="18"/>
        </w:rPr>
        <w:t> </w:t>
      </w:r>
      <w:r>
        <w:rPr>
          <w:sz w:val="18"/>
        </w:rPr>
        <w:t>on</w:t>
      </w:r>
      <w:r>
        <w:rPr>
          <w:spacing w:val="-5"/>
          <w:sz w:val="18"/>
        </w:rPr>
        <w:t> </w:t>
      </w:r>
      <w:r>
        <w:rPr>
          <w:sz w:val="18"/>
        </w:rPr>
        <w:t>1</w:t>
      </w:r>
      <w:r>
        <w:rPr>
          <w:spacing w:val="-4"/>
          <w:sz w:val="18"/>
        </w:rPr>
        <w:t> </w:t>
      </w:r>
      <w:r>
        <w:rPr>
          <w:sz w:val="18"/>
        </w:rPr>
        <w:t>July</w:t>
      </w:r>
      <w:r>
        <w:rPr>
          <w:spacing w:val="-5"/>
          <w:sz w:val="18"/>
        </w:rPr>
        <w:t> </w:t>
      </w:r>
      <w:r>
        <w:rPr>
          <w:sz w:val="18"/>
        </w:rPr>
        <w:t>2017</w:t>
      </w:r>
      <w:r>
        <w:rPr>
          <w:spacing w:val="-4"/>
          <w:sz w:val="18"/>
        </w:rPr>
        <w:t> </w:t>
      </w:r>
      <w:r>
        <w:rPr>
          <w:sz w:val="18"/>
        </w:rPr>
        <w:t>and</w:t>
      </w:r>
      <w:r>
        <w:rPr>
          <w:spacing w:val="-5"/>
          <w:sz w:val="18"/>
        </w:rPr>
        <w:t> </w:t>
      </w:r>
      <w:r>
        <w:rPr>
          <w:sz w:val="18"/>
        </w:rPr>
        <w:t>hence</w:t>
      </w:r>
      <w:r>
        <w:rPr>
          <w:spacing w:val="-4"/>
          <w:sz w:val="18"/>
        </w:rPr>
        <w:t> </w:t>
      </w:r>
      <w:r>
        <w:rPr>
          <w:sz w:val="18"/>
        </w:rPr>
        <w:t>comparatives</w:t>
      </w:r>
      <w:r>
        <w:rPr>
          <w:spacing w:val="-5"/>
          <w:sz w:val="18"/>
        </w:rPr>
        <w:t> </w:t>
      </w:r>
      <w:r>
        <w:rPr>
          <w:sz w:val="18"/>
        </w:rPr>
        <w:t>for</w:t>
      </w:r>
      <w:r>
        <w:rPr>
          <w:spacing w:val="-4"/>
          <w:sz w:val="18"/>
        </w:rPr>
        <w:t> </w:t>
      </w:r>
      <w:r>
        <w:rPr>
          <w:sz w:val="18"/>
        </w:rPr>
        <w:t>2017</w:t>
      </w:r>
      <w:r>
        <w:rPr>
          <w:spacing w:val="-5"/>
          <w:sz w:val="18"/>
        </w:rPr>
        <w:t> </w:t>
      </w:r>
      <w:r>
        <w:rPr>
          <w:sz w:val="18"/>
        </w:rPr>
        <w:t>are</w:t>
      </w:r>
      <w:r>
        <w:rPr>
          <w:spacing w:val="-4"/>
          <w:sz w:val="18"/>
        </w:rPr>
        <w:t> </w:t>
      </w:r>
      <w:r>
        <w:rPr>
          <w:sz w:val="18"/>
        </w:rPr>
        <w:t>not</w:t>
      </w:r>
      <w:r>
        <w:rPr>
          <w:spacing w:val="-5"/>
          <w:sz w:val="18"/>
        </w:rPr>
        <w:t> </w:t>
      </w:r>
      <w:r>
        <w:rPr>
          <w:sz w:val="18"/>
        </w:rPr>
        <w:t>available.</w:t>
      </w:r>
    </w:p>
    <w:p>
      <w:pPr>
        <w:pStyle w:val="ListParagraph"/>
        <w:numPr>
          <w:ilvl w:val="0"/>
          <w:numId w:val="4"/>
        </w:numPr>
        <w:tabs>
          <w:tab w:pos="1006" w:val="left" w:leader="none"/>
        </w:tabs>
        <w:spacing w:line="240" w:lineRule="auto" w:before="9" w:after="0"/>
        <w:ind w:left="1005" w:right="0" w:hanging="240"/>
        <w:jc w:val="left"/>
        <w:rPr>
          <w:sz w:val="18"/>
        </w:rPr>
      </w:pPr>
      <w:r>
        <w:rPr/>
        <w:pict>
          <v:group style="position:absolute;margin-left:38.2677pt;margin-top:27.250999pt;width:443.65pt;height:74.150pt;mso-position-horizontal-relative:page;mso-position-vertical-relative:paragraph;z-index:-700624" coordorigin="765,545" coordsize="8873,1483">
            <v:shape style="position:absolute;left:765;top:545;width:8873;height:896" coordorigin="765,545" coordsize="8873,896" path="m8306,1142l765,1142,765,1441,8306,1441,8306,1142m8306,545l765,545,765,844,8306,844,8306,545m9638,1142l8306,1142,8306,1441,9638,1441,9638,1142m9638,545l8306,545,8306,844,9638,844,9638,545e" filled="true" fillcolor="#f4f4f4" stroked="false">
              <v:path arrowok="t"/>
              <v:fill type="solid"/>
            </v:shape>
            <v:shape style="position:absolute;left:765;top:843;width:8873;height:896" coordorigin="765,844" coordsize="8873,896" path="m8306,1441l765,1441,765,1739,8306,1739,8306,1441m8306,844l765,844,765,1142,8306,1142,8306,844m9638,1441l8306,1441,8306,1739,9638,1739,9638,1441m9638,844l8306,844,8306,1142,9638,1142,9638,844e" filled="true" fillcolor="#faf9f9" stroked="false">
              <v:path arrowok="t"/>
              <v:fill type="solid"/>
            </v:shape>
            <v:shape style="position:absolute;left:765;top:833;width:8873;height:618" coordorigin="765,834" coordsize="8873,618" path="m9638,1431l8296,1431,765,1431,765,1451,8296,1451,9638,1451,9638,1431m9638,1132l8296,1132,765,1132,765,1152,8296,1152,9638,1152,9638,1132m9638,834l8296,834,765,834,765,854,8296,854,9638,854,9638,834e" filled="true" fillcolor="#ffffff" stroked="false">
              <v:path arrowok="t"/>
              <v:fill type="solid"/>
            </v:shape>
            <v:line style="position:absolute" from="8306,834" to="8306,555" stroked="true" strokeweight="1pt" strokecolor="#ffffff">
              <v:stroke dashstyle="solid"/>
            </v:line>
            <v:line style="position:absolute" from="8306,1132" to="8306,854" stroked="true" strokeweight="1pt" strokecolor="#ffffff">
              <v:stroke dashstyle="solid"/>
            </v:line>
            <v:line style="position:absolute" from="8306,1431" to="8306,1152" stroked="true" strokeweight="1pt" strokecolor="#ffffff">
              <v:stroke dashstyle="solid"/>
            </v:line>
            <v:line style="position:absolute" from="8306,1739" to="8306,1451" stroked="true" strokeweight="1pt" strokecolor="#ffffff">
              <v:stroke dashstyle="solid"/>
            </v:line>
            <v:line style="position:absolute" from="8306,2028" to="8306,1739" stroked="true" strokeweight="1pt" strokecolor="#ffffff">
              <v:stroke dashstyle="solid"/>
            </v:line>
            <w10:wrap type="none"/>
          </v:group>
        </w:pict>
      </w:r>
      <w:r>
        <w:rPr>
          <w:sz w:val="18"/>
        </w:rPr>
        <w:t>Public Utilities Office and Economic Reform were transferred to the Department of </w:t>
      </w:r>
      <w:r>
        <w:rPr>
          <w:spacing w:val="-3"/>
          <w:sz w:val="18"/>
        </w:rPr>
        <w:t>Treasury </w:t>
      </w:r>
      <w:r>
        <w:rPr>
          <w:sz w:val="18"/>
        </w:rPr>
        <w:t>on 1 July</w:t>
      </w:r>
      <w:r>
        <w:rPr>
          <w:spacing w:val="-24"/>
          <w:sz w:val="18"/>
        </w:rPr>
        <w:t> </w:t>
      </w:r>
      <w:r>
        <w:rPr>
          <w:sz w:val="18"/>
        </w:rPr>
        <w:t>2017.</w:t>
      </w:r>
    </w:p>
    <w:p>
      <w:pPr>
        <w:pStyle w:val="BodyText"/>
        <w:spacing w:before="8"/>
        <w:rPr>
          <w:sz w:val="27"/>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8"/>
        <w:gridCol w:w="3324"/>
        <w:gridCol w:w="1332"/>
        <w:gridCol w:w="1275"/>
        <w:gridCol w:w="1275"/>
        <w:gridCol w:w="1275"/>
        <w:gridCol w:w="1275"/>
      </w:tblGrid>
      <w:tr>
        <w:trPr>
          <w:trHeight w:val="278" w:hRule="atLeast"/>
        </w:trPr>
        <w:tc>
          <w:tcPr>
            <w:tcW w:w="5548" w:type="dxa"/>
          </w:tcPr>
          <w:p>
            <w:pPr>
              <w:pStyle w:val="TableParagraph"/>
              <w:spacing w:before="34"/>
              <w:ind w:left="113"/>
              <w:rPr>
                <w:i/>
                <w:sz w:val="18"/>
              </w:rPr>
            </w:pPr>
            <w:r>
              <w:rPr>
                <w:i/>
                <w:color w:val="6F2770"/>
                <w:sz w:val="18"/>
              </w:rPr>
              <w:t>Capital expenditure</w:t>
            </w:r>
          </w:p>
        </w:tc>
        <w:tc>
          <w:tcPr>
            <w:tcW w:w="3324" w:type="dxa"/>
          </w:tcPr>
          <w:p>
            <w:pPr>
              <w:pStyle w:val="TableParagraph"/>
              <w:spacing w:before="0"/>
              <w:rPr>
                <w:rFonts w:ascii="Times New Roman"/>
                <w:sz w:val="18"/>
              </w:rPr>
            </w:pPr>
          </w:p>
        </w:tc>
        <w:tc>
          <w:tcPr>
            <w:tcW w:w="1332" w:type="dxa"/>
            <w:shd w:val="clear" w:color="auto" w:fill="E1E4BB"/>
          </w:tcPr>
          <w:p>
            <w:pPr>
              <w:pStyle w:val="TableParagraph"/>
              <w:spacing w:before="0"/>
              <w:rPr>
                <w:rFonts w:ascii="Times New Roman"/>
                <w:sz w:val="18"/>
              </w:rPr>
            </w:pPr>
          </w:p>
        </w:tc>
        <w:tc>
          <w:tcPr>
            <w:tcW w:w="1275"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275" w:type="dxa"/>
            <w:shd w:val="clear" w:color="auto" w:fill="E1E4BB"/>
          </w:tcPr>
          <w:p>
            <w:pPr>
              <w:pStyle w:val="TableParagraph"/>
              <w:spacing w:before="0"/>
              <w:rPr>
                <w:rFonts w:ascii="Times New Roman"/>
                <w:sz w:val="18"/>
              </w:rPr>
            </w:pPr>
          </w:p>
        </w:tc>
        <w:tc>
          <w:tcPr>
            <w:tcW w:w="1275" w:type="dxa"/>
            <w:shd w:val="clear" w:color="auto" w:fill="FFFFFF"/>
          </w:tcPr>
          <w:p>
            <w:pPr>
              <w:pStyle w:val="TableParagraph"/>
              <w:spacing w:before="0"/>
              <w:rPr>
                <w:rFonts w:ascii="Times New Roman"/>
                <w:sz w:val="18"/>
              </w:rPr>
            </w:pPr>
          </w:p>
        </w:tc>
        <w:tc>
          <w:tcPr>
            <w:tcW w:w="1275" w:type="dxa"/>
            <w:shd w:val="clear" w:color="auto" w:fill="FFFFFF"/>
          </w:tcPr>
          <w:p>
            <w:pPr>
              <w:pStyle w:val="TableParagraph"/>
              <w:spacing w:before="0"/>
              <w:rPr>
                <w:rFonts w:ascii="Times New Roman"/>
                <w:sz w:val="18"/>
              </w:rPr>
            </w:pPr>
          </w:p>
        </w:tc>
      </w:tr>
      <w:tr>
        <w:trPr>
          <w:trHeight w:val="283" w:hRule="atLeast"/>
        </w:trPr>
        <w:tc>
          <w:tcPr>
            <w:tcW w:w="5548" w:type="dxa"/>
          </w:tcPr>
          <w:p>
            <w:pPr>
              <w:pStyle w:val="TableParagraph"/>
              <w:spacing w:before="34"/>
              <w:ind w:left="113"/>
              <w:rPr>
                <w:sz w:val="18"/>
              </w:rPr>
            </w:pPr>
            <w:r>
              <w:rPr>
                <w:sz w:val="18"/>
              </w:rPr>
              <w:t>Purchase of non-current assets</w:t>
            </w:r>
          </w:p>
        </w:tc>
        <w:tc>
          <w:tcPr>
            <w:tcW w:w="3324" w:type="dxa"/>
          </w:tcPr>
          <w:p>
            <w:pPr>
              <w:pStyle w:val="TableParagraph"/>
              <w:spacing w:before="34"/>
              <w:ind w:right="110"/>
              <w:jc w:val="right"/>
              <w:rPr>
                <w:sz w:val="18"/>
              </w:rPr>
            </w:pPr>
            <w:r>
              <w:rPr>
                <w:sz w:val="18"/>
              </w:rPr>
              <w:t>164,892</w:t>
            </w:r>
          </w:p>
        </w:tc>
        <w:tc>
          <w:tcPr>
            <w:tcW w:w="1332" w:type="dxa"/>
            <w:shd w:val="clear" w:color="auto" w:fill="E1E4BB"/>
          </w:tcPr>
          <w:p>
            <w:pPr>
              <w:pStyle w:val="TableParagraph"/>
              <w:spacing w:before="34"/>
              <w:ind w:right="110"/>
              <w:jc w:val="right"/>
              <w:rPr>
                <w:sz w:val="18"/>
              </w:rPr>
            </w:pPr>
            <w:r>
              <w:rPr>
                <w:sz w:val="18"/>
              </w:rPr>
              <w:t>122,972</w:t>
            </w:r>
          </w:p>
        </w:tc>
        <w:tc>
          <w:tcPr>
            <w:tcW w:w="1275" w:type="dxa"/>
            <w:tcBorders>
              <w:top w:val="single" w:sz="8" w:space="0" w:color="FFFFFF"/>
              <w:bottom w:val="single" w:sz="8" w:space="0" w:color="FFFFFF"/>
            </w:tcBorders>
            <w:shd w:val="clear" w:color="auto" w:fill="FAF9F9"/>
          </w:tcPr>
          <w:p>
            <w:pPr>
              <w:pStyle w:val="TableParagraph"/>
              <w:spacing w:before="34"/>
              <w:ind w:right="110"/>
              <w:jc w:val="right"/>
              <w:rPr>
                <w:sz w:val="18"/>
              </w:rPr>
            </w:pPr>
            <w:r>
              <w:rPr>
                <w:w w:val="95"/>
                <w:sz w:val="18"/>
              </w:rPr>
              <w:t>(41,920)</w:t>
            </w:r>
          </w:p>
        </w:tc>
        <w:tc>
          <w:tcPr>
            <w:tcW w:w="1275" w:type="dxa"/>
            <w:shd w:val="clear" w:color="auto" w:fill="E1E4BB"/>
          </w:tcPr>
          <w:p>
            <w:pPr>
              <w:pStyle w:val="TableParagraph"/>
              <w:spacing w:before="34"/>
              <w:ind w:right="109"/>
              <w:jc w:val="right"/>
              <w:rPr>
                <w:sz w:val="18"/>
              </w:rPr>
            </w:pPr>
            <w:r>
              <w:rPr>
                <w:sz w:val="18"/>
              </w:rPr>
              <w:t>122,972</w:t>
            </w:r>
          </w:p>
        </w:tc>
        <w:tc>
          <w:tcPr>
            <w:tcW w:w="1275" w:type="dxa"/>
            <w:shd w:val="clear" w:color="auto" w:fill="FFFFFF"/>
          </w:tcPr>
          <w:p>
            <w:pPr>
              <w:pStyle w:val="TableParagraph"/>
              <w:spacing w:before="34"/>
              <w:ind w:right="108"/>
              <w:jc w:val="right"/>
              <w:rPr>
                <w:sz w:val="18"/>
              </w:rPr>
            </w:pPr>
            <w:r>
              <w:rPr>
                <w:sz w:val="18"/>
              </w:rPr>
              <w:t>148,153</w:t>
            </w:r>
          </w:p>
        </w:tc>
        <w:tc>
          <w:tcPr>
            <w:tcW w:w="1275" w:type="dxa"/>
            <w:shd w:val="clear" w:color="auto" w:fill="FFFFFF"/>
          </w:tcPr>
          <w:p>
            <w:pPr>
              <w:pStyle w:val="TableParagraph"/>
              <w:spacing w:before="34"/>
              <w:ind w:right="108"/>
              <w:jc w:val="right"/>
              <w:rPr>
                <w:sz w:val="18"/>
              </w:rPr>
            </w:pPr>
            <w:r>
              <w:rPr>
                <w:w w:val="95"/>
                <w:sz w:val="18"/>
              </w:rPr>
              <w:t>(25,181)</w:t>
            </w:r>
          </w:p>
        </w:tc>
      </w:tr>
      <w:tr>
        <w:trPr>
          <w:trHeight w:val="273" w:hRule="atLeast"/>
        </w:trPr>
        <w:tc>
          <w:tcPr>
            <w:tcW w:w="5548" w:type="dxa"/>
          </w:tcPr>
          <w:p>
            <w:pPr>
              <w:pStyle w:val="TableParagraph"/>
              <w:spacing w:before="29"/>
              <w:ind w:left="113"/>
              <w:rPr>
                <w:sz w:val="18"/>
              </w:rPr>
            </w:pPr>
            <w:r>
              <w:rPr>
                <w:sz w:val="18"/>
              </w:rPr>
              <w:t>Repayment of borrowings</w:t>
            </w:r>
          </w:p>
        </w:tc>
        <w:tc>
          <w:tcPr>
            <w:tcW w:w="3324" w:type="dxa"/>
          </w:tcPr>
          <w:p>
            <w:pPr>
              <w:pStyle w:val="TableParagraph"/>
              <w:spacing w:before="29"/>
              <w:ind w:right="110"/>
              <w:jc w:val="right"/>
              <w:rPr>
                <w:sz w:val="18"/>
              </w:rPr>
            </w:pPr>
            <w:r>
              <w:rPr>
                <w:sz w:val="18"/>
              </w:rPr>
              <w:t>17,983</w:t>
            </w:r>
          </w:p>
        </w:tc>
        <w:tc>
          <w:tcPr>
            <w:tcW w:w="1332" w:type="dxa"/>
            <w:shd w:val="clear" w:color="auto" w:fill="E1E4BB"/>
          </w:tcPr>
          <w:p>
            <w:pPr>
              <w:pStyle w:val="TableParagraph"/>
              <w:spacing w:before="29"/>
              <w:ind w:right="110"/>
              <w:jc w:val="right"/>
              <w:rPr>
                <w:sz w:val="18"/>
              </w:rPr>
            </w:pPr>
            <w:r>
              <w:rPr>
                <w:sz w:val="18"/>
              </w:rPr>
              <w:t>23,115</w:t>
            </w:r>
          </w:p>
        </w:tc>
        <w:tc>
          <w:tcPr>
            <w:tcW w:w="1275" w:type="dxa"/>
            <w:tcBorders>
              <w:top w:val="single" w:sz="8" w:space="0" w:color="FFFFFF"/>
              <w:bottom w:val="single" w:sz="8" w:space="0" w:color="FFFFFF"/>
            </w:tcBorders>
            <w:shd w:val="clear" w:color="auto" w:fill="F4F4F4"/>
          </w:tcPr>
          <w:p>
            <w:pPr>
              <w:pStyle w:val="TableParagraph"/>
              <w:spacing w:before="29"/>
              <w:ind w:right="110"/>
              <w:jc w:val="right"/>
              <w:rPr>
                <w:sz w:val="18"/>
              </w:rPr>
            </w:pPr>
            <w:r>
              <w:rPr>
                <w:sz w:val="18"/>
              </w:rPr>
              <w:t>5,132</w:t>
            </w:r>
          </w:p>
        </w:tc>
        <w:tc>
          <w:tcPr>
            <w:tcW w:w="1275" w:type="dxa"/>
            <w:shd w:val="clear" w:color="auto" w:fill="E1E4BB"/>
          </w:tcPr>
          <w:p>
            <w:pPr>
              <w:pStyle w:val="TableParagraph"/>
              <w:spacing w:before="29"/>
              <w:ind w:right="109"/>
              <w:jc w:val="right"/>
              <w:rPr>
                <w:sz w:val="18"/>
              </w:rPr>
            </w:pPr>
            <w:r>
              <w:rPr>
                <w:sz w:val="18"/>
              </w:rPr>
              <w:t>23,115</w:t>
            </w:r>
          </w:p>
        </w:tc>
        <w:tc>
          <w:tcPr>
            <w:tcW w:w="1275" w:type="dxa"/>
            <w:shd w:val="clear" w:color="auto" w:fill="FFFFFF"/>
          </w:tcPr>
          <w:p>
            <w:pPr>
              <w:pStyle w:val="TableParagraph"/>
              <w:spacing w:before="29"/>
              <w:ind w:right="108"/>
              <w:jc w:val="right"/>
              <w:rPr>
                <w:sz w:val="18"/>
              </w:rPr>
            </w:pPr>
            <w:r>
              <w:rPr>
                <w:sz w:val="18"/>
              </w:rPr>
              <w:t>30,689</w:t>
            </w:r>
          </w:p>
        </w:tc>
        <w:tc>
          <w:tcPr>
            <w:tcW w:w="1275" w:type="dxa"/>
            <w:shd w:val="clear" w:color="auto" w:fill="FFFFFF"/>
          </w:tcPr>
          <w:p>
            <w:pPr>
              <w:pStyle w:val="TableParagraph"/>
              <w:spacing w:before="29"/>
              <w:ind w:right="108"/>
              <w:jc w:val="right"/>
              <w:rPr>
                <w:sz w:val="18"/>
              </w:rPr>
            </w:pPr>
            <w:r>
              <w:rPr>
                <w:w w:val="90"/>
                <w:sz w:val="18"/>
              </w:rPr>
              <w:t>(7,574)</w:t>
            </w:r>
          </w:p>
        </w:tc>
      </w:tr>
      <w:tr>
        <w:trPr>
          <w:trHeight w:val="283" w:hRule="atLeast"/>
        </w:trPr>
        <w:tc>
          <w:tcPr>
            <w:tcW w:w="5548" w:type="dxa"/>
          </w:tcPr>
          <w:p>
            <w:pPr>
              <w:pStyle w:val="TableParagraph"/>
              <w:spacing w:before="34"/>
              <w:ind w:left="113"/>
              <w:rPr>
                <w:sz w:val="18"/>
              </w:rPr>
            </w:pPr>
            <w:r>
              <w:rPr>
                <w:sz w:val="18"/>
              </w:rPr>
              <w:t>Adjustments for other funding sources</w:t>
            </w:r>
          </w:p>
        </w:tc>
        <w:tc>
          <w:tcPr>
            <w:tcW w:w="3324" w:type="dxa"/>
          </w:tcPr>
          <w:p>
            <w:pPr>
              <w:pStyle w:val="TableParagraph"/>
              <w:spacing w:before="34"/>
              <w:ind w:right="110"/>
              <w:jc w:val="right"/>
              <w:rPr>
                <w:sz w:val="18"/>
              </w:rPr>
            </w:pPr>
            <w:r>
              <w:rPr>
                <w:w w:val="95"/>
                <w:sz w:val="18"/>
              </w:rPr>
              <w:t>(166,943)</w:t>
            </w:r>
          </w:p>
        </w:tc>
        <w:tc>
          <w:tcPr>
            <w:tcW w:w="1332" w:type="dxa"/>
            <w:tcBorders>
              <w:bottom w:val="single" w:sz="4" w:space="0" w:color="000000"/>
            </w:tcBorders>
            <w:shd w:val="clear" w:color="auto" w:fill="E1E4BB"/>
          </w:tcPr>
          <w:p>
            <w:pPr>
              <w:pStyle w:val="TableParagraph"/>
              <w:spacing w:before="34"/>
              <w:ind w:right="110"/>
              <w:jc w:val="right"/>
              <w:rPr>
                <w:sz w:val="18"/>
              </w:rPr>
            </w:pPr>
            <w:r>
              <w:rPr>
                <w:w w:val="95"/>
                <w:sz w:val="18"/>
              </w:rPr>
              <w:t>(131,185)</w:t>
            </w:r>
          </w:p>
        </w:tc>
        <w:tc>
          <w:tcPr>
            <w:tcW w:w="1275" w:type="dxa"/>
            <w:tcBorders>
              <w:top w:val="single" w:sz="8" w:space="0" w:color="FFFFFF"/>
              <w:bottom w:val="single" w:sz="4" w:space="0" w:color="000000"/>
            </w:tcBorders>
            <w:shd w:val="clear" w:color="auto" w:fill="FAF9F9"/>
          </w:tcPr>
          <w:p>
            <w:pPr>
              <w:pStyle w:val="TableParagraph"/>
              <w:spacing w:before="34"/>
              <w:ind w:right="110"/>
              <w:jc w:val="right"/>
              <w:rPr>
                <w:sz w:val="18"/>
              </w:rPr>
            </w:pPr>
            <w:r>
              <w:rPr>
                <w:sz w:val="18"/>
              </w:rPr>
              <w:t>35,758</w:t>
            </w:r>
          </w:p>
        </w:tc>
        <w:tc>
          <w:tcPr>
            <w:tcW w:w="1275" w:type="dxa"/>
            <w:tcBorders>
              <w:bottom w:val="single" w:sz="4" w:space="0" w:color="000000"/>
            </w:tcBorders>
            <w:shd w:val="clear" w:color="auto" w:fill="E1E4BB"/>
          </w:tcPr>
          <w:p>
            <w:pPr>
              <w:pStyle w:val="TableParagraph"/>
              <w:spacing w:before="34"/>
              <w:ind w:right="109"/>
              <w:jc w:val="right"/>
              <w:rPr>
                <w:sz w:val="18"/>
              </w:rPr>
            </w:pPr>
            <w:r>
              <w:rPr>
                <w:w w:val="95"/>
                <w:sz w:val="18"/>
              </w:rPr>
              <w:t>(131,185)</w:t>
            </w:r>
          </w:p>
        </w:tc>
        <w:tc>
          <w:tcPr>
            <w:tcW w:w="1275" w:type="dxa"/>
            <w:tcBorders>
              <w:bottom w:val="single" w:sz="4" w:space="0" w:color="000000"/>
            </w:tcBorders>
            <w:shd w:val="clear" w:color="auto" w:fill="FFFFFF"/>
          </w:tcPr>
          <w:p>
            <w:pPr>
              <w:pStyle w:val="TableParagraph"/>
              <w:spacing w:before="34"/>
              <w:ind w:right="109"/>
              <w:jc w:val="right"/>
              <w:rPr>
                <w:sz w:val="18"/>
              </w:rPr>
            </w:pPr>
            <w:r>
              <w:rPr>
                <w:w w:val="95"/>
                <w:sz w:val="18"/>
              </w:rPr>
              <w:t>(150,079)</w:t>
            </w:r>
          </w:p>
        </w:tc>
        <w:tc>
          <w:tcPr>
            <w:tcW w:w="1275" w:type="dxa"/>
            <w:tcBorders>
              <w:bottom w:val="single" w:sz="4" w:space="0" w:color="000000"/>
            </w:tcBorders>
            <w:shd w:val="clear" w:color="auto" w:fill="FFFFFF"/>
          </w:tcPr>
          <w:p>
            <w:pPr>
              <w:pStyle w:val="TableParagraph"/>
              <w:spacing w:before="34"/>
              <w:ind w:right="108"/>
              <w:jc w:val="right"/>
              <w:rPr>
                <w:sz w:val="18"/>
              </w:rPr>
            </w:pPr>
            <w:r>
              <w:rPr>
                <w:sz w:val="18"/>
              </w:rPr>
              <w:t>18,894</w:t>
            </w:r>
          </w:p>
        </w:tc>
      </w:tr>
      <w:tr>
        <w:trPr>
          <w:trHeight w:val="288" w:hRule="atLeast"/>
        </w:trPr>
        <w:tc>
          <w:tcPr>
            <w:tcW w:w="5548" w:type="dxa"/>
          </w:tcPr>
          <w:p>
            <w:pPr>
              <w:pStyle w:val="TableParagraph"/>
              <w:spacing w:before="40"/>
              <w:ind w:left="113"/>
              <w:rPr>
                <w:b/>
                <w:sz w:val="18"/>
              </w:rPr>
            </w:pPr>
            <w:r>
              <w:rPr>
                <w:b/>
                <w:sz w:val="18"/>
              </w:rPr>
              <w:t>Capital appropriations</w:t>
            </w:r>
          </w:p>
        </w:tc>
        <w:tc>
          <w:tcPr>
            <w:tcW w:w="3324" w:type="dxa"/>
            <w:tcBorders>
              <w:bottom w:val="single" w:sz="4" w:space="0" w:color="000000"/>
            </w:tcBorders>
          </w:tcPr>
          <w:p>
            <w:pPr>
              <w:pStyle w:val="TableParagraph"/>
              <w:spacing w:before="40"/>
              <w:ind w:right="111"/>
              <w:jc w:val="right"/>
              <w:rPr>
                <w:b/>
                <w:sz w:val="18"/>
              </w:rPr>
            </w:pPr>
            <w:r>
              <w:rPr>
                <w:b/>
                <w:sz w:val="18"/>
              </w:rPr>
              <w:t>15,932</w:t>
            </w:r>
          </w:p>
        </w:tc>
        <w:tc>
          <w:tcPr>
            <w:tcW w:w="1332" w:type="dxa"/>
            <w:tcBorders>
              <w:top w:val="single" w:sz="4" w:space="0" w:color="000000"/>
              <w:bottom w:val="single" w:sz="4" w:space="0" w:color="000000"/>
            </w:tcBorders>
            <w:shd w:val="clear" w:color="auto" w:fill="DFE1B8"/>
          </w:tcPr>
          <w:p>
            <w:pPr>
              <w:pStyle w:val="TableParagraph"/>
              <w:spacing w:before="40"/>
              <w:ind w:right="110"/>
              <w:jc w:val="right"/>
              <w:rPr>
                <w:b/>
                <w:sz w:val="18"/>
              </w:rPr>
            </w:pPr>
            <w:r>
              <w:rPr>
                <w:b/>
                <w:sz w:val="18"/>
              </w:rPr>
              <w:t>14,902</w:t>
            </w:r>
          </w:p>
        </w:tc>
        <w:tc>
          <w:tcPr>
            <w:tcW w:w="1275" w:type="dxa"/>
            <w:tcBorders>
              <w:top w:val="single" w:sz="4" w:space="0" w:color="000000"/>
              <w:bottom w:val="single" w:sz="4" w:space="0" w:color="000000"/>
            </w:tcBorders>
            <w:shd w:val="clear" w:color="auto" w:fill="F4F4F4"/>
          </w:tcPr>
          <w:p>
            <w:pPr>
              <w:pStyle w:val="TableParagraph"/>
              <w:spacing w:before="40"/>
              <w:ind w:right="110"/>
              <w:jc w:val="right"/>
              <w:rPr>
                <w:b/>
                <w:sz w:val="18"/>
              </w:rPr>
            </w:pPr>
            <w:r>
              <w:rPr>
                <w:b/>
                <w:w w:val="95"/>
                <w:sz w:val="18"/>
              </w:rPr>
              <w:t>(1,030)</w:t>
            </w:r>
          </w:p>
        </w:tc>
        <w:tc>
          <w:tcPr>
            <w:tcW w:w="1275" w:type="dxa"/>
            <w:tcBorders>
              <w:top w:val="single" w:sz="4" w:space="0" w:color="000000"/>
              <w:bottom w:val="single" w:sz="4" w:space="0" w:color="000000"/>
            </w:tcBorders>
            <w:shd w:val="clear" w:color="auto" w:fill="DFE1B8"/>
          </w:tcPr>
          <w:p>
            <w:pPr>
              <w:pStyle w:val="TableParagraph"/>
              <w:spacing w:before="40"/>
              <w:ind w:right="109"/>
              <w:jc w:val="right"/>
              <w:rPr>
                <w:b/>
                <w:sz w:val="18"/>
              </w:rPr>
            </w:pPr>
            <w:r>
              <w:rPr>
                <w:b/>
                <w:sz w:val="18"/>
              </w:rPr>
              <w:t>14,902</w:t>
            </w:r>
          </w:p>
        </w:tc>
        <w:tc>
          <w:tcPr>
            <w:tcW w:w="1275" w:type="dxa"/>
            <w:tcBorders>
              <w:top w:val="single" w:sz="4" w:space="0" w:color="000000"/>
              <w:bottom w:val="single" w:sz="4" w:space="0" w:color="000000"/>
              <w:right w:val="single" w:sz="8" w:space="0" w:color="FFFFFF"/>
            </w:tcBorders>
            <w:shd w:val="clear" w:color="auto" w:fill="F4F4F4"/>
          </w:tcPr>
          <w:p>
            <w:pPr>
              <w:pStyle w:val="TableParagraph"/>
              <w:spacing w:before="40"/>
              <w:ind w:right="98"/>
              <w:jc w:val="right"/>
              <w:rPr>
                <w:b/>
                <w:sz w:val="18"/>
              </w:rPr>
            </w:pPr>
            <w:r>
              <w:rPr>
                <w:b/>
                <w:sz w:val="18"/>
              </w:rPr>
              <w:t>28,763</w:t>
            </w:r>
          </w:p>
        </w:tc>
        <w:tc>
          <w:tcPr>
            <w:tcW w:w="1275" w:type="dxa"/>
            <w:tcBorders>
              <w:top w:val="single" w:sz="4" w:space="0" w:color="000000"/>
              <w:left w:val="single" w:sz="8" w:space="0" w:color="FFFFFF"/>
              <w:bottom w:val="single" w:sz="4" w:space="0" w:color="000000"/>
            </w:tcBorders>
            <w:shd w:val="clear" w:color="auto" w:fill="F4F4F4"/>
          </w:tcPr>
          <w:p>
            <w:pPr>
              <w:pStyle w:val="TableParagraph"/>
              <w:spacing w:before="40"/>
              <w:ind w:right="115"/>
              <w:jc w:val="right"/>
              <w:rPr>
                <w:b/>
                <w:sz w:val="18"/>
              </w:rPr>
            </w:pPr>
            <w:r>
              <w:rPr>
                <w:b/>
                <w:w w:val="95"/>
                <w:sz w:val="18"/>
              </w:rPr>
              <w:t>(13,861)</w:t>
            </w:r>
          </w:p>
        </w:tc>
      </w:tr>
    </w:tbl>
    <w:p>
      <w:pPr>
        <w:spacing w:after="0"/>
        <w:jc w:val="right"/>
        <w:rPr>
          <w:sz w:val="18"/>
        </w:rPr>
        <w:sectPr>
          <w:footerReference w:type="default" r:id="rId138"/>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shape style="position:absolute;margin-left:601.348999pt;margin-top:-67.721718pt;width:120.3pt;height:42.55pt;mso-position-horizontal-relative:page;mso-position-vertical-relative:paragraph;z-index:12232"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721718pt;width:120.3pt;height:42.55pt;mso-position-horizontal-relative:page;mso-position-vertical-relative:paragraph;z-index:1225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721718pt;width:120.3pt;height:42.55pt;mso-position-horizontal-relative:page;mso-position-vertical-relative:paragraph;z-index:12280"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spacing w:val="-11"/>
        </w:rPr>
        <w:t>Summary</w:t>
      </w:r>
      <w:r>
        <w:rPr>
          <w:color w:val="6F2770"/>
          <w:spacing w:val="-102"/>
        </w:rPr>
        <w:t> </w:t>
      </w:r>
      <w:r>
        <w:rPr>
          <w:color w:val="6F2770"/>
          <w:spacing w:val="-13"/>
        </w:rPr>
        <w:t>of</w:t>
      </w:r>
      <w:r>
        <w:rPr>
          <w:color w:val="6F2770"/>
          <w:spacing w:val="-102"/>
        </w:rPr>
        <w:t> </w:t>
      </w:r>
      <w:r>
        <w:rPr>
          <w:color w:val="6F2770"/>
          <w:spacing w:val="-19"/>
        </w:rPr>
        <w:t>Consolidated</w:t>
      </w:r>
      <w:r>
        <w:rPr>
          <w:color w:val="6F2770"/>
          <w:spacing w:val="-102"/>
        </w:rPr>
        <w:t> </w:t>
      </w:r>
      <w:r>
        <w:rPr>
          <w:color w:val="6F2770"/>
          <w:spacing w:val="-17"/>
        </w:rPr>
        <w:t>Account</w:t>
      </w:r>
      <w:r>
        <w:rPr>
          <w:color w:val="6F2770"/>
          <w:spacing w:val="-102"/>
        </w:rPr>
        <w:t> </w:t>
      </w:r>
      <w:r>
        <w:rPr>
          <w:color w:val="6F2770"/>
          <w:spacing w:val="-17"/>
        </w:rPr>
        <w:t>Appropriations</w:t>
      </w:r>
      <w:r>
        <w:rPr>
          <w:color w:val="6F2770"/>
          <w:spacing w:val="-102"/>
        </w:rPr>
        <w:t> </w:t>
      </w:r>
      <w:r>
        <w:rPr>
          <w:color w:val="6F2770"/>
          <w:spacing w:val="-11"/>
        </w:rPr>
        <w:t>and</w:t>
      </w:r>
      <w:r>
        <w:rPr>
          <w:color w:val="6F2770"/>
          <w:spacing w:val="-102"/>
        </w:rPr>
        <w:t> </w:t>
      </w:r>
      <w:r>
        <w:rPr>
          <w:color w:val="6F2770"/>
          <w:spacing w:val="-15"/>
        </w:rPr>
        <w:t>Income</w:t>
      </w:r>
      <w:r>
        <w:rPr>
          <w:color w:val="6F2770"/>
          <w:spacing w:val="-102"/>
        </w:rPr>
        <w:t> </w:t>
      </w:r>
      <w:r>
        <w:rPr>
          <w:color w:val="6F2770"/>
          <w:spacing w:val="-20"/>
        </w:rPr>
        <w:t>Estimates</w:t>
      </w:r>
    </w:p>
    <w:p>
      <w:pPr>
        <w:pStyle w:val="Heading4"/>
        <w:spacing w:before="28"/>
      </w:pPr>
      <w:r>
        <w:rPr/>
        <w:pict>
          <v:group style="position:absolute;margin-left:670.393677pt;margin-top:63.664383pt;width:133.25pt;height:328.5pt;mso-position-horizontal-relative:page;mso-position-vertical-relative:paragraph;z-index:-700336" coordorigin="13408,1273" coordsize="2665,6570">
            <v:shape style="position:absolute;left:13407;top:1273;width:2665;height:896" coordorigin="13408,1273" coordsize="2665,896" path="m16072,1870l14740,1870,13408,1870,13408,2169,14740,2169,16072,2169,16072,1870m16072,1273l14740,1273,13408,1273,13408,1572,14740,1572,16072,1572,16072,1273e" filled="true" fillcolor="#f4f4f4" stroked="false">
              <v:path arrowok="t"/>
              <v:fill type="solid"/>
            </v:shape>
            <v:shape style="position:absolute;left:13407;top:1571;width:2665;height:299" coordorigin="13408,1572" coordsize="2665,299" path="m16072,1572l14740,1572,13408,1572,13408,1870,14740,1870,16072,1870,16072,1572e" filled="true" fillcolor="#faf9f9" stroked="false">
              <v:path arrowok="t"/>
              <v:fill type="solid"/>
            </v:shape>
            <v:shape style="position:absolute;left:13407;top:2467;width:2665;height:299" coordorigin="13408,2468" coordsize="2665,299" path="m16072,2468l14740,2468,13408,2468,13408,2766,14740,2766,16072,2766,16072,2468e" filled="true" fillcolor="#f4f4f4" stroked="false">
              <v:path arrowok="t"/>
              <v:fill type="solid"/>
            </v:shape>
            <v:shape style="position:absolute;left:13407;top:2169;width:2665;height:299" coordorigin="13408,2169" coordsize="2665,299" path="m16072,2169l14740,2169,13408,2169,13408,2468,14740,2468,16072,2468,16072,2169e" filled="true" fillcolor="#faf9f9" stroked="false">
              <v:path arrowok="t"/>
              <v:fill type="solid"/>
            </v:shape>
            <v:shape style="position:absolute;left:13407;top:3064;width:2665;height:299" coordorigin="13408,3065" coordsize="2665,299" path="m16072,3065l14740,3065,13408,3065,13408,3363,14740,3363,16072,3363,16072,3065e" filled="true" fillcolor="#f4f4f4" stroked="false">
              <v:path arrowok="t"/>
              <v:fill type="solid"/>
            </v:shape>
            <v:shape style="position:absolute;left:13407;top:2766;width:2665;height:299" coordorigin="13408,2766" coordsize="2665,299" path="m16072,2766l14740,2766,13408,2766,13408,3065,14740,3065,16072,3065,16072,2766e" filled="true" fillcolor="#faf9f9" stroked="false">
              <v:path arrowok="t"/>
              <v:fill type="solid"/>
            </v:shape>
            <v:shape style="position:absolute;left:13407;top:3662;width:2665;height:299" coordorigin="13408,3662" coordsize="2665,299" path="m16072,3662l14740,3662,13408,3662,13408,3961,14740,3961,16072,3961,16072,3662e" filled="true" fillcolor="#f4f4f4" stroked="false">
              <v:path arrowok="t"/>
              <v:fill type="solid"/>
            </v:shape>
            <v:shape style="position:absolute;left:13407;top:3363;width:2665;height:299" coordorigin="13408,3363" coordsize="2665,299" path="m16072,3363l14740,3363,13408,3363,13408,3662,14740,3662,16072,3662,16072,3363e" filled="true" fillcolor="#faf9f9" stroked="false">
              <v:path arrowok="t"/>
              <v:fill type="solid"/>
            </v:shape>
            <v:shape style="position:absolute;left:13407;top:4259;width:2665;height:299" coordorigin="13408,4259" coordsize="2665,299" path="m16072,4259l14740,4259,13408,4259,13408,4558,14740,4558,16072,4558,16072,4259e" filled="true" fillcolor="#f4f4f4" stroked="false">
              <v:path arrowok="t"/>
              <v:fill type="solid"/>
            </v:shape>
            <v:shape style="position:absolute;left:13407;top:3960;width:2665;height:299" coordorigin="13408,3961" coordsize="2665,299" path="m16072,3961l14740,3961,13408,3961,13408,4259,14740,4259,16072,4259,16072,3961e" filled="true" fillcolor="#faf9f9" stroked="false">
              <v:path arrowok="t"/>
              <v:fill type="solid"/>
            </v:shape>
            <v:shape style="position:absolute;left:13407;top:4856;width:2665;height:299" coordorigin="13408,4856" coordsize="2665,299" path="m16072,4856l14740,4856,13408,4856,13408,5155,14740,5155,16072,5155,16072,4856e" filled="true" fillcolor="#f4f4f4" stroked="false">
              <v:path arrowok="t"/>
              <v:fill type="solid"/>
            </v:shape>
            <v:shape style="position:absolute;left:13407;top:4557;width:2665;height:299" coordorigin="13408,4558" coordsize="2665,299" path="m16072,4558l14740,4558,13408,4558,13408,4856,14740,4856,16072,4856,16072,4558e" filled="true" fillcolor="#faf9f9" stroked="false">
              <v:path arrowok="t"/>
              <v:fill type="solid"/>
            </v:shape>
            <v:shape style="position:absolute;left:13407;top:5453;width:2665;height:299" coordorigin="13408,5454" coordsize="2665,299" path="m16072,5454l14740,5454,13408,5454,13408,5752,14740,5752,16072,5752,16072,5454e" filled="true" fillcolor="#f4f4f4" stroked="false">
              <v:path arrowok="t"/>
              <v:fill type="solid"/>
            </v:shape>
            <v:shape style="position:absolute;left:13407;top:5155;width:2665;height:299" coordorigin="13408,5155" coordsize="2665,299" path="m16072,5155l14740,5155,13408,5155,13408,5454,14740,5454,16072,5454,16072,5155e" filled="true" fillcolor="#faf9f9" stroked="false">
              <v:path arrowok="t"/>
              <v:fill type="solid"/>
            </v:shape>
            <v:shape style="position:absolute;left:13407;top:6050;width:2665;height:299" coordorigin="13408,6051" coordsize="2665,299" path="m16072,6051l14740,6051,13408,6051,13408,6349,14740,6349,16072,6349,16072,6051e" filled="true" fillcolor="#f4f4f4" stroked="false">
              <v:path arrowok="t"/>
              <v:fill type="solid"/>
            </v:shape>
            <v:shape style="position:absolute;left:13407;top:5752;width:2665;height:299" coordorigin="13408,5752" coordsize="2665,299" path="m16072,5752l14740,5752,13408,5752,13408,6051,14740,6051,16072,6051,16072,5752e" filled="true" fillcolor="#faf9f9" stroked="false">
              <v:path arrowok="t"/>
              <v:fill type="solid"/>
            </v:shape>
            <v:shape style="position:absolute;left:13407;top:6648;width:2665;height:299" coordorigin="13408,6648" coordsize="2665,299" path="m16072,6648l14740,6648,13408,6648,13408,6947,14740,6947,16072,6947,16072,6648e" filled="true" fillcolor="#f4f4f4" stroked="false">
              <v:path arrowok="t"/>
              <v:fill type="solid"/>
            </v:shape>
            <v:shape style="position:absolute;left:13407;top:6349;width:2665;height:299" coordorigin="13408,6349" coordsize="2665,299" path="m16072,6349l14740,6349,13408,6349,13408,6648,14740,6648,16072,6648,16072,6349e" filled="true" fillcolor="#faf9f9" stroked="false">
              <v:path arrowok="t"/>
              <v:fill type="solid"/>
            </v:shape>
            <v:shape style="position:absolute;left:13407;top:7245;width:2665;height:299" coordorigin="13408,7245" coordsize="2665,299" path="m16072,7245l14740,7245,13408,7245,13408,7544,14740,7544,16072,7544,16072,7245e" filled="true" fillcolor="#f4f4f4" stroked="false">
              <v:path arrowok="t"/>
              <v:fill type="solid"/>
            </v:shape>
            <v:shape style="position:absolute;left:13407;top:6946;width:2665;height:896" coordorigin="13408,6947" coordsize="2665,896" path="m16072,7544l14740,7544,13408,7544,13408,7842,14740,7842,16072,7842,16072,7544m16072,6947l14740,6947,13408,6947,13408,7245,14740,7245,16072,7245,16072,6947e" filled="true" fillcolor="#faf9f9" stroked="false">
              <v:path arrowok="t"/>
              <v:fill type="solid"/>
            </v:shape>
            <v:shape style="position:absolute;left:13407;top:2457;width:2665;height:4499" coordorigin="13408,2458" coordsize="2665,4499" path="m16072,6937l14740,6937,13408,6937,13408,6957,14740,6957,16072,6957,16072,6937m16072,6638l14740,6638,13408,6638,13408,6658,14740,6658,16072,6658,16072,6638m16072,5444l14740,5444,13408,5444,13408,5464,14740,5464,16072,5464,16072,5444m16072,4548l14740,4548,13408,4548,13408,4568,14740,4568,16072,4568,16072,4548m16072,4249l14740,4249,13408,4249,13408,4269,14740,4269,16072,4269,16072,4249m16072,3055l14740,3055,13408,3055,13408,3075,14740,3075,16072,3075,16072,3055m16072,2756l14740,2756,13408,2756,13408,2776,14740,2776,16072,2776,16072,2756m16072,2458l14740,2458,13408,2458,13408,2478,14740,2478,16072,2478,16072,2458e" filled="true" fillcolor="#ffffff" stroked="false">
              <v:path arrowok="t"/>
              <v:fill type="solid"/>
            </v:shape>
            <v:line style="position:absolute" from="14740,1860" to="14740,1582" stroked="true" strokeweight="1pt" strokecolor="#ffffff">
              <v:stroke dashstyle="solid"/>
            </v:line>
            <v:line style="position:absolute" from="14740,2159" to="14740,1880" stroked="true" strokeweight="1pt" strokecolor="#ffffff">
              <v:stroke dashstyle="solid"/>
            </v:line>
            <v:line style="position:absolute" from="14740,2458" to="14740,2179" stroked="true" strokeweight="1pt" strokecolor="#ffffff">
              <v:stroke dashstyle="solid"/>
            </v:line>
            <v:line style="position:absolute" from="14740,2756" to="14740,2478" stroked="true" strokeweight="1pt" strokecolor="#ffffff">
              <v:stroke dashstyle="solid"/>
            </v:line>
            <v:line style="position:absolute" from="14740,3055" to="14740,2776" stroked="true" strokeweight="1pt" strokecolor="#ffffff">
              <v:stroke dashstyle="solid"/>
            </v:line>
            <v:line style="position:absolute" from="14740,3353" to="14740,3075" stroked="true" strokeweight="1pt" strokecolor="#ffffff">
              <v:stroke dashstyle="solid"/>
            </v:line>
            <v:line style="position:absolute" from="14740,3951" to="14740,3672" stroked="true" strokeweight="1pt" strokecolor="#ffffff">
              <v:stroke dashstyle="solid"/>
            </v:line>
            <v:line style="position:absolute" from="14740,4249" to="14740,3971" stroked="true" strokeweight="1pt" strokecolor="#ffffff">
              <v:stroke dashstyle="solid"/>
            </v:line>
            <v:line style="position:absolute" from="14740,4548" to="14740,4269" stroked="true" strokeweight="1pt" strokecolor="#ffffff">
              <v:stroke dashstyle="solid"/>
            </v:line>
            <v:line style="position:absolute" from="14740,4851" to="14740,4568" stroked="true" strokeweight="1pt" strokecolor="#ffffff">
              <v:stroke dashstyle="solid"/>
            </v:line>
            <v:line style="position:absolute" from="14740,5444" to="14740,5160" stroked="true" strokeweight="1pt" strokecolor="#ffffff">
              <v:stroke dashstyle="solid"/>
            </v:line>
            <v:line style="position:absolute" from="14740,5742" to="14740,5464" stroked="true" strokeweight="1pt" strokecolor="#ffffff">
              <v:stroke dashstyle="solid"/>
            </v:line>
            <v:line style="position:absolute" from="14740,6046" to="14740,5762" stroked="true" strokeweight="1pt" strokecolor="#ffffff">
              <v:stroke dashstyle="solid"/>
            </v:line>
            <v:line style="position:absolute" from="14740,6937" to="14740,6658" stroked="true" strokeweight="1pt" strokecolor="#ffffff">
              <v:stroke dashstyle="solid"/>
            </v:line>
            <v:line style="position:absolute" from="14740,7240" to="14740,6957" stroked="true" strokeweight="1pt" strokecolor="#ffffff">
              <v:stroke dashstyle="solid"/>
            </v:line>
            <v:shape style="position:absolute;left:13407;top:2159;width:2665;height:20" coordorigin="13408,2159" coordsize="2665,20" path="m16072,2159l14740,2159,13408,2159,13408,2179,14740,2179,16072,2179,16072,2159e" filled="true" fillcolor="#ffffff" stroked="false">
              <v:path arrowok="t"/>
              <v:fill type="solid"/>
            </v:shape>
            <v:line style="position:absolute" from="14740,1562" to="14740,1278" stroked="true" strokeweight="1pt" strokecolor="#ffffff">
              <v:stroke dashstyle="solid"/>
            </v:line>
            <v:line style="position:absolute" from="14740,3652" to="14740,3373" stroked="true" strokeweight="1pt" strokecolor="#ffffff">
              <v:stroke dashstyle="solid"/>
            </v:line>
            <v:shape style="position:absolute;left:13407;top:1561;width:2665;height:2111" coordorigin="13408,1562" coordsize="2665,2111" path="m16072,3652l14740,3652,13408,3652,13408,3672,14740,3672,16072,3672,16072,3652m16072,3353l14740,3353,13408,3353,13408,3373,14740,3373,16072,3373,16072,3353m16072,1860l14740,1860,13408,1860,13408,1880,14740,1880,16072,1880,16072,1860m16072,1562l14740,1562,13408,1562,13408,1582,14740,1582,16072,1582,16072,1562e" filled="true" fillcolor="#ffffff" stroked="false">
              <v:path arrowok="t"/>
              <v:fill type="solid"/>
            </v:shape>
            <v:line style="position:absolute" from="13408,3952" to="14740,3952" stroked="true" strokeweight=".167pt" strokecolor="#ffffff">
              <v:stroke dashstyle="solid"/>
            </v:line>
            <v:line style="position:absolute" from="13408,3969" to="14740,3969" stroked="true" strokeweight=".167pt" strokecolor="#ffffff">
              <v:stroke dashstyle="solid"/>
            </v:line>
            <v:line style="position:absolute" from="14740,3952" to="16072,3952" stroked="true" strokeweight=".167pt" strokecolor="#ffffff">
              <v:stroke dashstyle="solid"/>
            </v:line>
            <v:line style="position:absolute" from="14740,3969" to="16072,3969" stroked="true" strokeweight=".167pt" strokecolor="#ffffff">
              <v:stroke dashstyle="solid"/>
            </v:line>
            <v:shape style="position:absolute;left:13407;top:5742;width:2665;height:20" coordorigin="13408,5742" coordsize="2665,20" path="m16072,5742l14740,5742,13408,5742,13408,5762,14740,5762,16072,5762,16072,5742e" filled="true" fillcolor="#ffffff" stroked="false">
              <v:path arrowok="t"/>
              <v:fill type="solid"/>
            </v:shape>
            <v:line style="position:absolute" from="14740,6344" to="14740,6056" stroked="true" strokeweight="1pt" strokecolor="#ffffff">
              <v:stroke dashstyle="solid"/>
            </v:line>
            <v:line style="position:absolute" from="14740,6638" to="14740,6354" stroked="true" strokeweight="1pt" strokecolor="#ffffff">
              <v:stroke dashstyle="solid"/>
            </v:line>
            <v:line style="position:absolute" from="14740,7812" to="14740,7549" stroked="true" strokeweight="1pt" strokecolor="#ffffff">
              <v:stroke dashstyle="solid"/>
            </v:line>
            <v:line style="position:absolute" from="14740,5150" to="14740,4861" stroked="true" strokeweight="1pt" strokecolor="#ffffff">
              <v:stroke dashstyle="solid"/>
            </v:line>
            <w10:wrap type="none"/>
          </v:group>
        </w:pict>
      </w:r>
      <w:r>
        <w:rPr>
          <w:color w:val="6F2770"/>
        </w:rPr>
        <w:t>For the year ended 30 June 2018</w:t>
      </w:r>
    </w:p>
    <w:p>
      <w:pPr>
        <w:pStyle w:val="BodyText"/>
        <w:spacing w:before="4"/>
        <w:rPr>
          <w:sz w:val="8"/>
        </w:rPr>
      </w:pPr>
    </w:p>
    <w:tbl>
      <w:tblPr>
        <w:tblW w:w="0" w:type="auto"/>
        <w:jc w:val="left"/>
        <w:tblInd w:w="772" w:type="dxa"/>
        <w:tblBorders>
          <w:top w:val="single" w:sz="4" w:space="0" w:color="6F2770"/>
          <w:left w:val="single" w:sz="4" w:space="0" w:color="6F2770"/>
          <w:bottom w:val="single" w:sz="4" w:space="0" w:color="6F2770"/>
          <w:right w:val="single" w:sz="4" w:space="0" w:color="6F2770"/>
          <w:insideH w:val="single" w:sz="4" w:space="0" w:color="6F2770"/>
          <w:insideV w:val="single" w:sz="4" w:space="0" w:color="6F2770"/>
        </w:tblBorders>
        <w:tblLayout w:type="fixed"/>
        <w:tblCellMar>
          <w:top w:w="0" w:type="dxa"/>
          <w:left w:w="0" w:type="dxa"/>
          <w:bottom w:w="0" w:type="dxa"/>
          <w:right w:w="0" w:type="dxa"/>
        </w:tblCellMar>
        <w:tblLook w:val="01E0"/>
      </w:tblPr>
      <w:tblGrid>
        <w:gridCol w:w="7313"/>
        <w:gridCol w:w="1332"/>
        <w:gridCol w:w="1332"/>
        <w:gridCol w:w="1342"/>
        <w:gridCol w:w="1322"/>
        <w:gridCol w:w="1507"/>
        <w:gridCol w:w="1158"/>
      </w:tblGrid>
      <w:tr>
        <w:trPr>
          <w:trHeight w:val="730" w:hRule="atLeast"/>
        </w:trPr>
        <w:tc>
          <w:tcPr>
            <w:tcW w:w="8645" w:type="dxa"/>
            <w:gridSpan w:val="2"/>
            <w:tcBorders>
              <w:top w:val="nil"/>
              <w:left w:val="nil"/>
              <w:right w:val="nil"/>
            </w:tcBorders>
            <w:shd w:val="clear" w:color="auto" w:fill="783A79"/>
          </w:tcPr>
          <w:p>
            <w:pPr>
              <w:pStyle w:val="TableParagraph"/>
              <w:spacing w:before="49"/>
              <w:ind w:right="115"/>
              <w:jc w:val="right"/>
              <w:rPr>
                <w:b/>
                <w:sz w:val="18"/>
              </w:rPr>
            </w:pPr>
            <w:r>
              <w:rPr>
                <w:b/>
                <w:color w:val="FFFFFF"/>
                <w:spacing w:val="-3"/>
                <w:sz w:val="18"/>
              </w:rPr>
              <w:t>2018</w:t>
            </w:r>
          </w:p>
          <w:p>
            <w:pPr>
              <w:pStyle w:val="TableParagraph"/>
              <w:spacing w:before="9"/>
              <w:ind w:right="110"/>
              <w:jc w:val="right"/>
              <w:rPr>
                <w:b/>
                <w:sz w:val="18"/>
              </w:rPr>
            </w:pPr>
            <w:r>
              <w:rPr>
                <w:b/>
                <w:color w:val="FFFFFF"/>
                <w:sz w:val="18"/>
              </w:rPr>
              <w:t>Estimate</w:t>
            </w:r>
          </w:p>
          <w:p>
            <w:pPr>
              <w:pStyle w:val="TableParagraph"/>
              <w:spacing w:before="9"/>
              <w:ind w:right="105"/>
              <w:jc w:val="right"/>
              <w:rPr>
                <w:b/>
                <w:sz w:val="18"/>
              </w:rPr>
            </w:pPr>
            <w:r>
              <w:rPr>
                <w:b/>
                <w:color w:val="FFFFFF"/>
                <w:spacing w:val="5"/>
                <w:w w:val="95"/>
                <w:sz w:val="18"/>
              </w:rPr>
              <w:t>$000</w:t>
            </w:r>
          </w:p>
        </w:tc>
        <w:tc>
          <w:tcPr>
            <w:tcW w:w="1332" w:type="dxa"/>
            <w:tcBorders>
              <w:top w:val="nil"/>
              <w:left w:val="nil"/>
              <w:right w:val="nil"/>
            </w:tcBorders>
            <w:shd w:val="clear" w:color="auto" w:fill="783A79"/>
          </w:tcPr>
          <w:p>
            <w:pPr>
              <w:pStyle w:val="TableParagraph"/>
              <w:spacing w:before="49"/>
              <w:ind w:left="718" w:right="14"/>
              <w:jc w:val="center"/>
              <w:rPr>
                <w:b/>
                <w:sz w:val="18"/>
              </w:rPr>
            </w:pPr>
            <w:r>
              <w:rPr>
                <w:b/>
                <w:color w:val="FFFFFF"/>
                <w:spacing w:val="-3"/>
                <w:sz w:val="18"/>
              </w:rPr>
              <w:t>2018</w:t>
            </w:r>
          </w:p>
          <w:p>
            <w:pPr>
              <w:pStyle w:val="TableParagraph"/>
              <w:spacing w:before="9"/>
              <w:ind w:left="553"/>
              <w:jc w:val="center"/>
              <w:rPr>
                <w:b/>
                <w:sz w:val="18"/>
              </w:rPr>
            </w:pPr>
            <w:r>
              <w:rPr>
                <w:b/>
                <w:color w:val="FFFFFF"/>
                <w:sz w:val="18"/>
              </w:rPr>
              <w:t>Actual</w:t>
            </w:r>
          </w:p>
          <w:p>
            <w:pPr>
              <w:pStyle w:val="TableParagraph"/>
              <w:spacing w:before="9"/>
              <w:ind w:left="718" w:right="23"/>
              <w:jc w:val="center"/>
              <w:rPr>
                <w:b/>
                <w:sz w:val="18"/>
              </w:rPr>
            </w:pPr>
            <w:r>
              <w:rPr>
                <w:b/>
                <w:color w:val="FFFFFF"/>
                <w:spacing w:val="5"/>
                <w:sz w:val="18"/>
              </w:rPr>
              <w:t>$000</w:t>
            </w:r>
          </w:p>
        </w:tc>
        <w:tc>
          <w:tcPr>
            <w:tcW w:w="1342" w:type="dxa"/>
            <w:tcBorders>
              <w:top w:val="nil"/>
              <w:left w:val="nil"/>
              <w:right w:val="nil"/>
            </w:tcBorders>
            <w:shd w:val="clear" w:color="auto" w:fill="783A79"/>
          </w:tcPr>
          <w:p>
            <w:pPr>
              <w:pStyle w:val="TableParagraph"/>
              <w:spacing w:before="49"/>
              <w:ind w:left="464"/>
              <w:rPr>
                <w:b/>
                <w:sz w:val="18"/>
              </w:rPr>
            </w:pPr>
            <w:r>
              <w:rPr>
                <w:b/>
                <w:color w:val="FFFFFF"/>
                <w:sz w:val="18"/>
              </w:rPr>
              <w:t>Variance</w:t>
            </w:r>
          </w:p>
          <w:p>
            <w:pPr>
              <w:pStyle w:val="TableParagraph"/>
              <w:spacing w:before="7"/>
              <w:rPr>
                <w:sz w:val="19"/>
              </w:rPr>
            </w:pPr>
          </w:p>
          <w:p>
            <w:pPr>
              <w:pStyle w:val="TableParagraph"/>
              <w:spacing w:before="0"/>
              <w:ind w:left="803"/>
              <w:rPr>
                <w:b/>
                <w:sz w:val="18"/>
              </w:rPr>
            </w:pPr>
            <w:r>
              <w:rPr>
                <w:b/>
                <w:color w:val="FFFFFF"/>
                <w:spacing w:val="5"/>
                <w:sz w:val="18"/>
              </w:rPr>
              <w:t>$000</w:t>
            </w:r>
          </w:p>
        </w:tc>
        <w:tc>
          <w:tcPr>
            <w:tcW w:w="1322" w:type="dxa"/>
            <w:tcBorders>
              <w:top w:val="nil"/>
              <w:left w:val="nil"/>
              <w:right w:val="nil"/>
            </w:tcBorders>
            <w:shd w:val="clear" w:color="auto" w:fill="783A79"/>
          </w:tcPr>
          <w:p>
            <w:pPr>
              <w:pStyle w:val="TableParagraph"/>
              <w:spacing w:before="49"/>
              <w:ind w:left="708" w:right="13"/>
              <w:jc w:val="center"/>
              <w:rPr>
                <w:b/>
                <w:sz w:val="18"/>
              </w:rPr>
            </w:pPr>
            <w:r>
              <w:rPr>
                <w:b/>
                <w:color w:val="FFFFFF"/>
                <w:spacing w:val="-3"/>
                <w:sz w:val="18"/>
              </w:rPr>
              <w:t>2018</w:t>
            </w:r>
          </w:p>
          <w:p>
            <w:pPr>
              <w:pStyle w:val="TableParagraph"/>
              <w:spacing w:before="9"/>
              <w:ind w:left="543"/>
              <w:jc w:val="center"/>
              <w:rPr>
                <w:b/>
                <w:sz w:val="18"/>
              </w:rPr>
            </w:pPr>
            <w:r>
              <w:rPr>
                <w:b/>
                <w:color w:val="FFFFFF"/>
                <w:sz w:val="18"/>
              </w:rPr>
              <w:t>Actual</w:t>
            </w:r>
          </w:p>
          <w:p>
            <w:pPr>
              <w:pStyle w:val="TableParagraph"/>
              <w:spacing w:before="9"/>
              <w:ind w:left="708" w:right="22"/>
              <w:jc w:val="center"/>
              <w:rPr>
                <w:b/>
                <w:sz w:val="18"/>
              </w:rPr>
            </w:pPr>
            <w:r>
              <w:rPr>
                <w:b/>
                <w:color w:val="FFFFFF"/>
                <w:spacing w:val="5"/>
                <w:sz w:val="18"/>
              </w:rPr>
              <w:t>$000</w:t>
            </w:r>
          </w:p>
        </w:tc>
        <w:tc>
          <w:tcPr>
            <w:tcW w:w="1507" w:type="dxa"/>
            <w:tcBorders>
              <w:top w:val="nil"/>
              <w:left w:val="nil"/>
              <w:right w:val="nil"/>
            </w:tcBorders>
            <w:shd w:val="clear" w:color="auto" w:fill="783A79"/>
          </w:tcPr>
          <w:p>
            <w:pPr>
              <w:pStyle w:val="TableParagraph"/>
              <w:spacing w:before="49"/>
              <w:ind w:left="580" w:right="39"/>
              <w:jc w:val="center"/>
              <w:rPr>
                <w:b/>
                <w:sz w:val="18"/>
              </w:rPr>
            </w:pPr>
            <w:r>
              <w:rPr>
                <w:b/>
                <w:color w:val="FFFFFF"/>
                <w:spacing w:val="-3"/>
                <w:sz w:val="18"/>
              </w:rPr>
              <w:t>2017</w:t>
            </w:r>
          </w:p>
          <w:p>
            <w:pPr>
              <w:pStyle w:val="TableParagraph"/>
              <w:spacing w:before="9"/>
              <w:ind w:left="580" w:right="201"/>
              <w:jc w:val="center"/>
              <w:rPr>
                <w:b/>
                <w:sz w:val="18"/>
              </w:rPr>
            </w:pPr>
            <w:r>
              <w:rPr>
                <w:b/>
                <w:color w:val="FFFFFF"/>
                <w:sz w:val="18"/>
              </w:rPr>
              <w:t>Actual</w:t>
            </w:r>
          </w:p>
          <w:p>
            <w:pPr>
              <w:pStyle w:val="TableParagraph"/>
              <w:spacing w:before="9"/>
              <w:ind w:left="580" w:right="59"/>
              <w:jc w:val="center"/>
              <w:rPr>
                <w:b/>
                <w:sz w:val="18"/>
              </w:rPr>
            </w:pPr>
            <w:r>
              <w:rPr>
                <w:b/>
                <w:color w:val="FFFFFF"/>
                <w:spacing w:val="5"/>
                <w:sz w:val="18"/>
              </w:rPr>
              <w:t>$000</w:t>
            </w:r>
          </w:p>
        </w:tc>
        <w:tc>
          <w:tcPr>
            <w:tcW w:w="1158" w:type="dxa"/>
            <w:tcBorders>
              <w:top w:val="nil"/>
              <w:left w:val="nil"/>
              <w:right w:val="nil"/>
            </w:tcBorders>
            <w:shd w:val="clear" w:color="auto" w:fill="783A79"/>
          </w:tcPr>
          <w:p>
            <w:pPr>
              <w:pStyle w:val="TableParagraph"/>
              <w:spacing w:before="49"/>
              <w:ind w:left="290"/>
              <w:rPr>
                <w:b/>
                <w:sz w:val="18"/>
              </w:rPr>
            </w:pPr>
            <w:r>
              <w:rPr>
                <w:b/>
                <w:color w:val="FFFFFF"/>
                <w:sz w:val="18"/>
              </w:rPr>
              <w:t>Variance</w:t>
            </w:r>
          </w:p>
          <w:p>
            <w:pPr>
              <w:pStyle w:val="TableParagraph"/>
              <w:spacing w:before="7"/>
              <w:rPr>
                <w:sz w:val="19"/>
              </w:rPr>
            </w:pPr>
          </w:p>
          <w:p>
            <w:pPr>
              <w:pStyle w:val="TableParagraph"/>
              <w:spacing w:before="0"/>
              <w:ind w:left="628"/>
              <w:rPr>
                <w:b/>
                <w:sz w:val="18"/>
              </w:rPr>
            </w:pPr>
            <w:r>
              <w:rPr>
                <w:b/>
                <w:color w:val="FFFFFF"/>
                <w:spacing w:val="5"/>
                <w:sz w:val="18"/>
              </w:rPr>
              <w:t>$000</w:t>
            </w:r>
          </w:p>
        </w:tc>
      </w:tr>
      <w:tr>
        <w:trPr>
          <w:trHeight w:val="283" w:hRule="atLeast"/>
        </w:trPr>
        <w:tc>
          <w:tcPr>
            <w:tcW w:w="7313" w:type="dxa"/>
            <w:tcBorders>
              <w:top w:val="single" w:sz="4" w:space="0" w:color="834D83"/>
              <w:left w:val="nil"/>
              <w:bottom w:val="single" w:sz="8" w:space="0" w:color="FFFFFF"/>
              <w:right w:val="single" w:sz="8" w:space="0" w:color="FFFFFF"/>
            </w:tcBorders>
            <w:shd w:val="clear" w:color="auto" w:fill="F4F4F4"/>
          </w:tcPr>
          <w:p>
            <w:pPr>
              <w:pStyle w:val="TableParagraph"/>
              <w:spacing w:before="39"/>
              <w:ind w:left="112"/>
              <w:rPr>
                <w:b/>
                <w:sz w:val="18"/>
              </w:rPr>
            </w:pPr>
            <w:r>
              <w:rPr>
                <w:b/>
                <w:sz w:val="18"/>
              </w:rPr>
              <w:t>DETAILS OF ADMINISTERED INCOME ESTIMATES</w:t>
            </w:r>
          </w:p>
        </w:tc>
        <w:tc>
          <w:tcPr>
            <w:tcW w:w="1332" w:type="dxa"/>
            <w:tcBorders>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332" w:type="dxa"/>
            <w:vMerge w:val="restart"/>
            <w:tcBorders>
              <w:left w:val="nil"/>
              <w:bottom w:val="single" w:sz="4" w:space="0" w:color="000000"/>
              <w:right w:val="nil"/>
            </w:tcBorders>
            <w:shd w:val="clear" w:color="auto" w:fill="E1E4BB"/>
          </w:tcPr>
          <w:p>
            <w:pPr>
              <w:pStyle w:val="TableParagraph"/>
              <w:spacing w:before="0"/>
              <w:rPr>
                <w:sz w:val="20"/>
              </w:rPr>
            </w:pPr>
          </w:p>
          <w:p>
            <w:pPr>
              <w:pStyle w:val="TableParagraph"/>
              <w:spacing w:before="0"/>
              <w:rPr>
                <w:sz w:val="20"/>
              </w:rPr>
            </w:pPr>
          </w:p>
          <w:p>
            <w:pPr>
              <w:pStyle w:val="TableParagraph"/>
              <w:spacing w:before="177"/>
              <w:ind w:left="553" w:right="82"/>
              <w:jc w:val="center"/>
              <w:rPr>
                <w:sz w:val="18"/>
              </w:rPr>
            </w:pPr>
            <w:r>
              <w:rPr>
                <w:spacing w:val="-3"/>
                <w:sz w:val="18"/>
              </w:rPr>
              <w:t>625,564</w:t>
            </w:r>
          </w:p>
          <w:p>
            <w:pPr>
              <w:pStyle w:val="TableParagraph"/>
              <w:spacing w:before="91"/>
              <w:ind w:left="553" w:right="80"/>
              <w:jc w:val="center"/>
              <w:rPr>
                <w:sz w:val="18"/>
              </w:rPr>
            </w:pPr>
            <w:r>
              <w:rPr>
                <w:spacing w:val="-3"/>
                <w:sz w:val="18"/>
              </w:rPr>
              <w:t>842,502</w:t>
            </w:r>
          </w:p>
          <w:p>
            <w:pPr>
              <w:pStyle w:val="TableParagraph"/>
              <w:spacing w:before="92"/>
              <w:ind w:left="657" w:right="88"/>
              <w:jc w:val="center"/>
              <w:rPr>
                <w:sz w:val="18"/>
              </w:rPr>
            </w:pPr>
            <w:r>
              <w:rPr>
                <w:spacing w:val="-9"/>
                <w:sz w:val="18"/>
              </w:rPr>
              <w:t>93,317</w:t>
            </w:r>
          </w:p>
          <w:p>
            <w:pPr>
              <w:pStyle w:val="TableParagraph"/>
              <w:spacing w:before="92"/>
              <w:ind w:left="429" w:right="77"/>
              <w:jc w:val="center"/>
              <w:rPr>
                <w:sz w:val="18"/>
              </w:rPr>
            </w:pPr>
            <w:r>
              <w:rPr>
                <w:spacing w:val="-6"/>
                <w:sz w:val="18"/>
              </w:rPr>
              <w:t>3,284,154</w:t>
            </w:r>
          </w:p>
          <w:p>
            <w:pPr>
              <w:pStyle w:val="TableParagraph"/>
              <w:spacing w:before="91"/>
              <w:ind w:left="659" w:right="69"/>
              <w:jc w:val="center"/>
              <w:rPr>
                <w:sz w:val="18"/>
              </w:rPr>
            </w:pPr>
            <w:r>
              <w:rPr>
                <w:spacing w:val="-7"/>
                <w:sz w:val="18"/>
              </w:rPr>
              <w:t>41,468</w:t>
            </w:r>
          </w:p>
          <w:p>
            <w:pPr>
              <w:pStyle w:val="TableParagraph"/>
              <w:spacing w:before="92"/>
              <w:ind w:left="420" w:right="88"/>
              <w:jc w:val="center"/>
              <w:rPr>
                <w:sz w:val="18"/>
              </w:rPr>
            </w:pPr>
            <w:r>
              <w:rPr>
                <w:spacing w:val="-4"/>
                <w:sz w:val="18"/>
              </w:rPr>
              <w:t>1,226,205</w:t>
            </w:r>
          </w:p>
          <w:p>
            <w:pPr>
              <w:pStyle w:val="TableParagraph"/>
              <w:spacing w:before="92"/>
              <w:ind w:left="553" w:right="84"/>
              <w:jc w:val="center"/>
              <w:rPr>
                <w:sz w:val="18"/>
              </w:rPr>
            </w:pPr>
            <w:r>
              <w:rPr>
                <w:spacing w:val="-3"/>
                <w:sz w:val="18"/>
              </w:rPr>
              <w:t>234,496</w:t>
            </w:r>
          </w:p>
          <w:p>
            <w:pPr>
              <w:pStyle w:val="TableParagraph"/>
              <w:spacing w:before="91"/>
              <w:ind w:left="553" w:right="88"/>
              <w:jc w:val="center"/>
              <w:rPr>
                <w:sz w:val="18"/>
              </w:rPr>
            </w:pPr>
            <w:r>
              <w:rPr>
                <w:sz w:val="18"/>
              </w:rPr>
              <w:t>354,663</w:t>
            </w:r>
          </w:p>
          <w:p>
            <w:pPr>
              <w:pStyle w:val="TableParagraph"/>
              <w:spacing w:before="92"/>
              <w:ind w:right="111"/>
              <w:jc w:val="right"/>
              <w:rPr>
                <w:sz w:val="18"/>
              </w:rPr>
            </w:pPr>
            <w:r>
              <w:rPr>
                <w:w w:val="99"/>
                <w:sz w:val="18"/>
              </w:rPr>
              <w:t>8</w:t>
            </w:r>
          </w:p>
          <w:p>
            <w:pPr>
              <w:pStyle w:val="TableParagraph"/>
              <w:spacing w:before="91"/>
              <w:ind w:left="653" w:right="88"/>
              <w:jc w:val="center"/>
              <w:rPr>
                <w:sz w:val="18"/>
              </w:rPr>
            </w:pPr>
            <w:r>
              <w:rPr>
                <w:spacing w:val="-2"/>
                <w:sz w:val="18"/>
              </w:rPr>
              <w:t>40,635</w:t>
            </w:r>
          </w:p>
        </w:tc>
        <w:tc>
          <w:tcPr>
            <w:tcW w:w="1342" w:type="dxa"/>
            <w:tcBorders>
              <w:left w:val="nil"/>
              <w:bottom w:val="single" w:sz="8" w:space="0" w:color="FFFFFF"/>
              <w:right w:val="nil"/>
            </w:tcBorders>
            <w:shd w:val="clear" w:color="auto" w:fill="F4F4F4"/>
          </w:tcPr>
          <w:p>
            <w:pPr>
              <w:pStyle w:val="TableParagraph"/>
              <w:spacing w:before="0"/>
              <w:rPr>
                <w:rFonts w:ascii="Times New Roman"/>
                <w:sz w:val="18"/>
              </w:rPr>
            </w:pPr>
          </w:p>
        </w:tc>
        <w:tc>
          <w:tcPr>
            <w:tcW w:w="1322" w:type="dxa"/>
            <w:vMerge w:val="restart"/>
            <w:tcBorders>
              <w:left w:val="nil"/>
              <w:bottom w:val="single" w:sz="4" w:space="0" w:color="000000"/>
              <w:right w:val="nil"/>
            </w:tcBorders>
            <w:shd w:val="clear" w:color="auto" w:fill="E1E4BB"/>
          </w:tcPr>
          <w:p>
            <w:pPr>
              <w:pStyle w:val="TableParagraph"/>
              <w:spacing w:before="0"/>
              <w:rPr>
                <w:sz w:val="20"/>
              </w:rPr>
            </w:pPr>
          </w:p>
          <w:p>
            <w:pPr>
              <w:pStyle w:val="TableParagraph"/>
              <w:spacing w:before="0"/>
              <w:rPr>
                <w:sz w:val="20"/>
              </w:rPr>
            </w:pPr>
          </w:p>
          <w:p>
            <w:pPr>
              <w:pStyle w:val="TableParagraph"/>
              <w:spacing w:before="177"/>
              <w:ind w:left="543" w:right="81"/>
              <w:jc w:val="center"/>
              <w:rPr>
                <w:sz w:val="18"/>
              </w:rPr>
            </w:pPr>
            <w:r>
              <w:rPr>
                <w:spacing w:val="-3"/>
                <w:sz w:val="18"/>
              </w:rPr>
              <w:t>625,564</w:t>
            </w:r>
          </w:p>
          <w:p>
            <w:pPr>
              <w:pStyle w:val="TableParagraph"/>
              <w:spacing w:before="91"/>
              <w:ind w:left="543" w:right="79"/>
              <w:jc w:val="center"/>
              <w:rPr>
                <w:sz w:val="18"/>
              </w:rPr>
            </w:pPr>
            <w:r>
              <w:rPr>
                <w:spacing w:val="-3"/>
                <w:sz w:val="18"/>
              </w:rPr>
              <w:t>842,502</w:t>
            </w:r>
          </w:p>
          <w:p>
            <w:pPr>
              <w:pStyle w:val="TableParagraph"/>
              <w:spacing w:before="92"/>
              <w:ind w:left="647" w:right="87"/>
              <w:jc w:val="center"/>
              <w:rPr>
                <w:sz w:val="18"/>
              </w:rPr>
            </w:pPr>
            <w:r>
              <w:rPr>
                <w:spacing w:val="-9"/>
                <w:sz w:val="18"/>
              </w:rPr>
              <w:t>93,317</w:t>
            </w:r>
          </w:p>
          <w:p>
            <w:pPr>
              <w:pStyle w:val="TableParagraph"/>
              <w:spacing w:before="92"/>
              <w:ind w:left="420" w:right="77"/>
              <w:jc w:val="center"/>
              <w:rPr>
                <w:sz w:val="18"/>
              </w:rPr>
            </w:pPr>
            <w:r>
              <w:rPr>
                <w:spacing w:val="-6"/>
                <w:sz w:val="18"/>
              </w:rPr>
              <w:t>3,284,154</w:t>
            </w:r>
          </w:p>
          <w:p>
            <w:pPr>
              <w:pStyle w:val="TableParagraph"/>
              <w:spacing w:before="91"/>
              <w:ind w:left="649" w:right="68"/>
              <w:jc w:val="center"/>
              <w:rPr>
                <w:sz w:val="18"/>
              </w:rPr>
            </w:pPr>
            <w:r>
              <w:rPr>
                <w:spacing w:val="-7"/>
                <w:sz w:val="18"/>
              </w:rPr>
              <w:t>41,468</w:t>
            </w:r>
          </w:p>
          <w:p>
            <w:pPr>
              <w:pStyle w:val="TableParagraph"/>
              <w:spacing w:before="92"/>
              <w:ind w:left="410" w:right="87"/>
              <w:jc w:val="center"/>
              <w:rPr>
                <w:sz w:val="18"/>
              </w:rPr>
            </w:pPr>
            <w:r>
              <w:rPr>
                <w:spacing w:val="-4"/>
                <w:sz w:val="18"/>
              </w:rPr>
              <w:t>1,226,205</w:t>
            </w:r>
          </w:p>
          <w:p>
            <w:pPr>
              <w:pStyle w:val="TableParagraph"/>
              <w:spacing w:before="92"/>
              <w:ind w:left="543" w:right="83"/>
              <w:jc w:val="center"/>
              <w:rPr>
                <w:sz w:val="18"/>
              </w:rPr>
            </w:pPr>
            <w:r>
              <w:rPr>
                <w:spacing w:val="-3"/>
                <w:sz w:val="18"/>
              </w:rPr>
              <w:t>234,496</w:t>
            </w:r>
          </w:p>
          <w:p>
            <w:pPr>
              <w:pStyle w:val="TableParagraph"/>
              <w:spacing w:before="91"/>
              <w:ind w:left="543" w:right="87"/>
              <w:jc w:val="center"/>
              <w:rPr>
                <w:sz w:val="18"/>
              </w:rPr>
            </w:pPr>
            <w:r>
              <w:rPr>
                <w:sz w:val="18"/>
              </w:rPr>
              <w:t>354,663</w:t>
            </w:r>
          </w:p>
          <w:p>
            <w:pPr>
              <w:pStyle w:val="TableParagraph"/>
              <w:spacing w:before="92"/>
              <w:ind w:right="110"/>
              <w:jc w:val="right"/>
              <w:rPr>
                <w:sz w:val="18"/>
              </w:rPr>
            </w:pPr>
            <w:r>
              <w:rPr>
                <w:w w:val="99"/>
                <w:sz w:val="18"/>
              </w:rPr>
              <w:t>8</w:t>
            </w:r>
          </w:p>
          <w:p>
            <w:pPr>
              <w:pStyle w:val="TableParagraph"/>
              <w:spacing w:before="91"/>
              <w:ind w:left="643" w:right="87"/>
              <w:jc w:val="center"/>
              <w:rPr>
                <w:sz w:val="18"/>
              </w:rPr>
            </w:pPr>
            <w:r>
              <w:rPr>
                <w:spacing w:val="-2"/>
                <w:sz w:val="18"/>
              </w:rPr>
              <w:t>40,635</w:t>
            </w:r>
          </w:p>
        </w:tc>
        <w:tc>
          <w:tcPr>
            <w:tcW w:w="1507" w:type="dxa"/>
            <w:vMerge w:val="restart"/>
            <w:tcBorders>
              <w:left w:val="nil"/>
              <w:bottom w:val="single" w:sz="4" w:space="0" w:color="000000"/>
              <w:right w:val="nil"/>
            </w:tcBorders>
          </w:tcPr>
          <w:p>
            <w:pPr>
              <w:pStyle w:val="TableParagraph"/>
              <w:spacing w:before="0"/>
              <w:rPr>
                <w:sz w:val="20"/>
              </w:rPr>
            </w:pPr>
          </w:p>
          <w:p>
            <w:pPr>
              <w:pStyle w:val="TableParagraph"/>
              <w:spacing w:before="0"/>
              <w:rPr>
                <w:sz w:val="20"/>
              </w:rPr>
            </w:pPr>
          </w:p>
          <w:p>
            <w:pPr>
              <w:pStyle w:val="TableParagraph"/>
              <w:spacing w:before="177"/>
              <w:ind w:left="580" w:right="255"/>
              <w:jc w:val="center"/>
              <w:rPr>
                <w:sz w:val="18"/>
              </w:rPr>
            </w:pPr>
            <w:r>
              <w:rPr>
                <w:spacing w:val="-7"/>
                <w:sz w:val="18"/>
              </w:rPr>
              <w:t>641,372</w:t>
            </w:r>
          </w:p>
          <w:p>
            <w:pPr>
              <w:pStyle w:val="TableParagraph"/>
              <w:spacing w:before="91"/>
              <w:ind w:left="580" w:right="252"/>
              <w:jc w:val="center"/>
              <w:rPr>
                <w:sz w:val="18"/>
              </w:rPr>
            </w:pPr>
            <w:r>
              <w:rPr>
                <w:spacing w:val="-7"/>
                <w:sz w:val="18"/>
              </w:rPr>
              <w:t>873,746</w:t>
            </w:r>
          </w:p>
          <w:p>
            <w:pPr>
              <w:pStyle w:val="TableParagraph"/>
              <w:spacing w:before="92"/>
              <w:ind w:left="679"/>
              <w:rPr>
                <w:sz w:val="18"/>
              </w:rPr>
            </w:pPr>
            <w:r>
              <w:rPr>
                <w:sz w:val="18"/>
              </w:rPr>
              <w:t>95,959</w:t>
            </w:r>
          </w:p>
          <w:p>
            <w:pPr>
              <w:pStyle w:val="TableParagraph"/>
              <w:spacing w:before="92"/>
              <w:ind w:left="415" w:right="262"/>
              <w:jc w:val="center"/>
              <w:rPr>
                <w:sz w:val="18"/>
              </w:rPr>
            </w:pPr>
            <w:r>
              <w:rPr>
                <w:spacing w:val="-3"/>
                <w:sz w:val="18"/>
              </w:rPr>
              <w:t>3,255,594</w:t>
            </w:r>
          </w:p>
          <w:p>
            <w:pPr>
              <w:pStyle w:val="TableParagraph"/>
              <w:spacing w:before="91"/>
              <w:ind w:left="679"/>
              <w:rPr>
                <w:sz w:val="18"/>
              </w:rPr>
            </w:pPr>
            <w:r>
              <w:rPr>
                <w:spacing w:val="-2"/>
                <w:sz w:val="18"/>
              </w:rPr>
              <w:t>40,045</w:t>
            </w:r>
          </w:p>
          <w:p>
            <w:pPr>
              <w:pStyle w:val="TableParagraph"/>
              <w:spacing w:before="92"/>
              <w:ind w:left="417" w:right="262"/>
              <w:jc w:val="center"/>
              <w:rPr>
                <w:sz w:val="18"/>
              </w:rPr>
            </w:pPr>
            <w:r>
              <w:rPr>
                <w:spacing w:val="-4"/>
                <w:sz w:val="18"/>
              </w:rPr>
              <w:t>1,356,805</w:t>
            </w:r>
          </w:p>
          <w:p>
            <w:pPr>
              <w:pStyle w:val="TableParagraph"/>
              <w:spacing w:before="92"/>
              <w:ind w:left="580" w:right="247"/>
              <w:jc w:val="center"/>
              <w:rPr>
                <w:sz w:val="18"/>
              </w:rPr>
            </w:pPr>
            <w:r>
              <w:rPr>
                <w:spacing w:val="-12"/>
                <w:sz w:val="18"/>
              </w:rPr>
              <w:t>151,014</w:t>
            </w:r>
          </w:p>
          <w:p>
            <w:pPr>
              <w:pStyle w:val="TableParagraph"/>
              <w:spacing w:before="91"/>
              <w:ind w:left="580" w:right="261"/>
              <w:jc w:val="center"/>
              <w:rPr>
                <w:sz w:val="18"/>
              </w:rPr>
            </w:pPr>
            <w:r>
              <w:rPr>
                <w:spacing w:val="-6"/>
                <w:sz w:val="18"/>
              </w:rPr>
              <w:t>344,133</w:t>
            </w:r>
          </w:p>
          <w:p>
            <w:pPr>
              <w:pStyle w:val="TableParagraph"/>
              <w:spacing w:before="92"/>
              <w:ind w:right="301"/>
              <w:jc w:val="right"/>
              <w:rPr>
                <w:sz w:val="18"/>
              </w:rPr>
            </w:pPr>
            <w:r>
              <w:rPr>
                <w:spacing w:val="-17"/>
                <w:w w:val="95"/>
                <w:sz w:val="18"/>
              </w:rPr>
              <w:t>17</w:t>
            </w:r>
          </w:p>
          <w:p>
            <w:pPr>
              <w:pStyle w:val="TableParagraph"/>
              <w:spacing w:before="91"/>
              <w:ind w:left="677"/>
              <w:rPr>
                <w:sz w:val="18"/>
              </w:rPr>
            </w:pPr>
            <w:r>
              <w:rPr>
                <w:sz w:val="18"/>
              </w:rPr>
              <w:t>40,660</w:t>
            </w:r>
          </w:p>
        </w:tc>
        <w:tc>
          <w:tcPr>
            <w:tcW w:w="1158" w:type="dxa"/>
            <w:vMerge w:val="restart"/>
            <w:tcBorders>
              <w:left w:val="nil"/>
              <w:bottom w:val="single" w:sz="4" w:space="0" w:color="000000"/>
              <w:right w:val="nil"/>
            </w:tcBorders>
          </w:tcPr>
          <w:p>
            <w:pPr>
              <w:pStyle w:val="TableParagraph"/>
              <w:spacing w:before="0"/>
              <w:rPr>
                <w:sz w:val="20"/>
              </w:rPr>
            </w:pPr>
          </w:p>
          <w:p>
            <w:pPr>
              <w:pStyle w:val="TableParagraph"/>
              <w:spacing w:before="0"/>
              <w:rPr>
                <w:sz w:val="20"/>
              </w:rPr>
            </w:pPr>
          </w:p>
          <w:p>
            <w:pPr>
              <w:pStyle w:val="TableParagraph"/>
              <w:spacing w:before="177"/>
              <w:ind w:left="400" w:right="79"/>
              <w:jc w:val="center"/>
              <w:rPr>
                <w:sz w:val="18"/>
              </w:rPr>
            </w:pPr>
            <w:r>
              <w:rPr>
                <w:spacing w:val="-5"/>
                <w:sz w:val="18"/>
              </w:rPr>
              <w:t>(15,808)</w:t>
            </w:r>
          </w:p>
          <w:p>
            <w:pPr>
              <w:pStyle w:val="TableParagraph"/>
              <w:spacing w:before="91"/>
              <w:ind w:left="404" w:right="67"/>
              <w:jc w:val="center"/>
              <w:rPr>
                <w:sz w:val="18"/>
              </w:rPr>
            </w:pPr>
            <w:r>
              <w:rPr>
                <w:spacing w:val="-6"/>
                <w:sz w:val="18"/>
              </w:rPr>
              <w:t>(31,244)</w:t>
            </w:r>
          </w:p>
          <w:p>
            <w:pPr>
              <w:pStyle w:val="TableParagraph"/>
              <w:spacing w:before="92"/>
              <w:ind w:left="495" w:right="79"/>
              <w:jc w:val="center"/>
              <w:rPr>
                <w:sz w:val="18"/>
              </w:rPr>
            </w:pPr>
            <w:r>
              <w:rPr>
                <w:spacing w:val="-5"/>
                <w:sz w:val="18"/>
              </w:rPr>
              <w:t>(2,642)</w:t>
            </w:r>
          </w:p>
          <w:p>
            <w:pPr>
              <w:pStyle w:val="TableParagraph"/>
              <w:spacing w:before="92"/>
              <w:ind w:left="404" w:right="12"/>
              <w:jc w:val="center"/>
              <w:rPr>
                <w:sz w:val="18"/>
              </w:rPr>
            </w:pPr>
            <w:r>
              <w:rPr>
                <w:sz w:val="18"/>
              </w:rPr>
              <w:t>28,560</w:t>
            </w:r>
          </w:p>
          <w:p>
            <w:pPr>
              <w:pStyle w:val="TableParagraph"/>
              <w:spacing w:before="91"/>
              <w:ind w:left="589" w:right="79"/>
              <w:jc w:val="center"/>
              <w:rPr>
                <w:sz w:val="18"/>
              </w:rPr>
            </w:pPr>
            <w:r>
              <w:rPr>
                <w:spacing w:val="-7"/>
                <w:sz w:val="18"/>
              </w:rPr>
              <w:t>1,423</w:t>
            </w:r>
          </w:p>
          <w:p>
            <w:pPr>
              <w:pStyle w:val="TableParagraph"/>
              <w:spacing w:before="92"/>
              <w:ind w:left="300" w:right="79"/>
              <w:jc w:val="center"/>
              <w:rPr>
                <w:sz w:val="18"/>
              </w:rPr>
            </w:pPr>
            <w:r>
              <w:rPr>
                <w:spacing w:val="-4"/>
                <w:sz w:val="18"/>
              </w:rPr>
              <w:t>(130,600)</w:t>
            </w:r>
          </w:p>
          <w:p>
            <w:pPr>
              <w:pStyle w:val="TableParagraph"/>
              <w:spacing w:before="92"/>
              <w:ind w:left="404" w:right="13"/>
              <w:jc w:val="center"/>
              <w:rPr>
                <w:sz w:val="18"/>
              </w:rPr>
            </w:pPr>
            <w:r>
              <w:rPr>
                <w:spacing w:val="-3"/>
                <w:sz w:val="18"/>
              </w:rPr>
              <w:t>83,482</w:t>
            </w:r>
          </w:p>
          <w:p>
            <w:pPr>
              <w:pStyle w:val="TableParagraph"/>
              <w:spacing w:before="91"/>
              <w:ind w:left="404" w:right="5"/>
              <w:jc w:val="center"/>
              <w:rPr>
                <w:sz w:val="18"/>
              </w:rPr>
            </w:pPr>
            <w:r>
              <w:rPr>
                <w:spacing w:val="-4"/>
                <w:sz w:val="18"/>
              </w:rPr>
              <w:t>10,530</w:t>
            </w:r>
          </w:p>
          <w:p>
            <w:pPr>
              <w:pStyle w:val="TableParagraph"/>
              <w:spacing w:before="92"/>
              <w:ind w:right="111"/>
              <w:jc w:val="right"/>
              <w:rPr>
                <w:sz w:val="18"/>
              </w:rPr>
            </w:pPr>
            <w:r>
              <w:rPr>
                <w:spacing w:val="-2"/>
                <w:w w:val="80"/>
                <w:sz w:val="18"/>
              </w:rPr>
              <w:t>(9)</w:t>
            </w:r>
          </w:p>
          <w:p>
            <w:pPr>
              <w:pStyle w:val="TableParagraph"/>
              <w:spacing w:before="91"/>
              <w:ind w:right="111"/>
              <w:jc w:val="right"/>
              <w:rPr>
                <w:sz w:val="18"/>
              </w:rPr>
            </w:pPr>
            <w:r>
              <w:rPr>
                <w:spacing w:val="-4"/>
                <w:w w:val="90"/>
                <w:sz w:val="18"/>
              </w:rPr>
              <w:t>(25)</w:t>
            </w: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4"/>
              <w:ind w:left="112"/>
              <w:rPr>
                <w:i/>
                <w:sz w:val="18"/>
              </w:rPr>
            </w:pPr>
            <w:r>
              <w:rPr>
                <w:i/>
                <w:color w:val="6F2770"/>
                <w:sz w:val="18"/>
              </w:rPr>
              <w:t>Taxation</w:t>
            </w:r>
          </w:p>
        </w:tc>
        <w:tc>
          <w:tcPr>
            <w:tcW w:w="1332"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AF9F9"/>
          </w:tcPr>
          <w:p>
            <w:pPr>
              <w:pStyle w:val="TableParagraph"/>
              <w:spacing w:before="0"/>
              <w:rPr>
                <w:rFonts w:ascii="Times New Roman"/>
                <w:sz w:val="18"/>
              </w:rPr>
            </w:pP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4"/>
              <w:ind w:left="112"/>
              <w:rPr>
                <w:sz w:val="18"/>
              </w:rPr>
            </w:pPr>
            <w:r>
              <w:rPr>
                <w:sz w:val="18"/>
              </w:rPr>
              <w:t>Insurance Duty</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4"/>
              <w:ind w:right="111"/>
              <w:jc w:val="right"/>
              <w:rPr>
                <w:sz w:val="18"/>
              </w:rPr>
            </w:pPr>
            <w:r>
              <w:rPr>
                <w:sz w:val="18"/>
              </w:rPr>
              <w:t>644,951</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4"/>
              <w:ind w:right="120"/>
              <w:jc w:val="right"/>
              <w:rPr>
                <w:sz w:val="18"/>
              </w:rPr>
            </w:pPr>
            <w:r>
              <w:rPr>
                <w:w w:val="95"/>
                <w:sz w:val="18"/>
              </w:rPr>
              <w:t>(19,387)</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Land Tax</w:t>
            </w:r>
          </w:p>
        </w:tc>
        <w:tc>
          <w:tcPr>
            <w:tcW w:w="1332" w:type="dxa"/>
            <w:tcBorders>
              <w:top w:val="single" w:sz="8" w:space="0" w:color="FFFFFF"/>
              <w:left w:val="single" w:sz="8" w:space="0" w:color="FFFFFF"/>
              <w:bottom w:val="single" w:sz="8" w:space="0" w:color="FFFFFF"/>
              <w:right w:val="nil"/>
            </w:tcBorders>
            <w:shd w:val="clear" w:color="auto" w:fill="FAF9F9"/>
          </w:tcPr>
          <w:p>
            <w:pPr>
              <w:pStyle w:val="TableParagraph"/>
              <w:spacing w:before="35"/>
              <w:ind w:right="111"/>
              <w:jc w:val="right"/>
              <w:rPr>
                <w:sz w:val="18"/>
              </w:rPr>
            </w:pPr>
            <w:r>
              <w:rPr>
                <w:w w:val="95"/>
                <w:sz w:val="18"/>
              </w:rPr>
              <w:t>843,916</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AF9F9"/>
          </w:tcPr>
          <w:p>
            <w:pPr>
              <w:pStyle w:val="TableParagraph"/>
              <w:spacing w:before="35"/>
              <w:ind w:right="120"/>
              <w:jc w:val="right"/>
              <w:rPr>
                <w:sz w:val="18"/>
              </w:rPr>
            </w:pPr>
            <w:r>
              <w:rPr>
                <w:w w:val="90"/>
                <w:sz w:val="18"/>
              </w:rPr>
              <w:t>(1,414)</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5"/>
              <w:ind w:left="112"/>
              <w:rPr>
                <w:sz w:val="18"/>
              </w:rPr>
            </w:pPr>
            <w:r>
              <w:rPr>
                <w:sz w:val="18"/>
              </w:rPr>
              <w:t>Metropolitan Region Improvement Tax</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5"/>
              <w:ind w:right="118"/>
              <w:jc w:val="right"/>
              <w:rPr>
                <w:sz w:val="18"/>
              </w:rPr>
            </w:pPr>
            <w:r>
              <w:rPr>
                <w:sz w:val="18"/>
              </w:rPr>
              <w:t>94,572</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5"/>
              <w:ind w:right="120"/>
              <w:jc w:val="right"/>
              <w:rPr>
                <w:sz w:val="18"/>
              </w:rPr>
            </w:pPr>
            <w:r>
              <w:rPr>
                <w:w w:val="95"/>
                <w:sz w:val="18"/>
              </w:rPr>
              <w:t>(1,255)</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Payroll Tax</w:t>
            </w:r>
          </w:p>
        </w:tc>
        <w:tc>
          <w:tcPr>
            <w:tcW w:w="1332" w:type="dxa"/>
            <w:tcBorders>
              <w:top w:val="single" w:sz="8" w:space="0" w:color="FFFFFF"/>
              <w:left w:val="single" w:sz="8" w:space="0" w:color="FFFFFF"/>
              <w:bottom w:val="single" w:sz="8" w:space="0" w:color="FFFFFF"/>
              <w:right w:val="nil"/>
            </w:tcBorders>
            <w:shd w:val="clear" w:color="auto" w:fill="FAF9F9"/>
          </w:tcPr>
          <w:p>
            <w:pPr>
              <w:pStyle w:val="TableParagraph"/>
              <w:spacing w:before="35"/>
              <w:ind w:right="111"/>
              <w:jc w:val="right"/>
              <w:rPr>
                <w:sz w:val="18"/>
              </w:rPr>
            </w:pPr>
            <w:r>
              <w:rPr>
                <w:sz w:val="18"/>
              </w:rPr>
              <w:t>3,223,117</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AF9F9"/>
          </w:tcPr>
          <w:p>
            <w:pPr>
              <w:pStyle w:val="TableParagraph"/>
              <w:spacing w:before="35"/>
              <w:ind w:right="120"/>
              <w:jc w:val="right"/>
              <w:rPr>
                <w:sz w:val="18"/>
              </w:rPr>
            </w:pPr>
            <w:r>
              <w:rPr>
                <w:sz w:val="18"/>
              </w:rPr>
              <w:t>61,037</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5"/>
              <w:ind w:left="112"/>
              <w:rPr>
                <w:sz w:val="18"/>
              </w:rPr>
            </w:pPr>
            <w:r>
              <w:rPr>
                <w:sz w:val="18"/>
              </w:rPr>
              <w:t>Racing and Wagering Western Australia Tax</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5"/>
              <w:ind w:right="111"/>
              <w:jc w:val="right"/>
              <w:rPr>
                <w:sz w:val="18"/>
              </w:rPr>
            </w:pPr>
            <w:r>
              <w:rPr>
                <w:sz w:val="18"/>
              </w:rPr>
              <w:t>46,083</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5"/>
              <w:ind w:right="120"/>
              <w:jc w:val="right"/>
              <w:rPr>
                <w:sz w:val="18"/>
              </w:rPr>
            </w:pPr>
            <w:r>
              <w:rPr>
                <w:w w:val="90"/>
                <w:sz w:val="18"/>
              </w:rPr>
              <w:t>(4,615)</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Transfer Duty</w:t>
            </w:r>
          </w:p>
        </w:tc>
        <w:tc>
          <w:tcPr>
            <w:tcW w:w="1332" w:type="dxa"/>
            <w:tcBorders>
              <w:top w:val="single" w:sz="8" w:space="0" w:color="FFFFFF"/>
              <w:left w:val="single" w:sz="8" w:space="0" w:color="FFFFFF"/>
              <w:bottom w:val="single" w:sz="8" w:space="0" w:color="FFFFFF"/>
              <w:right w:val="nil"/>
            </w:tcBorders>
            <w:shd w:val="clear" w:color="auto" w:fill="FAF9F9"/>
          </w:tcPr>
          <w:p>
            <w:pPr>
              <w:pStyle w:val="TableParagraph"/>
              <w:spacing w:before="35"/>
              <w:ind w:right="111"/>
              <w:jc w:val="right"/>
              <w:rPr>
                <w:sz w:val="18"/>
              </w:rPr>
            </w:pPr>
            <w:r>
              <w:rPr>
                <w:sz w:val="18"/>
              </w:rPr>
              <w:t>1,296,689</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AF9F9"/>
          </w:tcPr>
          <w:p>
            <w:pPr>
              <w:pStyle w:val="TableParagraph"/>
              <w:spacing w:before="35"/>
              <w:ind w:right="120"/>
              <w:jc w:val="right"/>
              <w:rPr>
                <w:sz w:val="18"/>
              </w:rPr>
            </w:pPr>
            <w:r>
              <w:rPr>
                <w:w w:val="95"/>
                <w:sz w:val="18"/>
              </w:rPr>
              <w:t>(70,484)</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vMerge w:val="restart"/>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Landholder Duty</w:t>
            </w:r>
          </w:p>
          <w:p>
            <w:pPr>
              <w:pStyle w:val="TableParagraph"/>
              <w:spacing w:before="91"/>
              <w:ind w:left="112"/>
              <w:rPr>
                <w:sz w:val="18"/>
              </w:rPr>
            </w:pPr>
            <w:r>
              <w:rPr>
                <w:sz w:val="18"/>
              </w:rPr>
              <w:t>Vehicle Licence Duty</w:t>
            </w:r>
          </w:p>
        </w:tc>
        <w:tc>
          <w:tcPr>
            <w:tcW w:w="1332" w:type="dxa"/>
            <w:vMerge w:val="restart"/>
            <w:tcBorders>
              <w:top w:val="single" w:sz="8" w:space="0" w:color="FFFFFF"/>
              <w:left w:val="single" w:sz="8" w:space="0" w:color="FFFFFF"/>
              <w:bottom w:val="single" w:sz="8" w:space="0" w:color="FFFFFF"/>
              <w:right w:val="nil"/>
            </w:tcBorders>
            <w:shd w:val="clear" w:color="auto" w:fill="FAF9F9"/>
          </w:tcPr>
          <w:p>
            <w:pPr>
              <w:pStyle w:val="TableParagraph"/>
              <w:spacing w:before="35"/>
              <w:ind w:left="581"/>
              <w:rPr>
                <w:sz w:val="18"/>
              </w:rPr>
            </w:pPr>
            <w:r>
              <w:rPr>
                <w:spacing w:val="-4"/>
                <w:sz w:val="18"/>
              </w:rPr>
              <w:t>201,000</w:t>
            </w:r>
          </w:p>
          <w:p>
            <w:pPr>
              <w:pStyle w:val="TableParagraph"/>
              <w:spacing w:before="91"/>
              <w:ind w:left="608"/>
              <w:rPr>
                <w:sz w:val="18"/>
              </w:rPr>
            </w:pPr>
            <w:r>
              <w:rPr>
                <w:spacing w:val="-8"/>
                <w:sz w:val="18"/>
              </w:rPr>
              <w:t>347,572</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double" w:sz="1" w:space="0" w:color="FFFFFF"/>
              <w:right w:val="nil"/>
            </w:tcBorders>
            <w:shd w:val="clear" w:color="auto" w:fill="F4F4F4"/>
          </w:tcPr>
          <w:p>
            <w:pPr>
              <w:pStyle w:val="TableParagraph"/>
              <w:spacing w:before="35"/>
              <w:ind w:right="121"/>
              <w:jc w:val="right"/>
              <w:rPr>
                <w:sz w:val="18"/>
              </w:rPr>
            </w:pPr>
            <w:r>
              <w:rPr>
                <w:w w:val="95"/>
                <w:sz w:val="18"/>
              </w:rPr>
              <w:t>33,496</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vMerge/>
            <w:tcBorders>
              <w:top w:val="nil"/>
              <w:left w:val="nil"/>
              <w:bottom w:val="single" w:sz="8" w:space="0" w:color="FFFFFF"/>
              <w:right w:val="single" w:sz="8" w:space="0" w:color="FFFFFF"/>
            </w:tcBorders>
            <w:shd w:val="clear" w:color="auto" w:fill="FAF9F9"/>
          </w:tcPr>
          <w:p>
            <w:pPr>
              <w:rPr>
                <w:sz w:val="2"/>
                <w:szCs w:val="2"/>
              </w:rPr>
            </w:pPr>
          </w:p>
        </w:tc>
        <w:tc>
          <w:tcPr>
            <w:tcW w:w="1332" w:type="dxa"/>
            <w:vMerge/>
            <w:tcBorders>
              <w:top w:val="nil"/>
              <w:left w:val="single" w:sz="8" w:space="0" w:color="FFFFFF"/>
              <w:bottom w:val="single" w:sz="8" w:space="0" w:color="FFFFFF"/>
              <w:right w:val="nil"/>
            </w:tcBorders>
            <w:shd w:val="clear" w:color="auto" w:fill="FAF9F9"/>
          </w:tcPr>
          <w:p>
            <w:pPr>
              <w:rPr>
                <w:sz w:val="2"/>
                <w:szCs w:val="2"/>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double" w:sz="1" w:space="0" w:color="FFFFFF"/>
              <w:left w:val="nil"/>
              <w:bottom w:val="single" w:sz="8" w:space="0" w:color="FFFFFF"/>
              <w:right w:val="nil"/>
            </w:tcBorders>
            <w:shd w:val="clear" w:color="auto" w:fill="FAF9F9"/>
          </w:tcPr>
          <w:p>
            <w:pPr>
              <w:pStyle w:val="TableParagraph"/>
              <w:spacing w:before="35"/>
              <w:ind w:right="121"/>
              <w:jc w:val="right"/>
              <w:rPr>
                <w:sz w:val="18"/>
              </w:rPr>
            </w:pPr>
            <w:r>
              <w:rPr>
                <w:sz w:val="18"/>
              </w:rPr>
              <w:t>7,091</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5"/>
              <w:ind w:left="112"/>
              <w:rPr>
                <w:sz w:val="18"/>
              </w:rPr>
            </w:pPr>
            <w:r>
              <w:rPr>
                <w:sz w:val="18"/>
              </w:rPr>
              <w:t>Other duties</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5"/>
              <w:ind w:right="111"/>
              <w:jc w:val="right"/>
              <w:rPr>
                <w:sz w:val="18"/>
              </w:rPr>
            </w:pPr>
            <w:r>
              <w:rPr>
                <w:w w:val="99"/>
                <w:sz w:val="18"/>
              </w:rPr>
              <w:t>1</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5"/>
              <w:ind w:right="120"/>
              <w:jc w:val="right"/>
              <w:rPr>
                <w:sz w:val="18"/>
              </w:rPr>
            </w:pPr>
            <w:r>
              <w:rPr>
                <w:w w:val="99"/>
                <w:sz w:val="18"/>
              </w:rPr>
              <w:t>7</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Commonwealth Mirror Taxes</w:t>
            </w:r>
          </w:p>
        </w:tc>
        <w:tc>
          <w:tcPr>
            <w:tcW w:w="1332" w:type="dxa"/>
            <w:tcBorders>
              <w:top w:val="single" w:sz="8" w:space="0" w:color="FFFFFF"/>
              <w:left w:val="single" w:sz="8" w:space="0" w:color="FFFFFF"/>
              <w:bottom w:val="single" w:sz="4" w:space="0" w:color="000000"/>
              <w:right w:val="nil"/>
            </w:tcBorders>
            <w:shd w:val="clear" w:color="auto" w:fill="FAF9F9"/>
          </w:tcPr>
          <w:p>
            <w:pPr>
              <w:pStyle w:val="TableParagraph"/>
              <w:spacing w:before="35"/>
              <w:ind w:right="111"/>
              <w:jc w:val="right"/>
              <w:rPr>
                <w:sz w:val="18"/>
              </w:rPr>
            </w:pPr>
            <w:r>
              <w:rPr>
                <w:sz w:val="18"/>
              </w:rPr>
              <w:t>41,657</w:t>
            </w:r>
          </w:p>
        </w:tc>
        <w:tc>
          <w:tcPr>
            <w:tcW w:w="1332" w:type="dxa"/>
            <w:vMerge/>
            <w:tcBorders>
              <w:top w:val="nil"/>
              <w:left w:val="nil"/>
              <w:bottom w:val="single" w:sz="4" w:space="0" w:color="000000"/>
              <w:right w:val="nil"/>
            </w:tcBorders>
            <w:shd w:val="clear" w:color="auto" w:fill="E1E4BB"/>
          </w:tcPr>
          <w:p>
            <w:pPr>
              <w:rPr>
                <w:sz w:val="2"/>
                <w:szCs w:val="2"/>
              </w:rPr>
            </w:pPr>
          </w:p>
        </w:tc>
        <w:tc>
          <w:tcPr>
            <w:tcW w:w="1342" w:type="dxa"/>
            <w:tcBorders>
              <w:top w:val="single" w:sz="8" w:space="0" w:color="FFFFFF"/>
              <w:left w:val="nil"/>
              <w:bottom w:val="single" w:sz="4" w:space="0" w:color="000000"/>
              <w:right w:val="nil"/>
            </w:tcBorders>
            <w:shd w:val="clear" w:color="auto" w:fill="FAF9F9"/>
          </w:tcPr>
          <w:p>
            <w:pPr>
              <w:pStyle w:val="TableParagraph"/>
              <w:spacing w:before="35"/>
              <w:ind w:right="120"/>
              <w:jc w:val="right"/>
              <w:rPr>
                <w:sz w:val="18"/>
              </w:rPr>
            </w:pPr>
            <w:r>
              <w:rPr>
                <w:w w:val="90"/>
                <w:sz w:val="18"/>
              </w:rPr>
              <w:t>(1,022)</w:t>
            </w:r>
          </w:p>
        </w:tc>
        <w:tc>
          <w:tcPr>
            <w:tcW w:w="1322" w:type="dxa"/>
            <w:vMerge/>
            <w:tcBorders>
              <w:top w:val="nil"/>
              <w:left w:val="nil"/>
              <w:bottom w:val="single" w:sz="4" w:space="0" w:color="000000"/>
              <w:right w:val="nil"/>
            </w:tcBorders>
            <w:shd w:val="clear" w:color="auto" w:fill="E1E4BB"/>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vMerge w:val="restart"/>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b/>
                <w:sz w:val="18"/>
              </w:rPr>
            </w:pPr>
            <w:r>
              <w:rPr>
                <w:b/>
                <w:sz w:val="18"/>
              </w:rPr>
              <w:t>Total taxation</w:t>
            </w:r>
          </w:p>
          <w:p>
            <w:pPr>
              <w:pStyle w:val="TableParagraph"/>
              <w:spacing w:before="91"/>
              <w:ind w:left="112"/>
              <w:rPr>
                <w:i/>
                <w:sz w:val="18"/>
              </w:rPr>
            </w:pPr>
            <w:r>
              <w:rPr>
                <w:i/>
                <w:color w:val="6F2770"/>
                <w:sz w:val="18"/>
              </w:rPr>
              <w:t>Other revenue</w:t>
            </w:r>
          </w:p>
        </w:tc>
        <w:tc>
          <w:tcPr>
            <w:tcW w:w="1332" w:type="dxa"/>
            <w:tcBorders>
              <w:top w:val="single" w:sz="4" w:space="0" w:color="000000"/>
              <w:left w:val="single" w:sz="8" w:space="0" w:color="FFFFFF"/>
              <w:bottom w:val="single" w:sz="4" w:space="0" w:color="000000"/>
              <w:right w:val="nil"/>
            </w:tcBorders>
            <w:shd w:val="clear" w:color="auto" w:fill="F4F4F4"/>
          </w:tcPr>
          <w:p>
            <w:pPr>
              <w:pStyle w:val="TableParagraph"/>
              <w:spacing w:before="35"/>
              <w:ind w:right="111"/>
              <w:jc w:val="right"/>
              <w:rPr>
                <w:b/>
                <w:sz w:val="18"/>
              </w:rPr>
            </w:pPr>
            <w:r>
              <w:rPr>
                <w:b/>
                <w:sz w:val="18"/>
              </w:rPr>
              <w:t>6,739,558</w:t>
            </w:r>
          </w:p>
        </w:tc>
        <w:tc>
          <w:tcPr>
            <w:tcW w:w="1332" w:type="dxa"/>
            <w:tcBorders>
              <w:top w:val="single" w:sz="4" w:space="0" w:color="000000"/>
              <w:left w:val="nil"/>
              <w:bottom w:val="single" w:sz="4" w:space="0" w:color="000000"/>
              <w:right w:val="nil"/>
            </w:tcBorders>
            <w:shd w:val="clear" w:color="auto" w:fill="DFE1B8"/>
          </w:tcPr>
          <w:p>
            <w:pPr>
              <w:pStyle w:val="TableParagraph"/>
              <w:spacing w:before="35"/>
              <w:ind w:right="111"/>
              <w:jc w:val="right"/>
              <w:rPr>
                <w:b/>
                <w:sz w:val="18"/>
              </w:rPr>
            </w:pPr>
            <w:r>
              <w:rPr>
                <w:b/>
                <w:sz w:val="18"/>
              </w:rPr>
              <w:t>6,743,012</w:t>
            </w:r>
          </w:p>
        </w:tc>
        <w:tc>
          <w:tcPr>
            <w:tcW w:w="1342" w:type="dxa"/>
            <w:tcBorders>
              <w:top w:val="single" w:sz="4" w:space="0" w:color="000000"/>
              <w:left w:val="nil"/>
              <w:bottom w:val="single" w:sz="4" w:space="0" w:color="000000"/>
              <w:right w:val="nil"/>
            </w:tcBorders>
            <w:shd w:val="clear" w:color="auto" w:fill="F4F4F4"/>
          </w:tcPr>
          <w:p>
            <w:pPr>
              <w:pStyle w:val="TableParagraph"/>
              <w:spacing w:before="35"/>
              <w:ind w:right="117"/>
              <w:jc w:val="right"/>
              <w:rPr>
                <w:b/>
                <w:sz w:val="18"/>
              </w:rPr>
            </w:pPr>
            <w:r>
              <w:rPr>
                <w:b/>
                <w:sz w:val="18"/>
              </w:rPr>
              <w:t>3,454</w:t>
            </w:r>
          </w:p>
        </w:tc>
        <w:tc>
          <w:tcPr>
            <w:tcW w:w="1322" w:type="dxa"/>
            <w:tcBorders>
              <w:top w:val="single" w:sz="4" w:space="0" w:color="000000"/>
              <w:left w:val="nil"/>
              <w:bottom w:val="single" w:sz="4" w:space="0" w:color="000000"/>
              <w:right w:val="nil"/>
            </w:tcBorders>
            <w:shd w:val="clear" w:color="auto" w:fill="DFE1B8"/>
          </w:tcPr>
          <w:p>
            <w:pPr>
              <w:pStyle w:val="TableParagraph"/>
              <w:spacing w:before="35"/>
              <w:ind w:right="110"/>
              <w:jc w:val="right"/>
              <w:rPr>
                <w:b/>
                <w:sz w:val="18"/>
              </w:rPr>
            </w:pPr>
            <w:r>
              <w:rPr>
                <w:b/>
                <w:sz w:val="18"/>
              </w:rPr>
              <w:t>6,743,012</w:t>
            </w:r>
          </w:p>
        </w:tc>
        <w:tc>
          <w:tcPr>
            <w:tcW w:w="1507" w:type="dxa"/>
            <w:tcBorders>
              <w:top w:val="single" w:sz="4" w:space="0" w:color="000000"/>
              <w:left w:val="nil"/>
              <w:bottom w:val="single" w:sz="4" w:space="0" w:color="000000"/>
              <w:right w:val="nil"/>
            </w:tcBorders>
          </w:tcPr>
          <w:p>
            <w:pPr>
              <w:pStyle w:val="TableParagraph"/>
              <w:spacing w:before="35"/>
              <w:ind w:right="285"/>
              <w:jc w:val="right"/>
              <w:rPr>
                <w:b/>
                <w:sz w:val="18"/>
              </w:rPr>
            </w:pPr>
            <w:r>
              <w:rPr>
                <w:b/>
                <w:sz w:val="18"/>
              </w:rPr>
              <w:t>6,799,345</w:t>
            </w:r>
          </w:p>
        </w:tc>
        <w:tc>
          <w:tcPr>
            <w:tcW w:w="1158" w:type="dxa"/>
            <w:tcBorders>
              <w:top w:val="single" w:sz="4" w:space="0" w:color="000000"/>
              <w:left w:val="nil"/>
              <w:bottom w:val="single" w:sz="4" w:space="0" w:color="000000"/>
              <w:right w:val="nil"/>
            </w:tcBorders>
          </w:tcPr>
          <w:p>
            <w:pPr>
              <w:pStyle w:val="TableParagraph"/>
              <w:spacing w:before="35"/>
              <w:ind w:right="111"/>
              <w:jc w:val="right"/>
              <w:rPr>
                <w:b/>
                <w:sz w:val="18"/>
              </w:rPr>
            </w:pPr>
            <w:r>
              <w:rPr>
                <w:b/>
                <w:w w:val="95"/>
                <w:sz w:val="18"/>
              </w:rPr>
              <w:t>(56,333)</w:t>
            </w:r>
          </w:p>
        </w:tc>
      </w:tr>
      <w:tr>
        <w:trPr>
          <w:trHeight w:val="278" w:hRule="atLeast"/>
        </w:trPr>
        <w:tc>
          <w:tcPr>
            <w:tcW w:w="7313" w:type="dxa"/>
            <w:vMerge/>
            <w:tcBorders>
              <w:top w:val="nil"/>
              <w:left w:val="nil"/>
              <w:bottom w:val="single" w:sz="8" w:space="0" w:color="FFFFFF"/>
              <w:right w:val="single" w:sz="8" w:space="0" w:color="FFFFFF"/>
            </w:tcBorders>
            <w:shd w:val="clear" w:color="auto" w:fill="FAF9F9"/>
          </w:tcPr>
          <w:p>
            <w:pPr>
              <w:rPr>
                <w:sz w:val="2"/>
                <w:szCs w:val="2"/>
              </w:rPr>
            </w:pPr>
          </w:p>
        </w:tc>
        <w:tc>
          <w:tcPr>
            <w:tcW w:w="1332" w:type="dxa"/>
            <w:tcBorders>
              <w:top w:val="single" w:sz="4" w:space="0" w:color="000000"/>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332" w:type="dxa"/>
            <w:vMerge w:val="restart"/>
            <w:tcBorders>
              <w:top w:val="single" w:sz="4" w:space="0" w:color="000000"/>
              <w:left w:val="nil"/>
              <w:bottom w:val="single" w:sz="4" w:space="0" w:color="000000"/>
              <w:right w:val="nil"/>
            </w:tcBorders>
            <w:shd w:val="clear" w:color="auto" w:fill="DFE1B8"/>
          </w:tcPr>
          <w:p>
            <w:pPr>
              <w:pStyle w:val="TableParagraph"/>
              <w:spacing w:before="0"/>
              <w:rPr>
                <w:sz w:val="29"/>
              </w:rPr>
            </w:pPr>
          </w:p>
          <w:p>
            <w:pPr>
              <w:pStyle w:val="TableParagraph"/>
              <w:spacing w:before="0"/>
              <w:ind w:left="702"/>
              <w:rPr>
                <w:sz w:val="18"/>
              </w:rPr>
            </w:pPr>
            <w:r>
              <w:rPr>
                <w:spacing w:val="-7"/>
                <w:sz w:val="18"/>
              </w:rPr>
              <w:t>41,448</w:t>
            </w:r>
          </w:p>
          <w:p>
            <w:pPr>
              <w:pStyle w:val="TableParagraph"/>
              <w:spacing w:before="92"/>
              <w:ind w:left="678"/>
              <w:rPr>
                <w:sz w:val="18"/>
              </w:rPr>
            </w:pPr>
            <w:r>
              <w:rPr>
                <w:spacing w:val="-2"/>
                <w:sz w:val="18"/>
              </w:rPr>
              <w:t>64,035</w:t>
            </w:r>
          </w:p>
        </w:tc>
        <w:tc>
          <w:tcPr>
            <w:tcW w:w="1342" w:type="dxa"/>
            <w:tcBorders>
              <w:top w:val="single" w:sz="4" w:space="0" w:color="000000"/>
              <w:left w:val="nil"/>
              <w:bottom w:val="single" w:sz="8" w:space="0" w:color="FFFFFF"/>
              <w:right w:val="nil"/>
            </w:tcBorders>
            <w:shd w:val="clear" w:color="auto" w:fill="FAF9F9"/>
          </w:tcPr>
          <w:p>
            <w:pPr>
              <w:pStyle w:val="TableParagraph"/>
              <w:spacing w:before="0"/>
              <w:rPr>
                <w:rFonts w:ascii="Times New Roman"/>
                <w:sz w:val="18"/>
              </w:rPr>
            </w:pPr>
          </w:p>
        </w:tc>
        <w:tc>
          <w:tcPr>
            <w:tcW w:w="1322" w:type="dxa"/>
            <w:vMerge w:val="restart"/>
            <w:tcBorders>
              <w:top w:val="single" w:sz="4" w:space="0" w:color="000000"/>
              <w:left w:val="nil"/>
              <w:bottom w:val="single" w:sz="4" w:space="0" w:color="000000"/>
              <w:right w:val="nil"/>
            </w:tcBorders>
            <w:shd w:val="clear" w:color="auto" w:fill="DFE1B8"/>
          </w:tcPr>
          <w:p>
            <w:pPr>
              <w:pStyle w:val="TableParagraph"/>
              <w:spacing w:before="0"/>
              <w:rPr>
                <w:sz w:val="29"/>
              </w:rPr>
            </w:pPr>
          </w:p>
          <w:p>
            <w:pPr>
              <w:pStyle w:val="TableParagraph"/>
              <w:spacing w:before="0"/>
              <w:ind w:left="693"/>
              <w:rPr>
                <w:sz w:val="18"/>
              </w:rPr>
            </w:pPr>
            <w:r>
              <w:rPr>
                <w:spacing w:val="-7"/>
                <w:sz w:val="18"/>
              </w:rPr>
              <w:t>41,448</w:t>
            </w:r>
          </w:p>
          <w:p>
            <w:pPr>
              <w:pStyle w:val="TableParagraph"/>
              <w:spacing w:before="92"/>
              <w:ind w:left="668"/>
              <w:rPr>
                <w:sz w:val="18"/>
              </w:rPr>
            </w:pPr>
            <w:r>
              <w:rPr>
                <w:spacing w:val="-2"/>
                <w:sz w:val="18"/>
              </w:rPr>
              <w:t>64,035</w:t>
            </w:r>
          </w:p>
        </w:tc>
        <w:tc>
          <w:tcPr>
            <w:tcW w:w="1507" w:type="dxa"/>
            <w:vMerge w:val="restart"/>
            <w:tcBorders>
              <w:top w:val="single" w:sz="4" w:space="0" w:color="000000"/>
              <w:left w:val="nil"/>
              <w:bottom w:val="single" w:sz="4" w:space="0" w:color="000000"/>
              <w:right w:val="nil"/>
            </w:tcBorders>
          </w:tcPr>
          <w:p>
            <w:pPr>
              <w:pStyle w:val="TableParagraph"/>
              <w:spacing w:before="0"/>
              <w:rPr>
                <w:sz w:val="29"/>
              </w:rPr>
            </w:pPr>
          </w:p>
          <w:p>
            <w:pPr>
              <w:pStyle w:val="TableParagraph"/>
              <w:spacing w:before="0"/>
              <w:ind w:left="677"/>
              <w:rPr>
                <w:sz w:val="18"/>
              </w:rPr>
            </w:pPr>
            <w:r>
              <w:rPr>
                <w:sz w:val="18"/>
              </w:rPr>
              <w:t>40,086</w:t>
            </w:r>
          </w:p>
          <w:p>
            <w:pPr>
              <w:pStyle w:val="TableParagraph"/>
              <w:spacing w:before="92"/>
              <w:ind w:left="676"/>
              <w:rPr>
                <w:sz w:val="18"/>
              </w:rPr>
            </w:pPr>
            <w:r>
              <w:rPr>
                <w:sz w:val="18"/>
              </w:rPr>
              <w:t>63,549</w:t>
            </w:r>
          </w:p>
        </w:tc>
        <w:tc>
          <w:tcPr>
            <w:tcW w:w="1158" w:type="dxa"/>
            <w:vMerge w:val="restart"/>
            <w:tcBorders>
              <w:top w:val="single" w:sz="4" w:space="0" w:color="000000"/>
              <w:left w:val="nil"/>
              <w:bottom w:val="single" w:sz="4" w:space="0" w:color="000000"/>
              <w:right w:val="nil"/>
            </w:tcBorders>
          </w:tcPr>
          <w:p>
            <w:pPr>
              <w:pStyle w:val="TableParagraph"/>
              <w:spacing w:before="0"/>
              <w:rPr>
                <w:sz w:val="29"/>
              </w:rPr>
            </w:pPr>
          </w:p>
          <w:p>
            <w:pPr>
              <w:pStyle w:val="TableParagraph"/>
              <w:spacing w:before="0"/>
              <w:ind w:left="499"/>
              <w:jc w:val="center"/>
              <w:rPr>
                <w:sz w:val="18"/>
              </w:rPr>
            </w:pPr>
            <w:r>
              <w:rPr>
                <w:spacing w:val="-5"/>
                <w:sz w:val="18"/>
              </w:rPr>
              <w:t>1,362</w:t>
            </w:r>
          </w:p>
          <w:p>
            <w:pPr>
              <w:pStyle w:val="TableParagraph"/>
              <w:spacing w:before="92"/>
              <w:ind w:left="710" w:right="79"/>
              <w:jc w:val="center"/>
              <w:rPr>
                <w:sz w:val="18"/>
              </w:rPr>
            </w:pPr>
            <w:r>
              <w:rPr>
                <w:sz w:val="18"/>
              </w:rPr>
              <w:t>486</w:t>
            </w: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5"/>
              <w:ind w:left="112"/>
              <w:rPr>
                <w:sz w:val="18"/>
              </w:rPr>
            </w:pPr>
            <w:r>
              <w:rPr>
                <w:sz w:val="18"/>
              </w:rPr>
              <w:t>Office lease rental revenue</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5"/>
              <w:ind w:right="111"/>
              <w:jc w:val="right"/>
              <w:rPr>
                <w:sz w:val="18"/>
              </w:rPr>
            </w:pPr>
            <w:r>
              <w:rPr>
                <w:sz w:val="18"/>
              </w:rPr>
              <w:t>41,240</w:t>
            </w:r>
          </w:p>
        </w:tc>
        <w:tc>
          <w:tcPr>
            <w:tcW w:w="1332" w:type="dxa"/>
            <w:vMerge/>
            <w:tcBorders>
              <w:top w:val="nil"/>
              <w:left w:val="nil"/>
              <w:bottom w:val="single" w:sz="4" w:space="0" w:color="000000"/>
              <w:right w:val="nil"/>
            </w:tcBorders>
            <w:shd w:val="clear" w:color="auto" w:fill="DFE1B8"/>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5"/>
              <w:ind w:right="121"/>
              <w:jc w:val="right"/>
              <w:rPr>
                <w:sz w:val="18"/>
              </w:rPr>
            </w:pPr>
            <w:r>
              <w:rPr>
                <w:sz w:val="18"/>
              </w:rPr>
              <w:t>208</w:t>
            </w:r>
          </w:p>
        </w:tc>
        <w:tc>
          <w:tcPr>
            <w:tcW w:w="1322" w:type="dxa"/>
            <w:vMerge/>
            <w:tcBorders>
              <w:top w:val="nil"/>
              <w:left w:val="nil"/>
              <w:bottom w:val="single" w:sz="4" w:space="0" w:color="000000"/>
              <w:right w:val="nil"/>
            </w:tcBorders>
            <w:shd w:val="clear" w:color="auto" w:fill="DFE1B8"/>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sz w:val="18"/>
              </w:rPr>
            </w:pPr>
            <w:r>
              <w:rPr>
                <w:sz w:val="18"/>
              </w:rPr>
              <w:t>Other income</w:t>
            </w:r>
          </w:p>
        </w:tc>
        <w:tc>
          <w:tcPr>
            <w:tcW w:w="1332" w:type="dxa"/>
            <w:tcBorders>
              <w:top w:val="single" w:sz="8" w:space="0" w:color="FFFFFF"/>
              <w:left w:val="single" w:sz="8" w:space="0" w:color="FFFFFF"/>
              <w:bottom w:val="single" w:sz="4" w:space="0" w:color="000000"/>
              <w:right w:val="nil"/>
            </w:tcBorders>
            <w:shd w:val="clear" w:color="auto" w:fill="FAF9F9"/>
          </w:tcPr>
          <w:p>
            <w:pPr>
              <w:pStyle w:val="TableParagraph"/>
              <w:spacing w:before="35"/>
              <w:ind w:right="111"/>
              <w:jc w:val="right"/>
              <w:rPr>
                <w:sz w:val="18"/>
              </w:rPr>
            </w:pPr>
            <w:r>
              <w:rPr>
                <w:sz w:val="18"/>
              </w:rPr>
              <w:t>64,136</w:t>
            </w:r>
          </w:p>
        </w:tc>
        <w:tc>
          <w:tcPr>
            <w:tcW w:w="1332" w:type="dxa"/>
            <w:vMerge/>
            <w:tcBorders>
              <w:top w:val="nil"/>
              <w:left w:val="nil"/>
              <w:bottom w:val="single" w:sz="4" w:space="0" w:color="000000"/>
              <w:right w:val="nil"/>
            </w:tcBorders>
            <w:shd w:val="clear" w:color="auto" w:fill="DFE1B8"/>
          </w:tcPr>
          <w:p>
            <w:pPr>
              <w:rPr>
                <w:sz w:val="2"/>
                <w:szCs w:val="2"/>
              </w:rPr>
            </w:pPr>
          </w:p>
        </w:tc>
        <w:tc>
          <w:tcPr>
            <w:tcW w:w="1342" w:type="dxa"/>
            <w:tcBorders>
              <w:top w:val="single" w:sz="8" w:space="0" w:color="FFFFFF"/>
              <w:left w:val="nil"/>
              <w:bottom w:val="single" w:sz="4" w:space="0" w:color="000000"/>
              <w:right w:val="nil"/>
            </w:tcBorders>
            <w:shd w:val="clear" w:color="auto" w:fill="FAF9F9"/>
          </w:tcPr>
          <w:p>
            <w:pPr>
              <w:pStyle w:val="TableParagraph"/>
              <w:spacing w:before="35"/>
              <w:ind w:right="134"/>
              <w:jc w:val="right"/>
              <w:rPr>
                <w:sz w:val="18"/>
              </w:rPr>
            </w:pPr>
            <w:r>
              <w:rPr>
                <w:w w:val="90"/>
                <w:sz w:val="18"/>
              </w:rPr>
              <w:t>(101)</w:t>
            </w:r>
          </w:p>
        </w:tc>
        <w:tc>
          <w:tcPr>
            <w:tcW w:w="1322" w:type="dxa"/>
            <w:vMerge/>
            <w:tcBorders>
              <w:top w:val="nil"/>
              <w:left w:val="nil"/>
              <w:bottom w:val="single" w:sz="4" w:space="0" w:color="000000"/>
              <w:right w:val="nil"/>
            </w:tcBorders>
            <w:shd w:val="clear" w:color="auto" w:fill="DFE1B8"/>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vMerge w:val="restart"/>
            <w:tcBorders>
              <w:top w:val="single" w:sz="8" w:space="0" w:color="FFFFFF"/>
              <w:left w:val="nil"/>
              <w:bottom w:val="single" w:sz="8" w:space="0" w:color="FFFFFF"/>
              <w:right w:val="single" w:sz="8" w:space="0" w:color="FFFFFF"/>
            </w:tcBorders>
            <w:shd w:val="clear" w:color="auto" w:fill="FAF9F9"/>
          </w:tcPr>
          <w:p>
            <w:pPr>
              <w:pStyle w:val="TableParagraph"/>
              <w:spacing w:before="35"/>
              <w:ind w:left="112"/>
              <w:rPr>
                <w:b/>
                <w:sz w:val="18"/>
              </w:rPr>
            </w:pPr>
            <w:r>
              <w:rPr>
                <w:b/>
                <w:sz w:val="18"/>
              </w:rPr>
              <w:t>Total other revenue</w:t>
            </w:r>
          </w:p>
          <w:p>
            <w:pPr>
              <w:pStyle w:val="TableParagraph"/>
              <w:spacing w:before="91"/>
              <w:ind w:left="160"/>
              <w:rPr>
                <w:i/>
                <w:sz w:val="18"/>
              </w:rPr>
            </w:pPr>
            <w:r>
              <w:rPr>
                <w:i/>
                <w:color w:val="6F2770"/>
                <w:sz w:val="18"/>
              </w:rPr>
              <w:t>Appropriations</w:t>
            </w:r>
          </w:p>
        </w:tc>
        <w:tc>
          <w:tcPr>
            <w:tcW w:w="1332" w:type="dxa"/>
            <w:tcBorders>
              <w:top w:val="single" w:sz="4" w:space="0" w:color="000000"/>
              <w:left w:val="single" w:sz="8" w:space="0" w:color="FFFFFF"/>
              <w:bottom w:val="single" w:sz="4" w:space="0" w:color="000000"/>
              <w:right w:val="nil"/>
            </w:tcBorders>
            <w:shd w:val="clear" w:color="auto" w:fill="F4F4F4"/>
          </w:tcPr>
          <w:p>
            <w:pPr>
              <w:pStyle w:val="TableParagraph"/>
              <w:spacing w:before="35"/>
              <w:ind w:right="111"/>
              <w:jc w:val="right"/>
              <w:rPr>
                <w:b/>
                <w:sz w:val="18"/>
              </w:rPr>
            </w:pPr>
            <w:r>
              <w:rPr>
                <w:b/>
                <w:sz w:val="18"/>
              </w:rPr>
              <w:t>105,376</w:t>
            </w:r>
          </w:p>
        </w:tc>
        <w:tc>
          <w:tcPr>
            <w:tcW w:w="1332" w:type="dxa"/>
            <w:tcBorders>
              <w:top w:val="single" w:sz="4" w:space="0" w:color="000000"/>
              <w:left w:val="nil"/>
              <w:bottom w:val="single" w:sz="4" w:space="0" w:color="000000"/>
              <w:right w:val="nil"/>
            </w:tcBorders>
            <w:shd w:val="clear" w:color="auto" w:fill="DFE1B8"/>
          </w:tcPr>
          <w:p>
            <w:pPr>
              <w:pStyle w:val="TableParagraph"/>
              <w:spacing w:before="35"/>
              <w:ind w:right="111"/>
              <w:jc w:val="right"/>
              <w:rPr>
                <w:b/>
                <w:sz w:val="18"/>
              </w:rPr>
            </w:pPr>
            <w:r>
              <w:rPr>
                <w:b/>
                <w:sz w:val="18"/>
              </w:rPr>
              <w:t>105,483</w:t>
            </w:r>
          </w:p>
        </w:tc>
        <w:tc>
          <w:tcPr>
            <w:tcW w:w="1342" w:type="dxa"/>
            <w:tcBorders>
              <w:top w:val="single" w:sz="4" w:space="0" w:color="000000"/>
              <w:left w:val="nil"/>
              <w:bottom w:val="single" w:sz="4" w:space="0" w:color="000000"/>
              <w:right w:val="nil"/>
            </w:tcBorders>
            <w:shd w:val="clear" w:color="auto" w:fill="F4F4F4"/>
          </w:tcPr>
          <w:p>
            <w:pPr>
              <w:pStyle w:val="TableParagraph"/>
              <w:spacing w:before="35"/>
              <w:ind w:right="121"/>
              <w:jc w:val="right"/>
              <w:rPr>
                <w:b/>
                <w:sz w:val="18"/>
              </w:rPr>
            </w:pPr>
            <w:r>
              <w:rPr>
                <w:b/>
                <w:sz w:val="18"/>
              </w:rPr>
              <w:t>107</w:t>
            </w:r>
          </w:p>
        </w:tc>
        <w:tc>
          <w:tcPr>
            <w:tcW w:w="1322" w:type="dxa"/>
            <w:tcBorders>
              <w:top w:val="single" w:sz="4" w:space="0" w:color="000000"/>
              <w:left w:val="nil"/>
              <w:bottom w:val="single" w:sz="4" w:space="0" w:color="000000"/>
              <w:right w:val="nil"/>
            </w:tcBorders>
            <w:shd w:val="clear" w:color="auto" w:fill="DFE1B8"/>
          </w:tcPr>
          <w:p>
            <w:pPr>
              <w:pStyle w:val="TableParagraph"/>
              <w:spacing w:before="35"/>
              <w:ind w:right="110"/>
              <w:jc w:val="right"/>
              <w:rPr>
                <w:b/>
                <w:sz w:val="18"/>
              </w:rPr>
            </w:pPr>
            <w:r>
              <w:rPr>
                <w:b/>
                <w:sz w:val="18"/>
              </w:rPr>
              <w:t>105,483</w:t>
            </w:r>
          </w:p>
        </w:tc>
        <w:tc>
          <w:tcPr>
            <w:tcW w:w="1507" w:type="dxa"/>
            <w:tcBorders>
              <w:top w:val="single" w:sz="4" w:space="0" w:color="000000"/>
              <w:left w:val="nil"/>
              <w:bottom w:val="single" w:sz="4" w:space="0" w:color="000000"/>
              <w:right w:val="nil"/>
            </w:tcBorders>
          </w:tcPr>
          <w:p>
            <w:pPr>
              <w:pStyle w:val="TableParagraph"/>
              <w:spacing w:before="35"/>
              <w:ind w:right="282"/>
              <w:jc w:val="right"/>
              <w:rPr>
                <w:b/>
                <w:sz w:val="18"/>
              </w:rPr>
            </w:pPr>
            <w:r>
              <w:rPr>
                <w:b/>
                <w:sz w:val="18"/>
              </w:rPr>
              <w:t>103,635</w:t>
            </w:r>
          </w:p>
        </w:tc>
        <w:tc>
          <w:tcPr>
            <w:tcW w:w="1158" w:type="dxa"/>
            <w:tcBorders>
              <w:top w:val="single" w:sz="4" w:space="0" w:color="000000"/>
              <w:left w:val="nil"/>
              <w:bottom w:val="single" w:sz="4" w:space="0" w:color="000000"/>
              <w:right w:val="nil"/>
            </w:tcBorders>
          </w:tcPr>
          <w:p>
            <w:pPr>
              <w:pStyle w:val="TableParagraph"/>
              <w:spacing w:before="35"/>
              <w:ind w:right="107"/>
              <w:jc w:val="right"/>
              <w:rPr>
                <w:b/>
                <w:sz w:val="18"/>
              </w:rPr>
            </w:pPr>
            <w:r>
              <w:rPr>
                <w:b/>
                <w:sz w:val="18"/>
              </w:rPr>
              <w:t>1,848</w:t>
            </w:r>
          </w:p>
        </w:tc>
      </w:tr>
      <w:tr>
        <w:trPr>
          <w:trHeight w:val="278" w:hRule="atLeast"/>
        </w:trPr>
        <w:tc>
          <w:tcPr>
            <w:tcW w:w="7313" w:type="dxa"/>
            <w:vMerge/>
            <w:tcBorders>
              <w:top w:val="nil"/>
              <w:left w:val="nil"/>
              <w:bottom w:val="single" w:sz="8" w:space="0" w:color="FFFFFF"/>
              <w:right w:val="single" w:sz="8" w:space="0" w:color="FFFFFF"/>
            </w:tcBorders>
            <w:shd w:val="clear" w:color="auto" w:fill="FAF9F9"/>
          </w:tcPr>
          <w:p>
            <w:pPr>
              <w:rPr>
                <w:sz w:val="2"/>
                <w:szCs w:val="2"/>
              </w:rPr>
            </w:pPr>
          </w:p>
        </w:tc>
        <w:tc>
          <w:tcPr>
            <w:tcW w:w="1332" w:type="dxa"/>
            <w:tcBorders>
              <w:top w:val="single" w:sz="4" w:space="0" w:color="000000"/>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332" w:type="dxa"/>
            <w:vMerge w:val="restart"/>
            <w:tcBorders>
              <w:top w:val="single" w:sz="4" w:space="0" w:color="000000"/>
              <w:left w:val="nil"/>
              <w:bottom w:val="single" w:sz="4" w:space="0" w:color="000000"/>
              <w:right w:val="nil"/>
            </w:tcBorders>
            <w:shd w:val="clear" w:color="auto" w:fill="DFE1B8"/>
          </w:tcPr>
          <w:p>
            <w:pPr>
              <w:pStyle w:val="TableParagraph"/>
              <w:spacing w:before="0"/>
              <w:rPr>
                <w:sz w:val="29"/>
              </w:rPr>
            </w:pPr>
          </w:p>
          <w:p>
            <w:pPr>
              <w:pStyle w:val="TableParagraph"/>
              <w:spacing w:before="0"/>
              <w:ind w:left="711" w:right="88"/>
              <w:jc w:val="center"/>
              <w:rPr>
                <w:sz w:val="18"/>
              </w:rPr>
            </w:pPr>
            <w:r>
              <w:rPr>
                <w:spacing w:val="-12"/>
                <w:sz w:val="18"/>
              </w:rPr>
              <w:t>91,171</w:t>
            </w:r>
          </w:p>
          <w:p>
            <w:pPr>
              <w:pStyle w:val="TableParagraph"/>
              <w:spacing w:before="92"/>
              <w:ind w:left="553" w:right="82"/>
              <w:jc w:val="center"/>
              <w:rPr>
                <w:sz w:val="18"/>
              </w:rPr>
            </w:pPr>
            <w:r>
              <w:rPr>
                <w:spacing w:val="-3"/>
                <w:sz w:val="18"/>
              </w:rPr>
              <w:t>160,994</w:t>
            </w:r>
          </w:p>
        </w:tc>
        <w:tc>
          <w:tcPr>
            <w:tcW w:w="1342" w:type="dxa"/>
            <w:tcBorders>
              <w:top w:val="single" w:sz="4" w:space="0" w:color="000000"/>
              <w:left w:val="nil"/>
              <w:bottom w:val="single" w:sz="8" w:space="0" w:color="FFFFFF"/>
              <w:right w:val="nil"/>
            </w:tcBorders>
            <w:shd w:val="clear" w:color="auto" w:fill="FAF9F9"/>
          </w:tcPr>
          <w:p>
            <w:pPr>
              <w:pStyle w:val="TableParagraph"/>
              <w:spacing w:before="0"/>
              <w:rPr>
                <w:rFonts w:ascii="Times New Roman"/>
                <w:sz w:val="18"/>
              </w:rPr>
            </w:pPr>
          </w:p>
        </w:tc>
        <w:tc>
          <w:tcPr>
            <w:tcW w:w="1322" w:type="dxa"/>
            <w:vMerge w:val="restart"/>
            <w:tcBorders>
              <w:top w:val="single" w:sz="4" w:space="0" w:color="000000"/>
              <w:left w:val="nil"/>
              <w:bottom w:val="single" w:sz="4" w:space="0" w:color="000000"/>
              <w:right w:val="nil"/>
            </w:tcBorders>
            <w:shd w:val="clear" w:color="auto" w:fill="DFE1B8"/>
          </w:tcPr>
          <w:p>
            <w:pPr>
              <w:pStyle w:val="TableParagraph"/>
              <w:spacing w:before="0"/>
              <w:rPr>
                <w:sz w:val="29"/>
              </w:rPr>
            </w:pPr>
          </w:p>
          <w:p>
            <w:pPr>
              <w:pStyle w:val="TableParagraph"/>
              <w:spacing w:before="0"/>
              <w:ind w:left="701" w:right="87"/>
              <w:jc w:val="center"/>
              <w:rPr>
                <w:sz w:val="18"/>
              </w:rPr>
            </w:pPr>
            <w:r>
              <w:rPr>
                <w:spacing w:val="-12"/>
                <w:sz w:val="18"/>
              </w:rPr>
              <w:t>91,171</w:t>
            </w:r>
          </w:p>
          <w:p>
            <w:pPr>
              <w:pStyle w:val="TableParagraph"/>
              <w:spacing w:before="92"/>
              <w:ind w:left="543" w:right="81"/>
              <w:jc w:val="center"/>
              <w:rPr>
                <w:sz w:val="18"/>
              </w:rPr>
            </w:pPr>
            <w:r>
              <w:rPr>
                <w:spacing w:val="-3"/>
                <w:sz w:val="18"/>
              </w:rPr>
              <w:t>160,994</w:t>
            </w:r>
          </w:p>
        </w:tc>
        <w:tc>
          <w:tcPr>
            <w:tcW w:w="1507" w:type="dxa"/>
            <w:vMerge w:val="restart"/>
            <w:tcBorders>
              <w:top w:val="single" w:sz="4" w:space="0" w:color="000000"/>
              <w:left w:val="nil"/>
              <w:bottom w:val="single" w:sz="4" w:space="0" w:color="000000"/>
              <w:right w:val="nil"/>
            </w:tcBorders>
          </w:tcPr>
          <w:p>
            <w:pPr>
              <w:pStyle w:val="TableParagraph"/>
              <w:spacing w:before="0"/>
              <w:rPr>
                <w:sz w:val="29"/>
              </w:rPr>
            </w:pPr>
          </w:p>
          <w:p>
            <w:pPr>
              <w:pStyle w:val="TableParagraph"/>
              <w:spacing w:before="0"/>
              <w:ind w:left="580" w:right="168"/>
              <w:jc w:val="center"/>
              <w:rPr>
                <w:sz w:val="18"/>
              </w:rPr>
            </w:pPr>
            <w:r>
              <w:rPr>
                <w:spacing w:val="-6"/>
                <w:sz w:val="18"/>
              </w:rPr>
              <w:t>72,765</w:t>
            </w:r>
          </w:p>
          <w:p>
            <w:pPr>
              <w:pStyle w:val="TableParagraph"/>
              <w:spacing w:before="92"/>
              <w:ind w:left="572" w:right="262"/>
              <w:jc w:val="center"/>
              <w:rPr>
                <w:sz w:val="18"/>
              </w:rPr>
            </w:pPr>
            <w:r>
              <w:rPr>
                <w:spacing w:val="-5"/>
                <w:sz w:val="18"/>
              </w:rPr>
              <w:t>164,281</w:t>
            </w:r>
          </w:p>
        </w:tc>
        <w:tc>
          <w:tcPr>
            <w:tcW w:w="1158" w:type="dxa"/>
            <w:vMerge w:val="restart"/>
            <w:tcBorders>
              <w:top w:val="single" w:sz="4" w:space="0" w:color="000000"/>
              <w:left w:val="nil"/>
              <w:bottom w:val="single" w:sz="4" w:space="0" w:color="000000"/>
              <w:right w:val="nil"/>
            </w:tcBorders>
          </w:tcPr>
          <w:p>
            <w:pPr>
              <w:pStyle w:val="TableParagraph"/>
              <w:spacing w:before="0"/>
              <w:rPr>
                <w:sz w:val="29"/>
              </w:rPr>
            </w:pPr>
          </w:p>
          <w:p>
            <w:pPr>
              <w:pStyle w:val="TableParagraph"/>
              <w:spacing w:before="0"/>
              <w:ind w:left="511"/>
              <w:rPr>
                <w:sz w:val="18"/>
              </w:rPr>
            </w:pPr>
            <w:r>
              <w:rPr>
                <w:spacing w:val="-4"/>
                <w:sz w:val="18"/>
              </w:rPr>
              <w:t>18,406</w:t>
            </w:r>
          </w:p>
          <w:p>
            <w:pPr>
              <w:pStyle w:val="TableParagraph"/>
              <w:spacing w:before="92"/>
              <w:ind w:left="525"/>
              <w:rPr>
                <w:sz w:val="18"/>
              </w:rPr>
            </w:pPr>
            <w:r>
              <w:rPr>
                <w:spacing w:val="-3"/>
                <w:sz w:val="18"/>
              </w:rPr>
              <w:t>(3,287)</w:t>
            </w: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4F4F4"/>
          </w:tcPr>
          <w:p>
            <w:pPr>
              <w:pStyle w:val="TableParagraph"/>
              <w:spacing w:before="35"/>
              <w:ind w:left="112"/>
              <w:rPr>
                <w:i/>
                <w:sz w:val="18"/>
              </w:rPr>
            </w:pPr>
            <w:r>
              <w:rPr>
                <w:i/>
                <w:sz w:val="18"/>
              </w:rPr>
              <w:t>First Home Owner Grant Act 2000</w:t>
            </w:r>
          </w:p>
        </w:tc>
        <w:tc>
          <w:tcPr>
            <w:tcW w:w="1332" w:type="dxa"/>
            <w:tcBorders>
              <w:top w:val="single" w:sz="8" w:space="0" w:color="FFFFFF"/>
              <w:left w:val="single" w:sz="8" w:space="0" w:color="FFFFFF"/>
              <w:bottom w:val="single" w:sz="8" w:space="0" w:color="FFFFFF"/>
              <w:right w:val="nil"/>
            </w:tcBorders>
            <w:shd w:val="clear" w:color="auto" w:fill="F4F4F4"/>
          </w:tcPr>
          <w:p>
            <w:pPr>
              <w:pStyle w:val="TableParagraph"/>
              <w:spacing w:before="35"/>
              <w:ind w:right="112"/>
              <w:jc w:val="right"/>
              <w:rPr>
                <w:sz w:val="18"/>
              </w:rPr>
            </w:pPr>
            <w:r>
              <w:rPr>
                <w:sz w:val="18"/>
              </w:rPr>
              <w:t>74,612</w:t>
            </w:r>
          </w:p>
        </w:tc>
        <w:tc>
          <w:tcPr>
            <w:tcW w:w="1332" w:type="dxa"/>
            <w:vMerge/>
            <w:tcBorders>
              <w:top w:val="nil"/>
              <w:left w:val="nil"/>
              <w:bottom w:val="single" w:sz="4" w:space="0" w:color="000000"/>
              <w:right w:val="nil"/>
            </w:tcBorders>
            <w:shd w:val="clear" w:color="auto" w:fill="DFE1B8"/>
          </w:tcPr>
          <w:p>
            <w:pPr>
              <w:rPr>
                <w:sz w:val="2"/>
                <w:szCs w:val="2"/>
              </w:rPr>
            </w:pPr>
          </w:p>
        </w:tc>
        <w:tc>
          <w:tcPr>
            <w:tcW w:w="1342" w:type="dxa"/>
            <w:tcBorders>
              <w:top w:val="single" w:sz="8" w:space="0" w:color="FFFFFF"/>
              <w:left w:val="nil"/>
              <w:bottom w:val="single" w:sz="8" w:space="0" w:color="FFFFFF"/>
              <w:right w:val="nil"/>
            </w:tcBorders>
            <w:shd w:val="clear" w:color="auto" w:fill="F4F4F4"/>
          </w:tcPr>
          <w:p>
            <w:pPr>
              <w:pStyle w:val="TableParagraph"/>
              <w:spacing w:before="35"/>
              <w:ind w:right="124"/>
              <w:jc w:val="right"/>
              <w:rPr>
                <w:sz w:val="18"/>
              </w:rPr>
            </w:pPr>
            <w:r>
              <w:rPr>
                <w:sz w:val="18"/>
              </w:rPr>
              <w:t>16,559</w:t>
            </w:r>
          </w:p>
        </w:tc>
        <w:tc>
          <w:tcPr>
            <w:tcW w:w="1322" w:type="dxa"/>
            <w:vMerge/>
            <w:tcBorders>
              <w:top w:val="nil"/>
              <w:left w:val="nil"/>
              <w:bottom w:val="single" w:sz="4" w:space="0" w:color="000000"/>
              <w:right w:val="nil"/>
            </w:tcBorders>
            <w:shd w:val="clear" w:color="auto" w:fill="DFE1B8"/>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tcBorders>
              <w:top w:val="single" w:sz="8" w:space="0" w:color="FFFFFF"/>
              <w:left w:val="nil"/>
              <w:bottom w:val="single" w:sz="8" w:space="0" w:color="FFFFFF"/>
              <w:right w:val="single" w:sz="8" w:space="0" w:color="FFFFFF"/>
            </w:tcBorders>
            <w:shd w:val="clear" w:color="auto" w:fill="FAF9F9"/>
          </w:tcPr>
          <w:p>
            <w:pPr>
              <w:pStyle w:val="TableParagraph"/>
              <w:spacing w:before="35"/>
              <w:ind w:left="111"/>
              <w:rPr>
                <w:sz w:val="18"/>
              </w:rPr>
            </w:pPr>
            <w:r>
              <w:rPr>
                <w:sz w:val="18"/>
              </w:rPr>
              <w:t>Administered grants and transfer payments</w:t>
            </w:r>
          </w:p>
        </w:tc>
        <w:tc>
          <w:tcPr>
            <w:tcW w:w="1332" w:type="dxa"/>
            <w:tcBorders>
              <w:top w:val="single" w:sz="8" w:space="0" w:color="FFFFFF"/>
              <w:left w:val="single" w:sz="8" w:space="0" w:color="FFFFFF"/>
              <w:bottom w:val="single" w:sz="4" w:space="0" w:color="000000"/>
              <w:right w:val="nil"/>
            </w:tcBorders>
            <w:shd w:val="clear" w:color="auto" w:fill="FAF9F9"/>
          </w:tcPr>
          <w:p>
            <w:pPr>
              <w:pStyle w:val="TableParagraph"/>
              <w:spacing w:before="35"/>
              <w:ind w:right="112"/>
              <w:jc w:val="right"/>
              <w:rPr>
                <w:sz w:val="18"/>
              </w:rPr>
            </w:pPr>
            <w:r>
              <w:rPr>
                <w:sz w:val="18"/>
              </w:rPr>
              <w:t>185,070</w:t>
            </w:r>
          </w:p>
        </w:tc>
        <w:tc>
          <w:tcPr>
            <w:tcW w:w="1332" w:type="dxa"/>
            <w:vMerge/>
            <w:tcBorders>
              <w:top w:val="nil"/>
              <w:left w:val="nil"/>
              <w:bottom w:val="single" w:sz="4" w:space="0" w:color="000000"/>
              <w:right w:val="nil"/>
            </w:tcBorders>
            <w:shd w:val="clear" w:color="auto" w:fill="DFE1B8"/>
          </w:tcPr>
          <w:p>
            <w:pPr>
              <w:rPr>
                <w:sz w:val="2"/>
                <w:szCs w:val="2"/>
              </w:rPr>
            </w:pPr>
          </w:p>
        </w:tc>
        <w:tc>
          <w:tcPr>
            <w:tcW w:w="1342" w:type="dxa"/>
            <w:tcBorders>
              <w:top w:val="single" w:sz="8" w:space="0" w:color="FFFFFF"/>
              <w:left w:val="nil"/>
              <w:bottom w:val="single" w:sz="4" w:space="0" w:color="000000"/>
              <w:right w:val="nil"/>
            </w:tcBorders>
            <w:shd w:val="clear" w:color="auto" w:fill="FAF9F9"/>
          </w:tcPr>
          <w:p>
            <w:pPr>
              <w:pStyle w:val="TableParagraph"/>
              <w:spacing w:before="35"/>
              <w:ind w:right="121"/>
              <w:jc w:val="right"/>
              <w:rPr>
                <w:sz w:val="18"/>
              </w:rPr>
            </w:pPr>
            <w:r>
              <w:rPr>
                <w:w w:val="95"/>
                <w:sz w:val="18"/>
              </w:rPr>
              <w:t>(24,076)</w:t>
            </w:r>
          </w:p>
        </w:tc>
        <w:tc>
          <w:tcPr>
            <w:tcW w:w="1322" w:type="dxa"/>
            <w:vMerge/>
            <w:tcBorders>
              <w:top w:val="nil"/>
              <w:left w:val="nil"/>
              <w:bottom w:val="single" w:sz="4" w:space="0" w:color="000000"/>
              <w:right w:val="nil"/>
            </w:tcBorders>
            <w:shd w:val="clear" w:color="auto" w:fill="DFE1B8"/>
          </w:tcPr>
          <w:p>
            <w:pPr>
              <w:rPr>
                <w:sz w:val="2"/>
                <w:szCs w:val="2"/>
              </w:rPr>
            </w:pPr>
          </w:p>
        </w:tc>
        <w:tc>
          <w:tcPr>
            <w:tcW w:w="1507" w:type="dxa"/>
            <w:vMerge/>
            <w:tcBorders>
              <w:top w:val="nil"/>
              <w:left w:val="nil"/>
              <w:bottom w:val="single" w:sz="4" w:space="0" w:color="000000"/>
              <w:right w:val="nil"/>
            </w:tcBorders>
          </w:tcPr>
          <w:p>
            <w:pPr>
              <w:rPr>
                <w:sz w:val="2"/>
                <w:szCs w:val="2"/>
              </w:rPr>
            </w:pPr>
          </w:p>
        </w:tc>
        <w:tc>
          <w:tcPr>
            <w:tcW w:w="1158" w:type="dxa"/>
            <w:vMerge/>
            <w:tcBorders>
              <w:top w:val="nil"/>
              <w:left w:val="nil"/>
              <w:bottom w:val="single" w:sz="4" w:space="0" w:color="000000"/>
              <w:right w:val="nil"/>
            </w:tcBorders>
          </w:tcPr>
          <w:p>
            <w:pPr>
              <w:rPr>
                <w:sz w:val="2"/>
                <w:szCs w:val="2"/>
              </w:rPr>
            </w:pPr>
          </w:p>
        </w:tc>
      </w:tr>
      <w:tr>
        <w:trPr>
          <w:trHeight w:val="278" w:hRule="atLeast"/>
        </w:trPr>
        <w:tc>
          <w:tcPr>
            <w:tcW w:w="7313" w:type="dxa"/>
            <w:vMerge w:val="restart"/>
            <w:tcBorders>
              <w:top w:val="single" w:sz="8" w:space="0" w:color="FFFFFF"/>
              <w:left w:val="nil"/>
              <w:bottom w:val="single" w:sz="8" w:space="0" w:color="FFFFFF"/>
              <w:right w:val="single" w:sz="8" w:space="0" w:color="FFFFFF"/>
            </w:tcBorders>
            <w:shd w:val="clear" w:color="auto" w:fill="FAF9F9"/>
          </w:tcPr>
          <w:p>
            <w:pPr>
              <w:pStyle w:val="TableParagraph"/>
              <w:spacing w:before="35"/>
              <w:ind w:left="111"/>
              <w:rPr>
                <w:b/>
                <w:sz w:val="18"/>
              </w:rPr>
            </w:pPr>
            <w:r>
              <w:rPr>
                <w:b/>
                <w:sz w:val="18"/>
              </w:rPr>
              <w:t>Total appropriations</w:t>
            </w:r>
          </w:p>
          <w:p>
            <w:pPr>
              <w:pStyle w:val="TableParagraph"/>
              <w:spacing w:line="201" w:lineRule="exact" w:before="92"/>
              <w:ind w:left="111"/>
              <w:rPr>
                <w:b/>
                <w:sz w:val="18"/>
              </w:rPr>
            </w:pPr>
            <w:r>
              <w:rPr>
                <w:b/>
                <w:sz w:val="18"/>
              </w:rPr>
              <w:t>TOTAL ADMINISTERED INCOME ESTIMATES</w:t>
            </w:r>
          </w:p>
        </w:tc>
        <w:tc>
          <w:tcPr>
            <w:tcW w:w="1332" w:type="dxa"/>
            <w:tcBorders>
              <w:top w:val="single" w:sz="4" w:space="0" w:color="000000"/>
              <w:left w:val="single" w:sz="8" w:space="0" w:color="FFFFFF"/>
              <w:bottom w:val="single" w:sz="4" w:space="0" w:color="000000"/>
              <w:right w:val="nil"/>
            </w:tcBorders>
            <w:shd w:val="clear" w:color="auto" w:fill="F4F4F4"/>
          </w:tcPr>
          <w:p>
            <w:pPr>
              <w:pStyle w:val="TableParagraph"/>
              <w:spacing w:before="35"/>
              <w:ind w:right="112"/>
              <w:jc w:val="right"/>
              <w:rPr>
                <w:b/>
                <w:sz w:val="18"/>
              </w:rPr>
            </w:pPr>
            <w:r>
              <w:rPr>
                <w:b/>
                <w:sz w:val="18"/>
              </w:rPr>
              <w:t>259,682</w:t>
            </w:r>
          </w:p>
        </w:tc>
        <w:tc>
          <w:tcPr>
            <w:tcW w:w="1332" w:type="dxa"/>
            <w:tcBorders>
              <w:top w:val="single" w:sz="4" w:space="0" w:color="000000"/>
              <w:left w:val="nil"/>
              <w:bottom w:val="single" w:sz="4" w:space="0" w:color="000000"/>
              <w:right w:val="nil"/>
            </w:tcBorders>
            <w:shd w:val="clear" w:color="auto" w:fill="DFE1B8"/>
          </w:tcPr>
          <w:p>
            <w:pPr>
              <w:pStyle w:val="TableParagraph"/>
              <w:spacing w:before="35"/>
              <w:ind w:right="111"/>
              <w:jc w:val="right"/>
              <w:rPr>
                <w:b/>
                <w:sz w:val="18"/>
              </w:rPr>
            </w:pPr>
            <w:r>
              <w:rPr>
                <w:b/>
                <w:sz w:val="18"/>
              </w:rPr>
              <w:t>252,165</w:t>
            </w:r>
          </w:p>
        </w:tc>
        <w:tc>
          <w:tcPr>
            <w:tcW w:w="1342" w:type="dxa"/>
            <w:tcBorders>
              <w:top w:val="single" w:sz="4" w:space="0" w:color="000000"/>
              <w:left w:val="nil"/>
              <w:bottom w:val="single" w:sz="4" w:space="0" w:color="000000"/>
              <w:right w:val="nil"/>
            </w:tcBorders>
            <w:shd w:val="clear" w:color="auto" w:fill="F4F4F4"/>
          </w:tcPr>
          <w:p>
            <w:pPr>
              <w:pStyle w:val="TableParagraph"/>
              <w:spacing w:before="35"/>
              <w:ind w:right="121"/>
              <w:jc w:val="right"/>
              <w:rPr>
                <w:b/>
                <w:sz w:val="18"/>
              </w:rPr>
            </w:pPr>
            <w:r>
              <w:rPr>
                <w:b/>
                <w:w w:val="95"/>
                <w:sz w:val="18"/>
              </w:rPr>
              <w:t>(7,517)</w:t>
            </w:r>
          </w:p>
        </w:tc>
        <w:tc>
          <w:tcPr>
            <w:tcW w:w="1322" w:type="dxa"/>
            <w:tcBorders>
              <w:top w:val="single" w:sz="4" w:space="0" w:color="000000"/>
              <w:left w:val="nil"/>
              <w:bottom w:val="single" w:sz="4" w:space="0" w:color="000000"/>
              <w:right w:val="nil"/>
            </w:tcBorders>
            <w:shd w:val="clear" w:color="auto" w:fill="DFE1B8"/>
          </w:tcPr>
          <w:p>
            <w:pPr>
              <w:pStyle w:val="TableParagraph"/>
              <w:spacing w:before="35"/>
              <w:ind w:right="111"/>
              <w:jc w:val="right"/>
              <w:rPr>
                <w:b/>
                <w:sz w:val="18"/>
              </w:rPr>
            </w:pPr>
            <w:r>
              <w:rPr>
                <w:b/>
                <w:sz w:val="18"/>
              </w:rPr>
              <w:t>252,165</w:t>
            </w:r>
          </w:p>
        </w:tc>
        <w:tc>
          <w:tcPr>
            <w:tcW w:w="1507" w:type="dxa"/>
            <w:tcBorders>
              <w:top w:val="single" w:sz="4" w:space="0" w:color="000000"/>
              <w:left w:val="nil"/>
              <w:bottom w:val="single" w:sz="4" w:space="0" w:color="000000"/>
              <w:right w:val="nil"/>
            </w:tcBorders>
            <w:shd w:val="clear" w:color="auto" w:fill="F4F4F4"/>
          </w:tcPr>
          <w:p>
            <w:pPr>
              <w:pStyle w:val="TableParagraph"/>
              <w:spacing w:before="35"/>
              <w:ind w:right="282"/>
              <w:jc w:val="right"/>
              <w:rPr>
                <w:b/>
                <w:sz w:val="18"/>
              </w:rPr>
            </w:pPr>
            <w:r>
              <w:rPr>
                <w:b/>
                <w:sz w:val="18"/>
              </w:rPr>
              <w:t>237,046</w:t>
            </w:r>
          </w:p>
        </w:tc>
        <w:tc>
          <w:tcPr>
            <w:tcW w:w="1158" w:type="dxa"/>
            <w:tcBorders>
              <w:top w:val="single" w:sz="4" w:space="0" w:color="000000"/>
              <w:left w:val="nil"/>
              <w:bottom w:val="single" w:sz="4" w:space="0" w:color="000000"/>
              <w:right w:val="nil"/>
            </w:tcBorders>
            <w:shd w:val="clear" w:color="auto" w:fill="F4F4F4"/>
          </w:tcPr>
          <w:p>
            <w:pPr>
              <w:pStyle w:val="TableParagraph"/>
              <w:spacing w:before="35"/>
              <w:ind w:right="111"/>
              <w:jc w:val="right"/>
              <w:rPr>
                <w:b/>
                <w:sz w:val="18"/>
              </w:rPr>
            </w:pPr>
            <w:r>
              <w:rPr>
                <w:b/>
                <w:sz w:val="18"/>
              </w:rPr>
              <w:t>15,119</w:t>
            </w:r>
          </w:p>
        </w:tc>
      </w:tr>
      <w:tr>
        <w:trPr>
          <w:trHeight w:val="256" w:hRule="atLeast"/>
        </w:trPr>
        <w:tc>
          <w:tcPr>
            <w:tcW w:w="7313" w:type="dxa"/>
            <w:vMerge/>
            <w:tcBorders>
              <w:top w:val="nil"/>
              <w:left w:val="nil"/>
              <w:bottom w:val="single" w:sz="8" w:space="0" w:color="FFFFFF"/>
              <w:right w:val="single" w:sz="8" w:space="0" w:color="FFFFFF"/>
            </w:tcBorders>
            <w:shd w:val="clear" w:color="auto" w:fill="FAF9F9"/>
          </w:tcPr>
          <w:p>
            <w:pPr>
              <w:rPr>
                <w:sz w:val="2"/>
                <w:szCs w:val="2"/>
              </w:rPr>
            </w:pPr>
          </w:p>
        </w:tc>
        <w:tc>
          <w:tcPr>
            <w:tcW w:w="1332" w:type="dxa"/>
            <w:tcBorders>
              <w:top w:val="single" w:sz="4" w:space="0" w:color="000000"/>
              <w:left w:val="single" w:sz="8" w:space="0" w:color="FFFFFF"/>
              <w:bottom w:val="double" w:sz="2" w:space="0" w:color="000000"/>
              <w:right w:val="nil"/>
            </w:tcBorders>
            <w:shd w:val="clear" w:color="auto" w:fill="FAF9F9"/>
          </w:tcPr>
          <w:p>
            <w:pPr>
              <w:pStyle w:val="TableParagraph"/>
              <w:spacing w:line="201" w:lineRule="exact" w:before="35"/>
              <w:ind w:right="112"/>
              <w:jc w:val="right"/>
              <w:rPr>
                <w:b/>
                <w:sz w:val="18"/>
              </w:rPr>
            </w:pPr>
            <w:r>
              <w:rPr>
                <w:b/>
                <w:sz w:val="18"/>
              </w:rPr>
              <w:t>7,104,616</w:t>
            </w:r>
          </w:p>
        </w:tc>
        <w:tc>
          <w:tcPr>
            <w:tcW w:w="1332" w:type="dxa"/>
            <w:tcBorders>
              <w:top w:val="single" w:sz="4" w:space="0" w:color="000000"/>
              <w:left w:val="nil"/>
              <w:bottom w:val="double" w:sz="2" w:space="0" w:color="000000"/>
              <w:right w:val="nil"/>
            </w:tcBorders>
            <w:shd w:val="clear" w:color="auto" w:fill="E1E4BB"/>
          </w:tcPr>
          <w:p>
            <w:pPr>
              <w:pStyle w:val="TableParagraph"/>
              <w:spacing w:line="201" w:lineRule="exact" w:before="35"/>
              <w:ind w:right="112"/>
              <w:jc w:val="right"/>
              <w:rPr>
                <w:b/>
                <w:sz w:val="18"/>
              </w:rPr>
            </w:pPr>
            <w:r>
              <w:rPr>
                <w:b/>
                <w:sz w:val="18"/>
              </w:rPr>
              <w:t>7,100,660</w:t>
            </w:r>
          </w:p>
        </w:tc>
        <w:tc>
          <w:tcPr>
            <w:tcW w:w="1342" w:type="dxa"/>
            <w:tcBorders>
              <w:top w:val="single" w:sz="4" w:space="0" w:color="000000"/>
              <w:left w:val="nil"/>
              <w:bottom w:val="double" w:sz="2" w:space="0" w:color="000000"/>
              <w:right w:val="nil"/>
            </w:tcBorders>
            <w:shd w:val="clear" w:color="auto" w:fill="FAF9F9"/>
          </w:tcPr>
          <w:p>
            <w:pPr>
              <w:pStyle w:val="TableParagraph"/>
              <w:spacing w:line="201" w:lineRule="exact" w:before="35"/>
              <w:ind w:right="121"/>
              <w:jc w:val="right"/>
              <w:rPr>
                <w:b/>
                <w:sz w:val="18"/>
              </w:rPr>
            </w:pPr>
            <w:r>
              <w:rPr>
                <w:b/>
                <w:w w:val="95"/>
                <w:sz w:val="18"/>
              </w:rPr>
              <w:t>(3,956)</w:t>
            </w:r>
          </w:p>
        </w:tc>
        <w:tc>
          <w:tcPr>
            <w:tcW w:w="1322" w:type="dxa"/>
            <w:tcBorders>
              <w:top w:val="single" w:sz="4" w:space="0" w:color="000000"/>
              <w:left w:val="nil"/>
              <w:bottom w:val="double" w:sz="2" w:space="0" w:color="000000"/>
              <w:right w:val="nil"/>
            </w:tcBorders>
            <w:shd w:val="clear" w:color="auto" w:fill="E1E4BB"/>
          </w:tcPr>
          <w:p>
            <w:pPr>
              <w:pStyle w:val="TableParagraph"/>
              <w:spacing w:line="201" w:lineRule="exact" w:before="35"/>
              <w:ind w:right="111"/>
              <w:jc w:val="right"/>
              <w:rPr>
                <w:b/>
                <w:sz w:val="18"/>
              </w:rPr>
            </w:pPr>
            <w:r>
              <w:rPr>
                <w:b/>
                <w:sz w:val="18"/>
              </w:rPr>
              <w:t>7,100,660</w:t>
            </w:r>
          </w:p>
        </w:tc>
        <w:tc>
          <w:tcPr>
            <w:tcW w:w="1507" w:type="dxa"/>
            <w:tcBorders>
              <w:top w:val="single" w:sz="4" w:space="0" w:color="000000"/>
              <w:left w:val="nil"/>
              <w:bottom w:val="double" w:sz="2" w:space="0" w:color="000000"/>
              <w:right w:val="nil"/>
            </w:tcBorders>
          </w:tcPr>
          <w:p>
            <w:pPr>
              <w:pStyle w:val="TableParagraph"/>
              <w:spacing w:line="201" w:lineRule="exact" w:before="35"/>
              <w:ind w:right="286"/>
              <w:jc w:val="right"/>
              <w:rPr>
                <w:b/>
                <w:sz w:val="18"/>
              </w:rPr>
            </w:pPr>
            <w:r>
              <w:rPr>
                <w:b/>
                <w:sz w:val="18"/>
              </w:rPr>
              <w:t>7,140,026</w:t>
            </w:r>
          </w:p>
        </w:tc>
        <w:tc>
          <w:tcPr>
            <w:tcW w:w="1158" w:type="dxa"/>
            <w:tcBorders>
              <w:top w:val="single" w:sz="4" w:space="0" w:color="000000"/>
              <w:left w:val="nil"/>
              <w:bottom w:val="double" w:sz="2" w:space="0" w:color="000000"/>
              <w:right w:val="nil"/>
            </w:tcBorders>
          </w:tcPr>
          <w:p>
            <w:pPr>
              <w:pStyle w:val="TableParagraph"/>
              <w:spacing w:line="201" w:lineRule="exact" w:before="35"/>
              <w:ind w:right="112"/>
              <w:jc w:val="right"/>
              <w:rPr>
                <w:b/>
                <w:sz w:val="18"/>
              </w:rPr>
            </w:pPr>
            <w:r>
              <w:rPr>
                <w:b/>
                <w:w w:val="95"/>
                <w:sz w:val="18"/>
              </w:rPr>
              <w:t>(39,366)</w:t>
            </w:r>
          </w:p>
        </w:tc>
      </w:tr>
    </w:tbl>
    <w:p>
      <w:pPr>
        <w:spacing w:before="309"/>
        <w:ind w:left="765" w:right="0" w:firstLine="0"/>
        <w:jc w:val="left"/>
        <w:rPr>
          <w:sz w:val="18"/>
        </w:rPr>
      </w:pPr>
      <w:r>
        <w:rPr>
          <w:sz w:val="18"/>
        </w:rPr>
        <w:t>Adjustments comprise movements in cash balances and other accrual items such as receivables, payables and superannuation.</w:t>
      </w:r>
    </w:p>
    <w:p>
      <w:pPr>
        <w:spacing w:line="249" w:lineRule="auto" w:before="9"/>
        <w:ind w:left="765" w:right="905" w:firstLine="0"/>
        <w:jc w:val="left"/>
        <w:rPr>
          <w:sz w:val="18"/>
        </w:rPr>
      </w:pPr>
      <w:r>
        <w:rPr>
          <w:sz w:val="18"/>
        </w:rPr>
        <w:t>Note</w:t>
      </w:r>
      <w:r>
        <w:rPr>
          <w:spacing w:val="-16"/>
          <w:sz w:val="18"/>
        </w:rPr>
        <w:t> </w:t>
      </w:r>
      <w:r>
        <w:rPr>
          <w:sz w:val="18"/>
        </w:rPr>
        <w:t>44</w:t>
      </w:r>
      <w:r>
        <w:rPr>
          <w:spacing w:val="-16"/>
          <w:sz w:val="18"/>
        </w:rPr>
        <w:t> </w:t>
      </w:r>
      <w:r>
        <w:rPr>
          <w:sz w:val="18"/>
        </w:rPr>
        <w:t>‘Explanatory</w:t>
      </w:r>
      <w:r>
        <w:rPr>
          <w:spacing w:val="-16"/>
          <w:sz w:val="18"/>
        </w:rPr>
        <w:t> </w:t>
      </w:r>
      <w:r>
        <w:rPr>
          <w:sz w:val="18"/>
        </w:rPr>
        <w:t>statement’</w:t>
      </w:r>
      <w:r>
        <w:rPr>
          <w:spacing w:val="-15"/>
          <w:sz w:val="18"/>
        </w:rPr>
        <w:t> </w:t>
      </w:r>
      <w:r>
        <w:rPr>
          <w:sz w:val="18"/>
        </w:rPr>
        <w:t>and</w:t>
      </w:r>
      <w:r>
        <w:rPr>
          <w:spacing w:val="-16"/>
          <w:sz w:val="18"/>
        </w:rPr>
        <w:t> </w:t>
      </w:r>
      <w:r>
        <w:rPr>
          <w:sz w:val="18"/>
        </w:rPr>
        <w:t>Note</w:t>
      </w:r>
      <w:r>
        <w:rPr>
          <w:spacing w:val="-16"/>
          <w:sz w:val="18"/>
        </w:rPr>
        <w:t> </w:t>
      </w:r>
      <w:r>
        <w:rPr>
          <w:sz w:val="18"/>
        </w:rPr>
        <w:t>46</w:t>
      </w:r>
      <w:r>
        <w:rPr>
          <w:spacing w:val="-15"/>
          <w:sz w:val="18"/>
        </w:rPr>
        <w:t> </w:t>
      </w:r>
      <w:r>
        <w:rPr>
          <w:sz w:val="18"/>
        </w:rPr>
        <w:t>‘Explanatory</w:t>
      </w:r>
      <w:r>
        <w:rPr>
          <w:spacing w:val="-16"/>
          <w:sz w:val="18"/>
        </w:rPr>
        <w:t> </w:t>
      </w:r>
      <w:r>
        <w:rPr>
          <w:sz w:val="18"/>
        </w:rPr>
        <w:t>statement</w:t>
      </w:r>
      <w:r>
        <w:rPr>
          <w:spacing w:val="-16"/>
          <w:sz w:val="18"/>
        </w:rPr>
        <w:t> </w:t>
      </w:r>
      <w:r>
        <w:rPr>
          <w:sz w:val="18"/>
        </w:rPr>
        <w:t>for</w:t>
      </w:r>
      <w:r>
        <w:rPr>
          <w:spacing w:val="-15"/>
          <w:sz w:val="18"/>
        </w:rPr>
        <w:t> </w:t>
      </w:r>
      <w:r>
        <w:rPr>
          <w:sz w:val="18"/>
        </w:rPr>
        <w:t>Administered</w:t>
      </w:r>
      <w:r>
        <w:rPr>
          <w:spacing w:val="-16"/>
          <w:sz w:val="18"/>
        </w:rPr>
        <w:t> </w:t>
      </w:r>
      <w:r>
        <w:rPr>
          <w:sz w:val="18"/>
        </w:rPr>
        <w:t>Items’</w:t>
      </w:r>
      <w:r>
        <w:rPr>
          <w:spacing w:val="-16"/>
          <w:sz w:val="18"/>
        </w:rPr>
        <w:t> </w:t>
      </w:r>
      <w:r>
        <w:rPr>
          <w:sz w:val="18"/>
        </w:rPr>
        <w:t>provide</w:t>
      </w:r>
      <w:r>
        <w:rPr>
          <w:spacing w:val="-15"/>
          <w:sz w:val="18"/>
        </w:rPr>
        <w:t> </w:t>
      </w:r>
      <w:r>
        <w:rPr>
          <w:sz w:val="18"/>
        </w:rPr>
        <w:t>details</w:t>
      </w:r>
      <w:r>
        <w:rPr>
          <w:spacing w:val="-16"/>
          <w:sz w:val="18"/>
        </w:rPr>
        <w:t> </w:t>
      </w:r>
      <w:r>
        <w:rPr>
          <w:sz w:val="18"/>
        </w:rPr>
        <w:t>of</w:t>
      </w:r>
      <w:r>
        <w:rPr>
          <w:spacing w:val="-16"/>
          <w:sz w:val="18"/>
        </w:rPr>
        <w:t> </w:t>
      </w:r>
      <w:r>
        <w:rPr>
          <w:sz w:val="18"/>
        </w:rPr>
        <w:t>any</w:t>
      </w:r>
      <w:r>
        <w:rPr>
          <w:spacing w:val="-15"/>
          <w:sz w:val="18"/>
        </w:rPr>
        <w:t> </w:t>
      </w:r>
      <w:r>
        <w:rPr>
          <w:sz w:val="18"/>
        </w:rPr>
        <w:t>significant</w:t>
      </w:r>
      <w:r>
        <w:rPr>
          <w:spacing w:val="-16"/>
          <w:sz w:val="18"/>
        </w:rPr>
        <w:t> </w:t>
      </w:r>
      <w:r>
        <w:rPr>
          <w:sz w:val="18"/>
        </w:rPr>
        <w:t>variations</w:t>
      </w:r>
      <w:r>
        <w:rPr>
          <w:spacing w:val="-16"/>
          <w:sz w:val="18"/>
        </w:rPr>
        <w:t> </w:t>
      </w:r>
      <w:r>
        <w:rPr>
          <w:sz w:val="18"/>
        </w:rPr>
        <w:t>between</w:t>
      </w:r>
      <w:r>
        <w:rPr>
          <w:spacing w:val="-16"/>
          <w:sz w:val="18"/>
        </w:rPr>
        <w:t> </w:t>
      </w:r>
      <w:r>
        <w:rPr>
          <w:sz w:val="18"/>
        </w:rPr>
        <w:t>estimates</w:t>
      </w:r>
      <w:r>
        <w:rPr>
          <w:spacing w:val="-15"/>
          <w:sz w:val="18"/>
        </w:rPr>
        <w:t> </w:t>
      </w:r>
      <w:r>
        <w:rPr>
          <w:sz w:val="18"/>
        </w:rPr>
        <w:t>and</w:t>
      </w:r>
      <w:r>
        <w:rPr>
          <w:spacing w:val="-16"/>
          <w:sz w:val="18"/>
        </w:rPr>
        <w:t> </w:t>
      </w:r>
      <w:r>
        <w:rPr>
          <w:sz w:val="18"/>
        </w:rPr>
        <w:t>actual</w:t>
      </w:r>
      <w:r>
        <w:rPr>
          <w:spacing w:val="-16"/>
          <w:sz w:val="18"/>
        </w:rPr>
        <w:t> </w:t>
      </w:r>
      <w:r>
        <w:rPr>
          <w:sz w:val="18"/>
        </w:rPr>
        <w:t>results</w:t>
      </w:r>
      <w:r>
        <w:rPr>
          <w:spacing w:val="-15"/>
          <w:sz w:val="18"/>
        </w:rPr>
        <w:t> </w:t>
      </w:r>
      <w:r>
        <w:rPr>
          <w:sz w:val="18"/>
        </w:rPr>
        <w:t>for</w:t>
      </w:r>
      <w:r>
        <w:rPr>
          <w:spacing w:val="-16"/>
          <w:sz w:val="18"/>
        </w:rPr>
        <w:t> </w:t>
      </w:r>
      <w:r>
        <w:rPr>
          <w:sz w:val="18"/>
        </w:rPr>
        <w:t>2018</w:t>
      </w:r>
      <w:r>
        <w:rPr>
          <w:spacing w:val="-16"/>
          <w:sz w:val="18"/>
        </w:rPr>
        <w:t> </w:t>
      </w:r>
      <w:r>
        <w:rPr>
          <w:sz w:val="18"/>
        </w:rPr>
        <w:t>and</w:t>
      </w:r>
      <w:r>
        <w:rPr>
          <w:spacing w:val="-15"/>
          <w:sz w:val="18"/>
        </w:rPr>
        <w:t> </w:t>
      </w:r>
      <w:r>
        <w:rPr>
          <w:spacing w:val="-3"/>
          <w:sz w:val="18"/>
        </w:rPr>
        <w:t>between </w:t>
      </w:r>
      <w:r>
        <w:rPr>
          <w:sz w:val="18"/>
        </w:rPr>
        <w:t>the actual results for 2018 and</w:t>
      </w:r>
      <w:r>
        <w:rPr>
          <w:spacing w:val="-2"/>
          <w:sz w:val="18"/>
        </w:rPr>
        <w:t> </w:t>
      </w:r>
      <w:r>
        <w:rPr>
          <w:sz w:val="18"/>
        </w:rPr>
        <w:t>2017.</w:t>
      </w:r>
    </w:p>
    <w:p>
      <w:pPr>
        <w:pStyle w:val="BodyText"/>
        <w:spacing w:before="1"/>
      </w:pPr>
    </w:p>
    <w:p>
      <w:pPr>
        <w:tabs>
          <w:tab w:pos="10886" w:val="left" w:leader="none"/>
          <w:tab w:pos="11199" w:val="left" w:leader="none"/>
          <w:tab w:pos="15849"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12184"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12208"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45</w:t>
      </w:r>
    </w:p>
    <w:p>
      <w:pPr>
        <w:spacing w:after="0"/>
        <w:jc w:val="left"/>
        <w:rPr>
          <w:sz w:val="20"/>
        </w:rPr>
        <w:sectPr>
          <w:footerReference w:type="default" r:id="rId139"/>
          <w:pgSz w:w="16840" w:h="11910" w:orient="landscape"/>
          <w:pgMar w:footer="0" w:header="0" w:top="0" w:bottom="0" w:left="0" w:right="0"/>
        </w:sectPr>
      </w:pPr>
    </w:p>
    <w:p>
      <w:pPr>
        <w:tabs>
          <w:tab w:pos="4810" w:val="left" w:leader="none"/>
          <w:tab w:pos="9621" w:val="left" w:leader="none"/>
          <w:tab w:pos="14432" w:val="left" w:leader="none"/>
        </w:tabs>
        <w:spacing w:line="240" w:lineRule="auto"/>
        <w:ind w:left="0" w:right="-44" w:firstLine="0"/>
        <w:rPr>
          <w:sz w:val="20"/>
        </w:rPr>
      </w:pPr>
      <w:bookmarkStart w:name="_bookmark25" w:id="26"/>
      <w:bookmarkEnd w:id="26"/>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b/>
          <w:sz w:val="23"/>
        </w:rPr>
      </w:pPr>
    </w:p>
    <w:p>
      <w:pPr>
        <w:pStyle w:val="Heading1"/>
      </w:pPr>
      <w:r>
        <w:rPr/>
        <w:pict>
          <v:group style="position:absolute;margin-left:481.080994pt;margin-top:-57.499214pt;width:360.85pt;height:130.65pt;mso-position-horizontal-relative:page;mso-position-vertical-relative:paragraph;z-index:-700096"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2424" type="#_x0000_t202" filled="false"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2448"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247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0"/>
          <w:pgSz w:w="16840" w:h="11910" w:orient="landscape"/>
          <w:pgMar w:footer="774" w:header="0" w:top="0" w:bottom="960" w:left="0" w:right="0"/>
        </w:sectPr>
      </w:pPr>
    </w:p>
    <w:p>
      <w:pPr>
        <w:pStyle w:val="Heading5"/>
        <w:spacing w:line="235" w:lineRule="auto" w:before="253"/>
        <w:ind w:right="667"/>
      </w:pPr>
      <w:r>
        <w:rPr>
          <w:color w:val="6F2770"/>
        </w:rPr>
        <w:t>Note</w:t>
      </w:r>
      <w:r>
        <w:rPr>
          <w:color w:val="6F2770"/>
          <w:spacing w:val="-41"/>
        </w:rPr>
        <w:t> </w:t>
      </w:r>
      <w:r>
        <w:rPr>
          <w:color w:val="6F2770"/>
        </w:rPr>
        <w:t>1.</w:t>
      </w:r>
      <w:r>
        <w:rPr>
          <w:color w:val="6F2770"/>
          <w:spacing w:val="-41"/>
        </w:rPr>
        <w:t> </w:t>
      </w:r>
      <w:r>
        <w:rPr>
          <w:color w:val="6F2770"/>
        </w:rPr>
        <w:t>Australian</w:t>
      </w:r>
      <w:r>
        <w:rPr>
          <w:color w:val="6F2770"/>
          <w:spacing w:val="-40"/>
        </w:rPr>
        <w:t> </w:t>
      </w:r>
      <w:r>
        <w:rPr>
          <w:color w:val="6F2770"/>
        </w:rPr>
        <w:t>Accounting Standards</w:t>
      </w:r>
    </w:p>
    <w:p>
      <w:pPr>
        <w:pStyle w:val="Heading6"/>
        <w:spacing w:before="255"/>
      </w:pPr>
      <w:r>
        <w:rPr/>
        <w:t>General</w:t>
      </w:r>
    </w:p>
    <w:p>
      <w:pPr>
        <w:pStyle w:val="BodyText"/>
        <w:spacing w:line="249" w:lineRule="auto" w:before="11"/>
        <w:ind w:left="765" w:right="158"/>
      </w:pPr>
      <w:r>
        <w:rPr/>
        <w:t>The </w:t>
      </w:r>
      <w:r>
        <w:rPr>
          <w:spacing w:val="-3"/>
        </w:rPr>
        <w:t>Department’s </w:t>
      </w:r>
      <w:r>
        <w:rPr/>
        <w:t>financial statements for the year</w:t>
      </w:r>
      <w:r>
        <w:rPr>
          <w:spacing w:val="-18"/>
        </w:rPr>
        <w:t> </w:t>
      </w:r>
      <w:r>
        <w:rPr/>
        <w:t>ended</w:t>
      </w:r>
      <w:r>
        <w:rPr>
          <w:spacing w:val="-17"/>
        </w:rPr>
        <w:t> </w:t>
      </w:r>
      <w:r>
        <w:rPr/>
        <w:t>30</w:t>
      </w:r>
      <w:r>
        <w:rPr>
          <w:spacing w:val="-17"/>
        </w:rPr>
        <w:t> </w:t>
      </w:r>
      <w:r>
        <w:rPr/>
        <w:t>June</w:t>
      </w:r>
      <w:r>
        <w:rPr>
          <w:spacing w:val="-17"/>
        </w:rPr>
        <w:t> </w:t>
      </w:r>
      <w:r>
        <w:rPr/>
        <w:t>2018</w:t>
      </w:r>
      <w:r>
        <w:rPr>
          <w:spacing w:val="-18"/>
        </w:rPr>
        <w:t> </w:t>
      </w:r>
      <w:r>
        <w:rPr/>
        <w:t>have</w:t>
      </w:r>
      <w:r>
        <w:rPr>
          <w:spacing w:val="-17"/>
        </w:rPr>
        <w:t> </w:t>
      </w:r>
      <w:r>
        <w:rPr/>
        <w:t>been</w:t>
      </w:r>
      <w:r>
        <w:rPr>
          <w:spacing w:val="-17"/>
        </w:rPr>
        <w:t> </w:t>
      </w:r>
      <w:r>
        <w:rPr/>
        <w:t>prepared</w:t>
      </w:r>
      <w:r>
        <w:rPr>
          <w:spacing w:val="-17"/>
        </w:rPr>
        <w:t> </w:t>
      </w:r>
      <w:r>
        <w:rPr>
          <w:spacing w:val="-9"/>
        </w:rPr>
        <w:t>in</w:t>
      </w:r>
    </w:p>
    <w:p>
      <w:pPr>
        <w:pStyle w:val="BodyText"/>
        <w:spacing w:line="249" w:lineRule="auto" w:before="1"/>
        <w:ind w:left="765" w:right="-8"/>
      </w:pPr>
      <w:r>
        <w:rPr/>
        <w:t>accordance</w:t>
      </w:r>
      <w:r>
        <w:rPr>
          <w:spacing w:val="-27"/>
        </w:rPr>
        <w:t> </w:t>
      </w:r>
      <w:r>
        <w:rPr/>
        <w:t>with</w:t>
      </w:r>
      <w:r>
        <w:rPr>
          <w:spacing w:val="-26"/>
        </w:rPr>
        <w:t> </w:t>
      </w:r>
      <w:r>
        <w:rPr/>
        <w:t>Australian</w:t>
      </w:r>
      <w:r>
        <w:rPr>
          <w:spacing w:val="-26"/>
        </w:rPr>
        <w:t> </w:t>
      </w:r>
      <w:r>
        <w:rPr/>
        <w:t>Accounting</w:t>
      </w:r>
      <w:r>
        <w:rPr>
          <w:spacing w:val="-26"/>
        </w:rPr>
        <w:t> </w:t>
      </w:r>
      <w:r>
        <w:rPr>
          <w:spacing w:val="-3"/>
        </w:rPr>
        <w:t>Standards. </w:t>
      </w:r>
      <w:r>
        <w:rPr/>
        <w:t>The term ‘Australian Accounting Standards’ includes</w:t>
      </w:r>
      <w:r>
        <w:rPr>
          <w:spacing w:val="-13"/>
        </w:rPr>
        <w:t> </w:t>
      </w:r>
      <w:r>
        <w:rPr/>
        <w:t>Standards</w:t>
      </w:r>
      <w:r>
        <w:rPr>
          <w:spacing w:val="-13"/>
        </w:rPr>
        <w:t> </w:t>
      </w:r>
      <w:r>
        <w:rPr/>
        <w:t>and</w:t>
      </w:r>
      <w:r>
        <w:rPr>
          <w:spacing w:val="-12"/>
        </w:rPr>
        <w:t> </w:t>
      </w:r>
      <w:r>
        <w:rPr/>
        <w:t>Interpretations</w:t>
      </w:r>
      <w:r>
        <w:rPr>
          <w:spacing w:val="-13"/>
        </w:rPr>
        <w:t> </w:t>
      </w:r>
      <w:r>
        <w:rPr/>
        <w:t>issued</w:t>
      </w:r>
    </w:p>
    <w:p>
      <w:pPr>
        <w:pStyle w:val="BodyText"/>
        <w:spacing w:line="249" w:lineRule="auto" w:before="3"/>
        <w:ind w:left="765" w:right="147"/>
      </w:pPr>
      <w:r>
        <w:rPr/>
        <w:t>by the Australian Accounting Standards Board (AASB).</w:t>
      </w:r>
      <w:r>
        <w:rPr>
          <w:spacing w:val="-33"/>
        </w:rPr>
        <w:t> </w:t>
      </w:r>
      <w:r>
        <w:rPr/>
        <w:t>These</w:t>
      </w:r>
      <w:r>
        <w:rPr>
          <w:spacing w:val="-33"/>
        </w:rPr>
        <w:t> </w:t>
      </w:r>
      <w:r>
        <w:rPr/>
        <w:t>annual</w:t>
      </w:r>
      <w:r>
        <w:rPr>
          <w:spacing w:val="-33"/>
        </w:rPr>
        <w:t> </w:t>
      </w:r>
      <w:r>
        <w:rPr/>
        <w:t>financial</w:t>
      </w:r>
      <w:r>
        <w:rPr>
          <w:spacing w:val="-33"/>
        </w:rPr>
        <w:t> </w:t>
      </w:r>
      <w:r>
        <w:rPr/>
        <w:t>statements</w:t>
      </w:r>
      <w:r>
        <w:rPr>
          <w:spacing w:val="-33"/>
        </w:rPr>
        <w:t> </w:t>
      </w:r>
      <w:r>
        <w:rPr/>
        <w:t>were authorised</w:t>
      </w:r>
      <w:r>
        <w:rPr>
          <w:spacing w:val="-17"/>
        </w:rPr>
        <w:t> </w:t>
      </w:r>
      <w:r>
        <w:rPr/>
        <w:t>for</w:t>
      </w:r>
      <w:r>
        <w:rPr>
          <w:spacing w:val="-17"/>
        </w:rPr>
        <w:t> </w:t>
      </w:r>
      <w:r>
        <w:rPr/>
        <w:t>issue</w:t>
      </w:r>
      <w:r>
        <w:rPr>
          <w:spacing w:val="-16"/>
        </w:rPr>
        <w:t> </w:t>
      </w:r>
      <w:r>
        <w:rPr/>
        <w:t>by</w:t>
      </w:r>
      <w:r>
        <w:rPr>
          <w:spacing w:val="-17"/>
        </w:rPr>
        <w:t> </w:t>
      </w:r>
      <w:r>
        <w:rPr/>
        <w:t>the</w:t>
      </w:r>
      <w:r>
        <w:rPr>
          <w:spacing w:val="-17"/>
        </w:rPr>
        <w:t> </w:t>
      </w:r>
      <w:r>
        <w:rPr>
          <w:spacing w:val="-3"/>
        </w:rPr>
        <w:t>Department’s</w:t>
      </w:r>
      <w:r>
        <w:rPr>
          <w:spacing w:val="-16"/>
        </w:rPr>
        <w:t> </w:t>
      </w:r>
      <w:r>
        <w:rPr>
          <w:spacing w:val="-4"/>
        </w:rPr>
        <w:t>Director </w:t>
      </w:r>
      <w:r>
        <w:rPr/>
        <w:t>General on 20 August</w:t>
      </w:r>
      <w:r>
        <w:rPr>
          <w:spacing w:val="-8"/>
        </w:rPr>
        <w:t> </w:t>
      </w:r>
      <w:r>
        <w:rPr/>
        <w:t>2018.</w:t>
      </w:r>
    </w:p>
    <w:p>
      <w:pPr>
        <w:pStyle w:val="BodyText"/>
        <w:spacing w:before="3"/>
        <w:rPr>
          <w:sz w:val="23"/>
        </w:rPr>
      </w:pPr>
    </w:p>
    <w:p>
      <w:pPr>
        <w:pStyle w:val="BodyText"/>
        <w:spacing w:line="249" w:lineRule="auto"/>
        <w:ind w:left="765" w:right="38"/>
      </w:pPr>
      <w:r>
        <w:rPr/>
        <w:t>The</w:t>
      </w:r>
      <w:r>
        <w:rPr>
          <w:spacing w:val="-19"/>
        </w:rPr>
        <w:t> </w:t>
      </w:r>
      <w:r>
        <w:rPr/>
        <w:t>Department</w:t>
      </w:r>
      <w:r>
        <w:rPr>
          <w:spacing w:val="-18"/>
        </w:rPr>
        <w:t> </w:t>
      </w:r>
      <w:r>
        <w:rPr/>
        <w:t>has</w:t>
      </w:r>
      <w:r>
        <w:rPr>
          <w:spacing w:val="-19"/>
        </w:rPr>
        <w:t> </w:t>
      </w:r>
      <w:r>
        <w:rPr/>
        <w:t>adopted</w:t>
      </w:r>
      <w:r>
        <w:rPr>
          <w:spacing w:val="-18"/>
        </w:rPr>
        <w:t> </w:t>
      </w:r>
      <w:r>
        <w:rPr/>
        <w:t>any</w:t>
      </w:r>
      <w:r>
        <w:rPr>
          <w:spacing w:val="-19"/>
        </w:rPr>
        <w:t> </w:t>
      </w:r>
      <w:r>
        <w:rPr/>
        <w:t>applicable</w:t>
      </w:r>
      <w:r>
        <w:rPr>
          <w:spacing w:val="-18"/>
        </w:rPr>
        <w:t> </w:t>
      </w:r>
      <w:r>
        <w:rPr/>
        <w:t>new and</w:t>
      </w:r>
      <w:r>
        <w:rPr>
          <w:spacing w:val="-29"/>
        </w:rPr>
        <w:t> </w:t>
      </w:r>
      <w:r>
        <w:rPr/>
        <w:t>revised</w:t>
      </w:r>
      <w:r>
        <w:rPr>
          <w:spacing w:val="-29"/>
        </w:rPr>
        <w:t> </w:t>
      </w:r>
      <w:r>
        <w:rPr/>
        <w:t>Australian</w:t>
      </w:r>
      <w:r>
        <w:rPr>
          <w:spacing w:val="-29"/>
        </w:rPr>
        <w:t> </w:t>
      </w:r>
      <w:r>
        <w:rPr/>
        <w:t>Accounting</w:t>
      </w:r>
      <w:r>
        <w:rPr>
          <w:spacing w:val="-29"/>
        </w:rPr>
        <w:t> </w:t>
      </w:r>
      <w:r>
        <w:rPr/>
        <w:t>Standards</w:t>
      </w:r>
      <w:r>
        <w:rPr>
          <w:spacing w:val="-29"/>
        </w:rPr>
        <w:t> </w:t>
      </w:r>
      <w:r>
        <w:rPr>
          <w:spacing w:val="-6"/>
        </w:rPr>
        <w:t>from </w:t>
      </w:r>
      <w:r>
        <w:rPr/>
        <w:t>their operative</w:t>
      </w:r>
      <w:r>
        <w:rPr>
          <w:spacing w:val="-3"/>
        </w:rPr>
        <w:t> </w:t>
      </w:r>
      <w:r>
        <w:rPr/>
        <w:t>dates.</w:t>
      </w:r>
    </w:p>
    <w:p>
      <w:pPr>
        <w:pStyle w:val="BodyText"/>
        <w:spacing w:before="2"/>
        <w:rPr>
          <w:sz w:val="23"/>
        </w:rPr>
      </w:pPr>
    </w:p>
    <w:p>
      <w:pPr>
        <w:pStyle w:val="Heading6"/>
      </w:pPr>
      <w:r>
        <w:rPr/>
        <w:t>Early adoption of standards</w:t>
      </w:r>
    </w:p>
    <w:p>
      <w:pPr>
        <w:spacing w:line="249" w:lineRule="auto" w:before="11"/>
        <w:ind w:left="765" w:right="64" w:firstLine="0"/>
        <w:jc w:val="left"/>
        <w:rPr>
          <w:sz w:val="22"/>
        </w:rPr>
      </w:pPr>
      <w:r>
        <w:rPr>
          <w:sz w:val="22"/>
        </w:rPr>
        <w:t>The</w:t>
      </w:r>
      <w:r>
        <w:rPr>
          <w:spacing w:val="-24"/>
          <w:sz w:val="22"/>
        </w:rPr>
        <w:t> </w:t>
      </w:r>
      <w:r>
        <w:rPr>
          <w:sz w:val="22"/>
        </w:rPr>
        <w:t>Department</w:t>
      </w:r>
      <w:r>
        <w:rPr>
          <w:spacing w:val="-23"/>
          <w:sz w:val="22"/>
        </w:rPr>
        <w:t> </w:t>
      </w:r>
      <w:r>
        <w:rPr>
          <w:sz w:val="22"/>
        </w:rPr>
        <w:t>cannot</w:t>
      </w:r>
      <w:r>
        <w:rPr>
          <w:spacing w:val="-23"/>
          <w:sz w:val="22"/>
        </w:rPr>
        <w:t> </w:t>
      </w:r>
      <w:r>
        <w:rPr>
          <w:sz w:val="22"/>
        </w:rPr>
        <w:t>early</w:t>
      </w:r>
      <w:r>
        <w:rPr>
          <w:spacing w:val="-23"/>
          <w:sz w:val="22"/>
        </w:rPr>
        <w:t> </w:t>
      </w:r>
      <w:r>
        <w:rPr>
          <w:sz w:val="22"/>
        </w:rPr>
        <w:t>adopt</w:t>
      </w:r>
      <w:r>
        <w:rPr>
          <w:spacing w:val="-23"/>
          <w:sz w:val="22"/>
        </w:rPr>
        <w:t> </w:t>
      </w:r>
      <w:r>
        <w:rPr>
          <w:sz w:val="22"/>
        </w:rPr>
        <w:t>an</w:t>
      </w:r>
      <w:r>
        <w:rPr>
          <w:spacing w:val="-23"/>
          <w:sz w:val="22"/>
        </w:rPr>
        <w:t> </w:t>
      </w:r>
      <w:r>
        <w:rPr>
          <w:sz w:val="22"/>
        </w:rPr>
        <w:t>Australian Accounting</w:t>
      </w:r>
      <w:r>
        <w:rPr>
          <w:spacing w:val="-37"/>
          <w:sz w:val="22"/>
        </w:rPr>
        <w:t> </w:t>
      </w:r>
      <w:r>
        <w:rPr>
          <w:sz w:val="22"/>
        </w:rPr>
        <w:t>Standard</w:t>
      </w:r>
      <w:r>
        <w:rPr>
          <w:spacing w:val="-36"/>
          <w:sz w:val="22"/>
        </w:rPr>
        <w:t> </w:t>
      </w:r>
      <w:r>
        <w:rPr>
          <w:sz w:val="22"/>
        </w:rPr>
        <w:t>unless</w:t>
      </w:r>
      <w:r>
        <w:rPr>
          <w:spacing w:val="-37"/>
          <w:sz w:val="22"/>
        </w:rPr>
        <w:t> </w:t>
      </w:r>
      <w:r>
        <w:rPr>
          <w:sz w:val="22"/>
        </w:rPr>
        <w:t>specifically</w:t>
      </w:r>
      <w:r>
        <w:rPr>
          <w:spacing w:val="-36"/>
          <w:sz w:val="22"/>
        </w:rPr>
        <w:t> </w:t>
      </w:r>
      <w:r>
        <w:rPr>
          <w:sz w:val="22"/>
        </w:rPr>
        <w:t>permitted by TI 1101 </w:t>
      </w:r>
      <w:r>
        <w:rPr>
          <w:i/>
          <w:sz w:val="22"/>
        </w:rPr>
        <w:t>Application of Australian Accounting </w:t>
      </w:r>
      <w:r>
        <w:rPr>
          <w:i/>
          <w:sz w:val="22"/>
        </w:rPr>
        <w:t>Standards and Other Pronouncements </w:t>
      </w:r>
      <w:r>
        <w:rPr>
          <w:sz w:val="22"/>
        </w:rPr>
        <w:t>or</w:t>
      </w:r>
      <w:r>
        <w:rPr>
          <w:spacing w:val="-40"/>
          <w:sz w:val="22"/>
        </w:rPr>
        <w:t> </w:t>
      </w:r>
      <w:r>
        <w:rPr>
          <w:sz w:val="22"/>
        </w:rPr>
        <w:t>by</w:t>
      </w:r>
    </w:p>
    <w:p>
      <w:pPr>
        <w:pStyle w:val="BodyText"/>
        <w:spacing w:line="249" w:lineRule="auto" w:before="4"/>
        <w:ind w:left="765" w:right="24"/>
      </w:pPr>
      <w:r>
        <w:rPr/>
        <w:t>an exemption from TI 1101. There has been no early</w:t>
      </w:r>
      <w:r>
        <w:rPr>
          <w:spacing w:val="-20"/>
        </w:rPr>
        <w:t> </w:t>
      </w:r>
      <w:r>
        <w:rPr/>
        <w:t>adoption</w:t>
      </w:r>
      <w:r>
        <w:rPr>
          <w:spacing w:val="-20"/>
        </w:rPr>
        <w:t> </w:t>
      </w:r>
      <w:r>
        <w:rPr/>
        <w:t>of</w:t>
      </w:r>
      <w:r>
        <w:rPr>
          <w:spacing w:val="-19"/>
        </w:rPr>
        <w:t> </w:t>
      </w:r>
      <w:r>
        <w:rPr/>
        <w:t>any</w:t>
      </w:r>
      <w:r>
        <w:rPr>
          <w:spacing w:val="-20"/>
        </w:rPr>
        <w:t> </w:t>
      </w:r>
      <w:r>
        <w:rPr/>
        <w:t>other</w:t>
      </w:r>
      <w:r>
        <w:rPr>
          <w:spacing w:val="-20"/>
        </w:rPr>
        <w:t> </w:t>
      </w:r>
      <w:r>
        <w:rPr/>
        <w:t>Australian</w:t>
      </w:r>
      <w:r>
        <w:rPr>
          <w:spacing w:val="-19"/>
        </w:rPr>
        <w:t> </w:t>
      </w:r>
      <w:r>
        <w:rPr/>
        <w:t>Accounting Standards</w:t>
      </w:r>
      <w:r>
        <w:rPr>
          <w:spacing w:val="-20"/>
        </w:rPr>
        <w:t> </w:t>
      </w:r>
      <w:r>
        <w:rPr/>
        <w:t>that</w:t>
      </w:r>
      <w:r>
        <w:rPr>
          <w:spacing w:val="-19"/>
        </w:rPr>
        <w:t> </w:t>
      </w:r>
      <w:r>
        <w:rPr/>
        <w:t>have</w:t>
      </w:r>
      <w:r>
        <w:rPr>
          <w:spacing w:val="-20"/>
        </w:rPr>
        <w:t> </w:t>
      </w:r>
      <w:r>
        <w:rPr/>
        <w:t>been</w:t>
      </w:r>
      <w:r>
        <w:rPr>
          <w:spacing w:val="-19"/>
        </w:rPr>
        <w:t> </w:t>
      </w:r>
      <w:r>
        <w:rPr/>
        <w:t>issued</w:t>
      </w:r>
      <w:r>
        <w:rPr>
          <w:spacing w:val="-20"/>
        </w:rPr>
        <w:t> </w:t>
      </w:r>
      <w:r>
        <w:rPr/>
        <w:t>or</w:t>
      </w:r>
      <w:r>
        <w:rPr>
          <w:spacing w:val="-19"/>
        </w:rPr>
        <w:t> </w:t>
      </w:r>
      <w:r>
        <w:rPr/>
        <w:t>amended</w:t>
      </w:r>
      <w:r>
        <w:rPr>
          <w:spacing w:val="-19"/>
        </w:rPr>
        <w:t> </w:t>
      </w:r>
      <w:r>
        <w:rPr>
          <w:spacing w:val="-5"/>
        </w:rPr>
        <w:t>(but </w:t>
      </w:r>
      <w:r>
        <w:rPr/>
        <w:t>not operative) by the Department for the annual reporting period ended 30 June</w:t>
      </w:r>
      <w:r>
        <w:rPr>
          <w:spacing w:val="-15"/>
        </w:rPr>
        <w:t> </w:t>
      </w:r>
      <w:r>
        <w:rPr/>
        <w:t>2018.</w:t>
      </w:r>
    </w:p>
    <w:p>
      <w:pPr>
        <w:pStyle w:val="Heading5"/>
        <w:spacing w:line="235" w:lineRule="auto" w:before="253"/>
        <w:ind w:left="423" w:right="542"/>
      </w:pPr>
      <w:r>
        <w:rPr/>
        <w:br w:type="column"/>
      </w:r>
      <w:r>
        <w:rPr>
          <w:color w:val="6F2770"/>
        </w:rPr>
        <w:t>Note</w:t>
      </w:r>
      <w:r>
        <w:rPr>
          <w:color w:val="6F2770"/>
          <w:spacing w:val="-34"/>
        </w:rPr>
        <w:t> </w:t>
      </w:r>
      <w:r>
        <w:rPr>
          <w:color w:val="6F2770"/>
        </w:rPr>
        <w:t>2.</w:t>
      </w:r>
      <w:r>
        <w:rPr>
          <w:color w:val="6F2770"/>
          <w:spacing w:val="-34"/>
        </w:rPr>
        <w:t> </w:t>
      </w:r>
      <w:r>
        <w:rPr>
          <w:color w:val="6F2770"/>
        </w:rPr>
        <w:t>Summary</w:t>
      </w:r>
      <w:r>
        <w:rPr>
          <w:color w:val="6F2770"/>
          <w:spacing w:val="-34"/>
        </w:rPr>
        <w:t> </w:t>
      </w:r>
      <w:r>
        <w:rPr>
          <w:color w:val="6F2770"/>
        </w:rPr>
        <w:t>of</w:t>
      </w:r>
      <w:r>
        <w:rPr>
          <w:color w:val="6F2770"/>
          <w:spacing w:val="-33"/>
        </w:rPr>
        <w:t> </w:t>
      </w:r>
      <w:r>
        <w:rPr>
          <w:color w:val="6F2770"/>
        </w:rPr>
        <w:t>significant accounting</w:t>
      </w:r>
      <w:r>
        <w:rPr>
          <w:color w:val="6F2770"/>
          <w:spacing w:val="-4"/>
        </w:rPr>
        <w:t> </w:t>
      </w:r>
      <w:r>
        <w:rPr>
          <w:color w:val="6F2770"/>
        </w:rPr>
        <w:t>policies</w:t>
      </w:r>
    </w:p>
    <w:p>
      <w:pPr>
        <w:pStyle w:val="Heading6"/>
        <w:numPr>
          <w:ilvl w:val="0"/>
          <w:numId w:val="5"/>
        </w:numPr>
        <w:tabs>
          <w:tab w:pos="742" w:val="left" w:leader="none"/>
        </w:tabs>
        <w:spacing w:line="240" w:lineRule="auto" w:before="255" w:after="0"/>
        <w:ind w:left="741" w:right="0" w:hanging="318"/>
        <w:jc w:val="left"/>
      </w:pPr>
      <w:r>
        <w:rPr/>
        <w:t>General statement</w:t>
      </w:r>
    </w:p>
    <w:p>
      <w:pPr>
        <w:pStyle w:val="BodyText"/>
        <w:spacing w:line="249" w:lineRule="auto" w:before="11"/>
        <w:ind w:left="423" w:right="-11"/>
      </w:pPr>
      <w:r>
        <w:rPr/>
        <w:t>The Department is a not-for-profit reporting entity that</w:t>
      </w:r>
      <w:r>
        <w:rPr>
          <w:spacing w:val="-36"/>
        </w:rPr>
        <w:t> </w:t>
      </w:r>
      <w:r>
        <w:rPr/>
        <w:t>prepares</w:t>
      </w:r>
      <w:r>
        <w:rPr>
          <w:spacing w:val="-35"/>
        </w:rPr>
        <w:t> </w:t>
      </w:r>
      <w:r>
        <w:rPr/>
        <w:t>general</w:t>
      </w:r>
      <w:r>
        <w:rPr>
          <w:spacing w:val="-35"/>
        </w:rPr>
        <w:t> </w:t>
      </w:r>
      <w:r>
        <w:rPr/>
        <w:t>purpose</w:t>
      </w:r>
      <w:r>
        <w:rPr>
          <w:spacing w:val="-36"/>
        </w:rPr>
        <w:t> </w:t>
      </w:r>
      <w:r>
        <w:rPr/>
        <w:t>financial</w:t>
      </w:r>
      <w:r>
        <w:rPr>
          <w:spacing w:val="-35"/>
        </w:rPr>
        <w:t> </w:t>
      </w:r>
      <w:r>
        <w:rPr/>
        <w:t>statements in accordance with Australian Accounting Standards, the Framework, Statements of Accounting Concepts and other authoritative pronouncements of the AASB as applied by the </w:t>
      </w:r>
      <w:r>
        <w:rPr>
          <w:spacing w:val="-5"/>
        </w:rPr>
        <w:t>Treasurer’s </w:t>
      </w:r>
      <w:r>
        <w:rPr/>
        <w:t>Instructions. Several of these are modified by the </w:t>
      </w:r>
      <w:r>
        <w:rPr>
          <w:spacing w:val="-5"/>
        </w:rPr>
        <w:t>Treasurer’s </w:t>
      </w:r>
      <w:r>
        <w:rPr/>
        <w:t>Instructions to vary application, disclosure, format and</w:t>
      </w:r>
      <w:r>
        <w:rPr>
          <w:spacing w:val="-27"/>
        </w:rPr>
        <w:t> </w:t>
      </w:r>
      <w:r>
        <w:rPr/>
        <w:t>wording.</w:t>
      </w:r>
    </w:p>
    <w:p>
      <w:pPr>
        <w:pStyle w:val="BodyText"/>
        <w:spacing w:before="7"/>
        <w:rPr>
          <w:sz w:val="23"/>
        </w:rPr>
      </w:pPr>
    </w:p>
    <w:p>
      <w:pPr>
        <w:spacing w:line="249" w:lineRule="auto" w:before="0"/>
        <w:ind w:left="423" w:right="525" w:firstLine="0"/>
        <w:jc w:val="left"/>
        <w:rPr>
          <w:sz w:val="22"/>
        </w:rPr>
      </w:pPr>
      <w:r>
        <w:rPr>
          <w:sz w:val="22"/>
        </w:rPr>
        <w:t>The </w:t>
      </w:r>
      <w:r>
        <w:rPr>
          <w:i/>
          <w:sz w:val="22"/>
        </w:rPr>
        <w:t>Financial Management Act 2006 </w:t>
      </w:r>
      <w:r>
        <w:rPr>
          <w:sz w:val="22"/>
        </w:rPr>
        <w:t>and </w:t>
      </w:r>
      <w:r>
        <w:rPr>
          <w:w w:val="95"/>
          <w:sz w:val="22"/>
        </w:rPr>
        <w:t>the Treasurer’s Instructions impose legislative </w:t>
      </w:r>
      <w:r>
        <w:rPr>
          <w:sz w:val="22"/>
        </w:rPr>
        <w:t>provisions that govern the preparation of</w:t>
      </w:r>
    </w:p>
    <w:p>
      <w:pPr>
        <w:pStyle w:val="BodyText"/>
        <w:spacing w:line="249" w:lineRule="auto" w:before="3"/>
        <w:ind w:left="423" w:right="71"/>
      </w:pPr>
      <w:r>
        <w:rPr/>
        <w:t>financial statements and take precedence over Australian</w:t>
      </w:r>
      <w:r>
        <w:rPr>
          <w:spacing w:val="-38"/>
        </w:rPr>
        <w:t> </w:t>
      </w:r>
      <w:r>
        <w:rPr/>
        <w:t>Accounting</w:t>
      </w:r>
      <w:r>
        <w:rPr>
          <w:spacing w:val="-37"/>
        </w:rPr>
        <w:t> </w:t>
      </w:r>
      <w:r>
        <w:rPr/>
        <w:t>Standards,</w:t>
      </w:r>
      <w:r>
        <w:rPr>
          <w:spacing w:val="-37"/>
        </w:rPr>
        <w:t> </w:t>
      </w:r>
      <w:r>
        <w:rPr/>
        <w:t>the</w:t>
      </w:r>
      <w:r>
        <w:rPr>
          <w:spacing w:val="-37"/>
        </w:rPr>
        <w:t> </w:t>
      </w:r>
      <w:r>
        <w:rPr/>
        <w:t>Framework, Statements of Accounting Concepts and other authoritative pronouncements of the</w:t>
      </w:r>
      <w:r>
        <w:rPr>
          <w:spacing w:val="-35"/>
        </w:rPr>
        <w:t> </w:t>
      </w:r>
      <w:r>
        <w:rPr/>
        <w:t>AASB.</w:t>
      </w:r>
    </w:p>
    <w:p>
      <w:pPr>
        <w:pStyle w:val="BodyText"/>
        <w:spacing w:before="3"/>
        <w:rPr>
          <w:sz w:val="23"/>
        </w:rPr>
      </w:pPr>
    </w:p>
    <w:p>
      <w:pPr>
        <w:pStyle w:val="BodyText"/>
        <w:spacing w:line="249" w:lineRule="auto"/>
        <w:ind w:left="423" w:right="277"/>
      </w:pPr>
      <w:r>
        <w:rPr/>
        <w:t>Where modification is required and has had a material or significant financial effect upon the reported</w:t>
      </w:r>
      <w:r>
        <w:rPr>
          <w:spacing w:val="-20"/>
        </w:rPr>
        <w:t> </w:t>
      </w:r>
      <w:r>
        <w:rPr/>
        <w:t>results,</w:t>
      </w:r>
      <w:r>
        <w:rPr>
          <w:spacing w:val="-19"/>
        </w:rPr>
        <w:t> </w:t>
      </w:r>
      <w:r>
        <w:rPr/>
        <w:t>details</w:t>
      </w:r>
      <w:r>
        <w:rPr>
          <w:spacing w:val="-20"/>
        </w:rPr>
        <w:t> </w:t>
      </w:r>
      <w:r>
        <w:rPr/>
        <w:t>of</w:t>
      </w:r>
      <w:r>
        <w:rPr>
          <w:spacing w:val="-19"/>
        </w:rPr>
        <w:t> </w:t>
      </w:r>
      <w:r>
        <w:rPr/>
        <w:t>that</w:t>
      </w:r>
      <w:r>
        <w:rPr>
          <w:spacing w:val="-20"/>
        </w:rPr>
        <w:t> </w:t>
      </w:r>
      <w:r>
        <w:rPr/>
        <w:t>modification</w:t>
      </w:r>
      <w:r>
        <w:rPr>
          <w:spacing w:val="-19"/>
        </w:rPr>
        <w:t> </w:t>
      </w:r>
      <w:r>
        <w:rPr>
          <w:spacing w:val="-6"/>
        </w:rPr>
        <w:t>and </w:t>
      </w:r>
      <w:r>
        <w:rPr/>
        <w:t>the</w:t>
      </w:r>
      <w:r>
        <w:rPr>
          <w:spacing w:val="-23"/>
        </w:rPr>
        <w:t> </w:t>
      </w:r>
      <w:r>
        <w:rPr/>
        <w:t>resulting</w:t>
      </w:r>
      <w:r>
        <w:rPr>
          <w:spacing w:val="-23"/>
        </w:rPr>
        <w:t> </w:t>
      </w:r>
      <w:r>
        <w:rPr/>
        <w:t>financial</w:t>
      </w:r>
      <w:r>
        <w:rPr>
          <w:spacing w:val="-23"/>
        </w:rPr>
        <w:t> </w:t>
      </w:r>
      <w:r>
        <w:rPr/>
        <w:t>effect</w:t>
      </w:r>
      <w:r>
        <w:rPr>
          <w:spacing w:val="-23"/>
        </w:rPr>
        <w:t> </w:t>
      </w:r>
      <w:r>
        <w:rPr/>
        <w:t>are</w:t>
      </w:r>
      <w:r>
        <w:rPr>
          <w:spacing w:val="-23"/>
        </w:rPr>
        <w:t> </w:t>
      </w:r>
      <w:r>
        <w:rPr/>
        <w:t>disclosed</w:t>
      </w:r>
      <w:r>
        <w:rPr>
          <w:spacing w:val="-23"/>
        </w:rPr>
        <w:t> </w:t>
      </w:r>
      <w:r>
        <w:rPr/>
        <w:t>in</w:t>
      </w:r>
      <w:r>
        <w:rPr>
          <w:spacing w:val="-23"/>
        </w:rPr>
        <w:t> </w:t>
      </w:r>
      <w:r>
        <w:rPr/>
        <w:t>the notes to the financial</w:t>
      </w:r>
      <w:r>
        <w:rPr>
          <w:spacing w:val="-14"/>
        </w:rPr>
        <w:t> </w:t>
      </w:r>
      <w:r>
        <w:rPr/>
        <w:t>statements.</w:t>
      </w:r>
    </w:p>
    <w:p>
      <w:pPr>
        <w:pStyle w:val="BodyText"/>
        <w:spacing w:before="5"/>
        <w:rPr>
          <w:sz w:val="23"/>
        </w:rPr>
      </w:pPr>
      <w:r>
        <w:rPr/>
        <w:br w:type="column"/>
      </w:r>
      <w:r>
        <w:rPr>
          <w:sz w:val="23"/>
        </w:rPr>
      </w:r>
    </w:p>
    <w:p>
      <w:pPr>
        <w:pStyle w:val="Heading6"/>
        <w:numPr>
          <w:ilvl w:val="0"/>
          <w:numId w:val="5"/>
        </w:numPr>
        <w:tabs>
          <w:tab w:pos="746" w:val="left" w:leader="none"/>
        </w:tabs>
        <w:spacing w:line="240" w:lineRule="auto" w:before="0" w:after="0"/>
        <w:ind w:left="745" w:right="0" w:hanging="325"/>
        <w:jc w:val="left"/>
      </w:pPr>
      <w:r>
        <w:rPr/>
        <w:t>Basis of</w:t>
      </w:r>
      <w:r>
        <w:rPr>
          <w:spacing w:val="-1"/>
        </w:rPr>
        <w:t> </w:t>
      </w:r>
      <w:r>
        <w:rPr/>
        <w:t>preparation</w:t>
      </w:r>
    </w:p>
    <w:p>
      <w:pPr>
        <w:pStyle w:val="BodyText"/>
        <w:spacing w:line="249" w:lineRule="auto" w:before="11"/>
        <w:ind w:left="420" w:right="813"/>
      </w:pPr>
      <w:r>
        <w:rPr/>
        <w:t>The financial statements have been prepared on the</w:t>
      </w:r>
      <w:r>
        <w:rPr>
          <w:spacing w:val="-22"/>
        </w:rPr>
        <w:t> </w:t>
      </w:r>
      <w:r>
        <w:rPr/>
        <w:t>accrual</w:t>
      </w:r>
      <w:r>
        <w:rPr>
          <w:spacing w:val="-21"/>
        </w:rPr>
        <w:t> </w:t>
      </w:r>
      <w:r>
        <w:rPr/>
        <w:t>basis</w:t>
      </w:r>
      <w:r>
        <w:rPr>
          <w:spacing w:val="-22"/>
        </w:rPr>
        <w:t> </w:t>
      </w:r>
      <w:r>
        <w:rPr/>
        <w:t>of</w:t>
      </w:r>
      <w:r>
        <w:rPr>
          <w:spacing w:val="-21"/>
        </w:rPr>
        <w:t> </w:t>
      </w:r>
      <w:r>
        <w:rPr/>
        <w:t>accounting</w:t>
      </w:r>
      <w:r>
        <w:rPr>
          <w:spacing w:val="-21"/>
        </w:rPr>
        <w:t> </w:t>
      </w:r>
      <w:r>
        <w:rPr/>
        <w:t>using</w:t>
      </w:r>
      <w:r>
        <w:rPr>
          <w:spacing w:val="-22"/>
        </w:rPr>
        <w:t> </w:t>
      </w:r>
      <w:r>
        <w:rPr/>
        <w:t>the</w:t>
      </w:r>
      <w:r>
        <w:rPr>
          <w:spacing w:val="-21"/>
        </w:rPr>
        <w:t> </w:t>
      </w:r>
      <w:r>
        <w:rPr/>
        <w:t>historical cost convention, except for land and buildings which have been measured at fair</w:t>
      </w:r>
      <w:r>
        <w:rPr>
          <w:spacing w:val="-43"/>
        </w:rPr>
        <w:t> </w:t>
      </w:r>
      <w:r>
        <w:rPr/>
        <w:t>value.</w:t>
      </w:r>
    </w:p>
    <w:p>
      <w:pPr>
        <w:pStyle w:val="BodyText"/>
        <w:spacing w:before="3"/>
        <w:rPr>
          <w:sz w:val="23"/>
        </w:rPr>
      </w:pPr>
    </w:p>
    <w:p>
      <w:pPr>
        <w:pStyle w:val="BodyText"/>
        <w:spacing w:line="249" w:lineRule="auto"/>
        <w:ind w:left="420" w:right="778"/>
      </w:pPr>
      <w:r>
        <w:rPr/>
        <w:t>The</w:t>
      </w:r>
      <w:r>
        <w:rPr>
          <w:spacing w:val="-18"/>
        </w:rPr>
        <w:t> </w:t>
      </w:r>
      <w:r>
        <w:rPr/>
        <w:t>accounting</w:t>
      </w:r>
      <w:r>
        <w:rPr>
          <w:spacing w:val="-18"/>
        </w:rPr>
        <w:t> </w:t>
      </w:r>
      <w:r>
        <w:rPr/>
        <w:t>policies</w:t>
      </w:r>
      <w:r>
        <w:rPr>
          <w:spacing w:val="-18"/>
        </w:rPr>
        <w:t> </w:t>
      </w:r>
      <w:r>
        <w:rPr/>
        <w:t>adopted</w:t>
      </w:r>
      <w:r>
        <w:rPr>
          <w:spacing w:val="-17"/>
        </w:rPr>
        <w:t> </w:t>
      </w:r>
      <w:r>
        <w:rPr/>
        <w:t>in</w:t>
      </w:r>
      <w:r>
        <w:rPr>
          <w:spacing w:val="-18"/>
        </w:rPr>
        <w:t> </w:t>
      </w:r>
      <w:r>
        <w:rPr/>
        <w:t>the</w:t>
      </w:r>
      <w:r>
        <w:rPr>
          <w:spacing w:val="-18"/>
        </w:rPr>
        <w:t> </w:t>
      </w:r>
      <w:r>
        <w:rPr>
          <w:spacing w:val="-3"/>
        </w:rPr>
        <w:t>preparation </w:t>
      </w:r>
      <w:r>
        <w:rPr/>
        <w:t>of</w:t>
      </w:r>
      <w:r>
        <w:rPr>
          <w:spacing w:val="-22"/>
        </w:rPr>
        <w:t> </w:t>
      </w:r>
      <w:r>
        <w:rPr/>
        <w:t>the</w:t>
      </w:r>
      <w:r>
        <w:rPr>
          <w:spacing w:val="-21"/>
        </w:rPr>
        <w:t> </w:t>
      </w:r>
      <w:r>
        <w:rPr/>
        <w:t>financial</w:t>
      </w:r>
      <w:r>
        <w:rPr>
          <w:spacing w:val="-21"/>
        </w:rPr>
        <w:t> </w:t>
      </w:r>
      <w:r>
        <w:rPr/>
        <w:t>statements</w:t>
      </w:r>
      <w:r>
        <w:rPr>
          <w:spacing w:val="-22"/>
        </w:rPr>
        <w:t> </w:t>
      </w:r>
      <w:r>
        <w:rPr/>
        <w:t>have</w:t>
      </w:r>
      <w:r>
        <w:rPr>
          <w:spacing w:val="-21"/>
        </w:rPr>
        <w:t> </w:t>
      </w:r>
      <w:r>
        <w:rPr/>
        <w:t>been</w:t>
      </w:r>
      <w:r>
        <w:rPr>
          <w:spacing w:val="-21"/>
        </w:rPr>
        <w:t> </w:t>
      </w:r>
      <w:r>
        <w:rPr/>
        <w:t>consistently applied throughout all periods presented unless otherwise</w:t>
      </w:r>
      <w:r>
        <w:rPr>
          <w:spacing w:val="-1"/>
        </w:rPr>
        <w:t> </w:t>
      </w:r>
      <w:r>
        <w:rPr/>
        <w:t>stated.</w:t>
      </w:r>
    </w:p>
    <w:p>
      <w:pPr>
        <w:pStyle w:val="BodyText"/>
        <w:spacing w:before="3"/>
        <w:rPr>
          <w:sz w:val="23"/>
        </w:rPr>
      </w:pPr>
    </w:p>
    <w:p>
      <w:pPr>
        <w:pStyle w:val="BodyText"/>
        <w:spacing w:line="249" w:lineRule="auto"/>
        <w:ind w:left="420" w:right="823"/>
      </w:pPr>
      <w:r>
        <w:rPr/>
        <w:t>The financial statements are presented in Australian</w:t>
      </w:r>
      <w:r>
        <w:rPr>
          <w:spacing w:val="-24"/>
        </w:rPr>
        <w:t> </w:t>
      </w:r>
      <w:r>
        <w:rPr/>
        <w:t>dollars</w:t>
      </w:r>
      <w:r>
        <w:rPr>
          <w:spacing w:val="-24"/>
        </w:rPr>
        <w:t> </w:t>
      </w:r>
      <w:r>
        <w:rPr/>
        <w:t>and</w:t>
      </w:r>
      <w:r>
        <w:rPr>
          <w:spacing w:val="-24"/>
        </w:rPr>
        <w:t> </w:t>
      </w:r>
      <w:r>
        <w:rPr/>
        <w:t>all</w:t>
      </w:r>
      <w:r>
        <w:rPr>
          <w:spacing w:val="-24"/>
        </w:rPr>
        <w:t> </w:t>
      </w:r>
      <w:r>
        <w:rPr/>
        <w:t>values</w:t>
      </w:r>
      <w:r>
        <w:rPr>
          <w:spacing w:val="-24"/>
        </w:rPr>
        <w:t> </w:t>
      </w:r>
      <w:r>
        <w:rPr/>
        <w:t>are</w:t>
      </w:r>
      <w:r>
        <w:rPr>
          <w:spacing w:val="-24"/>
        </w:rPr>
        <w:t> </w:t>
      </w:r>
      <w:r>
        <w:rPr/>
        <w:t>rounded</w:t>
      </w:r>
      <w:r>
        <w:rPr>
          <w:spacing w:val="-24"/>
        </w:rPr>
        <w:t> </w:t>
      </w:r>
      <w:r>
        <w:rPr/>
        <w:t>to</w:t>
      </w:r>
      <w:r>
        <w:rPr>
          <w:spacing w:val="-24"/>
        </w:rPr>
        <w:t> </w:t>
      </w:r>
      <w:r>
        <w:rPr>
          <w:spacing w:val="-6"/>
        </w:rPr>
        <w:t>the </w:t>
      </w:r>
      <w:r>
        <w:rPr/>
        <w:t>nearest thousand dollars</w:t>
      </w:r>
      <w:r>
        <w:rPr>
          <w:spacing w:val="-12"/>
        </w:rPr>
        <w:t> </w:t>
      </w:r>
      <w:r>
        <w:rPr/>
        <w:t>($000).</w:t>
      </w:r>
    </w:p>
    <w:p>
      <w:pPr>
        <w:pStyle w:val="BodyText"/>
        <w:spacing w:before="2"/>
        <w:rPr>
          <w:sz w:val="23"/>
        </w:rPr>
      </w:pPr>
    </w:p>
    <w:p>
      <w:pPr>
        <w:pStyle w:val="BodyText"/>
        <w:spacing w:line="249" w:lineRule="auto"/>
        <w:ind w:left="420" w:right="1360"/>
      </w:pPr>
      <w:r>
        <w:rPr/>
        <w:t>Note 4 ‘Judgements made by management in applying accounting policies’ discloses</w:t>
      </w:r>
    </w:p>
    <w:p>
      <w:pPr>
        <w:pStyle w:val="BodyText"/>
        <w:spacing w:line="249" w:lineRule="auto" w:before="2"/>
        <w:ind w:left="420" w:right="903"/>
      </w:pPr>
      <w:r>
        <w:rPr/>
        <w:t>judgements</w:t>
      </w:r>
      <w:r>
        <w:rPr>
          <w:spacing w:val="-15"/>
        </w:rPr>
        <w:t> </w:t>
      </w:r>
      <w:r>
        <w:rPr/>
        <w:t>that</w:t>
      </w:r>
      <w:r>
        <w:rPr>
          <w:spacing w:val="-15"/>
        </w:rPr>
        <w:t> </w:t>
      </w:r>
      <w:r>
        <w:rPr/>
        <w:t>have</w:t>
      </w:r>
      <w:r>
        <w:rPr>
          <w:spacing w:val="-14"/>
        </w:rPr>
        <w:t> </w:t>
      </w:r>
      <w:r>
        <w:rPr/>
        <w:t>been</w:t>
      </w:r>
      <w:r>
        <w:rPr>
          <w:spacing w:val="-15"/>
        </w:rPr>
        <w:t> </w:t>
      </w:r>
      <w:r>
        <w:rPr/>
        <w:t>made</w:t>
      </w:r>
      <w:r>
        <w:rPr>
          <w:spacing w:val="-14"/>
        </w:rPr>
        <w:t> </w:t>
      </w:r>
      <w:r>
        <w:rPr/>
        <w:t>in</w:t>
      </w:r>
      <w:r>
        <w:rPr>
          <w:spacing w:val="-15"/>
        </w:rPr>
        <w:t> </w:t>
      </w:r>
      <w:r>
        <w:rPr/>
        <w:t>the</w:t>
      </w:r>
      <w:r>
        <w:rPr>
          <w:spacing w:val="-15"/>
        </w:rPr>
        <w:t> </w:t>
      </w:r>
      <w:r>
        <w:rPr/>
        <w:t>process of</w:t>
      </w:r>
      <w:r>
        <w:rPr>
          <w:spacing w:val="-15"/>
        </w:rPr>
        <w:t> </w:t>
      </w:r>
      <w:r>
        <w:rPr/>
        <w:t>applying</w:t>
      </w:r>
      <w:r>
        <w:rPr>
          <w:spacing w:val="-15"/>
        </w:rPr>
        <w:t> </w:t>
      </w:r>
      <w:r>
        <w:rPr/>
        <w:t>the</w:t>
      </w:r>
      <w:r>
        <w:rPr>
          <w:spacing w:val="-15"/>
        </w:rPr>
        <w:t> </w:t>
      </w:r>
      <w:r>
        <w:rPr>
          <w:spacing w:val="-3"/>
        </w:rPr>
        <w:t>Department’s</w:t>
      </w:r>
      <w:r>
        <w:rPr>
          <w:spacing w:val="-15"/>
        </w:rPr>
        <w:t> </w:t>
      </w:r>
      <w:r>
        <w:rPr/>
        <w:t>accounting</w:t>
      </w:r>
      <w:r>
        <w:rPr>
          <w:spacing w:val="-15"/>
        </w:rPr>
        <w:t> </w:t>
      </w:r>
      <w:r>
        <w:rPr/>
        <w:t>policies resulting</w:t>
      </w:r>
      <w:r>
        <w:rPr>
          <w:spacing w:val="-20"/>
        </w:rPr>
        <w:t> </w:t>
      </w:r>
      <w:r>
        <w:rPr/>
        <w:t>in</w:t>
      </w:r>
      <w:r>
        <w:rPr>
          <w:spacing w:val="-19"/>
        </w:rPr>
        <w:t> </w:t>
      </w:r>
      <w:r>
        <w:rPr/>
        <w:t>the</w:t>
      </w:r>
      <w:r>
        <w:rPr>
          <w:spacing w:val="-19"/>
        </w:rPr>
        <w:t> </w:t>
      </w:r>
      <w:r>
        <w:rPr/>
        <w:t>most</w:t>
      </w:r>
      <w:r>
        <w:rPr>
          <w:spacing w:val="-19"/>
        </w:rPr>
        <w:t> </w:t>
      </w:r>
      <w:r>
        <w:rPr/>
        <w:t>significant</w:t>
      </w:r>
      <w:r>
        <w:rPr>
          <w:spacing w:val="-19"/>
        </w:rPr>
        <w:t> </w:t>
      </w:r>
      <w:r>
        <w:rPr/>
        <w:t>effect</w:t>
      </w:r>
      <w:r>
        <w:rPr>
          <w:spacing w:val="-19"/>
        </w:rPr>
        <w:t> </w:t>
      </w:r>
      <w:r>
        <w:rPr/>
        <w:t>on</w:t>
      </w:r>
      <w:r>
        <w:rPr>
          <w:spacing w:val="-19"/>
        </w:rPr>
        <w:t> </w:t>
      </w:r>
      <w:r>
        <w:rPr>
          <w:spacing w:val="-3"/>
        </w:rPr>
        <w:t>amounts </w:t>
      </w:r>
      <w:r>
        <w:rPr/>
        <w:t>recognised in the financial</w:t>
      </w:r>
      <w:r>
        <w:rPr>
          <w:spacing w:val="-24"/>
        </w:rPr>
        <w:t> </w:t>
      </w:r>
      <w:r>
        <w:rPr/>
        <w:t>statements.</w:t>
      </w:r>
    </w:p>
    <w:p>
      <w:pPr>
        <w:pStyle w:val="BodyText"/>
        <w:spacing w:before="3"/>
        <w:rPr>
          <w:sz w:val="23"/>
        </w:rPr>
      </w:pPr>
    </w:p>
    <w:p>
      <w:pPr>
        <w:pStyle w:val="BodyText"/>
        <w:spacing w:line="249" w:lineRule="auto"/>
        <w:ind w:left="420" w:right="1131"/>
      </w:pPr>
      <w:r>
        <w:rPr/>
        <w:t>Note</w:t>
      </w:r>
      <w:r>
        <w:rPr>
          <w:spacing w:val="-14"/>
        </w:rPr>
        <w:t> </w:t>
      </w:r>
      <w:r>
        <w:rPr/>
        <w:t>5</w:t>
      </w:r>
      <w:r>
        <w:rPr>
          <w:spacing w:val="-14"/>
        </w:rPr>
        <w:t> </w:t>
      </w:r>
      <w:r>
        <w:rPr/>
        <w:t>‘Key</w:t>
      </w:r>
      <w:r>
        <w:rPr>
          <w:spacing w:val="-14"/>
        </w:rPr>
        <w:t> </w:t>
      </w:r>
      <w:r>
        <w:rPr/>
        <w:t>sources</w:t>
      </w:r>
      <w:r>
        <w:rPr>
          <w:spacing w:val="-14"/>
        </w:rPr>
        <w:t> </w:t>
      </w:r>
      <w:r>
        <w:rPr/>
        <w:t>of</w:t>
      </w:r>
      <w:r>
        <w:rPr>
          <w:spacing w:val="-13"/>
        </w:rPr>
        <w:t> </w:t>
      </w:r>
      <w:r>
        <w:rPr/>
        <w:t>estimation</w:t>
      </w:r>
      <w:r>
        <w:rPr>
          <w:spacing w:val="-14"/>
        </w:rPr>
        <w:t> </w:t>
      </w:r>
      <w:r>
        <w:rPr/>
        <w:t>uncertainty’ discloses key assumptions made concerning the</w:t>
      </w:r>
      <w:r>
        <w:rPr>
          <w:spacing w:val="-17"/>
        </w:rPr>
        <w:t> </w:t>
      </w:r>
      <w:r>
        <w:rPr/>
        <w:t>future,</w:t>
      </w:r>
      <w:r>
        <w:rPr>
          <w:spacing w:val="-17"/>
        </w:rPr>
        <w:t> </w:t>
      </w:r>
      <w:r>
        <w:rPr/>
        <w:t>and</w:t>
      </w:r>
      <w:r>
        <w:rPr>
          <w:spacing w:val="-16"/>
        </w:rPr>
        <w:t> </w:t>
      </w:r>
      <w:r>
        <w:rPr/>
        <w:t>other</w:t>
      </w:r>
      <w:r>
        <w:rPr>
          <w:spacing w:val="-17"/>
        </w:rPr>
        <w:t> </w:t>
      </w:r>
      <w:r>
        <w:rPr/>
        <w:t>key</w:t>
      </w:r>
      <w:r>
        <w:rPr>
          <w:spacing w:val="-17"/>
        </w:rPr>
        <w:t> </w:t>
      </w:r>
      <w:r>
        <w:rPr/>
        <w:t>sources</w:t>
      </w:r>
      <w:r>
        <w:rPr>
          <w:spacing w:val="-16"/>
        </w:rPr>
        <w:t> </w:t>
      </w:r>
      <w:r>
        <w:rPr/>
        <w:t>of</w:t>
      </w:r>
      <w:r>
        <w:rPr>
          <w:spacing w:val="-17"/>
        </w:rPr>
        <w:t> </w:t>
      </w:r>
      <w:r>
        <w:rPr/>
        <w:t>estimation uncertainty at the end of the reporting period, that</w:t>
      </w:r>
      <w:r>
        <w:rPr>
          <w:spacing w:val="-21"/>
        </w:rPr>
        <w:t> </w:t>
      </w:r>
      <w:r>
        <w:rPr/>
        <w:t>have</w:t>
      </w:r>
      <w:r>
        <w:rPr>
          <w:spacing w:val="-20"/>
        </w:rPr>
        <w:t> </w:t>
      </w:r>
      <w:r>
        <w:rPr/>
        <w:t>a</w:t>
      </w:r>
      <w:r>
        <w:rPr>
          <w:spacing w:val="-20"/>
        </w:rPr>
        <w:t> </w:t>
      </w:r>
      <w:r>
        <w:rPr/>
        <w:t>significant</w:t>
      </w:r>
      <w:r>
        <w:rPr>
          <w:spacing w:val="-21"/>
        </w:rPr>
        <w:t> </w:t>
      </w:r>
      <w:r>
        <w:rPr/>
        <w:t>risk</w:t>
      </w:r>
      <w:r>
        <w:rPr>
          <w:spacing w:val="-20"/>
        </w:rPr>
        <w:t> </w:t>
      </w:r>
      <w:r>
        <w:rPr/>
        <w:t>of</w:t>
      </w:r>
      <w:r>
        <w:rPr>
          <w:spacing w:val="-20"/>
        </w:rPr>
        <w:t> </w:t>
      </w:r>
      <w:r>
        <w:rPr/>
        <w:t>causing</w:t>
      </w:r>
      <w:r>
        <w:rPr>
          <w:spacing w:val="-21"/>
        </w:rPr>
        <w:t> </w:t>
      </w:r>
      <w:r>
        <w:rPr/>
        <w:t>a</w:t>
      </w:r>
      <w:r>
        <w:rPr>
          <w:spacing w:val="-20"/>
        </w:rPr>
        <w:t> </w:t>
      </w:r>
      <w:r>
        <w:rPr>
          <w:spacing w:val="-3"/>
        </w:rPr>
        <w:t>material</w:t>
      </w:r>
    </w:p>
    <w:p>
      <w:pPr>
        <w:pStyle w:val="BodyText"/>
        <w:spacing w:line="249" w:lineRule="auto" w:before="5"/>
        <w:ind w:left="420" w:right="889"/>
      </w:pPr>
      <w:r>
        <w:rPr/>
        <w:t>adjustment</w:t>
      </w:r>
      <w:r>
        <w:rPr>
          <w:spacing w:val="-16"/>
        </w:rPr>
        <w:t> </w:t>
      </w:r>
      <w:r>
        <w:rPr/>
        <w:t>to</w:t>
      </w:r>
      <w:r>
        <w:rPr>
          <w:spacing w:val="-16"/>
        </w:rPr>
        <w:t> </w:t>
      </w:r>
      <w:r>
        <w:rPr/>
        <w:t>the</w:t>
      </w:r>
      <w:r>
        <w:rPr>
          <w:spacing w:val="-16"/>
        </w:rPr>
        <w:t> </w:t>
      </w:r>
      <w:r>
        <w:rPr/>
        <w:t>carrying</w:t>
      </w:r>
      <w:r>
        <w:rPr>
          <w:spacing w:val="-15"/>
        </w:rPr>
        <w:t> </w:t>
      </w:r>
      <w:r>
        <w:rPr/>
        <w:t>amounts</w:t>
      </w:r>
      <w:r>
        <w:rPr>
          <w:spacing w:val="-16"/>
        </w:rPr>
        <w:t> </w:t>
      </w:r>
      <w:r>
        <w:rPr/>
        <w:t>of</w:t>
      </w:r>
      <w:r>
        <w:rPr>
          <w:spacing w:val="-16"/>
        </w:rPr>
        <w:t> </w:t>
      </w:r>
      <w:r>
        <w:rPr/>
        <w:t>assets</w:t>
      </w:r>
      <w:r>
        <w:rPr>
          <w:spacing w:val="-15"/>
        </w:rPr>
        <w:t> </w:t>
      </w:r>
      <w:r>
        <w:rPr>
          <w:spacing w:val="-6"/>
        </w:rPr>
        <w:t>and </w:t>
      </w:r>
      <w:r>
        <w:rPr/>
        <w:t>liabilities within the next reporting</w:t>
      </w:r>
      <w:r>
        <w:rPr>
          <w:spacing w:val="-36"/>
        </w:rPr>
        <w:t> </w:t>
      </w:r>
      <w:r>
        <w:rPr/>
        <w:t>period.</w:t>
      </w:r>
    </w:p>
    <w:p>
      <w:pPr>
        <w:spacing w:after="0" w:line="249" w:lineRule="auto"/>
        <w:sectPr>
          <w:type w:val="continuous"/>
          <w:pgSz w:w="16840" w:h="11910" w:orient="landscape"/>
          <w:pgMar w:top="1100" w:bottom="280" w:left="0" w:right="0"/>
          <w:cols w:num="3" w:equalWidth="0">
            <w:col w:w="5546" w:space="40"/>
            <w:col w:w="5208" w:space="39"/>
            <w:col w:w="6007"/>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360.811798pt;margin-top:-57.373512pt;width:481.1pt;height:371.15pt;mso-position-horizontal-relative:page;mso-position-vertical-relative:paragraph;z-index:-699904"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261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2640"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266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1"/>
          <w:pgSz w:w="16840" w:h="11910" w:orient="landscape"/>
          <w:pgMar w:footer="774" w:header="0" w:top="0" w:bottom="960" w:left="0" w:right="0"/>
        </w:sectPr>
      </w:pPr>
    </w:p>
    <w:p>
      <w:pPr>
        <w:pStyle w:val="BodyText"/>
        <w:spacing w:before="5"/>
        <w:rPr>
          <w:sz w:val="23"/>
        </w:rPr>
      </w:pPr>
    </w:p>
    <w:p>
      <w:pPr>
        <w:pStyle w:val="Heading6"/>
        <w:numPr>
          <w:ilvl w:val="0"/>
          <w:numId w:val="5"/>
        </w:numPr>
        <w:tabs>
          <w:tab w:pos="1084" w:val="left" w:leader="none"/>
        </w:tabs>
        <w:spacing w:line="240" w:lineRule="auto" w:before="0" w:after="0"/>
        <w:ind w:left="1083" w:right="0" w:hanging="318"/>
        <w:jc w:val="left"/>
      </w:pPr>
      <w:r>
        <w:rPr/>
        <w:t>Reporting</w:t>
      </w:r>
      <w:r>
        <w:rPr>
          <w:spacing w:val="-1"/>
        </w:rPr>
        <w:t> </w:t>
      </w:r>
      <w:r>
        <w:rPr/>
        <w:t>entity</w:t>
      </w:r>
    </w:p>
    <w:p>
      <w:pPr>
        <w:pStyle w:val="BodyText"/>
        <w:spacing w:before="11"/>
        <w:ind w:left="765"/>
      </w:pPr>
      <w:r>
        <w:rPr/>
        <w:t>The</w:t>
      </w:r>
      <w:r>
        <w:rPr>
          <w:spacing w:val="-22"/>
        </w:rPr>
        <w:t> </w:t>
      </w:r>
      <w:r>
        <w:rPr/>
        <w:t>reporting</w:t>
      </w:r>
      <w:r>
        <w:rPr>
          <w:spacing w:val="-21"/>
        </w:rPr>
        <w:t> </w:t>
      </w:r>
      <w:r>
        <w:rPr/>
        <w:t>entity</w:t>
      </w:r>
      <w:r>
        <w:rPr>
          <w:spacing w:val="-21"/>
        </w:rPr>
        <w:t> </w:t>
      </w:r>
      <w:r>
        <w:rPr/>
        <w:t>is</w:t>
      </w:r>
      <w:r>
        <w:rPr>
          <w:spacing w:val="-21"/>
        </w:rPr>
        <w:t> </w:t>
      </w:r>
      <w:r>
        <w:rPr/>
        <w:t>the</w:t>
      </w:r>
      <w:r>
        <w:rPr>
          <w:spacing w:val="-22"/>
        </w:rPr>
        <w:t> </w:t>
      </w:r>
      <w:r>
        <w:rPr/>
        <w:t>Department</w:t>
      </w:r>
      <w:r>
        <w:rPr>
          <w:spacing w:val="-21"/>
        </w:rPr>
        <w:t> </w:t>
      </w:r>
      <w:r>
        <w:rPr/>
        <w:t>of</w:t>
      </w:r>
      <w:r>
        <w:rPr>
          <w:spacing w:val="-21"/>
        </w:rPr>
        <w:t> </w:t>
      </w:r>
      <w:r>
        <w:rPr/>
        <w:t>Finance.</w:t>
      </w:r>
    </w:p>
    <w:p>
      <w:pPr>
        <w:spacing w:before="124"/>
        <w:ind w:left="765" w:right="0" w:firstLine="0"/>
        <w:jc w:val="left"/>
        <w:rPr>
          <w:i/>
          <w:sz w:val="22"/>
        </w:rPr>
      </w:pPr>
      <w:r>
        <w:rPr>
          <w:i/>
          <w:color w:val="6F2770"/>
          <w:sz w:val="22"/>
        </w:rPr>
        <w:t>Mission</w:t>
      </w:r>
    </w:p>
    <w:p>
      <w:pPr>
        <w:pStyle w:val="BodyText"/>
        <w:spacing w:line="249" w:lineRule="auto" w:before="11"/>
        <w:ind w:left="765" w:right="381"/>
      </w:pPr>
      <w:r>
        <w:rPr/>
        <w:t>The</w:t>
      </w:r>
      <w:r>
        <w:rPr>
          <w:spacing w:val="-21"/>
        </w:rPr>
        <w:t> </w:t>
      </w:r>
      <w:r>
        <w:rPr>
          <w:spacing w:val="-3"/>
        </w:rPr>
        <w:t>Department’s</w:t>
      </w:r>
      <w:r>
        <w:rPr>
          <w:spacing w:val="-21"/>
        </w:rPr>
        <w:t> </w:t>
      </w:r>
      <w:r>
        <w:rPr/>
        <w:t>mission</w:t>
      </w:r>
      <w:r>
        <w:rPr>
          <w:spacing w:val="-21"/>
        </w:rPr>
        <w:t> </w:t>
      </w:r>
      <w:r>
        <w:rPr/>
        <w:t>is</w:t>
      </w:r>
      <w:r>
        <w:rPr>
          <w:spacing w:val="-21"/>
        </w:rPr>
        <w:t> </w:t>
      </w:r>
      <w:r>
        <w:rPr/>
        <w:t>to</w:t>
      </w:r>
      <w:r>
        <w:rPr>
          <w:spacing w:val="-21"/>
        </w:rPr>
        <w:t> </w:t>
      </w:r>
      <w:r>
        <w:rPr/>
        <w:t>drive</w:t>
      </w:r>
      <w:r>
        <w:rPr>
          <w:spacing w:val="-21"/>
        </w:rPr>
        <w:t> </w:t>
      </w:r>
      <w:r>
        <w:rPr/>
        <w:t>practical, cost-effective and quality outcomes across government</w:t>
      </w:r>
      <w:r>
        <w:rPr>
          <w:spacing w:val="-17"/>
        </w:rPr>
        <w:t> </w:t>
      </w:r>
      <w:r>
        <w:rPr/>
        <w:t>to</w:t>
      </w:r>
      <w:r>
        <w:rPr>
          <w:spacing w:val="-17"/>
        </w:rPr>
        <w:t> </w:t>
      </w:r>
      <w:r>
        <w:rPr/>
        <w:t>benefit</w:t>
      </w:r>
      <w:r>
        <w:rPr>
          <w:spacing w:val="-17"/>
        </w:rPr>
        <w:t> </w:t>
      </w:r>
      <w:r>
        <w:rPr/>
        <w:t>Western</w:t>
      </w:r>
      <w:r>
        <w:rPr>
          <w:spacing w:val="-17"/>
        </w:rPr>
        <w:t> </w:t>
      </w:r>
      <w:r>
        <w:rPr/>
        <w:t>Australians.</w:t>
      </w:r>
    </w:p>
    <w:p>
      <w:pPr>
        <w:pStyle w:val="BodyText"/>
        <w:spacing w:before="2"/>
        <w:rPr>
          <w:sz w:val="23"/>
        </w:rPr>
      </w:pPr>
    </w:p>
    <w:p>
      <w:pPr>
        <w:spacing w:before="1"/>
        <w:ind w:left="765" w:right="0" w:firstLine="0"/>
        <w:jc w:val="left"/>
        <w:rPr>
          <w:i/>
          <w:sz w:val="22"/>
        </w:rPr>
      </w:pPr>
      <w:r>
        <w:rPr>
          <w:i/>
          <w:color w:val="6F2770"/>
          <w:sz w:val="22"/>
        </w:rPr>
        <w:t>Services</w:t>
      </w:r>
    </w:p>
    <w:p>
      <w:pPr>
        <w:pStyle w:val="BodyText"/>
        <w:spacing w:before="11"/>
        <w:ind w:left="765"/>
      </w:pPr>
      <w:r>
        <w:rPr/>
        <w:t>The Department provides the following services:</w:t>
      </w:r>
    </w:p>
    <w:p>
      <w:pPr>
        <w:pStyle w:val="BodyText"/>
        <w:spacing w:before="10"/>
        <w:rPr>
          <w:sz w:val="23"/>
        </w:rPr>
      </w:pPr>
    </w:p>
    <w:p>
      <w:pPr>
        <w:spacing w:line="249" w:lineRule="auto" w:before="0"/>
        <w:ind w:left="765" w:right="325" w:firstLine="0"/>
        <w:jc w:val="left"/>
        <w:rPr>
          <w:i/>
          <w:sz w:val="22"/>
        </w:rPr>
      </w:pPr>
      <w:r>
        <w:rPr>
          <w:i/>
          <w:sz w:val="22"/>
        </w:rPr>
        <w:t>Service</w:t>
      </w:r>
      <w:r>
        <w:rPr>
          <w:i/>
          <w:spacing w:val="-35"/>
          <w:sz w:val="22"/>
        </w:rPr>
        <w:t> </w:t>
      </w:r>
      <w:r>
        <w:rPr>
          <w:i/>
          <w:sz w:val="22"/>
        </w:rPr>
        <w:t>1:</w:t>
      </w:r>
      <w:r>
        <w:rPr>
          <w:i/>
          <w:spacing w:val="-35"/>
          <w:sz w:val="22"/>
        </w:rPr>
        <w:t> </w:t>
      </w:r>
      <w:r>
        <w:rPr>
          <w:i/>
          <w:sz w:val="22"/>
        </w:rPr>
        <w:t>Revenue</w:t>
      </w:r>
      <w:r>
        <w:rPr>
          <w:i/>
          <w:spacing w:val="-35"/>
          <w:sz w:val="22"/>
        </w:rPr>
        <w:t> </w:t>
      </w:r>
      <w:r>
        <w:rPr>
          <w:i/>
          <w:sz w:val="22"/>
        </w:rPr>
        <w:t>assessment</w:t>
      </w:r>
      <w:r>
        <w:rPr>
          <w:i/>
          <w:spacing w:val="-35"/>
          <w:sz w:val="22"/>
        </w:rPr>
        <w:t> </w:t>
      </w:r>
      <w:r>
        <w:rPr>
          <w:i/>
          <w:sz w:val="22"/>
        </w:rPr>
        <w:t>and</w:t>
      </w:r>
      <w:r>
        <w:rPr>
          <w:i/>
          <w:spacing w:val="-35"/>
          <w:sz w:val="22"/>
        </w:rPr>
        <w:t> </w:t>
      </w:r>
      <w:r>
        <w:rPr>
          <w:i/>
          <w:sz w:val="22"/>
        </w:rPr>
        <w:t>collection </w:t>
      </w:r>
      <w:r>
        <w:rPr>
          <w:i/>
          <w:sz w:val="22"/>
        </w:rPr>
        <w:t>and grants and subsidies</w:t>
      </w:r>
      <w:r>
        <w:rPr>
          <w:i/>
          <w:spacing w:val="-32"/>
          <w:sz w:val="22"/>
        </w:rPr>
        <w:t> </w:t>
      </w:r>
      <w:r>
        <w:rPr>
          <w:i/>
          <w:sz w:val="22"/>
        </w:rPr>
        <w:t>administration</w:t>
      </w:r>
    </w:p>
    <w:p>
      <w:pPr>
        <w:pStyle w:val="BodyText"/>
        <w:spacing w:before="1"/>
        <w:rPr>
          <w:i/>
          <w:sz w:val="23"/>
        </w:rPr>
      </w:pPr>
    </w:p>
    <w:p>
      <w:pPr>
        <w:spacing w:line="249" w:lineRule="auto" w:before="0"/>
        <w:ind w:left="765" w:right="-8" w:firstLine="0"/>
        <w:jc w:val="left"/>
        <w:rPr>
          <w:i/>
          <w:sz w:val="22"/>
        </w:rPr>
      </w:pPr>
      <w:r>
        <w:rPr>
          <w:i/>
          <w:sz w:val="22"/>
        </w:rPr>
        <w:t>Service 2: Development and management of </w:t>
      </w:r>
      <w:r>
        <w:rPr>
          <w:i/>
          <w:sz w:val="22"/>
        </w:rPr>
        <w:t>Common</w:t>
      </w:r>
      <w:r>
        <w:rPr>
          <w:i/>
          <w:spacing w:val="-26"/>
          <w:sz w:val="22"/>
        </w:rPr>
        <w:t> </w:t>
      </w:r>
      <w:r>
        <w:rPr>
          <w:i/>
          <w:sz w:val="22"/>
        </w:rPr>
        <w:t>Use</w:t>
      </w:r>
      <w:r>
        <w:rPr>
          <w:i/>
          <w:spacing w:val="-25"/>
          <w:sz w:val="22"/>
        </w:rPr>
        <w:t> </w:t>
      </w:r>
      <w:r>
        <w:rPr>
          <w:i/>
          <w:sz w:val="22"/>
        </w:rPr>
        <w:t>Contract</w:t>
      </w:r>
      <w:r>
        <w:rPr>
          <w:i/>
          <w:spacing w:val="-25"/>
          <w:sz w:val="22"/>
        </w:rPr>
        <w:t> </w:t>
      </w:r>
      <w:r>
        <w:rPr>
          <w:i/>
          <w:sz w:val="22"/>
        </w:rPr>
        <w:t>Arrangements,</w:t>
      </w:r>
      <w:r>
        <w:rPr>
          <w:i/>
          <w:spacing w:val="-26"/>
          <w:sz w:val="22"/>
        </w:rPr>
        <w:t> </w:t>
      </w:r>
      <w:r>
        <w:rPr>
          <w:i/>
          <w:sz w:val="22"/>
        </w:rPr>
        <w:t>State</w:t>
      </w:r>
      <w:r>
        <w:rPr>
          <w:i/>
          <w:spacing w:val="-25"/>
          <w:sz w:val="22"/>
        </w:rPr>
        <w:t> </w:t>
      </w:r>
      <w:r>
        <w:rPr>
          <w:i/>
          <w:spacing w:val="-4"/>
          <w:sz w:val="22"/>
        </w:rPr>
        <w:t>Fleet </w:t>
      </w:r>
      <w:r>
        <w:rPr>
          <w:i/>
          <w:sz w:val="22"/>
        </w:rPr>
        <w:t>leasing and disposal and providing facilitation service for agency specific</w:t>
      </w:r>
      <w:r>
        <w:rPr>
          <w:i/>
          <w:spacing w:val="-15"/>
          <w:sz w:val="22"/>
        </w:rPr>
        <w:t> </w:t>
      </w:r>
      <w:r>
        <w:rPr>
          <w:i/>
          <w:sz w:val="22"/>
        </w:rPr>
        <w:t>contracts</w:t>
      </w:r>
    </w:p>
    <w:p>
      <w:pPr>
        <w:pStyle w:val="BodyText"/>
        <w:spacing w:before="3"/>
        <w:rPr>
          <w:i/>
          <w:sz w:val="23"/>
        </w:rPr>
      </w:pPr>
    </w:p>
    <w:p>
      <w:pPr>
        <w:spacing w:before="1"/>
        <w:ind w:left="765" w:right="0" w:firstLine="0"/>
        <w:jc w:val="left"/>
        <w:rPr>
          <w:i/>
          <w:sz w:val="22"/>
        </w:rPr>
      </w:pPr>
      <w:r>
        <w:rPr>
          <w:i/>
          <w:sz w:val="22"/>
        </w:rPr>
        <w:t>Service 3: Corporate services to client agencies</w:t>
      </w:r>
    </w:p>
    <w:p>
      <w:pPr>
        <w:pStyle w:val="BodyText"/>
        <w:spacing w:before="10"/>
        <w:rPr>
          <w:i/>
          <w:sz w:val="23"/>
        </w:rPr>
      </w:pPr>
    </w:p>
    <w:p>
      <w:pPr>
        <w:spacing w:line="249" w:lineRule="auto" w:before="0"/>
        <w:ind w:left="765" w:right="345" w:firstLine="0"/>
        <w:jc w:val="left"/>
        <w:rPr>
          <w:i/>
          <w:sz w:val="22"/>
        </w:rPr>
      </w:pPr>
      <w:r>
        <w:rPr>
          <w:i/>
          <w:sz w:val="22"/>
        </w:rPr>
        <w:t>Service 4: Leads the planning, delivery, </w:t>
      </w:r>
      <w:r>
        <w:rPr>
          <w:i/>
          <w:sz w:val="22"/>
        </w:rPr>
        <w:t>management</w:t>
      </w:r>
      <w:r>
        <w:rPr>
          <w:i/>
          <w:spacing w:val="-34"/>
          <w:sz w:val="22"/>
        </w:rPr>
        <w:t> </w:t>
      </w:r>
      <w:r>
        <w:rPr>
          <w:i/>
          <w:sz w:val="22"/>
        </w:rPr>
        <w:t>and</w:t>
      </w:r>
      <w:r>
        <w:rPr>
          <w:i/>
          <w:spacing w:val="-33"/>
          <w:sz w:val="22"/>
        </w:rPr>
        <w:t> </w:t>
      </w:r>
      <w:r>
        <w:rPr>
          <w:i/>
          <w:sz w:val="22"/>
        </w:rPr>
        <w:t>maintenance</w:t>
      </w:r>
      <w:r>
        <w:rPr>
          <w:i/>
          <w:spacing w:val="-34"/>
          <w:sz w:val="22"/>
        </w:rPr>
        <w:t> </w:t>
      </w:r>
      <w:r>
        <w:rPr>
          <w:i/>
          <w:sz w:val="22"/>
        </w:rPr>
        <w:t>of</w:t>
      </w:r>
      <w:r>
        <w:rPr>
          <w:i/>
          <w:spacing w:val="-33"/>
          <w:sz w:val="22"/>
        </w:rPr>
        <w:t> </w:t>
      </w:r>
      <w:r>
        <w:rPr>
          <w:i/>
          <w:sz w:val="22"/>
        </w:rPr>
        <w:t>government buildings,</w:t>
      </w:r>
      <w:r>
        <w:rPr>
          <w:i/>
          <w:spacing w:val="-17"/>
          <w:sz w:val="22"/>
        </w:rPr>
        <w:t> </w:t>
      </w:r>
      <w:r>
        <w:rPr>
          <w:i/>
          <w:sz w:val="22"/>
        </w:rPr>
        <w:t>projects</w:t>
      </w:r>
      <w:r>
        <w:rPr>
          <w:i/>
          <w:spacing w:val="-16"/>
          <w:sz w:val="22"/>
        </w:rPr>
        <w:t> </w:t>
      </w:r>
      <w:r>
        <w:rPr>
          <w:i/>
          <w:sz w:val="22"/>
        </w:rPr>
        <w:t>and</w:t>
      </w:r>
      <w:r>
        <w:rPr>
          <w:i/>
          <w:spacing w:val="-16"/>
          <w:sz w:val="22"/>
        </w:rPr>
        <w:t> </w:t>
      </w:r>
      <w:r>
        <w:rPr>
          <w:i/>
          <w:sz w:val="22"/>
        </w:rPr>
        <w:t>office</w:t>
      </w:r>
      <w:r>
        <w:rPr>
          <w:i/>
          <w:spacing w:val="-16"/>
          <w:sz w:val="22"/>
        </w:rPr>
        <w:t> </w:t>
      </w:r>
      <w:r>
        <w:rPr>
          <w:i/>
          <w:sz w:val="22"/>
        </w:rPr>
        <w:t>accommodation</w:t>
      </w:r>
    </w:p>
    <w:p>
      <w:pPr>
        <w:pStyle w:val="BodyText"/>
        <w:spacing w:before="2"/>
        <w:rPr>
          <w:i/>
          <w:sz w:val="23"/>
        </w:rPr>
      </w:pPr>
    </w:p>
    <w:p>
      <w:pPr>
        <w:spacing w:line="249" w:lineRule="auto" w:before="0"/>
        <w:ind w:left="765" w:right="32" w:firstLine="0"/>
        <w:jc w:val="left"/>
        <w:rPr>
          <w:i/>
          <w:sz w:val="22"/>
        </w:rPr>
      </w:pPr>
      <w:r>
        <w:rPr>
          <w:i/>
          <w:sz w:val="22"/>
        </w:rPr>
        <w:t>Service</w:t>
      </w:r>
      <w:r>
        <w:rPr>
          <w:i/>
          <w:spacing w:val="-20"/>
          <w:sz w:val="22"/>
        </w:rPr>
        <w:t> </w:t>
      </w:r>
      <w:r>
        <w:rPr>
          <w:i/>
          <w:sz w:val="22"/>
        </w:rPr>
        <w:t>5:</w:t>
      </w:r>
      <w:r>
        <w:rPr>
          <w:i/>
          <w:spacing w:val="-21"/>
          <w:sz w:val="22"/>
        </w:rPr>
        <w:t> </w:t>
      </w:r>
      <w:r>
        <w:rPr>
          <w:i/>
          <w:sz w:val="22"/>
        </w:rPr>
        <w:t>Leads</w:t>
      </w:r>
      <w:r>
        <w:rPr>
          <w:i/>
          <w:spacing w:val="-20"/>
          <w:sz w:val="22"/>
        </w:rPr>
        <w:t> </w:t>
      </w:r>
      <w:r>
        <w:rPr>
          <w:i/>
          <w:sz w:val="22"/>
        </w:rPr>
        <w:t>the</w:t>
      </w:r>
      <w:r>
        <w:rPr>
          <w:i/>
          <w:spacing w:val="-20"/>
          <w:sz w:val="22"/>
        </w:rPr>
        <w:t> </w:t>
      </w:r>
      <w:r>
        <w:rPr>
          <w:i/>
          <w:sz w:val="22"/>
        </w:rPr>
        <w:t>planning</w:t>
      </w:r>
      <w:r>
        <w:rPr>
          <w:i/>
          <w:spacing w:val="-20"/>
          <w:sz w:val="22"/>
        </w:rPr>
        <w:t> </w:t>
      </w:r>
      <w:r>
        <w:rPr>
          <w:i/>
          <w:sz w:val="22"/>
        </w:rPr>
        <w:t>and</w:t>
      </w:r>
      <w:r>
        <w:rPr>
          <w:i/>
          <w:spacing w:val="-20"/>
          <w:sz w:val="22"/>
        </w:rPr>
        <w:t> </w:t>
      </w:r>
      <w:r>
        <w:rPr>
          <w:i/>
          <w:sz w:val="22"/>
        </w:rPr>
        <w:t>delivery</w:t>
      </w:r>
      <w:r>
        <w:rPr>
          <w:i/>
          <w:spacing w:val="-20"/>
          <w:sz w:val="22"/>
        </w:rPr>
        <w:t> </w:t>
      </w:r>
      <w:r>
        <w:rPr>
          <w:i/>
          <w:sz w:val="22"/>
        </w:rPr>
        <w:t>of</w:t>
      </w:r>
      <w:r>
        <w:rPr>
          <w:i/>
          <w:spacing w:val="-20"/>
          <w:sz w:val="22"/>
        </w:rPr>
        <w:t> </w:t>
      </w:r>
      <w:r>
        <w:rPr>
          <w:i/>
          <w:spacing w:val="-5"/>
          <w:sz w:val="22"/>
        </w:rPr>
        <w:t>new </w:t>
      </w:r>
      <w:r>
        <w:rPr>
          <w:i/>
          <w:sz w:val="22"/>
        </w:rPr>
        <w:t>government</w:t>
      </w:r>
      <w:r>
        <w:rPr>
          <w:i/>
          <w:spacing w:val="-2"/>
          <w:sz w:val="22"/>
        </w:rPr>
        <w:t> </w:t>
      </w:r>
      <w:r>
        <w:rPr>
          <w:i/>
          <w:sz w:val="22"/>
        </w:rPr>
        <w:t>buildings</w:t>
      </w:r>
    </w:p>
    <w:p>
      <w:pPr>
        <w:pStyle w:val="BodyText"/>
        <w:spacing w:before="5"/>
        <w:rPr>
          <w:i/>
          <w:sz w:val="23"/>
        </w:rPr>
      </w:pPr>
      <w:r>
        <w:rPr/>
        <w:br w:type="column"/>
      </w:r>
      <w:r>
        <w:rPr>
          <w:i/>
          <w:sz w:val="23"/>
        </w:rPr>
      </w:r>
    </w:p>
    <w:p>
      <w:pPr>
        <w:pStyle w:val="BodyText"/>
        <w:spacing w:line="249" w:lineRule="auto"/>
        <w:ind w:left="472" w:right="450"/>
      </w:pPr>
      <w:r>
        <w:rPr/>
        <w:t>The</w:t>
      </w:r>
      <w:r>
        <w:rPr>
          <w:spacing w:val="-41"/>
        </w:rPr>
        <w:t> </w:t>
      </w:r>
      <w:r>
        <w:rPr/>
        <w:t>Department</w:t>
      </w:r>
      <w:r>
        <w:rPr>
          <w:spacing w:val="-40"/>
        </w:rPr>
        <w:t> </w:t>
      </w:r>
      <w:r>
        <w:rPr/>
        <w:t>administers</w:t>
      </w:r>
      <w:r>
        <w:rPr>
          <w:spacing w:val="-40"/>
        </w:rPr>
        <w:t> </w:t>
      </w:r>
      <w:r>
        <w:rPr/>
        <w:t>assets,</w:t>
      </w:r>
      <w:r>
        <w:rPr>
          <w:spacing w:val="-40"/>
        </w:rPr>
        <w:t> </w:t>
      </w:r>
      <w:r>
        <w:rPr>
          <w:spacing w:val="-2"/>
        </w:rPr>
        <w:t>liabilities, </w:t>
      </w:r>
      <w:r>
        <w:rPr/>
        <w:t>income and expenses on behalf of the Government which are not controlled</w:t>
      </w:r>
      <w:r>
        <w:rPr>
          <w:spacing w:val="-39"/>
        </w:rPr>
        <w:t> </w:t>
      </w:r>
      <w:r>
        <w:rPr>
          <w:spacing w:val="-7"/>
        </w:rPr>
        <w:t>by,</w:t>
      </w:r>
    </w:p>
    <w:p>
      <w:pPr>
        <w:pStyle w:val="BodyText"/>
        <w:spacing w:line="249" w:lineRule="auto" w:before="3"/>
        <w:ind w:left="472" w:right="-9"/>
      </w:pPr>
      <w:r>
        <w:rPr/>
        <w:t>nor integral to the function of the Department. These</w:t>
      </w:r>
      <w:r>
        <w:rPr>
          <w:spacing w:val="-34"/>
        </w:rPr>
        <w:t> </w:t>
      </w:r>
      <w:r>
        <w:rPr/>
        <w:t>administered</w:t>
      </w:r>
      <w:r>
        <w:rPr>
          <w:spacing w:val="-33"/>
        </w:rPr>
        <w:t> </w:t>
      </w:r>
      <w:r>
        <w:rPr/>
        <w:t>balances</w:t>
      </w:r>
      <w:r>
        <w:rPr>
          <w:spacing w:val="-34"/>
        </w:rPr>
        <w:t> </w:t>
      </w:r>
      <w:r>
        <w:rPr/>
        <w:t>and</w:t>
      </w:r>
      <w:r>
        <w:rPr>
          <w:spacing w:val="-33"/>
        </w:rPr>
        <w:t> </w:t>
      </w:r>
      <w:r>
        <w:rPr/>
        <w:t>transactions</w:t>
      </w:r>
      <w:r>
        <w:rPr>
          <w:spacing w:val="-34"/>
        </w:rPr>
        <w:t> </w:t>
      </w:r>
      <w:r>
        <w:rPr/>
        <w:t>are not</w:t>
      </w:r>
      <w:r>
        <w:rPr>
          <w:spacing w:val="-28"/>
        </w:rPr>
        <w:t> </w:t>
      </w:r>
      <w:r>
        <w:rPr/>
        <w:t>recognised</w:t>
      </w:r>
      <w:r>
        <w:rPr>
          <w:spacing w:val="-28"/>
        </w:rPr>
        <w:t> </w:t>
      </w:r>
      <w:r>
        <w:rPr/>
        <w:t>in</w:t>
      </w:r>
      <w:r>
        <w:rPr>
          <w:spacing w:val="-28"/>
        </w:rPr>
        <w:t> </w:t>
      </w:r>
      <w:r>
        <w:rPr/>
        <w:t>the</w:t>
      </w:r>
      <w:r>
        <w:rPr>
          <w:spacing w:val="-28"/>
        </w:rPr>
        <w:t> </w:t>
      </w:r>
      <w:r>
        <w:rPr/>
        <w:t>principal</w:t>
      </w:r>
      <w:r>
        <w:rPr>
          <w:spacing w:val="-27"/>
        </w:rPr>
        <w:t> </w:t>
      </w:r>
      <w:r>
        <w:rPr/>
        <w:t>financial</w:t>
      </w:r>
      <w:r>
        <w:rPr>
          <w:spacing w:val="-28"/>
        </w:rPr>
        <w:t> </w:t>
      </w:r>
      <w:r>
        <w:rPr/>
        <w:t>statements of the Department but schedules are prepared using the same basis as the financial statements and are presented at Note 51 ‘Disclosure of administered income and expenses by service’ and</w:t>
      </w:r>
      <w:r>
        <w:rPr>
          <w:spacing w:val="-15"/>
        </w:rPr>
        <w:t> </w:t>
      </w:r>
      <w:r>
        <w:rPr/>
        <w:t>Note</w:t>
      </w:r>
      <w:r>
        <w:rPr>
          <w:spacing w:val="-15"/>
        </w:rPr>
        <w:t> </w:t>
      </w:r>
      <w:r>
        <w:rPr/>
        <w:t>52</w:t>
      </w:r>
      <w:r>
        <w:rPr>
          <w:spacing w:val="-15"/>
        </w:rPr>
        <w:t> </w:t>
      </w:r>
      <w:r>
        <w:rPr/>
        <w:t>‘Administered</w:t>
      </w:r>
      <w:r>
        <w:rPr>
          <w:spacing w:val="-14"/>
        </w:rPr>
        <w:t> </w:t>
      </w:r>
      <w:r>
        <w:rPr/>
        <w:t>assets</w:t>
      </w:r>
      <w:r>
        <w:rPr>
          <w:spacing w:val="-15"/>
        </w:rPr>
        <w:t> </w:t>
      </w:r>
      <w:r>
        <w:rPr/>
        <w:t>and</w:t>
      </w:r>
      <w:r>
        <w:rPr>
          <w:spacing w:val="-15"/>
        </w:rPr>
        <w:t> </w:t>
      </w:r>
      <w:r>
        <w:rPr/>
        <w:t>liabilities’.</w:t>
      </w:r>
    </w:p>
    <w:p>
      <w:pPr>
        <w:pStyle w:val="BodyText"/>
        <w:spacing w:before="6"/>
        <w:rPr>
          <w:sz w:val="23"/>
        </w:rPr>
      </w:pPr>
    </w:p>
    <w:p>
      <w:pPr>
        <w:pStyle w:val="Heading6"/>
        <w:numPr>
          <w:ilvl w:val="0"/>
          <w:numId w:val="5"/>
        </w:numPr>
        <w:tabs>
          <w:tab w:pos="799" w:val="left" w:leader="none"/>
        </w:tabs>
        <w:spacing w:line="240" w:lineRule="auto" w:before="0" w:after="0"/>
        <w:ind w:left="798" w:right="0" w:hanging="326"/>
        <w:jc w:val="left"/>
      </w:pPr>
      <w:r>
        <w:rPr/>
        <w:t>Contributed</w:t>
      </w:r>
      <w:r>
        <w:rPr>
          <w:spacing w:val="-1"/>
        </w:rPr>
        <w:t> </w:t>
      </w:r>
      <w:r>
        <w:rPr/>
        <w:t>equity</w:t>
      </w:r>
    </w:p>
    <w:p>
      <w:pPr>
        <w:spacing w:line="249" w:lineRule="auto" w:before="11"/>
        <w:ind w:left="472" w:right="381" w:firstLine="0"/>
        <w:jc w:val="left"/>
        <w:rPr>
          <w:sz w:val="22"/>
        </w:rPr>
      </w:pPr>
      <w:r>
        <w:rPr>
          <w:sz w:val="22"/>
        </w:rPr>
        <w:t>AASB Interpretation 1038 </w:t>
      </w:r>
      <w:r>
        <w:rPr>
          <w:i/>
          <w:sz w:val="22"/>
        </w:rPr>
        <w:t>Contributions by </w:t>
      </w:r>
      <w:r>
        <w:rPr>
          <w:i/>
          <w:sz w:val="22"/>
        </w:rPr>
        <w:t>Owners</w:t>
      </w:r>
      <w:r>
        <w:rPr>
          <w:i/>
          <w:spacing w:val="-19"/>
          <w:sz w:val="22"/>
        </w:rPr>
        <w:t> </w:t>
      </w:r>
      <w:r>
        <w:rPr>
          <w:i/>
          <w:sz w:val="22"/>
        </w:rPr>
        <w:t>Made</w:t>
      </w:r>
      <w:r>
        <w:rPr>
          <w:i/>
          <w:spacing w:val="-19"/>
          <w:sz w:val="22"/>
        </w:rPr>
        <w:t> </w:t>
      </w:r>
      <w:r>
        <w:rPr>
          <w:i/>
          <w:sz w:val="22"/>
        </w:rPr>
        <w:t>to</w:t>
      </w:r>
      <w:r>
        <w:rPr>
          <w:i/>
          <w:spacing w:val="-19"/>
          <w:sz w:val="22"/>
        </w:rPr>
        <w:t> </w:t>
      </w:r>
      <w:r>
        <w:rPr>
          <w:i/>
          <w:sz w:val="22"/>
        </w:rPr>
        <w:t>Wholly-Owned</w:t>
      </w:r>
      <w:r>
        <w:rPr>
          <w:i/>
          <w:spacing w:val="-19"/>
          <w:sz w:val="22"/>
        </w:rPr>
        <w:t> </w:t>
      </w:r>
      <w:r>
        <w:rPr>
          <w:i/>
          <w:sz w:val="22"/>
        </w:rPr>
        <w:t>Public</w:t>
      </w:r>
      <w:r>
        <w:rPr>
          <w:i/>
          <w:spacing w:val="-19"/>
          <w:sz w:val="22"/>
        </w:rPr>
        <w:t> </w:t>
      </w:r>
      <w:r>
        <w:rPr>
          <w:i/>
          <w:sz w:val="22"/>
        </w:rPr>
        <w:t>Sector Entities </w:t>
      </w:r>
      <w:r>
        <w:rPr>
          <w:sz w:val="22"/>
        </w:rPr>
        <w:t>requires transfers in the nature of equity</w:t>
      </w:r>
      <w:r>
        <w:rPr>
          <w:spacing w:val="-16"/>
          <w:sz w:val="22"/>
        </w:rPr>
        <w:t> </w:t>
      </w:r>
      <w:r>
        <w:rPr>
          <w:sz w:val="22"/>
        </w:rPr>
        <w:t>contributions,</w:t>
      </w:r>
      <w:r>
        <w:rPr>
          <w:spacing w:val="-15"/>
          <w:sz w:val="22"/>
        </w:rPr>
        <w:t> </w:t>
      </w:r>
      <w:r>
        <w:rPr>
          <w:sz w:val="22"/>
        </w:rPr>
        <w:t>other</w:t>
      </w:r>
      <w:r>
        <w:rPr>
          <w:spacing w:val="-16"/>
          <w:sz w:val="22"/>
        </w:rPr>
        <w:t> </w:t>
      </w:r>
      <w:r>
        <w:rPr>
          <w:sz w:val="22"/>
        </w:rPr>
        <w:t>than</w:t>
      </w:r>
      <w:r>
        <w:rPr>
          <w:spacing w:val="-15"/>
          <w:sz w:val="22"/>
        </w:rPr>
        <w:t> </w:t>
      </w:r>
      <w:r>
        <w:rPr>
          <w:sz w:val="22"/>
        </w:rPr>
        <w:t>as</w:t>
      </w:r>
      <w:r>
        <w:rPr>
          <w:spacing w:val="-15"/>
          <w:sz w:val="22"/>
        </w:rPr>
        <w:t> </w:t>
      </w:r>
      <w:r>
        <w:rPr>
          <w:sz w:val="22"/>
        </w:rPr>
        <w:t>a</w:t>
      </w:r>
      <w:r>
        <w:rPr>
          <w:spacing w:val="-16"/>
          <w:sz w:val="22"/>
        </w:rPr>
        <w:t> </w:t>
      </w:r>
      <w:r>
        <w:rPr>
          <w:sz w:val="22"/>
        </w:rPr>
        <w:t>result</w:t>
      </w:r>
      <w:r>
        <w:rPr>
          <w:spacing w:val="-15"/>
          <w:sz w:val="22"/>
        </w:rPr>
        <w:t> </w:t>
      </w:r>
      <w:r>
        <w:rPr>
          <w:sz w:val="22"/>
        </w:rPr>
        <w:t>of</w:t>
      </w:r>
      <w:r>
        <w:rPr>
          <w:spacing w:val="-16"/>
          <w:sz w:val="22"/>
        </w:rPr>
        <w:t> </w:t>
      </w:r>
      <w:r>
        <w:rPr>
          <w:spacing w:val="-17"/>
          <w:sz w:val="22"/>
        </w:rPr>
        <w:t>a</w:t>
      </w:r>
    </w:p>
    <w:p>
      <w:pPr>
        <w:pStyle w:val="BodyText"/>
        <w:spacing w:line="249" w:lineRule="auto" w:before="4"/>
        <w:ind w:left="472" w:right="67"/>
      </w:pPr>
      <w:r>
        <w:rPr/>
        <w:t>restructure</w:t>
      </w:r>
      <w:r>
        <w:rPr>
          <w:spacing w:val="-22"/>
        </w:rPr>
        <w:t> </w:t>
      </w:r>
      <w:r>
        <w:rPr/>
        <w:t>of</w:t>
      </w:r>
      <w:r>
        <w:rPr>
          <w:spacing w:val="-22"/>
        </w:rPr>
        <w:t> </w:t>
      </w:r>
      <w:r>
        <w:rPr/>
        <w:t>administrative</w:t>
      </w:r>
      <w:r>
        <w:rPr>
          <w:spacing w:val="-22"/>
        </w:rPr>
        <w:t> </w:t>
      </w:r>
      <w:r>
        <w:rPr/>
        <w:t>arrangements,</w:t>
      </w:r>
      <w:r>
        <w:rPr>
          <w:spacing w:val="-22"/>
        </w:rPr>
        <w:t> </w:t>
      </w:r>
      <w:r>
        <w:rPr/>
        <w:t>to</w:t>
      </w:r>
      <w:r>
        <w:rPr>
          <w:spacing w:val="-21"/>
        </w:rPr>
        <w:t> </w:t>
      </w:r>
      <w:r>
        <w:rPr/>
        <w:t>be designated by the Government (the owner) as contributions</w:t>
      </w:r>
      <w:r>
        <w:rPr>
          <w:spacing w:val="-11"/>
        </w:rPr>
        <w:t> </w:t>
      </w:r>
      <w:r>
        <w:rPr/>
        <w:t>by</w:t>
      </w:r>
      <w:r>
        <w:rPr>
          <w:spacing w:val="-11"/>
        </w:rPr>
        <w:t> </w:t>
      </w:r>
      <w:r>
        <w:rPr/>
        <w:t>owners</w:t>
      </w:r>
      <w:r>
        <w:rPr>
          <w:spacing w:val="-11"/>
        </w:rPr>
        <w:t> </w:t>
      </w:r>
      <w:r>
        <w:rPr/>
        <w:t>(at</w:t>
      </w:r>
      <w:r>
        <w:rPr>
          <w:spacing w:val="-11"/>
        </w:rPr>
        <w:t> </w:t>
      </w:r>
      <w:r>
        <w:rPr/>
        <w:t>the</w:t>
      </w:r>
      <w:r>
        <w:rPr>
          <w:spacing w:val="-11"/>
        </w:rPr>
        <w:t> </w:t>
      </w:r>
      <w:r>
        <w:rPr/>
        <w:t>time</w:t>
      </w:r>
      <w:r>
        <w:rPr>
          <w:spacing w:val="-11"/>
        </w:rPr>
        <w:t> </w:t>
      </w:r>
      <w:r>
        <w:rPr/>
        <w:t>of,</w:t>
      </w:r>
      <w:r>
        <w:rPr>
          <w:spacing w:val="-11"/>
        </w:rPr>
        <w:t> </w:t>
      </w:r>
      <w:r>
        <w:rPr/>
        <w:t>or</w:t>
      </w:r>
      <w:r>
        <w:rPr>
          <w:spacing w:val="-11"/>
        </w:rPr>
        <w:t> </w:t>
      </w:r>
      <w:r>
        <w:rPr/>
        <w:t>prior</w:t>
      </w:r>
      <w:r>
        <w:rPr>
          <w:spacing w:val="-11"/>
        </w:rPr>
        <w:t> </w:t>
      </w:r>
      <w:r>
        <w:rPr/>
        <w:t>to transfer)</w:t>
      </w:r>
      <w:r>
        <w:rPr>
          <w:spacing w:val="-24"/>
        </w:rPr>
        <w:t> </w:t>
      </w:r>
      <w:r>
        <w:rPr/>
        <w:t>before</w:t>
      </w:r>
      <w:r>
        <w:rPr>
          <w:spacing w:val="-24"/>
        </w:rPr>
        <w:t> </w:t>
      </w:r>
      <w:r>
        <w:rPr/>
        <w:t>such</w:t>
      </w:r>
      <w:r>
        <w:rPr>
          <w:spacing w:val="-23"/>
        </w:rPr>
        <w:t> </w:t>
      </w:r>
      <w:r>
        <w:rPr/>
        <w:t>transfers</w:t>
      </w:r>
      <w:r>
        <w:rPr>
          <w:spacing w:val="-24"/>
        </w:rPr>
        <w:t> </w:t>
      </w:r>
      <w:r>
        <w:rPr/>
        <w:t>can</w:t>
      </w:r>
      <w:r>
        <w:rPr>
          <w:spacing w:val="-24"/>
        </w:rPr>
        <w:t> </w:t>
      </w:r>
      <w:r>
        <w:rPr/>
        <w:t>be</w:t>
      </w:r>
      <w:r>
        <w:rPr>
          <w:spacing w:val="-23"/>
        </w:rPr>
        <w:t> </w:t>
      </w:r>
      <w:r>
        <w:rPr/>
        <w:t>recognised as equity contributions. Capital appropriations have</w:t>
      </w:r>
      <w:r>
        <w:rPr>
          <w:spacing w:val="-21"/>
        </w:rPr>
        <w:t> </w:t>
      </w:r>
      <w:r>
        <w:rPr/>
        <w:t>been</w:t>
      </w:r>
      <w:r>
        <w:rPr>
          <w:spacing w:val="-20"/>
        </w:rPr>
        <w:t> </w:t>
      </w:r>
      <w:r>
        <w:rPr/>
        <w:t>designated</w:t>
      </w:r>
      <w:r>
        <w:rPr>
          <w:spacing w:val="-20"/>
        </w:rPr>
        <w:t> </w:t>
      </w:r>
      <w:r>
        <w:rPr/>
        <w:t>as</w:t>
      </w:r>
      <w:r>
        <w:rPr>
          <w:spacing w:val="-20"/>
        </w:rPr>
        <w:t> </w:t>
      </w:r>
      <w:r>
        <w:rPr/>
        <w:t>contributions</w:t>
      </w:r>
      <w:r>
        <w:rPr>
          <w:spacing w:val="-20"/>
        </w:rPr>
        <w:t> </w:t>
      </w:r>
      <w:r>
        <w:rPr/>
        <w:t>by</w:t>
      </w:r>
      <w:r>
        <w:rPr>
          <w:spacing w:val="-20"/>
        </w:rPr>
        <w:t> </w:t>
      </w:r>
      <w:r>
        <w:rPr>
          <w:spacing w:val="-3"/>
        </w:rPr>
        <w:t>owners </w:t>
      </w:r>
      <w:r>
        <w:rPr/>
        <w:t>by TI 955 </w:t>
      </w:r>
      <w:r>
        <w:rPr>
          <w:i/>
        </w:rPr>
        <w:t>Contributions by Owners made to </w:t>
      </w:r>
      <w:r>
        <w:rPr>
          <w:i/>
        </w:rPr>
        <w:t>Wholly-Owned Public Sector Entities </w:t>
      </w:r>
      <w:r>
        <w:rPr/>
        <w:t>and have been credited directly to Contributed</w:t>
      </w:r>
      <w:r>
        <w:rPr>
          <w:spacing w:val="-37"/>
        </w:rPr>
        <w:t> </w:t>
      </w:r>
      <w:r>
        <w:rPr>
          <w:spacing w:val="-3"/>
        </w:rPr>
        <w:t>Equity.</w:t>
      </w:r>
    </w:p>
    <w:p>
      <w:pPr>
        <w:pStyle w:val="BodyText"/>
        <w:spacing w:before="5"/>
        <w:rPr>
          <w:sz w:val="23"/>
        </w:rPr>
      </w:pPr>
      <w:r>
        <w:rPr/>
        <w:br w:type="column"/>
      </w:r>
      <w:r>
        <w:rPr>
          <w:sz w:val="23"/>
        </w:rPr>
      </w:r>
    </w:p>
    <w:p>
      <w:pPr>
        <w:pStyle w:val="BodyText"/>
        <w:spacing w:line="249" w:lineRule="auto"/>
        <w:ind w:left="432" w:right="1014"/>
      </w:pPr>
      <w:r>
        <w:rPr/>
        <w:t>The transfer of net assets to/from other agencies,</w:t>
      </w:r>
      <w:r>
        <w:rPr>
          <w:spacing w:val="-16"/>
        </w:rPr>
        <w:t> </w:t>
      </w:r>
      <w:r>
        <w:rPr/>
        <w:t>other</w:t>
      </w:r>
      <w:r>
        <w:rPr>
          <w:spacing w:val="-16"/>
        </w:rPr>
        <w:t> </w:t>
      </w:r>
      <w:r>
        <w:rPr/>
        <w:t>than</w:t>
      </w:r>
      <w:r>
        <w:rPr>
          <w:spacing w:val="-16"/>
        </w:rPr>
        <w:t> </w:t>
      </w:r>
      <w:r>
        <w:rPr/>
        <w:t>as</w:t>
      </w:r>
      <w:r>
        <w:rPr>
          <w:spacing w:val="-16"/>
        </w:rPr>
        <w:t> </w:t>
      </w:r>
      <w:r>
        <w:rPr/>
        <w:t>a</w:t>
      </w:r>
      <w:r>
        <w:rPr>
          <w:spacing w:val="-16"/>
        </w:rPr>
        <w:t> </w:t>
      </w:r>
      <w:r>
        <w:rPr/>
        <w:t>result</w:t>
      </w:r>
      <w:r>
        <w:rPr>
          <w:spacing w:val="-16"/>
        </w:rPr>
        <w:t> </w:t>
      </w:r>
      <w:r>
        <w:rPr/>
        <w:t>of</w:t>
      </w:r>
      <w:r>
        <w:rPr>
          <w:spacing w:val="-16"/>
        </w:rPr>
        <w:t> </w:t>
      </w:r>
      <w:r>
        <w:rPr/>
        <w:t>a</w:t>
      </w:r>
      <w:r>
        <w:rPr>
          <w:spacing w:val="-16"/>
        </w:rPr>
        <w:t> </w:t>
      </w:r>
      <w:r>
        <w:rPr/>
        <w:t>restructure of</w:t>
      </w:r>
      <w:r>
        <w:rPr>
          <w:spacing w:val="-31"/>
        </w:rPr>
        <w:t> </w:t>
      </w:r>
      <w:r>
        <w:rPr/>
        <w:t>administrative</w:t>
      </w:r>
      <w:r>
        <w:rPr>
          <w:spacing w:val="-31"/>
        </w:rPr>
        <w:t> </w:t>
      </w:r>
      <w:r>
        <w:rPr/>
        <w:t>arrangements,</w:t>
      </w:r>
      <w:r>
        <w:rPr>
          <w:spacing w:val="-30"/>
        </w:rPr>
        <w:t> </w:t>
      </w:r>
      <w:r>
        <w:rPr/>
        <w:t>is</w:t>
      </w:r>
      <w:r>
        <w:rPr>
          <w:spacing w:val="-31"/>
        </w:rPr>
        <w:t> </w:t>
      </w:r>
      <w:r>
        <w:rPr/>
        <w:t>designated</w:t>
      </w:r>
      <w:r>
        <w:rPr>
          <w:spacing w:val="-30"/>
        </w:rPr>
        <w:t> </w:t>
      </w:r>
      <w:r>
        <w:rPr>
          <w:spacing w:val="-9"/>
        </w:rPr>
        <w:t>as </w:t>
      </w:r>
      <w:r>
        <w:rPr/>
        <w:t>contributions</w:t>
      </w:r>
      <w:r>
        <w:rPr>
          <w:spacing w:val="-19"/>
        </w:rPr>
        <w:t> </w:t>
      </w:r>
      <w:r>
        <w:rPr/>
        <w:t>by</w:t>
      </w:r>
      <w:r>
        <w:rPr>
          <w:spacing w:val="-19"/>
        </w:rPr>
        <w:t> </w:t>
      </w:r>
      <w:r>
        <w:rPr/>
        <w:t>owners</w:t>
      </w:r>
      <w:r>
        <w:rPr>
          <w:spacing w:val="-19"/>
        </w:rPr>
        <w:t> </w:t>
      </w:r>
      <w:r>
        <w:rPr/>
        <w:t>where</w:t>
      </w:r>
      <w:r>
        <w:rPr>
          <w:spacing w:val="-19"/>
        </w:rPr>
        <w:t> </w:t>
      </w:r>
      <w:r>
        <w:rPr/>
        <w:t>the</w:t>
      </w:r>
      <w:r>
        <w:rPr>
          <w:spacing w:val="-19"/>
        </w:rPr>
        <w:t> </w:t>
      </w:r>
      <w:r>
        <w:rPr/>
        <w:t>transfers</w:t>
      </w:r>
      <w:r>
        <w:rPr>
          <w:spacing w:val="-18"/>
        </w:rPr>
        <w:t> </w:t>
      </w:r>
      <w:r>
        <w:rPr/>
        <w:t>are non-discretionary and</w:t>
      </w:r>
      <w:r>
        <w:rPr>
          <w:spacing w:val="-10"/>
        </w:rPr>
        <w:t> </w:t>
      </w:r>
      <w:r>
        <w:rPr/>
        <w:t>non-reciprocal.</w:t>
      </w:r>
    </w:p>
    <w:p>
      <w:pPr>
        <w:pStyle w:val="BodyText"/>
        <w:spacing w:before="4"/>
        <w:rPr>
          <w:sz w:val="23"/>
        </w:rPr>
      </w:pPr>
    </w:p>
    <w:p>
      <w:pPr>
        <w:pStyle w:val="Heading6"/>
        <w:numPr>
          <w:ilvl w:val="0"/>
          <w:numId w:val="5"/>
        </w:numPr>
        <w:tabs>
          <w:tab w:pos="751" w:val="left" w:leader="none"/>
        </w:tabs>
        <w:spacing w:line="240" w:lineRule="auto" w:before="0" w:after="0"/>
        <w:ind w:left="750" w:right="0" w:hanging="318"/>
        <w:jc w:val="left"/>
      </w:pPr>
      <w:r>
        <w:rPr/>
        <w:t>Income</w:t>
      </w:r>
    </w:p>
    <w:p>
      <w:pPr>
        <w:spacing w:before="124"/>
        <w:ind w:left="432" w:right="0" w:firstLine="0"/>
        <w:jc w:val="left"/>
        <w:rPr>
          <w:i/>
          <w:sz w:val="22"/>
        </w:rPr>
      </w:pPr>
      <w:r>
        <w:rPr>
          <w:i/>
          <w:color w:val="6F2770"/>
          <w:sz w:val="22"/>
        </w:rPr>
        <w:t>Revenue recognition</w:t>
      </w:r>
    </w:p>
    <w:p>
      <w:pPr>
        <w:pStyle w:val="BodyText"/>
        <w:spacing w:line="249" w:lineRule="auto" w:before="11"/>
        <w:ind w:left="432" w:right="1072"/>
      </w:pPr>
      <w:r>
        <w:rPr/>
        <w:t>Revenue</w:t>
      </w:r>
      <w:r>
        <w:rPr>
          <w:spacing w:val="-25"/>
        </w:rPr>
        <w:t> </w:t>
      </w:r>
      <w:r>
        <w:rPr/>
        <w:t>is</w:t>
      </w:r>
      <w:r>
        <w:rPr>
          <w:spacing w:val="-24"/>
        </w:rPr>
        <w:t> </w:t>
      </w:r>
      <w:r>
        <w:rPr/>
        <w:t>recognised</w:t>
      </w:r>
      <w:r>
        <w:rPr>
          <w:spacing w:val="-24"/>
        </w:rPr>
        <w:t> </w:t>
      </w:r>
      <w:r>
        <w:rPr/>
        <w:t>and</w:t>
      </w:r>
      <w:r>
        <w:rPr>
          <w:spacing w:val="-24"/>
        </w:rPr>
        <w:t> </w:t>
      </w:r>
      <w:r>
        <w:rPr/>
        <w:t>measured</w:t>
      </w:r>
      <w:r>
        <w:rPr>
          <w:spacing w:val="-24"/>
        </w:rPr>
        <w:t> </w:t>
      </w:r>
      <w:r>
        <w:rPr/>
        <w:t>at</w:t>
      </w:r>
      <w:r>
        <w:rPr>
          <w:spacing w:val="-24"/>
        </w:rPr>
        <w:t> </w:t>
      </w:r>
      <w:r>
        <w:rPr/>
        <w:t>the</w:t>
      </w:r>
      <w:r>
        <w:rPr>
          <w:spacing w:val="-24"/>
        </w:rPr>
        <w:t> </w:t>
      </w:r>
      <w:r>
        <w:rPr>
          <w:spacing w:val="-5"/>
        </w:rPr>
        <w:t>fair </w:t>
      </w:r>
      <w:r>
        <w:rPr/>
        <w:t>value</w:t>
      </w:r>
      <w:r>
        <w:rPr>
          <w:spacing w:val="-19"/>
        </w:rPr>
        <w:t> </w:t>
      </w:r>
      <w:r>
        <w:rPr/>
        <w:t>of</w:t>
      </w:r>
      <w:r>
        <w:rPr>
          <w:spacing w:val="-19"/>
        </w:rPr>
        <w:t> </w:t>
      </w:r>
      <w:r>
        <w:rPr/>
        <w:t>consideration</w:t>
      </w:r>
      <w:r>
        <w:rPr>
          <w:spacing w:val="-19"/>
        </w:rPr>
        <w:t> </w:t>
      </w:r>
      <w:r>
        <w:rPr/>
        <w:t>received</w:t>
      </w:r>
      <w:r>
        <w:rPr>
          <w:spacing w:val="-19"/>
        </w:rPr>
        <w:t> </w:t>
      </w:r>
      <w:r>
        <w:rPr/>
        <w:t>or</w:t>
      </w:r>
      <w:r>
        <w:rPr>
          <w:spacing w:val="-19"/>
        </w:rPr>
        <w:t> </w:t>
      </w:r>
      <w:r>
        <w:rPr/>
        <w:t>receivable.</w:t>
      </w:r>
    </w:p>
    <w:p>
      <w:pPr>
        <w:pStyle w:val="BodyText"/>
        <w:spacing w:line="249" w:lineRule="auto" w:before="2"/>
        <w:ind w:left="432" w:right="1280"/>
      </w:pPr>
      <w:r>
        <w:rPr/>
        <w:t>Revenue</w:t>
      </w:r>
      <w:r>
        <w:rPr>
          <w:spacing w:val="-26"/>
        </w:rPr>
        <w:t> </w:t>
      </w:r>
      <w:r>
        <w:rPr/>
        <w:t>is</w:t>
      </w:r>
      <w:r>
        <w:rPr>
          <w:spacing w:val="-25"/>
        </w:rPr>
        <w:t> </w:t>
      </w:r>
      <w:r>
        <w:rPr/>
        <w:t>recognised</w:t>
      </w:r>
      <w:r>
        <w:rPr>
          <w:spacing w:val="-26"/>
        </w:rPr>
        <w:t> </w:t>
      </w:r>
      <w:r>
        <w:rPr/>
        <w:t>for</w:t>
      </w:r>
      <w:r>
        <w:rPr>
          <w:spacing w:val="-25"/>
        </w:rPr>
        <w:t> </w:t>
      </w:r>
      <w:r>
        <w:rPr/>
        <w:t>the</w:t>
      </w:r>
      <w:r>
        <w:rPr>
          <w:spacing w:val="-26"/>
        </w:rPr>
        <w:t> </w:t>
      </w:r>
      <w:r>
        <w:rPr/>
        <w:t>major</w:t>
      </w:r>
      <w:r>
        <w:rPr>
          <w:spacing w:val="-25"/>
        </w:rPr>
        <w:t> </w:t>
      </w:r>
      <w:r>
        <w:rPr>
          <w:spacing w:val="-3"/>
        </w:rPr>
        <w:t>business </w:t>
      </w:r>
      <w:r>
        <w:rPr/>
        <w:t>activities as</w:t>
      </w:r>
      <w:r>
        <w:rPr>
          <w:spacing w:val="-4"/>
        </w:rPr>
        <w:t> </w:t>
      </w:r>
      <w:r>
        <w:rPr/>
        <w:t>follows:</w:t>
      </w:r>
    </w:p>
    <w:p>
      <w:pPr>
        <w:pStyle w:val="BodyText"/>
        <w:spacing w:before="1"/>
        <w:rPr>
          <w:sz w:val="23"/>
        </w:rPr>
      </w:pPr>
    </w:p>
    <w:p>
      <w:pPr>
        <w:spacing w:before="0"/>
        <w:ind w:left="432" w:right="0" w:firstLine="0"/>
        <w:jc w:val="left"/>
        <w:rPr>
          <w:i/>
          <w:sz w:val="22"/>
        </w:rPr>
      </w:pPr>
      <w:r>
        <w:rPr>
          <w:i/>
          <w:sz w:val="22"/>
        </w:rPr>
        <w:t>Sale of goods</w:t>
      </w:r>
    </w:p>
    <w:p>
      <w:pPr>
        <w:pStyle w:val="BodyText"/>
        <w:spacing w:line="249" w:lineRule="auto" w:before="11"/>
        <w:ind w:left="432" w:right="981"/>
      </w:pPr>
      <w:r>
        <w:rPr/>
        <w:t>Revenue is recognised from the sale of goods and</w:t>
      </w:r>
      <w:r>
        <w:rPr>
          <w:spacing w:val="-21"/>
        </w:rPr>
        <w:t> </w:t>
      </w:r>
      <w:r>
        <w:rPr/>
        <w:t>disposal</w:t>
      </w:r>
      <w:r>
        <w:rPr>
          <w:spacing w:val="-21"/>
        </w:rPr>
        <w:t> </w:t>
      </w:r>
      <w:r>
        <w:rPr/>
        <w:t>of</w:t>
      </w:r>
      <w:r>
        <w:rPr>
          <w:spacing w:val="-21"/>
        </w:rPr>
        <w:t> </w:t>
      </w:r>
      <w:r>
        <w:rPr/>
        <w:t>other</w:t>
      </w:r>
      <w:r>
        <w:rPr>
          <w:spacing w:val="-21"/>
        </w:rPr>
        <w:t> </w:t>
      </w:r>
      <w:r>
        <w:rPr/>
        <w:t>assets</w:t>
      </w:r>
      <w:r>
        <w:rPr>
          <w:spacing w:val="-21"/>
        </w:rPr>
        <w:t> </w:t>
      </w:r>
      <w:r>
        <w:rPr/>
        <w:t>when</w:t>
      </w:r>
      <w:r>
        <w:rPr>
          <w:spacing w:val="-21"/>
        </w:rPr>
        <w:t> </w:t>
      </w:r>
      <w:r>
        <w:rPr/>
        <w:t>the</w:t>
      </w:r>
      <w:r>
        <w:rPr>
          <w:spacing w:val="-21"/>
        </w:rPr>
        <w:t> </w:t>
      </w:r>
      <w:r>
        <w:rPr/>
        <w:t>significant risks and rewards of ownership transfer to the purchaser and can be measured</w:t>
      </w:r>
      <w:r>
        <w:rPr>
          <w:spacing w:val="-39"/>
        </w:rPr>
        <w:t> </w:t>
      </w:r>
      <w:r>
        <w:rPr>
          <w:spacing w:val="-3"/>
        </w:rPr>
        <w:t>reliably.</w:t>
      </w:r>
    </w:p>
    <w:p>
      <w:pPr>
        <w:pStyle w:val="BodyText"/>
        <w:spacing w:before="3"/>
        <w:rPr>
          <w:sz w:val="23"/>
        </w:rPr>
      </w:pPr>
    </w:p>
    <w:p>
      <w:pPr>
        <w:spacing w:before="1"/>
        <w:ind w:left="432" w:right="0" w:firstLine="0"/>
        <w:jc w:val="left"/>
        <w:rPr>
          <w:i/>
          <w:sz w:val="22"/>
        </w:rPr>
      </w:pPr>
      <w:r>
        <w:rPr>
          <w:i/>
          <w:sz w:val="22"/>
        </w:rPr>
        <w:t>Provision of services</w:t>
      </w:r>
    </w:p>
    <w:p>
      <w:pPr>
        <w:pStyle w:val="BodyText"/>
        <w:spacing w:line="249" w:lineRule="auto" w:before="11"/>
        <w:ind w:left="432" w:right="778"/>
      </w:pPr>
      <w:r>
        <w:rPr/>
        <w:t>Revenue</w:t>
      </w:r>
      <w:r>
        <w:rPr>
          <w:spacing w:val="-22"/>
        </w:rPr>
        <w:t> </w:t>
      </w:r>
      <w:r>
        <w:rPr/>
        <w:t>is</w:t>
      </w:r>
      <w:r>
        <w:rPr>
          <w:spacing w:val="-21"/>
        </w:rPr>
        <w:t> </w:t>
      </w:r>
      <w:r>
        <w:rPr/>
        <w:t>recognised</w:t>
      </w:r>
      <w:r>
        <w:rPr>
          <w:spacing w:val="-22"/>
        </w:rPr>
        <w:t> </w:t>
      </w:r>
      <w:r>
        <w:rPr/>
        <w:t>by</w:t>
      </w:r>
      <w:r>
        <w:rPr>
          <w:spacing w:val="-21"/>
        </w:rPr>
        <w:t> </w:t>
      </w:r>
      <w:r>
        <w:rPr/>
        <w:t>reference</w:t>
      </w:r>
      <w:r>
        <w:rPr>
          <w:spacing w:val="-21"/>
        </w:rPr>
        <w:t> </w:t>
      </w:r>
      <w:r>
        <w:rPr/>
        <w:t>to</w:t>
      </w:r>
      <w:r>
        <w:rPr>
          <w:spacing w:val="-22"/>
        </w:rPr>
        <w:t> </w:t>
      </w:r>
      <w:r>
        <w:rPr/>
        <w:t>the</w:t>
      </w:r>
      <w:r>
        <w:rPr>
          <w:spacing w:val="-21"/>
        </w:rPr>
        <w:t> </w:t>
      </w:r>
      <w:r>
        <w:rPr/>
        <w:t>stage</w:t>
      </w:r>
      <w:r>
        <w:rPr>
          <w:spacing w:val="-21"/>
        </w:rPr>
        <w:t> </w:t>
      </w:r>
      <w:r>
        <w:rPr>
          <w:spacing w:val="-9"/>
        </w:rPr>
        <w:t>of </w:t>
      </w:r>
      <w:r>
        <w:rPr/>
        <w:t>completion of the</w:t>
      </w:r>
      <w:r>
        <w:rPr>
          <w:spacing w:val="-5"/>
        </w:rPr>
        <w:t> </w:t>
      </w:r>
      <w:r>
        <w:rPr/>
        <w:t>transaction.</w:t>
      </w:r>
    </w:p>
    <w:p>
      <w:pPr>
        <w:pStyle w:val="BodyText"/>
        <w:spacing w:before="1"/>
        <w:rPr>
          <w:sz w:val="23"/>
        </w:rPr>
      </w:pPr>
    </w:p>
    <w:p>
      <w:pPr>
        <w:spacing w:before="0"/>
        <w:ind w:left="432" w:right="0" w:firstLine="0"/>
        <w:jc w:val="left"/>
        <w:rPr>
          <w:i/>
          <w:sz w:val="22"/>
        </w:rPr>
      </w:pPr>
      <w:r>
        <w:rPr>
          <w:i/>
          <w:sz w:val="22"/>
        </w:rPr>
        <w:t>Vehicle fleet lease rentals</w:t>
      </w:r>
    </w:p>
    <w:p>
      <w:pPr>
        <w:pStyle w:val="BodyText"/>
        <w:spacing w:line="249" w:lineRule="auto" w:before="11"/>
        <w:ind w:left="432" w:right="1033"/>
      </w:pPr>
      <w:r>
        <w:rPr/>
        <w:t>Rental revenue is recognised in accordance with lease agreements entered into with State Government</w:t>
      </w:r>
      <w:r>
        <w:rPr>
          <w:spacing w:val="-33"/>
        </w:rPr>
        <w:t> </w:t>
      </w:r>
      <w:r>
        <w:rPr/>
        <w:t>agencies,</w:t>
      </w:r>
      <w:r>
        <w:rPr>
          <w:spacing w:val="-33"/>
        </w:rPr>
        <w:t> </w:t>
      </w:r>
      <w:r>
        <w:rPr/>
        <w:t>Statutory</w:t>
      </w:r>
      <w:r>
        <w:rPr>
          <w:spacing w:val="-33"/>
        </w:rPr>
        <w:t> </w:t>
      </w:r>
      <w:r>
        <w:rPr/>
        <w:t>Authorities</w:t>
      </w:r>
      <w:r>
        <w:rPr>
          <w:spacing w:val="-33"/>
        </w:rPr>
        <w:t> </w:t>
      </w:r>
      <w:r>
        <w:rPr>
          <w:spacing w:val="-6"/>
        </w:rPr>
        <w:t>and </w:t>
      </w:r>
      <w:r>
        <w:rPr/>
        <w:t>other State Government</w:t>
      </w:r>
      <w:r>
        <w:rPr>
          <w:spacing w:val="-12"/>
        </w:rPr>
        <w:t> </w:t>
      </w:r>
      <w:r>
        <w:rPr/>
        <w:t>entities.</w:t>
      </w:r>
    </w:p>
    <w:p>
      <w:pPr>
        <w:spacing w:after="0" w:line="249" w:lineRule="auto"/>
        <w:sectPr>
          <w:type w:val="continuous"/>
          <w:pgSz w:w="16840" w:h="11910" w:orient="landscape"/>
          <w:pgMar w:top="1100" w:bottom="280" w:left="0" w:right="0"/>
          <w:cols w:num="3" w:equalWidth="0">
            <w:col w:w="5497" w:space="40"/>
            <w:col w:w="5245" w:space="39"/>
            <w:col w:w="6019"/>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sz w:val="23"/>
        </w:rPr>
      </w:pPr>
    </w:p>
    <w:p>
      <w:pPr>
        <w:pStyle w:val="Heading1"/>
      </w:pPr>
      <w:r>
        <w:rPr/>
        <w:pict>
          <v:group style="position:absolute;margin-left:481.080994pt;margin-top:-57.499214pt;width:360.85pt;height:130.65pt;mso-position-horizontal-relative:page;mso-position-vertical-relative:paragraph;z-index:-699712"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288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290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292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2"/>
          <w:pgSz w:w="16840" w:h="11910" w:orient="landscape"/>
          <w:pgMar w:footer="0" w:header="0" w:top="0" w:bottom="0" w:left="0" w:right="0"/>
        </w:sectPr>
      </w:pPr>
    </w:p>
    <w:p>
      <w:pPr>
        <w:pStyle w:val="BodyText"/>
        <w:spacing w:before="5"/>
        <w:rPr>
          <w:sz w:val="23"/>
        </w:rPr>
      </w:pPr>
    </w:p>
    <w:p>
      <w:pPr>
        <w:spacing w:before="0"/>
        <w:ind w:left="765" w:right="0" w:firstLine="0"/>
        <w:jc w:val="left"/>
        <w:rPr>
          <w:i/>
          <w:sz w:val="22"/>
        </w:rPr>
      </w:pPr>
      <w:r>
        <w:rPr>
          <w:i/>
          <w:sz w:val="22"/>
        </w:rPr>
        <w:t>Vehicle bailment revenues</w:t>
      </w:r>
    </w:p>
    <w:p>
      <w:pPr>
        <w:pStyle w:val="BodyText"/>
        <w:spacing w:line="249" w:lineRule="auto" w:before="11"/>
        <w:ind w:left="765" w:right="24"/>
      </w:pPr>
      <w:r>
        <w:rPr/>
        <w:t>Revenue</w:t>
      </w:r>
      <w:r>
        <w:rPr>
          <w:spacing w:val="-22"/>
        </w:rPr>
        <w:t> </w:t>
      </w:r>
      <w:r>
        <w:rPr/>
        <w:t>is</w:t>
      </w:r>
      <w:r>
        <w:rPr>
          <w:spacing w:val="-21"/>
        </w:rPr>
        <w:t> </w:t>
      </w:r>
      <w:r>
        <w:rPr/>
        <w:t>recognised</w:t>
      </w:r>
      <w:r>
        <w:rPr>
          <w:spacing w:val="-22"/>
        </w:rPr>
        <w:t> </w:t>
      </w:r>
      <w:r>
        <w:rPr/>
        <w:t>on</w:t>
      </w:r>
      <w:r>
        <w:rPr>
          <w:spacing w:val="-21"/>
        </w:rPr>
        <w:t> </w:t>
      </w:r>
      <w:r>
        <w:rPr/>
        <w:t>receipt</w:t>
      </w:r>
      <w:r>
        <w:rPr>
          <w:spacing w:val="-22"/>
        </w:rPr>
        <w:t> </w:t>
      </w:r>
      <w:r>
        <w:rPr/>
        <w:t>of</w:t>
      </w:r>
      <w:r>
        <w:rPr>
          <w:spacing w:val="-21"/>
        </w:rPr>
        <w:t> </w:t>
      </w:r>
      <w:r>
        <w:rPr/>
        <w:t>sale</w:t>
      </w:r>
      <w:r>
        <w:rPr>
          <w:spacing w:val="-22"/>
        </w:rPr>
        <w:t> </w:t>
      </w:r>
      <w:r>
        <w:rPr>
          <w:spacing w:val="-4"/>
        </w:rPr>
        <w:t>proceeds </w:t>
      </w:r>
      <w:r>
        <w:rPr/>
        <w:t>of vehicles held under bailment</w:t>
      </w:r>
      <w:r>
        <w:rPr>
          <w:spacing w:val="-26"/>
        </w:rPr>
        <w:t> </w:t>
      </w:r>
      <w:r>
        <w:rPr/>
        <w:t>rights.</w:t>
      </w:r>
    </w:p>
    <w:p>
      <w:pPr>
        <w:pStyle w:val="BodyText"/>
        <w:spacing w:before="1"/>
        <w:rPr>
          <w:sz w:val="23"/>
        </w:rPr>
      </w:pPr>
    </w:p>
    <w:p>
      <w:pPr>
        <w:spacing w:before="0"/>
        <w:ind w:left="765" w:right="0" w:firstLine="0"/>
        <w:jc w:val="left"/>
        <w:rPr>
          <w:i/>
          <w:sz w:val="22"/>
        </w:rPr>
      </w:pPr>
      <w:r>
        <w:rPr>
          <w:i/>
          <w:sz w:val="22"/>
        </w:rPr>
        <w:t>Interest</w:t>
      </w:r>
    </w:p>
    <w:p>
      <w:pPr>
        <w:pStyle w:val="BodyText"/>
        <w:spacing w:before="11"/>
        <w:ind w:left="765"/>
      </w:pPr>
      <w:r>
        <w:rPr/>
        <w:t>Revenue is recognised as the interest accrues.</w:t>
      </w:r>
    </w:p>
    <w:p>
      <w:pPr>
        <w:pStyle w:val="BodyText"/>
        <w:spacing w:before="11"/>
        <w:rPr>
          <w:sz w:val="23"/>
        </w:rPr>
      </w:pPr>
    </w:p>
    <w:p>
      <w:pPr>
        <w:spacing w:before="0"/>
        <w:ind w:left="765" w:right="0" w:firstLine="0"/>
        <w:jc w:val="left"/>
        <w:rPr>
          <w:i/>
          <w:sz w:val="22"/>
        </w:rPr>
      </w:pPr>
      <w:r>
        <w:rPr>
          <w:i/>
          <w:sz w:val="22"/>
        </w:rPr>
        <w:t>Revenue recognition - administered</w:t>
      </w:r>
    </w:p>
    <w:p>
      <w:pPr>
        <w:pStyle w:val="BodyText"/>
        <w:spacing w:line="249" w:lineRule="auto" w:before="11"/>
        <w:ind w:left="765" w:right="-8"/>
      </w:pPr>
      <w:r>
        <w:rPr/>
        <w:t>Revenues resulting from taxation, territorial revenue, regulatory fees and fines, sale of goods and</w:t>
      </w:r>
      <w:r>
        <w:rPr>
          <w:spacing w:val="-27"/>
        </w:rPr>
        <w:t> </w:t>
      </w:r>
      <w:r>
        <w:rPr/>
        <w:t>services,</w:t>
      </w:r>
      <w:r>
        <w:rPr>
          <w:spacing w:val="-27"/>
        </w:rPr>
        <w:t> </w:t>
      </w:r>
      <w:r>
        <w:rPr/>
        <w:t>rent</w:t>
      </w:r>
      <w:r>
        <w:rPr>
          <w:spacing w:val="-27"/>
        </w:rPr>
        <w:t> </w:t>
      </w:r>
      <w:r>
        <w:rPr/>
        <w:t>and</w:t>
      </w:r>
      <w:r>
        <w:rPr>
          <w:spacing w:val="-27"/>
        </w:rPr>
        <w:t> </w:t>
      </w:r>
      <w:r>
        <w:rPr/>
        <w:t>interest</w:t>
      </w:r>
      <w:r>
        <w:rPr>
          <w:spacing w:val="-27"/>
        </w:rPr>
        <w:t> </w:t>
      </w:r>
      <w:r>
        <w:rPr/>
        <w:t>are,</w:t>
      </w:r>
      <w:r>
        <w:rPr>
          <w:spacing w:val="-26"/>
        </w:rPr>
        <w:t> </w:t>
      </w:r>
      <w:r>
        <w:rPr/>
        <w:t>where</w:t>
      </w:r>
      <w:r>
        <w:rPr>
          <w:spacing w:val="-27"/>
        </w:rPr>
        <w:t> </w:t>
      </w:r>
      <w:r>
        <w:rPr/>
        <w:t>possible, recognised when the transaction or event giving rise to the revenue occurs. In some instances </w:t>
      </w:r>
      <w:r>
        <w:rPr>
          <w:spacing w:val="-3"/>
        </w:rPr>
        <w:t>however, </w:t>
      </w:r>
      <w:r>
        <w:rPr/>
        <w:t>the revenue is not measurable until the cash is</w:t>
      </w:r>
      <w:r>
        <w:rPr>
          <w:spacing w:val="-3"/>
        </w:rPr>
        <w:t> </w:t>
      </w:r>
      <w:r>
        <w:rPr/>
        <w:t>received.</w:t>
      </w:r>
    </w:p>
    <w:p>
      <w:pPr>
        <w:pStyle w:val="BodyText"/>
        <w:spacing w:before="6"/>
        <w:rPr>
          <w:sz w:val="23"/>
        </w:rPr>
      </w:pPr>
    </w:p>
    <w:p>
      <w:pPr>
        <w:spacing w:before="0"/>
        <w:ind w:left="765" w:right="0" w:firstLine="0"/>
        <w:jc w:val="left"/>
        <w:rPr>
          <w:i/>
          <w:sz w:val="22"/>
        </w:rPr>
      </w:pPr>
      <w:r>
        <w:rPr>
          <w:i/>
          <w:sz w:val="22"/>
        </w:rPr>
        <w:t>Service appropriations</w:t>
      </w:r>
    </w:p>
    <w:p>
      <w:pPr>
        <w:pStyle w:val="BodyText"/>
        <w:spacing w:line="249" w:lineRule="auto" w:before="11"/>
        <w:ind w:left="765" w:right="23"/>
      </w:pPr>
      <w:r>
        <w:rPr/>
        <w:t>Service</w:t>
      </w:r>
      <w:r>
        <w:rPr>
          <w:spacing w:val="-35"/>
        </w:rPr>
        <w:t> </w:t>
      </w:r>
      <w:r>
        <w:rPr/>
        <w:t>appropriations</w:t>
      </w:r>
      <w:r>
        <w:rPr>
          <w:spacing w:val="-35"/>
        </w:rPr>
        <w:t> </w:t>
      </w:r>
      <w:r>
        <w:rPr/>
        <w:t>are</w:t>
      </w:r>
      <w:r>
        <w:rPr>
          <w:spacing w:val="-35"/>
        </w:rPr>
        <w:t> </w:t>
      </w:r>
      <w:r>
        <w:rPr/>
        <w:t>recognised</w:t>
      </w:r>
      <w:r>
        <w:rPr>
          <w:spacing w:val="-35"/>
        </w:rPr>
        <w:t> </w:t>
      </w:r>
      <w:r>
        <w:rPr/>
        <w:t>as</w:t>
      </w:r>
      <w:r>
        <w:rPr>
          <w:spacing w:val="-35"/>
        </w:rPr>
        <w:t> </w:t>
      </w:r>
      <w:r>
        <w:rPr>
          <w:spacing w:val="-4"/>
        </w:rPr>
        <w:t>revenues </w:t>
      </w:r>
      <w:r>
        <w:rPr/>
        <w:t>at</w:t>
      </w:r>
      <w:r>
        <w:rPr>
          <w:spacing w:val="-16"/>
        </w:rPr>
        <w:t> </w:t>
      </w:r>
      <w:r>
        <w:rPr/>
        <w:t>fair</w:t>
      </w:r>
      <w:r>
        <w:rPr>
          <w:spacing w:val="-15"/>
        </w:rPr>
        <w:t> </w:t>
      </w:r>
      <w:r>
        <w:rPr/>
        <w:t>value</w:t>
      </w:r>
      <w:r>
        <w:rPr>
          <w:spacing w:val="-15"/>
        </w:rPr>
        <w:t> </w:t>
      </w:r>
      <w:r>
        <w:rPr/>
        <w:t>in</w:t>
      </w:r>
      <w:r>
        <w:rPr>
          <w:spacing w:val="-15"/>
        </w:rPr>
        <w:t> </w:t>
      </w:r>
      <w:r>
        <w:rPr/>
        <w:t>the</w:t>
      </w:r>
      <w:r>
        <w:rPr>
          <w:spacing w:val="-15"/>
        </w:rPr>
        <w:t> </w:t>
      </w:r>
      <w:r>
        <w:rPr/>
        <w:t>period</w:t>
      </w:r>
      <w:r>
        <w:rPr>
          <w:spacing w:val="-15"/>
        </w:rPr>
        <w:t> </w:t>
      </w:r>
      <w:r>
        <w:rPr/>
        <w:t>in</w:t>
      </w:r>
      <w:r>
        <w:rPr>
          <w:spacing w:val="-16"/>
        </w:rPr>
        <w:t> </w:t>
      </w:r>
      <w:r>
        <w:rPr/>
        <w:t>which</w:t>
      </w:r>
      <w:r>
        <w:rPr>
          <w:spacing w:val="-15"/>
        </w:rPr>
        <w:t> </w:t>
      </w:r>
      <w:r>
        <w:rPr/>
        <w:t>the</w:t>
      </w:r>
      <w:r>
        <w:rPr>
          <w:spacing w:val="-15"/>
        </w:rPr>
        <w:t> </w:t>
      </w:r>
      <w:r>
        <w:rPr/>
        <w:t>Department gains control of the appropriated</w:t>
      </w:r>
      <w:r>
        <w:rPr>
          <w:spacing w:val="-20"/>
        </w:rPr>
        <w:t> </w:t>
      </w:r>
      <w:r>
        <w:rPr/>
        <w:t>funds.</w:t>
      </w:r>
    </w:p>
    <w:p>
      <w:pPr>
        <w:pStyle w:val="BodyText"/>
        <w:spacing w:line="249" w:lineRule="auto" w:before="2"/>
        <w:ind w:left="765" w:right="52"/>
      </w:pPr>
      <w:r>
        <w:rPr/>
        <w:t>The Department gains control of appropriated funds at the time those funds are deposited to the </w:t>
      </w:r>
      <w:r>
        <w:rPr>
          <w:spacing w:val="-3"/>
        </w:rPr>
        <w:t>Department’s </w:t>
      </w:r>
      <w:r>
        <w:rPr/>
        <w:t>bank account or credited to </w:t>
      </w:r>
      <w:r>
        <w:rPr>
          <w:spacing w:val="-6"/>
        </w:rPr>
        <w:t>the</w:t>
      </w:r>
    </w:p>
    <w:p>
      <w:pPr>
        <w:pStyle w:val="BodyText"/>
        <w:spacing w:line="249" w:lineRule="auto" w:before="3"/>
        <w:ind w:left="765" w:right="-9"/>
      </w:pPr>
      <w:r>
        <w:rPr/>
        <w:t>‘Amounts</w:t>
      </w:r>
      <w:r>
        <w:rPr>
          <w:spacing w:val="-30"/>
        </w:rPr>
        <w:t> </w:t>
      </w:r>
      <w:r>
        <w:rPr/>
        <w:t>receivable</w:t>
      </w:r>
      <w:r>
        <w:rPr>
          <w:spacing w:val="-30"/>
        </w:rPr>
        <w:t> </w:t>
      </w:r>
      <w:r>
        <w:rPr/>
        <w:t>for</w:t>
      </w:r>
      <w:r>
        <w:rPr>
          <w:spacing w:val="-30"/>
        </w:rPr>
        <w:t> </w:t>
      </w:r>
      <w:r>
        <w:rPr/>
        <w:t>services’</w:t>
      </w:r>
      <w:r>
        <w:rPr>
          <w:spacing w:val="-30"/>
        </w:rPr>
        <w:t> </w:t>
      </w:r>
      <w:r>
        <w:rPr/>
        <w:t>(holding</w:t>
      </w:r>
      <w:r>
        <w:rPr>
          <w:spacing w:val="-30"/>
        </w:rPr>
        <w:t> </w:t>
      </w:r>
      <w:r>
        <w:rPr>
          <w:spacing w:val="-3"/>
        </w:rPr>
        <w:t>account) </w:t>
      </w:r>
      <w:r>
        <w:rPr/>
        <w:t>held at</w:t>
      </w:r>
      <w:r>
        <w:rPr>
          <w:spacing w:val="-3"/>
        </w:rPr>
        <w:t> </w:t>
      </w:r>
      <w:r>
        <w:rPr>
          <w:spacing w:val="-6"/>
        </w:rPr>
        <w:t>Treasury.</w:t>
      </w:r>
    </w:p>
    <w:p>
      <w:pPr>
        <w:pStyle w:val="BodyText"/>
        <w:spacing w:before="1"/>
        <w:rPr>
          <w:sz w:val="23"/>
        </w:rPr>
      </w:pPr>
    </w:p>
    <w:p>
      <w:pPr>
        <w:spacing w:before="0"/>
        <w:ind w:left="765" w:right="0" w:firstLine="0"/>
        <w:jc w:val="left"/>
        <w:rPr>
          <w:i/>
          <w:sz w:val="22"/>
        </w:rPr>
      </w:pPr>
      <w:r>
        <w:rPr>
          <w:i/>
          <w:sz w:val="22"/>
        </w:rPr>
        <w:t>Net appropriation determination</w:t>
      </w:r>
    </w:p>
    <w:p>
      <w:pPr>
        <w:pStyle w:val="BodyText"/>
        <w:spacing w:line="249" w:lineRule="auto" w:before="11"/>
        <w:ind w:left="765" w:right="9"/>
      </w:pPr>
      <w:r>
        <w:rPr/>
        <w:t>The</w:t>
      </w:r>
      <w:r>
        <w:rPr>
          <w:spacing w:val="-28"/>
        </w:rPr>
        <w:t> </w:t>
      </w:r>
      <w:r>
        <w:rPr>
          <w:spacing w:val="-4"/>
        </w:rPr>
        <w:t>Treasurer</w:t>
      </w:r>
      <w:r>
        <w:rPr>
          <w:spacing w:val="-28"/>
        </w:rPr>
        <w:t> </w:t>
      </w:r>
      <w:r>
        <w:rPr/>
        <w:t>may</w:t>
      </w:r>
      <w:r>
        <w:rPr>
          <w:spacing w:val="-27"/>
        </w:rPr>
        <w:t> </w:t>
      </w:r>
      <w:r>
        <w:rPr/>
        <w:t>make</w:t>
      </w:r>
      <w:r>
        <w:rPr>
          <w:spacing w:val="-28"/>
        </w:rPr>
        <w:t> </w:t>
      </w:r>
      <w:r>
        <w:rPr/>
        <w:t>a</w:t>
      </w:r>
      <w:r>
        <w:rPr>
          <w:spacing w:val="-27"/>
        </w:rPr>
        <w:t> </w:t>
      </w:r>
      <w:r>
        <w:rPr/>
        <w:t>determination</w:t>
      </w:r>
      <w:r>
        <w:rPr>
          <w:spacing w:val="-28"/>
        </w:rPr>
        <w:t> </w:t>
      </w:r>
      <w:r>
        <w:rPr>
          <w:spacing w:val="-3"/>
        </w:rPr>
        <w:t>providing </w:t>
      </w:r>
      <w:r>
        <w:rPr/>
        <w:t>for prescribed receipts to be retained for services under the control of the</w:t>
      </w:r>
      <w:r>
        <w:rPr>
          <w:spacing w:val="-15"/>
        </w:rPr>
        <w:t> </w:t>
      </w:r>
      <w:r>
        <w:rPr/>
        <w:t>Department.</w:t>
      </w:r>
    </w:p>
    <w:p>
      <w:pPr>
        <w:pStyle w:val="BodyText"/>
        <w:spacing w:before="5"/>
        <w:rPr>
          <w:sz w:val="23"/>
        </w:rPr>
      </w:pPr>
      <w:r>
        <w:rPr/>
        <w:br w:type="column"/>
      </w:r>
      <w:r>
        <w:rPr>
          <w:sz w:val="23"/>
        </w:rPr>
      </w:r>
    </w:p>
    <w:p>
      <w:pPr>
        <w:pStyle w:val="BodyText"/>
        <w:spacing w:line="249" w:lineRule="auto"/>
        <w:ind w:left="403" w:right="49"/>
      </w:pPr>
      <w:r>
        <w:rPr/>
        <w:t>In</w:t>
      </w:r>
      <w:r>
        <w:rPr>
          <w:spacing w:val="-21"/>
        </w:rPr>
        <w:t> </w:t>
      </w:r>
      <w:r>
        <w:rPr/>
        <w:t>accordance</w:t>
      </w:r>
      <w:r>
        <w:rPr>
          <w:spacing w:val="-20"/>
        </w:rPr>
        <w:t> </w:t>
      </w:r>
      <w:r>
        <w:rPr/>
        <w:t>with</w:t>
      </w:r>
      <w:r>
        <w:rPr>
          <w:spacing w:val="-20"/>
        </w:rPr>
        <w:t> </w:t>
      </w:r>
      <w:r>
        <w:rPr/>
        <w:t>the</w:t>
      </w:r>
      <w:r>
        <w:rPr>
          <w:spacing w:val="-21"/>
        </w:rPr>
        <w:t> </w:t>
      </w:r>
      <w:r>
        <w:rPr/>
        <w:t>most</w:t>
      </w:r>
      <w:r>
        <w:rPr>
          <w:spacing w:val="-20"/>
        </w:rPr>
        <w:t> </w:t>
      </w:r>
      <w:r>
        <w:rPr/>
        <w:t>recent</w:t>
      </w:r>
      <w:r>
        <w:rPr>
          <w:spacing w:val="-20"/>
        </w:rPr>
        <w:t> </w:t>
      </w:r>
      <w:r>
        <w:rPr/>
        <w:t>determination, as quantified in the 2017-18 Budget Statements, the Department retained $1,193 million in 2018 ($1,073</w:t>
      </w:r>
      <w:r>
        <w:rPr>
          <w:spacing w:val="-8"/>
        </w:rPr>
        <w:t> </w:t>
      </w:r>
      <w:r>
        <w:rPr/>
        <w:t>million</w:t>
      </w:r>
      <w:r>
        <w:rPr>
          <w:spacing w:val="-8"/>
        </w:rPr>
        <w:t> </w:t>
      </w:r>
      <w:r>
        <w:rPr/>
        <w:t>in</w:t>
      </w:r>
      <w:r>
        <w:rPr>
          <w:spacing w:val="-7"/>
        </w:rPr>
        <w:t> </w:t>
      </w:r>
      <w:r>
        <w:rPr/>
        <w:t>2017)</w:t>
      </w:r>
      <w:r>
        <w:rPr>
          <w:spacing w:val="-8"/>
        </w:rPr>
        <w:t> </w:t>
      </w:r>
      <w:r>
        <w:rPr/>
        <w:t>from</w:t>
      </w:r>
      <w:r>
        <w:rPr>
          <w:spacing w:val="-7"/>
        </w:rPr>
        <w:t> </w:t>
      </w:r>
      <w:r>
        <w:rPr/>
        <w:t>the</w:t>
      </w:r>
      <w:r>
        <w:rPr>
          <w:spacing w:val="-8"/>
        </w:rPr>
        <w:t> </w:t>
      </w:r>
      <w:r>
        <w:rPr/>
        <w:t>following:</w:t>
      </w:r>
    </w:p>
    <w:p>
      <w:pPr>
        <w:pStyle w:val="BodyText"/>
        <w:spacing w:line="249" w:lineRule="auto" w:before="117"/>
        <w:ind w:left="709" w:right="1370" w:hanging="306"/>
      </w:pPr>
      <w:r>
        <w:rPr/>
        <w:pict>
          <v:group style="position:absolute;margin-left:300.472504pt;margin-top:21.408072pt;width:9.950pt;height:22.85pt;mso-position-horizontal-relative:page;mso-position-vertical-relative:paragraph;z-index:-699688" coordorigin="6009,428" coordsize="199,457">
            <v:shape style="position:absolute;left:6009;top:428;width:199;height:199" type="#_x0000_t75" stroked="false">
              <v:imagedata r:id="rId90" o:title=""/>
            </v:shape>
            <v:shape style="position:absolute;left:6009;top:686;width:199;height:199" type="#_x0000_t75" stroked="false">
              <v:imagedata r:id="rId143" o:title=""/>
            </v:shape>
            <w10:wrap type="none"/>
          </v:group>
        </w:pict>
      </w:r>
      <w:r>
        <w:rPr>
          <w:position w:val="-2"/>
        </w:rPr>
        <w:drawing>
          <wp:inline distT="0" distB="0" distL="0" distR="0">
            <wp:extent cx="125999" cy="125997"/>
            <wp:effectExtent l="0" t="0" r="0" b="0"/>
            <wp:docPr id="55" name="image91.png" descr=""/>
            <wp:cNvGraphicFramePr>
              <a:graphicFrameLocks noChangeAspect="1"/>
            </wp:cNvGraphicFramePr>
            <a:graphic>
              <a:graphicData uri="http://schemas.openxmlformats.org/drawingml/2006/picture">
                <pic:pic>
                  <pic:nvPicPr>
                    <pic:cNvPr id="56" name="image91.png"/>
                    <pic:cNvPicPr/>
                  </pic:nvPicPr>
                  <pic:blipFill>
                    <a:blip r:embed="rId144" cstate="print"/>
                    <a:stretch>
                      <a:fillRect/>
                    </a:stretch>
                  </pic:blipFill>
                  <pic:spPr>
                    <a:xfrm>
                      <a:off x="0" y="0"/>
                      <a:ext cx="125999" cy="125997"/>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proceeds</w:t>
      </w:r>
      <w:r>
        <w:rPr>
          <w:spacing w:val="-19"/>
        </w:rPr>
        <w:t> </w:t>
      </w:r>
      <w:r>
        <w:rPr/>
        <w:t>from</w:t>
      </w:r>
      <w:r>
        <w:rPr>
          <w:spacing w:val="-18"/>
        </w:rPr>
        <w:t> </w:t>
      </w:r>
      <w:r>
        <w:rPr/>
        <w:t>fees</w:t>
      </w:r>
      <w:r>
        <w:rPr>
          <w:spacing w:val="-18"/>
        </w:rPr>
        <w:t> </w:t>
      </w:r>
      <w:r>
        <w:rPr/>
        <w:t>and</w:t>
      </w:r>
      <w:r>
        <w:rPr>
          <w:spacing w:val="-19"/>
        </w:rPr>
        <w:t> </w:t>
      </w:r>
      <w:r>
        <w:rPr>
          <w:spacing w:val="-3"/>
        </w:rPr>
        <w:t>charges; </w:t>
      </w:r>
      <w:r>
        <w:rPr/>
        <w:t>sale of</w:t>
      </w:r>
      <w:r>
        <w:rPr>
          <w:spacing w:val="-3"/>
        </w:rPr>
        <w:t> </w:t>
      </w:r>
      <w:r>
        <w:rPr/>
        <w:t>goods;</w:t>
      </w:r>
    </w:p>
    <w:p>
      <w:pPr>
        <w:pStyle w:val="BodyText"/>
        <w:spacing w:line="249" w:lineRule="auto" w:before="2"/>
        <w:ind w:left="709" w:right="226"/>
      </w:pPr>
      <w:r>
        <w:rPr/>
        <w:t>Commonwealth specific purpose grants </w:t>
      </w:r>
      <w:r>
        <w:rPr>
          <w:spacing w:val="-6"/>
        </w:rPr>
        <w:t>and </w:t>
      </w:r>
      <w:r>
        <w:rPr/>
        <w:t>contributions;</w:t>
      </w:r>
    </w:p>
    <w:p>
      <w:pPr>
        <w:pStyle w:val="BodyText"/>
        <w:spacing w:before="1"/>
        <w:ind w:left="403"/>
      </w:pPr>
      <w:r>
        <w:rPr>
          <w:position w:val="-3"/>
        </w:rPr>
        <w:drawing>
          <wp:inline distT="0" distB="0" distL="0" distR="0">
            <wp:extent cx="125999" cy="125999"/>
            <wp:effectExtent l="0" t="0" r="0" b="0"/>
            <wp:docPr id="57" name="image62.png" descr=""/>
            <wp:cNvGraphicFramePr>
              <a:graphicFrameLocks noChangeAspect="1"/>
            </wp:cNvGraphicFramePr>
            <a:graphic>
              <a:graphicData uri="http://schemas.openxmlformats.org/drawingml/2006/picture">
                <pic:pic>
                  <pic:nvPicPr>
                    <pic:cNvPr id="58" name="image62.png"/>
                    <pic:cNvPicPr/>
                  </pic:nvPicPr>
                  <pic:blipFill>
                    <a:blip r:embed="rId90" cstate="print"/>
                    <a:stretch>
                      <a:fillRect/>
                    </a:stretch>
                  </pic:blipFill>
                  <pic:spPr>
                    <a:xfrm>
                      <a:off x="0" y="0"/>
                      <a:ext cx="125999" cy="125999"/>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t>rental revenue recognised in</w:t>
      </w:r>
      <w:r>
        <w:rPr>
          <w:spacing w:val="-39"/>
        </w:rPr>
        <w:t> </w:t>
      </w:r>
      <w:r>
        <w:rPr/>
        <w:t>accordance</w:t>
      </w:r>
    </w:p>
    <w:p>
      <w:pPr>
        <w:pStyle w:val="BodyText"/>
        <w:spacing w:line="249" w:lineRule="auto" w:before="11"/>
        <w:ind w:left="709" w:right="190"/>
      </w:pPr>
      <w:r>
        <w:rPr/>
        <w:t>with</w:t>
      </w:r>
      <w:r>
        <w:rPr>
          <w:spacing w:val="-23"/>
        </w:rPr>
        <w:t> </w:t>
      </w:r>
      <w:r>
        <w:rPr/>
        <w:t>lease</w:t>
      </w:r>
      <w:r>
        <w:rPr>
          <w:spacing w:val="-22"/>
        </w:rPr>
        <w:t> </w:t>
      </w:r>
      <w:r>
        <w:rPr/>
        <w:t>agreements</w:t>
      </w:r>
      <w:r>
        <w:rPr>
          <w:spacing w:val="-22"/>
        </w:rPr>
        <w:t> </w:t>
      </w:r>
      <w:r>
        <w:rPr/>
        <w:t>entered</w:t>
      </w:r>
      <w:r>
        <w:rPr>
          <w:spacing w:val="-23"/>
        </w:rPr>
        <w:t> </w:t>
      </w:r>
      <w:r>
        <w:rPr/>
        <w:t>into</w:t>
      </w:r>
      <w:r>
        <w:rPr>
          <w:spacing w:val="-22"/>
        </w:rPr>
        <w:t> </w:t>
      </w:r>
      <w:r>
        <w:rPr/>
        <w:t>with</w:t>
      </w:r>
      <w:r>
        <w:rPr>
          <w:spacing w:val="-22"/>
        </w:rPr>
        <w:t> </w:t>
      </w:r>
      <w:r>
        <w:rPr>
          <w:spacing w:val="-4"/>
        </w:rPr>
        <w:t>State </w:t>
      </w:r>
      <w:r>
        <w:rPr/>
        <w:t>Government agencies, statutory authorities and other State Government entities and vehicle</w:t>
      </w:r>
      <w:r>
        <w:rPr>
          <w:spacing w:val="-30"/>
        </w:rPr>
        <w:t> </w:t>
      </w:r>
      <w:r>
        <w:rPr/>
        <w:t>bailment</w:t>
      </w:r>
      <w:r>
        <w:rPr>
          <w:spacing w:val="-30"/>
        </w:rPr>
        <w:t> </w:t>
      </w:r>
      <w:r>
        <w:rPr/>
        <w:t>revenue</w:t>
      </w:r>
      <w:r>
        <w:rPr>
          <w:spacing w:val="-30"/>
        </w:rPr>
        <w:t> </w:t>
      </w:r>
      <w:r>
        <w:rPr/>
        <w:t>held</w:t>
      </w:r>
      <w:r>
        <w:rPr>
          <w:spacing w:val="-30"/>
        </w:rPr>
        <w:t> </w:t>
      </w:r>
      <w:r>
        <w:rPr/>
        <w:t>under</w:t>
      </w:r>
      <w:r>
        <w:rPr>
          <w:spacing w:val="-30"/>
        </w:rPr>
        <w:t> </w:t>
      </w:r>
      <w:r>
        <w:rPr/>
        <w:t>bailment rights;</w:t>
      </w:r>
    </w:p>
    <w:p>
      <w:pPr>
        <w:pStyle w:val="BodyText"/>
        <w:spacing w:line="244" w:lineRule="auto" w:before="5"/>
        <w:ind w:left="709" w:right="-7" w:hanging="306"/>
      </w:pPr>
      <w:r>
        <w:rPr>
          <w:position w:val="-5"/>
        </w:rPr>
        <w:drawing>
          <wp:inline distT="0" distB="0" distL="0" distR="0">
            <wp:extent cx="125999" cy="125999"/>
            <wp:effectExtent l="0" t="0" r="0" b="0"/>
            <wp:docPr id="59" name="image90.png" descr=""/>
            <wp:cNvGraphicFramePr>
              <a:graphicFrameLocks noChangeAspect="1"/>
            </wp:cNvGraphicFramePr>
            <a:graphic>
              <a:graphicData uri="http://schemas.openxmlformats.org/drawingml/2006/picture">
                <pic:pic>
                  <pic:nvPicPr>
                    <pic:cNvPr id="60" name="image90.png"/>
                    <pic:cNvPicPr/>
                  </pic:nvPicPr>
                  <pic:blipFill>
                    <a:blip r:embed="rId143" cstate="print"/>
                    <a:stretch>
                      <a:fillRect/>
                    </a:stretch>
                  </pic:blipFill>
                  <pic:spPr>
                    <a:xfrm>
                      <a:off x="0" y="0"/>
                      <a:ext cx="125999" cy="125999"/>
                    </a:xfrm>
                    <a:prstGeom prst="rect">
                      <a:avLst/>
                    </a:prstGeom>
                  </pic:spPr>
                </pic:pic>
              </a:graphicData>
            </a:graphic>
          </wp:inline>
        </w:drawing>
      </w:r>
      <w:r>
        <w:rPr>
          <w:position w:val="-5"/>
        </w:rPr>
      </w:r>
      <w:r>
        <w:rPr>
          <w:rFonts w:ascii="Times New Roman"/>
          <w:sz w:val="20"/>
        </w:rPr>
        <w:t> </w:t>
      </w:r>
      <w:r>
        <w:rPr>
          <w:rFonts w:ascii="Times New Roman"/>
          <w:spacing w:val="7"/>
          <w:sz w:val="20"/>
        </w:rPr>
        <w:t> </w:t>
      </w:r>
      <w:r>
        <w:rPr/>
        <w:t>provision</w:t>
      </w:r>
      <w:r>
        <w:rPr>
          <w:spacing w:val="-22"/>
        </w:rPr>
        <w:t> </w:t>
      </w:r>
      <w:r>
        <w:rPr/>
        <w:t>of</w:t>
      </w:r>
      <w:r>
        <w:rPr>
          <w:spacing w:val="-21"/>
        </w:rPr>
        <w:t> </w:t>
      </w:r>
      <w:r>
        <w:rPr/>
        <w:t>contract</w:t>
      </w:r>
      <w:r>
        <w:rPr>
          <w:spacing w:val="-21"/>
        </w:rPr>
        <w:t> </w:t>
      </w:r>
      <w:r>
        <w:rPr/>
        <w:t>services</w:t>
      </w:r>
      <w:r>
        <w:rPr>
          <w:spacing w:val="-21"/>
        </w:rPr>
        <w:t> </w:t>
      </w:r>
      <w:r>
        <w:rPr/>
        <w:t>and</w:t>
      </w:r>
      <w:r>
        <w:rPr>
          <w:spacing w:val="-22"/>
        </w:rPr>
        <w:t> </w:t>
      </w:r>
      <w:r>
        <w:rPr/>
        <w:t>rental</w:t>
      </w:r>
      <w:r>
        <w:rPr>
          <w:spacing w:val="-21"/>
        </w:rPr>
        <w:t> </w:t>
      </w:r>
      <w:r>
        <w:rPr>
          <w:spacing w:val="-4"/>
        </w:rPr>
        <w:t>income </w:t>
      </w:r>
      <w:r>
        <w:rPr/>
        <w:t>sufficient to cover outgoings paid for government owned buildings;</w:t>
      </w:r>
      <w:r>
        <w:rPr>
          <w:spacing w:val="-9"/>
        </w:rPr>
        <w:t> </w:t>
      </w:r>
      <w:r>
        <w:rPr/>
        <w:t>and</w:t>
      </w:r>
    </w:p>
    <w:p>
      <w:pPr>
        <w:pStyle w:val="BodyText"/>
        <w:spacing w:before="6"/>
        <w:ind w:left="403"/>
      </w:pPr>
      <w:r>
        <w:rPr>
          <w:position w:val="-3"/>
        </w:rPr>
        <w:drawing>
          <wp:inline distT="0" distB="0" distL="0" distR="0">
            <wp:extent cx="125999" cy="125997"/>
            <wp:effectExtent l="0" t="0" r="0" b="0"/>
            <wp:docPr id="61" name="image90.png" descr=""/>
            <wp:cNvGraphicFramePr>
              <a:graphicFrameLocks noChangeAspect="1"/>
            </wp:cNvGraphicFramePr>
            <a:graphic>
              <a:graphicData uri="http://schemas.openxmlformats.org/drawingml/2006/picture">
                <pic:pic>
                  <pic:nvPicPr>
                    <pic:cNvPr id="62" name="image90.png"/>
                    <pic:cNvPicPr/>
                  </pic:nvPicPr>
                  <pic:blipFill>
                    <a:blip r:embed="rId143" cstate="print"/>
                    <a:stretch>
                      <a:fillRect/>
                    </a:stretch>
                  </pic:blipFill>
                  <pic:spPr>
                    <a:xfrm>
                      <a:off x="0" y="0"/>
                      <a:ext cx="125999" cy="125997"/>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t>other departmental</w:t>
      </w:r>
      <w:r>
        <w:rPr>
          <w:spacing w:val="-6"/>
        </w:rPr>
        <w:t> </w:t>
      </w:r>
      <w:r>
        <w:rPr/>
        <w:t>revenue.</w:t>
      </w:r>
    </w:p>
    <w:p>
      <w:pPr>
        <w:pStyle w:val="BodyText"/>
        <w:spacing w:before="10"/>
        <w:rPr>
          <w:sz w:val="23"/>
        </w:rPr>
      </w:pPr>
    </w:p>
    <w:p>
      <w:pPr>
        <w:spacing w:line="249" w:lineRule="auto" w:before="0"/>
        <w:ind w:left="403" w:right="202" w:firstLine="0"/>
        <w:jc w:val="left"/>
        <w:rPr>
          <w:i/>
          <w:sz w:val="22"/>
        </w:rPr>
      </w:pPr>
      <w:r>
        <w:rPr>
          <w:i/>
          <w:sz w:val="22"/>
        </w:rPr>
        <w:t>Grants,</w:t>
      </w:r>
      <w:r>
        <w:rPr>
          <w:i/>
          <w:spacing w:val="-24"/>
          <w:sz w:val="22"/>
        </w:rPr>
        <w:t> </w:t>
      </w:r>
      <w:r>
        <w:rPr>
          <w:i/>
          <w:sz w:val="22"/>
        </w:rPr>
        <w:t>donations,</w:t>
      </w:r>
      <w:r>
        <w:rPr>
          <w:i/>
          <w:spacing w:val="-23"/>
          <w:sz w:val="22"/>
        </w:rPr>
        <w:t> </w:t>
      </w:r>
      <w:r>
        <w:rPr>
          <w:i/>
          <w:sz w:val="22"/>
        </w:rPr>
        <w:t>gifts</w:t>
      </w:r>
      <w:r>
        <w:rPr>
          <w:i/>
          <w:spacing w:val="-24"/>
          <w:sz w:val="22"/>
        </w:rPr>
        <w:t> </w:t>
      </w:r>
      <w:r>
        <w:rPr>
          <w:i/>
          <w:sz w:val="22"/>
        </w:rPr>
        <w:t>and</w:t>
      </w:r>
      <w:r>
        <w:rPr>
          <w:i/>
          <w:spacing w:val="-23"/>
          <w:sz w:val="22"/>
        </w:rPr>
        <w:t> </w:t>
      </w:r>
      <w:r>
        <w:rPr>
          <w:i/>
          <w:sz w:val="22"/>
        </w:rPr>
        <w:t>other</w:t>
      </w:r>
      <w:r>
        <w:rPr>
          <w:i/>
          <w:spacing w:val="-23"/>
          <w:sz w:val="22"/>
        </w:rPr>
        <w:t> </w:t>
      </w:r>
      <w:r>
        <w:rPr>
          <w:i/>
          <w:sz w:val="22"/>
        </w:rPr>
        <w:t>non-reciprocal </w:t>
      </w:r>
      <w:r>
        <w:rPr>
          <w:i/>
          <w:sz w:val="22"/>
        </w:rPr>
        <w:t>contributions</w:t>
      </w:r>
    </w:p>
    <w:p>
      <w:pPr>
        <w:pStyle w:val="BodyText"/>
        <w:spacing w:line="249" w:lineRule="auto" w:before="2"/>
        <w:ind w:left="403" w:right="265"/>
      </w:pPr>
      <w:r>
        <w:rPr/>
        <w:t>Revenue is recognised at fair value when the Department obtains control over the assets comprising</w:t>
      </w:r>
      <w:r>
        <w:rPr>
          <w:spacing w:val="-23"/>
        </w:rPr>
        <w:t> </w:t>
      </w:r>
      <w:r>
        <w:rPr/>
        <w:t>the</w:t>
      </w:r>
      <w:r>
        <w:rPr>
          <w:spacing w:val="-22"/>
        </w:rPr>
        <w:t> </w:t>
      </w:r>
      <w:r>
        <w:rPr/>
        <w:t>contributions,</w:t>
      </w:r>
      <w:r>
        <w:rPr>
          <w:spacing w:val="-22"/>
        </w:rPr>
        <w:t> </w:t>
      </w:r>
      <w:r>
        <w:rPr/>
        <w:t>usually</w:t>
      </w:r>
      <w:r>
        <w:rPr>
          <w:spacing w:val="-22"/>
        </w:rPr>
        <w:t> </w:t>
      </w:r>
      <w:r>
        <w:rPr/>
        <w:t>when</w:t>
      </w:r>
      <w:r>
        <w:rPr>
          <w:spacing w:val="-22"/>
        </w:rPr>
        <w:t> </w:t>
      </w:r>
      <w:r>
        <w:rPr>
          <w:spacing w:val="-5"/>
        </w:rPr>
        <w:t>cash </w:t>
      </w:r>
      <w:r>
        <w:rPr/>
        <w:t>is</w:t>
      </w:r>
      <w:r>
        <w:rPr>
          <w:spacing w:val="-1"/>
        </w:rPr>
        <w:t> </w:t>
      </w:r>
      <w:r>
        <w:rPr/>
        <w:t>received.</w:t>
      </w:r>
    </w:p>
    <w:p>
      <w:pPr>
        <w:pStyle w:val="BodyText"/>
        <w:spacing w:line="249" w:lineRule="auto" w:before="231"/>
        <w:ind w:left="403" w:right="367"/>
      </w:pPr>
      <w:r>
        <w:rPr/>
        <w:t>Other</w:t>
      </w:r>
      <w:r>
        <w:rPr>
          <w:spacing w:val="-18"/>
        </w:rPr>
        <w:t> </w:t>
      </w:r>
      <w:r>
        <w:rPr/>
        <w:t>non-reciprocal</w:t>
      </w:r>
      <w:r>
        <w:rPr>
          <w:spacing w:val="-18"/>
        </w:rPr>
        <w:t> </w:t>
      </w:r>
      <w:r>
        <w:rPr/>
        <w:t>contributions</w:t>
      </w:r>
      <w:r>
        <w:rPr>
          <w:spacing w:val="-18"/>
        </w:rPr>
        <w:t> </w:t>
      </w:r>
      <w:r>
        <w:rPr/>
        <w:t>that</w:t>
      </w:r>
      <w:r>
        <w:rPr>
          <w:spacing w:val="-18"/>
        </w:rPr>
        <w:t> </w:t>
      </w:r>
      <w:r>
        <w:rPr/>
        <w:t>are</w:t>
      </w:r>
      <w:r>
        <w:rPr>
          <w:spacing w:val="-18"/>
        </w:rPr>
        <w:t> </w:t>
      </w:r>
      <w:r>
        <w:rPr/>
        <w:t>not contributions</w:t>
      </w:r>
      <w:r>
        <w:rPr>
          <w:spacing w:val="-20"/>
        </w:rPr>
        <w:t> </w:t>
      </w:r>
      <w:r>
        <w:rPr/>
        <w:t>by</w:t>
      </w:r>
      <w:r>
        <w:rPr>
          <w:spacing w:val="-19"/>
        </w:rPr>
        <w:t> </w:t>
      </w:r>
      <w:r>
        <w:rPr/>
        <w:t>owners</w:t>
      </w:r>
      <w:r>
        <w:rPr>
          <w:spacing w:val="-19"/>
        </w:rPr>
        <w:t> </w:t>
      </w:r>
      <w:r>
        <w:rPr/>
        <w:t>are</w:t>
      </w:r>
      <w:r>
        <w:rPr>
          <w:spacing w:val="-19"/>
        </w:rPr>
        <w:t> </w:t>
      </w:r>
      <w:r>
        <w:rPr/>
        <w:t>recognised</w:t>
      </w:r>
      <w:r>
        <w:rPr>
          <w:spacing w:val="-19"/>
        </w:rPr>
        <w:t> </w:t>
      </w:r>
      <w:r>
        <w:rPr/>
        <w:t>at</w:t>
      </w:r>
      <w:r>
        <w:rPr>
          <w:spacing w:val="-19"/>
        </w:rPr>
        <w:t> </w:t>
      </w:r>
      <w:r>
        <w:rPr>
          <w:spacing w:val="-4"/>
        </w:rPr>
        <w:t>their </w:t>
      </w:r>
      <w:r>
        <w:rPr/>
        <w:t>fair value. Contributions of services are only recognised</w:t>
      </w:r>
      <w:r>
        <w:rPr>
          <w:spacing w:val="-15"/>
        </w:rPr>
        <w:t> </w:t>
      </w:r>
      <w:r>
        <w:rPr/>
        <w:t>when</w:t>
      </w:r>
      <w:r>
        <w:rPr>
          <w:spacing w:val="-14"/>
        </w:rPr>
        <w:t> </w:t>
      </w:r>
      <w:r>
        <w:rPr/>
        <w:t>a</w:t>
      </w:r>
      <w:r>
        <w:rPr>
          <w:spacing w:val="-14"/>
        </w:rPr>
        <w:t> </w:t>
      </w:r>
      <w:r>
        <w:rPr/>
        <w:t>fair</w:t>
      </w:r>
      <w:r>
        <w:rPr>
          <w:spacing w:val="-15"/>
        </w:rPr>
        <w:t> </w:t>
      </w:r>
      <w:r>
        <w:rPr/>
        <w:t>value</w:t>
      </w:r>
      <w:r>
        <w:rPr>
          <w:spacing w:val="-14"/>
        </w:rPr>
        <w:t> </w:t>
      </w:r>
      <w:r>
        <w:rPr/>
        <w:t>can</w:t>
      </w:r>
      <w:r>
        <w:rPr>
          <w:spacing w:val="-14"/>
        </w:rPr>
        <w:t> </w:t>
      </w:r>
      <w:r>
        <w:rPr/>
        <w:t>be</w:t>
      </w:r>
      <w:r>
        <w:rPr>
          <w:spacing w:val="-15"/>
        </w:rPr>
        <w:t> </w:t>
      </w:r>
      <w:r>
        <w:rPr/>
        <w:t>reliably</w:t>
      </w:r>
    </w:p>
    <w:p>
      <w:pPr>
        <w:pStyle w:val="BodyText"/>
        <w:spacing w:before="5"/>
        <w:rPr>
          <w:sz w:val="23"/>
        </w:rPr>
      </w:pPr>
      <w:r>
        <w:rPr/>
        <w:br w:type="column"/>
      </w:r>
      <w:r>
        <w:rPr>
          <w:sz w:val="23"/>
        </w:rPr>
      </w:r>
    </w:p>
    <w:p>
      <w:pPr>
        <w:pStyle w:val="BodyText"/>
        <w:spacing w:line="249" w:lineRule="auto"/>
        <w:ind w:left="391" w:right="903"/>
      </w:pPr>
      <w:r>
        <w:rPr/>
        <w:t>determined</w:t>
      </w:r>
      <w:r>
        <w:rPr>
          <w:spacing w:val="-18"/>
        </w:rPr>
        <w:t> </w:t>
      </w:r>
      <w:r>
        <w:rPr/>
        <w:t>and</w:t>
      </w:r>
      <w:r>
        <w:rPr>
          <w:spacing w:val="-17"/>
        </w:rPr>
        <w:t> </w:t>
      </w:r>
      <w:r>
        <w:rPr/>
        <w:t>the</w:t>
      </w:r>
      <w:r>
        <w:rPr>
          <w:spacing w:val="-18"/>
        </w:rPr>
        <w:t> </w:t>
      </w:r>
      <w:r>
        <w:rPr/>
        <w:t>services</w:t>
      </w:r>
      <w:r>
        <w:rPr>
          <w:spacing w:val="-17"/>
        </w:rPr>
        <w:t> </w:t>
      </w:r>
      <w:r>
        <w:rPr/>
        <w:t>would</w:t>
      </w:r>
      <w:r>
        <w:rPr>
          <w:spacing w:val="-18"/>
        </w:rPr>
        <w:t> </w:t>
      </w:r>
      <w:r>
        <w:rPr/>
        <w:t>be</w:t>
      </w:r>
      <w:r>
        <w:rPr>
          <w:spacing w:val="-17"/>
        </w:rPr>
        <w:t> </w:t>
      </w:r>
      <w:r>
        <w:rPr>
          <w:spacing w:val="-3"/>
        </w:rPr>
        <w:t>purchased </w:t>
      </w:r>
      <w:r>
        <w:rPr/>
        <w:t>if not</w:t>
      </w:r>
      <w:r>
        <w:rPr>
          <w:spacing w:val="-1"/>
        </w:rPr>
        <w:t> </w:t>
      </w:r>
      <w:r>
        <w:rPr/>
        <w:t>donated.</w:t>
      </w:r>
    </w:p>
    <w:p>
      <w:pPr>
        <w:pStyle w:val="BodyText"/>
        <w:spacing w:before="1"/>
        <w:rPr>
          <w:sz w:val="23"/>
        </w:rPr>
      </w:pPr>
    </w:p>
    <w:p>
      <w:pPr>
        <w:pStyle w:val="BodyText"/>
        <w:spacing w:line="249" w:lineRule="auto"/>
        <w:ind w:left="391" w:right="1262"/>
        <w:jc w:val="both"/>
      </w:pPr>
      <w:r>
        <w:rPr/>
        <w:t>Royalties</w:t>
      </w:r>
      <w:r>
        <w:rPr>
          <w:spacing w:val="-29"/>
        </w:rPr>
        <w:t> </w:t>
      </w:r>
      <w:r>
        <w:rPr/>
        <w:t>for</w:t>
      </w:r>
      <w:r>
        <w:rPr>
          <w:spacing w:val="-28"/>
        </w:rPr>
        <w:t> </w:t>
      </w:r>
      <w:r>
        <w:rPr/>
        <w:t>Regions</w:t>
      </w:r>
      <w:r>
        <w:rPr>
          <w:spacing w:val="-28"/>
        </w:rPr>
        <w:t> </w:t>
      </w:r>
      <w:r>
        <w:rPr/>
        <w:t>funds</w:t>
      </w:r>
      <w:r>
        <w:rPr>
          <w:spacing w:val="-29"/>
        </w:rPr>
        <w:t> </w:t>
      </w:r>
      <w:r>
        <w:rPr/>
        <w:t>are</w:t>
      </w:r>
      <w:r>
        <w:rPr>
          <w:spacing w:val="-28"/>
        </w:rPr>
        <w:t> </w:t>
      </w:r>
      <w:r>
        <w:rPr/>
        <w:t>recognised</w:t>
      </w:r>
      <w:r>
        <w:rPr>
          <w:spacing w:val="-28"/>
        </w:rPr>
        <w:t> </w:t>
      </w:r>
      <w:r>
        <w:rPr>
          <w:spacing w:val="-9"/>
        </w:rPr>
        <w:t>as </w:t>
      </w:r>
      <w:r>
        <w:rPr/>
        <w:t>revenue</w:t>
      </w:r>
      <w:r>
        <w:rPr>
          <w:spacing w:val="-20"/>
        </w:rPr>
        <w:t> </w:t>
      </w:r>
      <w:r>
        <w:rPr/>
        <w:t>at</w:t>
      </w:r>
      <w:r>
        <w:rPr>
          <w:spacing w:val="-19"/>
        </w:rPr>
        <w:t> </w:t>
      </w:r>
      <w:r>
        <w:rPr/>
        <w:t>fair</w:t>
      </w:r>
      <w:r>
        <w:rPr>
          <w:spacing w:val="-19"/>
        </w:rPr>
        <w:t> </w:t>
      </w:r>
      <w:r>
        <w:rPr/>
        <w:t>value</w:t>
      </w:r>
      <w:r>
        <w:rPr>
          <w:spacing w:val="-19"/>
        </w:rPr>
        <w:t> </w:t>
      </w:r>
      <w:r>
        <w:rPr/>
        <w:t>in</w:t>
      </w:r>
      <w:r>
        <w:rPr>
          <w:spacing w:val="-20"/>
        </w:rPr>
        <w:t> </w:t>
      </w:r>
      <w:r>
        <w:rPr/>
        <w:t>the</w:t>
      </w:r>
      <w:r>
        <w:rPr>
          <w:spacing w:val="-19"/>
        </w:rPr>
        <w:t> </w:t>
      </w:r>
      <w:r>
        <w:rPr/>
        <w:t>period</w:t>
      </w:r>
      <w:r>
        <w:rPr>
          <w:spacing w:val="-19"/>
        </w:rPr>
        <w:t> </w:t>
      </w:r>
      <w:r>
        <w:rPr/>
        <w:t>in</w:t>
      </w:r>
      <w:r>
        <w:rPr>
          <w:spacing w:val="-19"/>
        </w:rPr>
        <w:t> </w:t>
      </w:r>
      <w:r>
        <w:rPr/>
        <w:t>which</w:t>
      </w:r>
      <w:r>
        <w:rPr>
          <w:spacing w:val="-19"/>
        </w:rPr>
        <w:t> </w:t>
      </w:r>
      <w:r>
        <w:rPr/>
        <w:t>the Department</w:t>
      </w:r>
      <w:r>
        <w:rPr>
          <w:spacing w:val="-11"/>
        </w:rPr>
        <w:t> </w:t>
      </w:r>
      <w:r>
        <w:rPr/>
        <w:t>obtains</w:t>
      </w:r>
      <w:r>
        <w:rPr>
          <w:spacing w:val="-11"/>
        </w:rPr>
        <w:t> </w:t>
      </w:r>
      <w:r>
        <w:rPr/>
        <w:t>control</w:t>
      </w:r>
      <w:r>
        <w:rPr>
          <w:spacing w:val="-10"/>
        </w:rPr>
        <w:t> </w:t>
      </w:r>
      <w:r>
        <w:rPr/>
        <w:t>over</w:t>
      </w:r>
      <w:r>
        <w:rPr>
          <w:spacing w:val="-11"/>
        </w:rPr>
        <w:t> </w:t>
      </w:r>
      <w:r>
        <w:rPr/>
        <w:t>the</w:t>
      </w:r>
      <w:r>
        <w:rPr>
          <w:spacing w:val="-11"/>
        </w:rPr>
        <w:t> </w:t>
      </w:r>
      <w:r>
        <w:rPr/>
        <w:t>funds.</w:t>
      </w:r>
    </w:p>
    <w:p>
      <w:pPr>
        <w:pStyle w:val="BodyText"/>
        <w:spacing w:line="249" w:lineRule="auto" w:before="3"/>
        <w:ind w:left="391" w:right="1152"/>
      </w:pPr>
      <w:r>
        <w:rPr/>
        <w:t>The</w:t>
      </w:r>
      <w:r>
        <w:rPr>
          <w:spacing w:val="-16"/>
        </w:rPr>
        <w:t> </w:t>
      </w:r>
      <w:r>
        <w:rPr/>
        <w:t>Department</w:t>
      </w:r>
      <w:r>
        <w:rPr>
          <w:spacing w:val="-15"/>
        </w:rPr>
        <w:t> </w:t>
      </w:r>
      <w:r>
        <w:rPr/>
        <w:t>obtains</w:t>
      </w:r>
      <w:r>
        <w:rPr>
          <w:spacing w:val="-15"/>
        </w:rPr>
        <w:t> </w:t>
      </w:r>
      <w:r>
        <w:rPr/>
        <w:t>control</w:t>
      </w:r>
      <w:r>
        <w:rPr>
          <w:spacing w:val="-15"/>
        </w:rPr>
        <w:t> </w:t>
      </w:r>
      <w:r>
        <w:rPr/>
        <w:t>of</w:t>
      </w:r>
      <w:r>
        <w:rPr>
          <w:spacing w:val="-15"/>
        </w:rPr>
        <w:t> </w:t>
      </w:r>
      <w:r>
        <w:rPr/>
        <w:t>the</w:t>
      </w:r>
      <w:r>
        <w:rPr>
          <w:spacing w:val="-15"/>
        </w:rPr>
        <w:t> </w:t>
      </w:r>
      <w:r>
        <w:rPr/>
        <w:t>funds</w:t>
      </w:r>
      <w:r>
        <w:rPr>
          <w:spacing w:val="-15"/>
        </w:rPr>
        <w:t> </w:t>
      </w:r>
      <w:r>
        <w:rPr>
          <w:spacing w:val="-9"/>
        </w:rPr>
        <w:t>at </w:t>
      </w:r>
      <w:r>
        <w:rPr/>
        <w:t>the time the funds are deposited into the </w:t>
      </w:r>
      <w:r>
        <w:rPr>
          <w:spacing w:val="-3"/>
        </w:rPr>
        <w:t>Department’s </w:t>
      </w:r>
      <w:r>
        <w:rPr/>
        <w:t>bank</w:t>
      </w:r>
      <w:r>
        <w:rPr>
          <w:spacing w:val="1"/>
        </w:rPr>
        <w:t> </w:t>
      </w:r>
      <w:r>
        <w:rPr/>
        <w:t>account.</w:t>
      </w:r>
    </w:p>
    <w:p>
      <w:pPr>
        <w:pStyle w:val="BodyText"/>
        <w:spacing w:before="2"/>
        <w:rPr>
          <w:sz w:val="23"/>
        </w:rPr>
      </w:pPr>
    </w:p>
    <w:p>
      <w:pPr>
        <w:spacing w:before="0"/>
        <w:ind w:left="391" w:right="0" w:firstLine="0"/>
        <w:jc w:val="left"/>
        <w:rPr>
          <w:i/>
          <w:sz w:val="22"/>
        </w:rPr>
      </w:pPr>
      <w:r>
        <w:rPr>
          <w:i/>
          <w:color w:val="6F2770"/>
          <w:sz w:val="22"/>
        </w:rPr>
        <w:t>Gains</w:t>
      </w:r>
    </w:p>
    <w:p>
      <w:pPr>
        <w:pStyle w:val="BodyText"/>
        <w:spacing w:line="249" w:lineRule="auto" w:before="11"/>
        <w:ind w:left="391" w:right="964"/>
      </w:pPr>
      <w:r>
        <w:rPr/>
        <w:t>Realised and unrealised gains are usually recognised on a net basis. These include gains arising</w:t>
      </w:r>
      <w:r>
        <w:rPr>
          <w:spacing w:val="-18"/>
        </w:rPr>
        <w:t> </w:t>
      </w:r>
      <w:r>
        <w:rPr/>
        <w:t>on</w:t>
      </w:r>
      <w:r>
        <w:rPr>
          <w:spacing w:val="-18"/>
        </w:rPr>
        <w:t> </w:t>
      </w:r>
      <w:r>
        <w:rPr/>
        <w:t>the</w:t>
      </w:r>
      <w:r>
        <w:rPr>
          <w:spacing w:val="-18"/>
        </w:rPr>
        <w:t> </w:t>
      </w:r>
      <w:r>
        <w:rPr/>
        <w:t>disposal</w:t>
      </w:r>
      <w:r>
        <w:rPr>
          <w:spacing w:val="-18"/>
        </w:rPr>
        <w:t> </w:t>
      </w:r>
      <w:r>
        <w:rPr/>
        <w:t>of</w:t>
      </w:r>
      <w:r>
        <w:rPr>
          <w:spacing w:val="-18"/>
        </w:rPr>
        <w:t> </w:t>
      </w:r>
      <w:r>
        <w:rPr/>
        <w:t>non-current</w:t>
      </w:r>
      <w:r>
        <w:rPr>
          <w:spacing w:val="-18"/>
        </w:rPr>
        <w:t> </w:t>
      </w:r>
      <w:r>
        <w:rPr/>
        <w:t>assets</w:t>
      </w:r>
      <w:r>
        <w:rPr>
          <w:spacing w:val="-18"/>
        </w:rPr>
        <w:t> </w:t>
      </w:r>
      <w:r>
        <w:rPr>
          <w:spacing w:val="-6"/>
        </w:rPr>
        <w:t>and </w:t>
      </w:r>
      <w:r>
        <w:rPr/>
        <w:t>some revaluations of non-current</w:t>
      </w:r>
      <w:r>
        <w:rPr>
          <w:spacing w:val="-31"/>
        </w:rPr>
        <w:t> </w:t>
      </w:r>
      <w:r>
        <w:rPr/>
        <w:t>assets.</w:t>
      </w:r>
    </w:p>
    <w:p>
      <w:pPr>
        <w:pStyle w:val="BodyText"/>
        <w:spacing w:before="3"/>
        <w:rPr>
          <w:sz w:val="23"/>
        </w:rPr>
      </w:pPr>
    </w:p>
    <w:p>
      <w:pPr>
        <w:pStyle w:val="Heading6"/>
        <w:numPr>
          <w:ilvl w:val="0"/>
          <w:numId w:val="5"/>
        </w:numPr>
        <w:tabs>
          <w:tab w:pos="656" w:val="left" w:leader="none"/>
        </w:tabs>
        <w:spacing w:line="240" w:lineRule="auto" w:before="0" w:after="0"/>
        <w:ind w:left="655" w:right="0" w:hanging="264"/>
        <w:jc w:val="left"/>
      </w:pPr>
      <w:r>
        <w:rPr/>
        <w:t>Borrowing</w:t>
      </w:r>
      <w:r>
        <w:rPr>
          <w:spacing w:val="-1"/>
        </w:rPr>
        <w:t> </w:t>
      </w:r>
      <w:r>
        <w:rPr/>
        <w:t>costs</w:t>
      </w:r>
    </w:p>
    <w:p>
      <w:pPr>
        <w:pStyle w:val="BodyText"/>
        <w:spacing w:before="11"/>
        <w:ind w:left="391"/>
      </w:pPr>
      <w:r>
        <w:rPr/>
        <w:t>Borrowing costs are expensed when incurred.</w:t>
      </w:r>
    </w:p>
    <w:p>
      <w:pPr>
        <w:pStyle w:val="BodyText"/>
        <w:spacing w:before="11"/>
        <w:rPr>
          <w:sz w:val="23"/>
        </w:rPr>
      </w:pPr>
    </w:p>
    <w:p>
      <w:pPr>
        <w:pStyle w:val="Heading6"/>
        <w:numPr>
          <w:ilvl w:val="0"/>
          <w:numId w:val="5"/>
        </w:numPr>
        <w:tabs>
          <w:tab w:pos="717" w:val="left" w:leader="none"/>
        </w:tabs>
        <w:spacing w:line="240" w:lineRule="auto" w:before="0" w:after="0"/>
        <w:ind w:left="716" w:right="0" w:hanging="325"/>
        <w:jc w:val="left"/>
      </w:pPr>
      <w:r>
        <w:rPr/>
        <w:t>Property, plant and</w:t>
      </w:r>
      <w:r>
        <w:rPr>
          <w:spacing w:val="-2"/>
        </w:rPr>
        <w:t> </w:t>
      </w:r>
      <w:r>
        <w:rPr/>
        <w:t>equipment</w:t>
      </w:r>
    </w:p>
    <w:p>
      <w:pPr>
        <w:spacing w:before="11"/>
        <w:ind w:left="391" w:right="0" w:firstLine="0"/>
        <w:jc w:val="left"/>
        <w:rPr>
          <w:i/>
          <w:sz w:val="22"/>
        </w:rPr>
      </w:pPr>
      <w:r>
        <w:rPr>
          <w:i/>
          <w:color w:val="6F2770"/>
          <w:sz w:val="22"/>
        </w:rPr>
        <w:t>Capitalisation/expensing of assets</w:t>
      </w:r>
    </w:p>
    <w:p>
      <w:pPr>
        <w:pStyle w:val="BodyText"/>
        <w:spacing w:before="11"/>
        <w:ind w:left="391"/>
      </w:pPr>
      <w:r>
        <w:rPr/>
        <w:t>Items of property, plant and equipment costing</w:t>
      </w:r>
    </w:p>
    <w:p>
      <w:pPr>
        <w:pStyle w:val="BodyText"/>
        <w:spacing w:line="249" w:lineRule="auto" w:before="11"/>
        <w:ind w:left="391" w:right="915"/>
      </w:pPr>
      <w:r>
        <w:rPr/>
        <w:t>$5,000</w:t>
      </w:r>
      <w:r>
        <w:rPr>
          <w:spacing w:val="-16"/>
        </w:rPr>
        <w:t> </w:t>
      </w:r>
      <w:r>
        <w:rPr/>
        <w:t>or</w:t>
      </w:r>
      <w:r>
        <w:rPr>
          <w:spacing w:val="-16"/>
        </w:rPr>
        <w:t> </w:t>
      </w:r>
      <w:r>
        <w:rPr/>
        <w:t>more</w:t>
      </w:r>
      <w:r>
        <w:rPr>
          <w:spacing w:val="-15"/>
        </w:rPr>
        <w:t> </w:t>
      </w:r>
      <w:r>
        <w:rPr/>
        <w:t>are</w:t>
      </w:r>
      <w:r>
        <w:rPr>
          <w:spacing w:val="-16"/>
        </w:rPr>
        <w:t> </w:t>
      </w:r>
      <w:r>
        <w:rPr/>
        <w:t>recognised</w:t>
      </w:r>
      <w:r>
        <w:rPr>
          <w:spacing w:val="-16"/>
        </w:rPr>
        <w:t> </w:t>
      </w:r>
      <w:r>
        <w:rPr/>
        <w:t>as</w:t>
      </w:r>
      <w:r>
        <w:rPr>
          <w:spacing w:val="-15"/>
        </w:rPr>
        <w:t> </w:t>
      </w:r>
      <w:r>
        <w:rPr/>
        <w:t>assets</w:t>
      </w:r>
      <w:r>
        <w:rPr>
          <w:spacing w:val="-16"/>
        </w:rPr>
        <w:t> </w:t>
      </w:r>
      <w:r>
        <w:rPr/>
        <w:t>and</w:t>
      </w:r>
      <w:r>
        <w:rPr>
          <w:spacing w:val="-16"/>
        </w:rPr>
        <w:t> </w:t>
      </w:r>
      <w:r>
        <w:rPr>
          <w:spacing w:val="-6"/>
        </w:rPr>
        <w:t>the </w:t>
      </w:r>
      <w:r>
        <w:rPr/>
        <w:t>cost</w:t>
      </w:r>
      <w:r>
        <w:rPr>
          <w:spacing w:val="-23"/>
        </w:rPr>
        <w:t> </w:t>
      </w:r>
      <w:r>
        <w:rPr/>
        <w:t>of</w:t>
      </w:r>
      <w:r>
        <w:rPr>
          <w:spacing w:val="-23"/>
        </w:rPr>
        <w:t> </w:t>
      </w:r>
      <w:r>
        <w:rPr/>
        <w:t>utilising</w:t>
      </w:r>
      <w:r>
        <w:rPr>
          <w:spacing w:val="-23"/>
        </w:rPr>
        <w:t> </w:t>
      </w:r>
      <w:r>
        <w:rPr/>
        <w:t>assets</w:t>
      </w:r>
      <w:r>
        <w:rPr>
          <w:spacing w:val="-22"/>
        </w:rPr>
        <w:t> </w:t>
      </w:r>
      <w:r>
        <w:rPr/>
        <w:t>is</w:t>
      </w:r>
      <w:r>
        <w:rPr>
          <w:spacing w:val="-23"/>
        </w:rPr>
        <w:t> </w:t>
      </w:r>
      <w:r>
        <w:rPr/>
        <w:t>expensed</w:t>
      </w:r>
      <w:r>
        <w:rPr>
          <w:spacing w:val="-23"/>
        </w:rPr>
        <w:t> </w:t>
      </w:r>
      <w:r>
        <w:rPr/>
        <w:t>(depreciated) over their useful lives. Items of </w:t>
      </w:r>
      <w:r>
        <w:rPr>
          <w:spacing w:val="-3"/>
        </w:rPr>
        <w:t>property, </w:t>
      </w:r>
      <w:r>
        <w:rPr/>
        <w:t>plant and equipment costing less than $5,000 are immediately</w:t>
      </w:r>
      <w:r>
        <w:rPr>
          <w:spacing w:val="-17"/>
        </w:rPr>
        <w:t> </w:t>
      </w:r>
      <w:r>
        <w:rPr/>
        <w:t>expensed</w:t>
      </w:r>
      <w:r>
        <w:rPr>
          <w:spacing w:val="-17"/>
        </w:rPr>
        <w:t> </w:t>
      </w:r>
      <w:r>
        <w:rPr/>
        <w:t>direct</w:t>
      </w:r>
      <w:r>
        <w:rPr>
          <w:spacing w:val="-17"/>
        </w:rPr>
        <w:t> </w:t>
      </w:r>
      <w:r>
        <w:rPr/>
        <w:t>to</w:t>
      </w:r>
      <w:r>
        <w:rPr>
          <w:spacing w:val="-17"/>
        </w:rPr>
        <w:t> </w:t>
      </w:r>
      <w:r>
        <w:rPr/>
        <w:t>the</w:t>
      </w:r>
      <w:r>
        <w:rPr>
          <w:spacing w:val="-17"/>
        </w:rPr>
        <w:t> </w:t>
      </w:r>
      <w:r>
        <w:rPr/>
        <w:t>Statement</w:t>
      </w:r>
      <w:r>
        <w:rPr>
          <w:spacing w:val="-17"/>
        </w:rPr>
        <w:t> </w:t>
      </w:r>
      <w:r>
        <w:rPr/>
        <w:t>of Comprehensive Income (other than where they form part of a group of similar items which are significant in</w:t>
      </w:r>
      <w:r>
        <w:rPr>
          <w:spacing w:val="-4"/>
        </w:rPr>
        <w:t> </w:t>
      </w:r>
      <w:r>
        <w:rPr/>
        <w:t>total).</w:t>
      </w:r>
    </w:p>
    <w:p>
      <w:pPr>
        <w:spacing w:after="0" w:line="249" w:lineRule="auto"/>
        <w:sectPr>
          <w:type w:val="continuous"/>
          <w:pgSz w:w="16840" w:h="11910" w:orient="landscape"/>
          <w:pgMar w:top="1100" w:bottom="280" w:left="0" w:right="0"/>
          <w:cols w:num="3" w:equalWidth="0">
            <w:col w:w="5567" w:space="40"/>
            <w:col w:w="5217" w:space="39"/>
            <w:col w:w="5977"/>
          </w:cols>
        </w:sectPr>
      </w:pPr>
    </w:p>
    <w:p>
      <w:pPr>
        <w:pStyle w:val="BodyText"/>
        <w:spacing w:before="3"/>
        <w:rPr>
          <w:sz w:val="10"/>
        </w:rPr>
      </w:pPr>
    </w:p>
    <w:p>
      <w:pPr>
        <w:tabs>
          <w:tab w:pos="1227" w:val="left" w:leader="none"/>
          <w:tab w:pos="5951" w:val="left" w:leader="none"/>
          <w:tab w:pos="16072"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12832"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12856"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F2770"/>
          <w:sz w:val="20"/>
        </w:rPr>
        <w:t>48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pPr>
      <w:r>
        <w:rPr/>
        <w:pict>
          <v:group style="position:absolute;margin-left:360.811798pt;margin-top:-57.373512pt;width:481.1pt;height:371.15pt;mso-position-horizontal-relative:page;mso-position-vertical-relative:paragraph;z-index:-699448"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307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3096"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312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5"/>
          <w:pgSz w:w="16840" w:h="11910" w:orient="landscape"/>
          <w:pgMar w:footer="774" w:header="0" w:top="0" w:bottom="960" w:left="0" w:right="0"/>
        </w:sectPr>
      </w:pPr>
    </w:p>
    <w:p>
      <w:pPr>
        <w:pStyle w:val="BodyText"/>
        <w:spacing w:before="5"/>
        <w:rPr>
          <w:sz w:val="23"/>
        </w:rPr>
      </w:pPr>
    </w:p>
    <w:p>
      <w:pPr>
        <w:spacing w:line="249" w:lineRule="auto" w:before="0"/>
        <w:ind w:left="765" w:right="909" w:firstLine="0"/>
        <w:jc w:val="left"/>
        <w:rPr>
          <w:sz w:val="22"/>
        </w:rPr>
      </w:pPr>
      <w:r>
        <w:rPr>
          <w:i/>
          <w:color w:val="6F2770"/>
          <w:sz w:val="22"/>
        </w:rPr>
        <w:t>Initial recognition and measurement </w:t>
      </w:r>
      <w:r>
        <w:rPr>
          <w:spacing w:val="-3"/>
          <w:sz w:val="22"/>
        </w:rPr>
        <w:t>Property,</w:t>
      </w:r>
      <w:r>
        <w:rPr>
          <w:spacing w:val="-31"/>
          <w:sz w:val="22"/>
        </w:rPr>
        <w:t> </w:t>
      </w:r>
      <w:r>
        <w:rPr>
          <w:sz w:val="22"/>
        </w:rPr>
        <w:t>plant</w:t>
      </w:r>
      <w:r>
        <w:rPr>
          <w:spacing w:val="-30"/>
          <w:sz w:val="22"/>
        </w:rPr>
        <w:t> </w:t>
      </w:r>
      <w:r>
        <w:rPr>
          <w:sz w:val="22"/>
        </w:rPr>
        <w:t>and</w:t>
      </w:r>
      <w:r>
        <w:rPr>
          <w:spacing w:val="-31"/>
          <w:sz w:val="22"/>
        </w:rPr>
        <w:t> </w:t>
      </w:r>
      <w:r>
        <w:rPr>
          <w:sz w:val="22"/>
        </w:rPr>
        <w:t>equipment</w:t>
      </w:r>
      <w:r>
        <w:rPr>
          <w:spacing w:val="-30"/>
          <w:sz w:val="22"/>
        </w:rPr>
        <w:t> </w:t>
      </w:r>
      <w:r>
        <w:rPr>
          <w:sz w:val="22"/>
        </w:rPr>
        <w:t>are</w:t>
      </w:r>
      <w:r>
        <w:rPr>
          <w:spacing w:val="-31"/>
          <w:sz w:val="22"/>
        </w:rPr>
        <w:t> </w:t>
      </w:r>
      <w:r>
        <w:rPr>
          <w:sz w:val="22"/>
        </w:rPr>
        <w:t>initially recognised at</w:t>
      </w:r>
      <w:r>
        <w:rPr>
          <w:spacing w:val="-2"/>
          <w:sz w:val="22"/>
        </w:rPr>
        <w:t> </w:t>
      </w:r>
      <w:r>
        <w:rPr>
          <w:sz w:val="22"/>
        </w:rPr>
        <w:t>cost.</w:t>
      </w:r>
    </w:p>
    <w:p>
      <w:pPr>
        <w:pStyle w:val="BodyText"/>
        <w:spacing w:before="2"/>
        <w:rPr>
          <w:sz w:val="23"/>
        </w:rPr>
      </w:pPr>
    </w:p>
    <w:p>
      <w:pPr>
        <w:pStyle w:val="BodyText"/>
        <w:spacing w:line="249" w:lineRule="auto"/>
        <w:ind w:left="765" w:right="35"/>
      </w:pPr>
      <w:r>
        <w:rPr/>
        <w:t>For items of </w:t>
      </w:r>
      <w:r>
        <w:rPr>
          <w:spacing w:val="-3"/>
        </w:rPr>
        <w:t>property, </w:t>
      </w:r>
      <w:r>
        <w:rPr/>
        <w:t>plant and equipment acquired</w:t>
      </w:r>
      <w:r>
        <w:rPr>
          <w:spacing w:val="-9"/>
        </w:rPr>
        <w:t> </w:t>
      </w:r>
      <w:r>
        <w:rPr/>
        <w:t>at</w:t>
      </w:r>
      <w:r>
        <w:rPr>
          <w:spacing w:val="-8"/>
        </w:rPr>
        <w:t> </w:t>
      </w:r>
      <w:r>
        <w:rPr/>
        <w:t>no</w:t>
      </w:r>
      <w:r>
        <w:rPr>
          <w:spacing w:val="-8"/>
        </w:rPr>
        <w:t> </w:t>
      </w:r>
      <w:r>
        <w:rPr/>
        <w:t>cost</w:t>
      </w:r>
      <w:r>
        <w:rPr>
          <w:spacing w:val="-9"/>
        </w:rPr>
        <w:t> </w:t>
      </w:r>
      <w:r>
        <w:rPr/>
        <w:t>or</w:t>
      </w:r>
      <w:r>
        <w:rPr>
          <w:spacing w:val="-8"/>
        </w:rPr>
        <w:t> </w:t>
      </w:r>
      <w:r>
        <w:rPr/>
        <w:t>for</w:t>
      </w:r>
      <w:r>
        <w:rPr>
          <w:spacing w:val="-8"/>
        </w:rPr>
        <w:t> </w:t>
      </w:r>
      <w:r>
        <w:rPr/>
        <w:t>nominal</w:t>
      </w:r>
      <w:r>
        <w:rPr>
          <w:spacing w:val="-9"/>
        </w:rPr>
        <w:t> </w:t>
      </w:r>
      <w:r>
        <w:rPr/>
        <w:t>cost,</w:t>
      </w:r>
      <w:r>
        <w:rPr>
          <w:spacing w:val="-8"/>
        </w:rPr>
        <w:t> </w:t>
      </w:r>
      <w:r>
        <w:rPr/>
        <w:t>the</w:t>
      </w:r>
      <w:r>
        <w:rPr>
          <w:spacing w:val="-8"/>
        </w:rPr>
        <w:t> </w:t>
      </w:r>
      <w:r>
        <w:rPr/>
        <w:t>cost</w:t>
      </w:r>
      <w:r>
        <w:rPr>
          <w:spacing w:val="-8"/>
        </w:rPr>
        <w:t> </w:t>
      </w:r>
      <w:r>
        <w:rPr>
          <w:spacing w:val="-9"/>
        </w:rPr>
        <w:t>is </w:t>
      </w:r>
      <w:r>
        <w:rPr/>
        <w:t>the fair value at the date of</w:t>
      </w:r>
      <w:r>
        <w:rPr>
          <w:spacing w:val="-36"/>
        </w:rPr>
        <w:t> </w:t>
      </w:r>
      <w:r>
        <w:rPr/>
        <w:t>acquisition.</w:t>
      </w:r>
    </w:p>
    <w:p>
      <w:pPr>
        <w:pStyle w:val="BodyText"/>
        <w:spacing w:before="2"/>
        <w:rPr>
          <w:sz w:val="23"/>
        </w:rPr>
      </w:pPr>
    </w:p>
    <w:p>
      <w:pPr>
        <w:spacing w:before="0"/>
        <w:ind w:left="765" w:right="0" w:firstLine="0"/>
        <w:jc w:val="left"/>
        <w:rPr>
          <w:i/>
          <w:sz w:val="22"/>
        </w:rPr>
      </w:pPr>
      <w:r>
        <w:rPr>
          <w:i/>
          <w:color w:val="6F2770"/>
          <w:sz w:val="22"/>
        </w:rPr>
        <w:t>Subsequent measurement</w:t>
      </w:r>
    </w:p>
    <w:p>
      <w:pPr>
        <w:pStyle w:val="BodyText"/>
        <w:spacing w:line="249" w:lineRule="auto" w:before="11"/>
        <w:ind w:left="765" w:right="247"/>
      </w:pPr>
      <w:r>
        <w:rPr/>
        <w:t>Subsequent</w:t>
      </w:r>
      <w:r>
        <w:rPr>
          <w:spacing w:val="-20"/>
        </w:rPr>
        <w:t> </w:t>
      </w:r>
      <w:r>
        <w:rPr/>
        <w:t>to</w:t>
      </w:r>
      <w:r>
        <w:rPr>
          <w:spacing w:val="-20"/>
        </w:rPr>
        <w:t> </w:t>
      </w:r>
      <w:r>
        <w:rPr/>
        <w:t>initial</w:t>
      </w:r>
      <w:r>
        <w:rPr>
          <w:spacing w:val="-19"/>
        </w:rPr>
        <w:t> </w:t>
      </w:r>
      <w:r>
        <w:rPr/>
        <w:t>recognition</w:t>
      </w:r>
      <w:r>
        <w:rPr>
          <w:spacing w:val="-20"/>
        </w:rPr>
        <w:t> </w:t>
      </w:r>
      <w:r>
        <w:rPr/>
        <w:t>of</w:t>
      </w:r>
      <w:r>
        <w:rPr>
          <w:spacing w:val="-19"/>
        </w:rPr>
        <w:t> </w:t>
      </w:r>
      <w:r>
        <w:rPr/>
        <w:t>an</w:t>
      </w:r>
      <w:r>
        <w:rPr>
          <w:spacing w:val="-20"/>
        </w:rPr>
        <w:t> </w:t>
      </w:r>
      <w:r>
        <w:rPr/>
        <w:t>asset,</w:t>
      </w:r>
      <w:r>
        <w:rPr>
          <w:spacing w:val="-19"/>
        </w:rPr>
        <w:t> </w:t>
      </w:r>
      <w:r>
        <w:rPr>
          <w:spacing w:val="-6"/>
        </w:rPr>
        <w:t>the </w:t>
      </w:r>
      <w:r>
        <w:rPr/>
        <w:t>revaluation</w:t>
      </w:r>
      <w:r>
        <w:rPr>
          <w:spacing w:val="-21"/>
        </w:rPr>
        <w:t> </w:t>
      </w:r>
      <w:r>
        <w:rPr/>
        <w:t>model</w:t>
      </w:r>
      <w:r>
        <w:rPr>
          <w:spacing w:val="-21"/>
        </w:rPr>
        <w:t> </w:t>
      </w:r>
      <w:r>
        <w:rPr/>
        <w:t>is</w:t>
      </w:r>
      <w:r>
        <w:rPr>
          <w:spacing w:val="-20"/>
        </w:rPr>
        <w:t> </w:t>
      </w:r>
      <w:r>
        <w:rPr/>
        <w:t>used</w:t>
      </w:r>
      <w:r>
        <w:rPr>
          <w:spacing w:val="-21"/>
        </w:rPr>
        <w:t> </w:t>
      </w:r>
      <w:r>
        <w:rPr/>
        <w:t>for</w:t>
      </w:r>
      <w:r>
        <w:rPr>
          <w:spacing w:val="-20"/>
        </w:rPr>
        <w:t> </w:t>
      </w:r>
      <w:r>
        <w:rPr/>
        <w:t>the</w:t>
      </w:r>
      <w:r>
        <w:rPr>
          <w:spacing w:val="-21"/>
        </w:rPr>
        <w:t> </w:t>
      </w:r>
      <w:r>
        <w:rPr/>
        <w:t>measurement of land and buildings and historical cost for all other</w:t>
      </w:r>
      <w:r>
        <w:rPr>
          <w:spacing w:val="-11"/>
        </w:rPr>
        <w:t> </w:t>
      </w:r>
      <w:r>
        <w:rPr>
          <w:spacing w:val="-3"/>
        </w:rPr>
        <w:t>property,</w:t>
      </w:r>
      <w:r>
        <w:rPr>
          <w:spacing w:val="-11"/>
        </w:rPr>
        <w:t> </w:t>
      </w:r>
      <w:r>
        <w:rPr/>
        <w:t>plant</w:t>
      </w:r>
      <w:r>
        <w:rPr>
          <w:spacing w:val="-10"/>
        </w:rPr>
        <w:t> </w:t>
      </w:r>
      <w:r>
        <w:rPr/>
        <w:t>and</w:t>
      </w:r>
      <w:r>
        <w:rPr>
          <w:spacing w:val="-11"/>
        </w:rPr>
        <w:t> </w:t>
      </w:r>
      <w:r>
        <w:rPr/>
        <w:t>equipment.</w:t>
      </w:r>
      <w:r>
        <w:rPr>
          <w:spacing w:val="-10"/>
        </w:rPr>
        <w:t> </w:t>
      </w:r>
      <w:r>
        <w:rPr/>
        <w:t>Land</w:t>
      </w:r>
      <w:r>
        <w:rPr>
          <w:spacing w:val="-11"/>
        </w:rPr>
        <w:t> </w:t>
      </w:r>
      <w:r>
        <w:rPr/>
        <w:t>and</w:t>
      </w:r>
    </w:p>
    <w:p>
      <w:pPr>
        <w:pStyle w:val="BodyText"/>
        <w:spacing w:line="249" w:lineRule="auto" w:before="4"/>
        <w:ind w:left="765" w:right="37"/>
      </w:pPr>
      <w:r>
        <w:rPr/>
        <w:t>buildings</w:t>
      </w:r>
      <w:r>
        <w:rPr>
          <w:spacing w:val="-29"/>
        </w:rPr>
        <w:t> </w:t>
      </w:r>
      <w:r>
        <w:rPr/>
        <w:t>are</w:t>
      </w:r>
      <w:r>
        <w:rPr>
          <w:spacing w:val="-29"/>
        </w:rPr>
        <w:t> </w:t>
      </w:r>
      <w:r>
        <w:rPr/>
        <w:t>carried</w:t>
      </w:r>
      <w:r>
        <w:rPr>
          <w:spacing w:val="-28"/>
        </w:rPr>
        <w:t> </w:t>
      </w:r>
      <w:r>
        <w:rPr/>
        <w:t>at</w:t>
      </w:r>
      <w:r>
        <w:rPr>
          <w:spacing w:val="-29"/>
        </w:rPr>
        <w:t> </w:t>
      </w:r>
      <w:r>
        <w:rPr/>
        <w:t>fair</w:t>
      </w:r>
      <w:r>
        <w:rPr>
          <w:spacing w:val="-28"/>
        </w:rPr>
        <w:t> </w:t>
      </w:r>
      <w:r>
        <w:rPr/>
        <w:t>value</w:t>
      </w:r>
      <w:r>
        <w:rPr>
          <w:spacing w:val="-29"/>
        </w:rPr>
        <w:t> </w:t>
      </w:r>
      <w:r>
        <w:rPr/>
        <w:t>less</w:t>
      </w:r>
      <w:r>
        <w:rPr>
          <w:spacing w:val="-29"/>
        </w:rPr>
        <w:t> </w:t>
      </w:r>
      <w:r>
        <w:rPr/>
        <w:t>accumulated depreciation (buildings only) and accumulated impairment losses. All other items of </w:t>
      </w:r>
      <w:r>
        <w:rPr>
          <w:spacing w:val="-3"/>
        </w:rPr>
        <w:t>property, </w:t>
      </w:r>
      <w:r>
        <w:rPr/>
        <w:t>plant and equipment are stated at historical cost less accumulated depreciation and accumulated impairment</w:t>
      </w:r>
      <w:r>
        <w:rPr>
          <w:spacing w:val="-2"/>
        </w:rPr>
        <w:t> </w:t>
      </w:r>
      <w:r>
        <w:rPr/>
        <w:t>losses.</w:t>
      </w:r>
    </w:p>
    <w:p>
      <w:pPr>
        <w:pStyle w:val="BodyText"/>
        <w:spacing w:before="5"/>
        <w:rPr>
          <w:sz w:val="23"/>
        </w:rPr>
      </w:pPr>
    </w:p>
    <w:p>
      <w:pPr>
        <w:pStyle w:val="BodyText"/>
        <w:spacing w:line="249" w:lineRule="auto"/>
        <w:ind w:left="765" w:right="175"/>
      </w:pPr>
      <w:r>
        <w:rPr/>
        <w:t>Where market-based evidence is available, the fair</w:t>
      </w:r>
      <w:r>
        <w:rPr>
          <w:spacing w:val="-17"/>
        </w:rPr>
        <w:t> </w:t>
      </w:r>
      <w:r>
        <w:rPr/>
        <w:t>value</w:t>
      </w:r>
      <w:r>
        <w:rPr>
          <w:spacing w:val="-17"/>
        </w:rPr>
        <w:t> </w:t>
      </w:r>
      <w:r>
        <w:rPr/>
        <w:t>of</w:t>
      </w:r>
      <w:r>
        <w:rPr>
          <w:spacing w:val="-16"/>
        </w:rPr>
        <w:t> </w:t>
      </w:r>
      <w:r>
        <w:rPr/>
        <w:t>land</w:t>
      </w:r>
      <w:r>
        <w:rPr>
          <w:spacing w:val="-17"/>
        </w:rPr>
        <w:t> </w:t>
      </w:r>
      <w:r>
        <w:rPr/>
        <w:t>and</w:t>
      </w:r>
      <w:r>
        <w:rPr>
          <w:spacing w:val="-16"/>
        </w:rPr>
        <w:t> </w:t>
      </w:r>
      <w:r>
        <w:rPr/>
        <w:t>buildings</w:t>
      </w:r>
      <w:r>
        <w:rPr>
          <w:spacing w:val="-17"/>
        </w:rPr>
        <w:t> </w:t>
      </w:r>
      <w:r>
        <w:rPr/>
        <w:t>is</w:t>
      </w:r>
      <w:r>
        <w:rPr>
          <w:spacing w:val="-16"/>
        </w:rPr>
        <w:t> </w:t>
      </w:r>
      <w:r>
        <w:rPr/>
        <w:t>determined</w:t>
      </w:r>
      <w:r>
        <w:rPr>
          <w:spacing w:val="-17"/>
        </w:rPr>
        <w:t> </w:t>
      </w:r>
      <w:r>
        <w:rPr/>
        <w:t>on the</w:t>
      </w:r>
      <w:r>
        <w:rPr>
          <w:spacing w:val="-20"/>
        </w:rPr>
        <w:t> </w:t>
      </w:r>
      <w:r>
        <w:rPr/>
        <w:t>basis</w:t>
      </w:r>
      <w:r>
        <w:rPr>
          <w:spacing w:val="-20"/>
        </w:rPr>
        <w:t> </w:t>
      </w:r>
      <w:r>
        <w:rPr/>
        <w:t>of</w:t>
      </w:r>
      <w:r>
        <w:rPr>
          <w:spacing w:val="-19"/>
        </w:rPr>
        <w:t> </w:t>
      </w:r>
      <w:r>
        <w:rPr/>
        <w:t>current</w:t>
      </w:r>
      <w:r>
        <w:rPr>
          <w:spacing w:val="-20"/>
        </w:rPr>
        <w:t> </w:t>
      </w:r>
      <w:r>
        <w:rPr/>
        <w:t>market</w:t>
      </w:r>
      <w:r>
        <w:rPr>
          <w:spacing w:val="-19"/>
        </w:rPr>
        <w:t> </w:t>
      </w:r>
      <w:r>
        <w:rPr/>
        <w:t>values</w:t>
      </w:r>
      <w:r>
        <w:rPr>
          <w:spacing w:val="-20"/>
        </w:rPr>
        <w:t> </w:t>
      </w:r>
      <w:r>
        <w:rPr/>
        <w:t>determined</w:t>
      </w:r>
      <w:r>
        <w:rPr>
          <w:spacing w:val="-19"/>
        </w:rPr>
        <w:t> </w:t>
      </w:r>
      <w:r>
        <w:rPr>
          <w:spacing w:val="-9"/>
        </w:rPr>
        <w:t>by </w:t>
      </w:r>
      <w:r>
        <w:rPr/>
        <w:t>reference to recent market transactions. When buildings</w:t>
      </w:r>
      <w:r>
        <w:rPr>
          <w:spacing w:val="-14"/>
        </w:rPr>
        <w:t> </w:t>
      </w:r>
      <w:r>
        <w:rPr/>
        <w:t>are</w:t>
      </w:r>
      <w:r>
        <w:rPr>
          <w:spacing w:val="-13"/>
        </w:rPr>
        <w:t> </w:t>
      </w:r>
      <w:r>
        <w:rPr/>
        <w:t>revalued</w:t>
      </w:r>
      <w:r>
        <w:rPr>
          <w:spacing w:val="-14"/>
        </w:rPr>
        <w:t> </w:t>
      </w:r>
      <w:r>
        <w:rPr/>
        <w:t>by</w:t>
      </w:r>
      <w:r>
        <w:rPr>
          <w:spacing w:val="-13"/>
        </w:rPr>
        <w:t> </w:t>
      </w:r>
      <w:r>
        <w:rPr/>
        <w:t>reference</w:t>
      </w:r>
      <w:r>
        <w:rPr>
          <w:spacing w:val="-13"/>
        </w:rPr>
        <w:t> </w:t>
      </w:r>
      <w:r>
        <w:rPr/>
        <w:t>to</w:t>
      </w:r>
      <w:r>
        <w:rPr>
          <w:spacing w:val="-14"/>
        </w:rPr>
        <w:t> </w:t>
      </w:r>
      <w:r>
        <w:rPr/>
        <w:t>recent</w:t>
      </w:r>
    </w:p>
    <w:p>
      <w:pPr>
        <w:pStyle w:val="BodyText"/>
        <w:spacing w:line="249" w:lineRule="auto" w:before="4"/>
        <w:ind w:left="765" w:right="-7"/>
      </w:pPr>
      <w:r>
        <w:rPr/>
        <w:t>market</w:t>
      </w:r>
      <w:r>
        <w:rPr>
          <w:spacing w:val="-24"/>
        </w:rPr>
        <w:t> </w:t>
      </w:r>
      <w:r>
        <w:rPr/>
        <w:t>transactions,</w:t>
      </w:r>
      <w:r>
        <w:rPr>
          <w:spacing w:val="-24"/>
        </w:rPr>
        <w:t> </w:t>
      </w:r>
      <w:r>
        <w:rPr/>
        <w:t>the</w:t>
      </w:r>
      <w:r>
        <w:rPr>
          <w:spacing w:val="-24"/>
        </w:rPr>
        <w:t> </w:t>
      </w:r>
      <w:r>
        <w:rPr/>
        <w:t>accumulated</w:t>
      </w:r>
      <w:r>
        <w:rPr>
          <w:spacing w:val="-24"/>
        </w:rPr>
        <w:t> </w:t>
      </w:r>
      <w:r>
        <w:rPr>
          <w:spacing w:val="-3"/>
        </w:rPr>
        <w:t>depreciation </w:t>
      </w:r>
      <w:r>
        <w:rPr/>
        <w:t>is</w:t>
      </w:r>
      <w:r>
        <w:rPr>
          <w:spacing w:val="-14"/>
        </w:rPr>
        <w:t> </w:t>
      </w:r>
      <w:r>
        <w:rPr/>
        <w:t>eliminated</w:t>
      </w:r>
      <w:r>
        <w:rPr>
          <w:spacing w:val="-13"/>
        </w:rPr>
        <w:t> </w:t>
      </w:r>
      <w:r>
        <w:rPr/>
        <w:t>against</w:t>
      </w:r>
      <w:r>
        <w:rPr>
          <w:spacing w:val="-13"/>
        </w:rPr>
        <w:t> </w:t>
      </w:r>
      <w:r>
        <w:rPr/>
        <w:t>the</w:t>
      </w:r>
      <w:r>
        <w:rPr>
          <w:spacing w:val="-13"/>
        </w:rPr>
        <w:t> </w:t>
      </w:r>
      <w:r>
        <w:rPr/>
        <w:t>gross</w:t>
      </w:r>
      <w:r>
        <w:rPr>
          <w:spacing w:val="-14"/>
        </w:rPr>
        <w:t> </w:t>
      </w:r>
      <w:r>
        <w:rPr/>
        <w:t>carrying</w:t>
      </w:r>
      <w:r>
        <w:rPr>
          <w:spacing w:val="-13"/>
        </w:rPr>
        <w:t> </w:t>
      </w:r>
      <w:r>
        <w:rPr/>
        <w:t>amount</w:t>
      </w:r>
    </w:p>
    <w:p>
      <w:pPr>
        <w:pStyle w:val="BodyText"/>
        <w:spacing w:line="249" w:lineRule="auto" w:before="2"/>
        <w:ind w:left="765" w:right="233"/>
      </w:pPr>
      <w:r>
        <w:rPr/>
        <w:t>of the asset and the net amount restated to </w:t>
      </w:r>
      <w:r>
        <w:rPr>
          <w:spacing w:val="-6"/>
        </w:rPr>
        <w:t>the </w:t>
      </w:r>
      <w:r>
        <w:rPr/>
        <w:t>revalued amount.</w:t>
      </w:r>
    </w:p>
    <w:p>
      <w:pPr>
        <w:pStyle w:val="BodyText"/>
        <w:spacing w:before="5"/>
        <w:rPr>
          <w:sz w:val="23"/>
        </w:rPr>
      </w:pPr>
      <w:r>
        <w:rPr/>
        <w:br w:type="column"/>
      </w:r>
      <w:r>
        <w:rPr>
          <w:sz w:val="23"/>
        </w:rPr>
      </w:r>
    </w:p>
    <w:p>
      <w:pPr>
        <w:pStyle w:val="BodyText"/>
        <w:ind w:left="407"/>
      </w:pPr>
      <w:r>
        <w:rPr/>
        <w:t>In the absence of market-based evidence,</w:t>
      </w:r>
    </w:p>
    <w:p>
      <w:pPr>
        <w:pStyle w:val="BodyText"/>
        <w:spacing w:line="249" w:lineRule="auto" w:before="11"/>
        <w:ind w:left="407" w:right="36"/>
      </w:pPr>
      <w:r>
        <w:rPr/>
        <w:t>fair value of land and buildings is determined on the basis of existing use. This normally applies where</w:t>
      </w:r>
      <w:r>
        <w:rPr>
          <w:spacing w:val="-26"/>
        </w:rPr>
        <w:t> </w:t>
      </w:r>
      <w:r>
        <w:rPr/>
        <w:t>buildings</w:t>
      </w:r>
      <w:r>
        <w:rPr>
          <w:spacing w:val="-25"/>
        </w:rPr>
        <w:t> </w:t>
      </w:r>
      <w:r>
        <w:rPr/>
        <w:t>are</w:t>
      </w:r>
      <w:r>
        <w:rPr>
          <w:spacing w:val="-26"/>
        </w:rPr>
        <w:t> </w:t>
      </w:r>
      <w:r>
        <w:rPr/>
        <w:t>specialised</w:t>
      </w:r>
      <w:r>
        <w:rPr>
          <w:spacing w:val="-25"/>
        </w:rPr>
        <w:t> </w:t>
      </w:r>
      <w:r>
        <w:rPr/>
        <w:t>or</w:t>
      </w:r>
      <w:r>
        <w:rPr>
          <w:spacing w:val="-26"/>
        </w:rPr>
        <w:t> </w:t>
      </w:r>
      <w:r>
        <w:rPr/>
        <w:t>where</w:t>
      </w:r>
      <w:r>
        <w:rPr>
          <w:spacing w:val="-25"/>
        </w:rPr>
        <w:t> </w:t>
      </w:r>
      <w:r>
        <w:rPr/>
        <w:t>land</w:t>
      </w:r>
      <w:r>
        <w:rPr>
          <w:spacing w:val="-26"/>
        </w:rPr>
        <w:t> </w:t>
      </w:r>
      <w:r>
        <w:rPr/>
        <w:t>use is</w:t>
      </w:r>
      <w:r>
        <w:rPr>
          <w:spacing w:val="-25"/>
        </w:rPr>
        <w:t> </w:t>
      </w:r>
      <w:r>
        <w:rPr/>
        <w:t>restricted.</w:t>
      </w:r>
      <w:r>
        <w:rPr>
          <w:spacing w:val="-25"/>
        </w:rPr>
        <w:t> </w:t>
      </w:r>
      <w:r>
        <w:rPr/>
        <w:t>Fair</w:t>
      </w:r>
      <w:r>
        <w:rPr>
          <w:spacing w:val="-25"/>
        </w:rPr>
        <w:t> </w:t>
      </w:r>
      <w:r>
        <w:rPr/>
        <w:t>value</w:t>
      </w:r>
      <w:r>
        <w:rPr>
          <w:spacing w:val="-25"/>
        </w:rPr>
        <w:t> </w:t>
      </w:r>
      <w:r>
        <w:rPr/>
        <w:t>for</w:t>
      </w:r>
      <w:r>
        <w:rPr>
          <w:spacing w:val="-25"/>
        </w:rPr>
        <w:t> </w:t>
      </w:r>
      <w:r>
        <w:rPr/>
        <w:t>existing</w:t>
      </w:r>
      <w:r>
        <w:rPr>
          <w:spacing w:val="-25"/>
        </w:rPr>
        <w:t> </w:t>
      </w:r>
      <w:r>
        <w:rPr/>
        <w:t>use</w:t>
      </w:r>
      <w:r>
        <w:rPr>
          <w:spacing w:val="-25"/>
        </w:rPr>
        <w:t> </w:t>
      </w:r>
      <w:r>
        <w:rPr/>
        <w:t>buildings</w:t>
      </w:r>
      <w:r>
        <w:rPr>
          <w:spacing w:val="-25"/>
        </w:rPr>
        <w:t> </w:t>
      </w:r>
      <w:r>
        <w:rPr>
          <w:spacing w:val="-9"/>
        </w:rPr>
        <w:t>is </w:t>
      </w:r>
      <w:r>
        <w:rPr/>
        <w:t>determined by reference to the cost of replacing the</w:t>
      </w:r>
      <w:r>
        <w:rPr>
          <w:spacing w:val="-26"/>
        </w:rPr>
        <w:t> </w:t>
      </w:r>
      <w:r>
        <w:rPr/>
        <w:t>remaining</w:t>
      </w:r>
      <w:r>
        <w:rPr>
          <w:spacing w:val="-26"/>
        </w:rPr>
        <w:t> </w:t>
      </w:r>
      <w:r>
        <w:rPr/>
        <w:t>future</w:t>
      </w:r>
      <w:r>
        <w:rPr>
          <w:spacing w:val="-26"/>
        </w:rPr>
        <w:t> </w:t>
      </w:r>
      <w:r>
        <w:rPr/>
        <w:t>economic</w:t>
      </w:r>
      <w:r>
        <w:rPr>
          <w:spacing w:val="-26"/>
        </w:rPr>
        <w:t> </w:t>
      </w:r>
      <w:r>
        <w:rPr/>
        <w:t>benefits</w:t>
      </w:r>
      <w:r>
        <w:rPr>
          <w:spacing w:val="-26"/>
        </w:rPr>
        <w:t> </w:t>
      </w:r>
      <w:r>
        <w:rPr/>
        <w:t>embodied in</w:t>
      </w:r>
      <w:r>
        <w:rPr>
          <w:spacing w:val="-15"/>
        </w:rPr>
        <w:t> </w:t>
      </w:r>
      <w:r>
        <w:rPr/>
        <w:t>the</w:t>
      </w:r>
      <w:r>
        <w:rPr>
          <w:spacing w:val="-15"/>
        </w:rPr>
        <w:t> </w:t>
      </w:r>
      <w:r>
        <w:rPr/>
        <w:t>asset,</w:t>
      </w:r>
      <w:r>
        <w:rPr>
          <w:spacing w:val="-15"/>
        </w:rPr>
        <w:t> </w:t>
      </w:r>
      <w:r>
        <w:rPr/>
        <w:t>that</w:t>
      </w:r>
      <w:r>
        <w:rPr>
          <w:spacing w:val="-15"/>
        </w:rPr>
        <w:t> </w:t>
      </w:r>
      <w:r>
        <w:rPr/>
        <w:t>is,</w:t>
      </w:r>
      <w:r>
        <w:rPr>
          <w:spacing w:val="-15"/>
        </w:rPr>
        <w:t> </w:t>
      </w:r>
      <w:r>
        <w:rPr/>
        <w:t>the</w:t>
      </w:r>
      <w:r>
        <w:rPr>
          <w:spacing w:val="-15"/>
        </w:rPr>
        <w:t> </w:t>
      </w:r>
      <w:r>
        <w:rPr/>
        <w:t>current</w:t>
      </w:r>
      <w:r>
        <w:rPr>
          <w:spacing w:val="-15"/>
        </w:rPr>
        <w:t> </w:t>
      </w:r>
      <w:r>
        <w:rPr/>
        <w:t>replacement</w:t>
      </w:r>
      <w:r>
        <w:rPr>
          <w:spacing w:val="-15"/>
        </w:rPr>
        <w:t> </w:t>
      </w:r>
      <w:r>
        <w:rPr/>
        <w:t>cost.</w:t>
      </w:r>
    </w:p>
    <w:p>
      <w:pPr>
        <w:pStyle w:val="BodyText"/>
        <w:spacing w:line="249" w:lineRule="auto" w:before="6"/>
        <w:ind w:left="407" w:right="156"/>
      </w:pPr>
      <w:r>
        <w:rPr/>
        <w:t>Where the fair value of buildings is determined on</w:t>
      </w:r>
      <w:r>
        <w:rPr>
          <w:spacing w:val="-15"/>
        </w:rPr>
        <w:t> </w:t>
      </w:r>
      <w:r>
        <w:rPr/>
        <w:t>the</w:t>
      </w:r>
      <w:r>
        <w:rPr>
          <w:spacing w:val="-15"/>
        </w:rPr>
        <w:t> </w:t>
      </w:r>
      <w:r>
        <w:rPr/>
        <w:t>current</w:t>
      </w:r>
      <w:r>
        <w:rPr>
          <w:spacing w:val="-14"/>
        </w:rPr>
        <w:t> </w:t>
      </w:r>
      <w:r>
        <w:rPr/>
        <w:t>replacement</w:t>
      </w:r>
      <w:r>
        <w:rPr>
          <w:spacing w:val="-15"/>
        </w:rPr>
        <w:t> </w:t>
      </w:r>
      <w:r>
        <w:rPr/>
        <w:t>cost</w:t>
      </w:r>
      <w:r>
        <w:rPr>
          <w:spacing w:val="-14"/>
        </w:rPr>
        <w:t> </w:t>
      </w:r>
      <w:r>
        <w:rPr/>
        <w:t>basis,</w:t>
      </w:r>
      <w:r>
        <w:rPr>
          <w:spacing w:val="-15"/>
        </w:rPr>
        <w:t> </w:t>
      </w:r>
      <w:r>
        <w:rPr/>
        <w:t>the</w:t>
      </w:r>
      <w:r>
        <w:rPr>
          <w:spacing w:val="-14"/>
        </w:rPr>
        <w:t> </w:t>
      </w:r>
      <w:r>
        <w:rPr>
          <w:spacing w:val="-5"/>
        </w:rPr>
        <w:t>gross </w:t>
      </w:r>
      <w:r>
        <w:rPr/>
        <w:t>carrying amount is adjusted in a manner that is consistent with the revaluation of the carrying amount of the asset and the accumulated depreciation is adjusted to equal the difference between the gross carrying amount and the carrying amount of the asset. Fair value for restricted</w:t>
      </w:r>
      <w:r>
        <w:rPr>
          <w:spacing w:val="-19"/>
        </w:rPr>
        <w:t> </w:t>
      </w:r>
      <w:r>
        <w:rPr/>
        <w:t>use</w:t>
      </w:r>
      <w:r>
        <w:rPr>
          <w:spacing w:val="-19"/>
        </w:rPr>
        <w:t> </w:t>
      </w:r>
      <w:r>
        <w:rPr/>
        <w:t>land</w:t>
      </w:r>
      <w:r>
        <w:rPr>
          <w:spacing w:val="-19"/>
        </w:rPr>
        <w:t> </w:t>
      </w:r>
      <w:r>
        <w:rPr/>
        <w:t>is</w:t>
      </w:r>
      <w:r>
        <w:rPr>
          <w:spacing w:val="-18"/>
        </w:rPr>
        <w:t> </w:t>
      </w:r>
      <w:r>
        <w:rPr/>
        <w:t>determined</w:t>
      </w:r>
      <w:r>
        <w:rPr>
          <w:spacing w:val="-19"/>
        </w:rPr>
        <w:t> </w:t>
      </w:r>
      <w:r>
        <w:rPr/>
        <w:t>by</w:t>
      </w:r>
      <w:r>
        <w:rPr>
          <w:spacing w:val="-19"/>
        </w:rPr>
        <w:t> </w:t>
      </w:r>
      <w:r>
        <w:rPr/>
        <w:t>comparison with market evidence for land with similar approximate utility (high restricted use land) or market value of comparable unrestricted land (low restricted use</w:t>
      </w:r>
      <w:r>
        <w:rPr>
          <w:spacing w:val="-8"/>
        </w:rPr>
        <w:t> </w:t>
      </w:r>
      <w:r>
        <w:rPr/>
        <w:t>land).</w:t>
      </w:r>
    </w:p>
    <w:p>
      <w:pPr>
        <w:pStyle w:val="BodyText"/>
        <w:rPr>
          <w:sz w:val="24"/>
        </w:rPr>
      </w:pPr>
    </w:p>
    <w:p>
      <w:pPr>
        <w:pStyle w:val="BodyText"/>
        <w:spacing w:line="249" w:lineRule="auto"/>
        <w:ind w:left="407" w:right="-7"/>
      </w:pPr>
      <w:r>
        <w:rPr/>
        <w:t>Land and buildings are independently valued annually by the Western Australian Land Information Authority (Valuations and Property Analytics)</w:t>
      </w:r>
      <w:r>
        <w:rPr>
          <w:spacing w:val="-24"/>
        </w:rPr>
        <w:t> </w:t>
      </w:r>
      <w:r>
        <w:rPr/>
        <w:t>and</w:t>
      </w:r>
      <w:r>
        <w:rPr>
          <w:spacing w:val="-24"/>
        </w:rPr>
        <w:t> </w:t>
      </w:r>
      <w:r>
        <w:rPr/>
        <w:t>recognised</w:t>
      </w:r>
      <w:r>
        <w:rPr>
          <w:spacing w:val="-24"/>
        </w:rPr>
        <w:t> </w:t>
      </w:r>
      <w:r>
        <w:rPr/>
        <w:t>annually</w:t>
      </w:r>
      <w:r>
        <w:rPr>
          <w:spacing w:val="-23"/>
        </w:rPr>
        <w:t> </w:t>
      </w:r>
      <w:r>
        <w:rPr/>
        <w:t>to</w:t>
      </w:r>
      <w:r>
        <w:rPr>
          <w:spacing w:val="-24"/>
        </w:rPr>
        <w:t> </w:t>
      </w:r>
      <w:r>
        <w:rPr/>
        <w:t>ensure</w:t>
      </w:r>
      <w:r>
        <w:rPr>
          <w:spacing w:val="-24"/>
        </w:rPr>
        <w:t> </w:t>
      </w:r>
      <w:r>
        <w:rPr/>
        <w:t>that the</w:t>
      </w:r>
      <w:r>
        <w:rPr>
          <w:spacing w:val="-22"/>
        </w:rPr>
        <w:t> </w:t>
      </w:r>
      <w:r>
        <w:rPr/>
        <w:t>carrying</w:t>
      </w:r>
      <w:r>
        <w:rPr>
          <w:spacing w:val="-21"/>
        </w:rPr>
        <w:t> </w:t>
      </w:r>
      <w:r>
        <w:rPr/>
        <w:t>amount</w:t>
      </w:r>
      <w:r>
        <w:rPr>
          <w:spacing w:val="-21"/>
        </w:rPr>
        <w:t> </w:t>
      </w:r>
      <w:r>
        <w:rPr/>
        <w:t>does</w:t>
      </w:r>
      <w:r>
        <w:rPr>
          <w:spacing w:val="-21"/>
        </w:rPr>
        <w:t> </w:t>
      </w:r>
      <w:r>
        <w:rPr/>
        <w:t>not</w:t>
      </w:r>
      <w:r>
        <w:rPr>
          <w:spacing w:val="-21"/>
        </w:rPr>
        <w:t> </w:t>
      </w:r>
      <w:r>
        <w:rPr/>
        <w:t>differ</w:t>
      </w:r>
      <w:r>
        <w:rPr>
          <w:spacing w:val="-21"/>
        </w:rPr>
        <w:t> </w:t>
      </w:r>
      <w:r>
        <w:rPr/>
        <w:t>materially</w:t>
      </w:r>
      <w:r>
        <w:rPr>
          <w:spacing w:val="-21"/>
        </w:rPr>
        <w:t> </w:t>
      </w:r>
      <w:r>
        <w:rPr>
          <w:spacing w:val="-6"/>
        </w:rPr>
        <w:t>from </w:t>
      </w:r>
      <w:r>
        <w:rPr/>
        <w:t>the </w:t>
      </w:r>
      <w:r>
        <w:rPr>
          <w:spacing w:val="-4"/>
        </w:rPr>
        <w:t>asset’s </w:t>
      </w:r>
      <w:r>
        <w:rPr/>
        <w:t>fair value at the end of the reporting period.</w:t>
      </w:r>
    </w:p>
    <w:p>
      <w:pPr>
        <w:pStyle w:val="BodyText"/>
        <w:spacing w:before="5"/>
        <w:rPr>
          <w:sz w:val="23"/>
        </w:rPr>
      </w:pPr>
      <w:r>
        <w:rPr/>
        <w:br w:type="column"/>
      </w:r>
      <w:r>
        <w:rPr>
          <w:sz w:val="23"/>
        </w:rPr>
      </w:r>
    </w:p>
    <w:p>
      <w:pPr>
        <w:pStyle w:val="BodyText"/>
        <w:spacing w:line="249" w:lineRule="auto"/>
        <w:ind w:left="460" w:right="827"/>
      </w:pPr>
      <w:r>
        <w:rPr/>
        <w:t>The</w:t>
      </w:r>
      <w:r>
        <w:rPr>
          <w:spacing w:val="-28"/>
        </w:rPr>
        <w:t> </w:t>
      </w:r>
      <w:r>
        <w:rPr/>
        <w:t>most</w:t>
      </w:r>
      <w:r>
        <w:rPr>
          <w:spacing w:val="-28"/>
        </w:rPr>
        <w:t> </w:t>
      </w:r>
      <w:r>
        <w:rPr/>
        <w:t>significant</w:t>
      </w:r>
      <w:r>
        <w:rPr>
          <w:spacing w:val="-28"/>
        </w:rPr>
        <w:t> </w:t>
      </w:r>
      <w:r>
        <w:rPr/>
        <w:t>assumptions</w:t>
      </w:r>
      <w:r>
        <w:rPr>
          <w:spacing w:val="-28"/>
        </w:rPr>
        <w:t> </w:t>
      </w:r>
      <w:r>
        <w:rPr/>
        <w:t>and</w:t>
      </w:r>
      <w:r>
        <w:rPr>
          <w:spacing w:val="-28"/>
        </w:rPr>
        <w:t> </w:t>
      </w:r>
      <w:r>
        <w:rPr/>
        <w:t>judgements in estimating fair value are made in assessing whether to apply the existing use basis to assets and in determining estimated economic</w:t>
      </w:r>
      <w:r>
        <w:rPr>
          <w:spacing w:val="-40"/>
        </w:rPr>
        <w:t> </w:t>
      </w:r>
      <w:r>
        <w:rPr/>
        <w:t>life.</w:t>
      </w:r>
    </w:p>
    <w:p>
      <w:pPr>
        <w:pStyle w:val="BodyText"/>
        <w:spacing w:line="249" w:lineRule="auto" w:before="4"/>
        <w:ind w:left="460" w:right="1057"/>
      </w:pPr>
      <w:r>
        <w:rPr/>
        <w:t>Professional</w:t>
      </w:r>
      <w:r>
        <w:rPr>
          <w:spacing w:val="-30"/>
        </w:rPr>
        <w:t> </w:t>
      </w:r>
      <w:r>
        <w:rPr/>
        <w:t>judgement</w:t>
      </w:r>
      <w:r>
        <w:rPr>
          <w:spacing w:val="-29"/>
        </w:rPr>
        <w:t> </w:t>
      </w:r>
      <w:r>
        <w:rPr/>
        <w:t>by</w:t>
      </w:r>
      <w:r>
        <w:rPr>
          <w:spacing w:val="-29"/>
        </w:rPr>
        <w:t> </w:t>
      </w:r>
      <w:r>
        <w:rPr/>
        <w:t>the</w:t>
      </w:r>
      <w:r>
        <w:rPr>
          <w:spacing w:val="-29"/>
        </w:rPr>
        <w:t> </w:t>
      </w:r>
      <w:r>
        <w:rPr/>
        <w:t>valuer</w:t>
      </w:r>
      <w:r>
        <w:rPr>
          <w:spacing w:val="-29"/>
        </w:rPr>
        <w:t> </w:t>
      </w:r>
      <w:r>
        <w:rPr/>
        <w:t>is</w:t>
      </w:r>
      <w:r>
        <w:rPr>
          <w:spacing w:val="-29"/>
        </w:rPr>
        <w:t> </w:t>
      </w:r>
      <w:r>
        <w:rPr>
          <w:spacing w:val="-3"/>
        </w:rPr>
        <w:t>required </w:t>
      </w:r>
      <w:r>
        <w:rPr/>
        <w:t>where the evidence does not provide a clear distinction between market type assets and existing use</w:t>
      </w:r>
      <w:r>
        <w:rPr>
          <w:spacing w:val="-4"/>
        </w:rPr>
        <w:t> </w:t>
      </w:r>
      <w:r>
        <w:rPr/>
        <w:t>assets.</w:t>
      </w:r>
    </w:p>
    <w:p>
      <w:pPr>
        <w:pStyle w:val="BodyText"/>
        <w:spacing w:before="2"/>
        <w:rPr>
          <w:sz w:val="23"/>
        </w:rPr>
      </w:pPr>
    </w:p>
    <w:p>
      <w:pPr>
        <w:pStyle w:val="BodyText"/>
        <w:spacing w:line="249" w:lineRule="auto" w:before="1"/>
        <w:ind w:left="460" w:right="811"/>
      </w:pPr>
      <w:r>
        <w:rPr/>
        <w:t>See also Note 24 </w:t>
      </w:r>
      <w:r>
        <w:rPr>
          <w:spacing w:val="-3"/>
        </w:rPr>
        <w:t>‘Property, </w:t>
      </w:r>
      <w:r>
        <w:rPr/>
        <w:t>plant, equipment </w:t>
      </w:r>
      <w:r>
        <w:rPr>
          <w:spacing w:val="-6"/>
        </w:rPr>
        <w:t>and </w:t>
      </w:r>
      <w:r>
        <w:rPr/>
        <w:t>vehicles’ for further information on revaluations.</w:t>
      </w:r>
    </w:p>
    <w:p>
      <w:pPr>
        <w:pStyle w:val="BodyText"/>
        <w:spacing w:before="1"/>
        <w:rPr>
          <w:sz w:val="23"/>
        </w:rPr>
      </w:pPr>
    </w:p>
    <w:p>
      <w:pPr>
        <w:spacing w:before="0"/>
        <w:ind w:left="460" w:right="0" w:firstLine="0"/>
        <w:jc w:val="left"/>
        <w:rPr>
          <w:i/>
          <w:sz w:val="22"/>
        </w:rPr>
      </w:pPr>
      <w:r>
        <w:rPr>
          <w:i/>
          <w:color w:val="6F2770"/>
          <w:sz w:val="22"/>
        </w:rPr>
        <w:t>De-recognition</w:t>
      </w:r>
    </w:p>
    <w:p>
      <w:pPr>
        <w:pStyle w:val="BodyText"/>
        <w:spacing w:line="249" w:lineRule="auto" w:before="11"/>
        <w:ind w:left="460" w:right="1188"/>
      </w:pPr>
      <w:r>
        <w:rPr/>
        <w:t>Upon disposal or de-recognition of an item of </w:t>
      </w:r>
      <w:r>
        <w:rPr>
          <w:spacing w:val="-3"/>
        </w:rPr>
        <w:t>property,</w:t>
      </w:r>
      <w:r>
        <w:rPr>
          <w:spacing w:val="-22"/>
        </w:rPr>
        <w:t> </w:t>
      </w:r>
      <w:r>
        <w:rPr/>
        <w:t>plant</w:t>
      </w:r>
      <w:r>
        <w:rPr>
          <w:spacing w:val="-22"/>
        </w:rPr>
        <w:t> </w:t>
      </w:r>
      <w:r>
        <w:rPr/>
        <w:t>and</w:t>
      </w:r>
      <w:r>
        <w:rPr>
          <w:spacing w:val="-22"/>
        </w:rPr>
        <w:t> </w:t>
      </w:r>
      <w:r>
        <w:rPr/>
        <w:t>equipment,</w:t>
      </w:r>
      <w:r>
        <w:rPr>
          <w:spacing w:val="-22"/>
        </w:rPr>
        <w:t> </w:t>
      </w:r>
      <w:r>
        <w:rPr/>
        <w:t>any</w:t>
      </w:r>
      <w:r>
        <w:rPr>
          <w:spacing w:val="-22"/>
        </w:rPr>
        <w:t> </w:t>
      </w:r>
      <w:r>
        <w:rPr>
          <w:spacing w:val="-3"/>
        </w:rPr>
        <w:t>revaluation </w:t>
      </w:r>
      <w:r>
        <w:rPr/>
        <w:t>surplus</w:t>
      </w:r>
      <w:r>
        <w:rPr>
          <w:spacing w:val="-16"/>
        </w:rPr>
        <w:t> </w:t>
      </w:r>
      <w:r>
        <w:rPr/>
        <w:t>relating</w:t>
      </w:r>
      <w:r>
        <w:rPr>
          <w:spacing w:val="-16"/>
        </w:rPr>
        <w:t> </w:t>
      </w:r>
      <w:r>
        <w:rPr/>
        <w:t>to</w:t>
      </w:r>
      <w:r>
        <w:rPr>
          <w:spacing w:val="-16"/>
        </w:rPr>
        <w:t> </w:t>
      </w:r>
      <w:r>
        <w:rPr/>
        <w:t>that</w:t>
      </w:r>
      <w:r>
        <w:rPr>
          <w:spacing w:val="-16"/>
        </w:rPr>
        <w:t> </w:t>
      </w:r>
      <w:r>
        <w:rPr/>
        <w:t>asset</w:t>
      </w:r>
      <w:r>
        <w:rPr>
          <w:spacing w:val="-16"/>
        </w:rPr>
        <w:t> </w:t>
      </w:r>
      <w:r>
        <w:rPr/>
        <w:t>is</w:t>
      </w:r>
      <w:r>
        <w:rPr>
          <w:spacing w:val="-16"/>
        </w:rPr>
        <w:t> </w:t>
      </w:r>
      <w:r>
        <w:rPr/>
        <w:t>retained</w:t>
      </w:r>
      <w:r>
        <w:rPr>
          <w:spacing w:val="-16"/>
        </w:rPr>
        <w:t> </w:t>
      </w:r>
      <w:r>
        <w:rPr/>
        <w:t>in</w:t>
      </w:r>
      <w:r>
        <w:rPr>
          <w:spacing w:val="-16"/>
        </w:rPr>
        <w:t> </w:t>
      </w:r>
      <w:r>
        <w:rPr/>
        <w:t>the asset revaluation</w:t>
      </w:r>
      <w:r>
        <w:rPr>
          <w:spacing w:val="-7"/>
        </w:rPr>
        <w:t> </w:t>
      </w:r>
      <w:r>
        <w:rPr/>
        <w:t>surplus.</w:t>
      </w:r>
    </w:p>
    <w:p>
      <w:pPr>
        <w:pStyle w:val="BodyText"/>
        <w:spacing w:before="3"/>
        <w:rPr>
          <w:sz w:val="23"/>
        </w:rPr>
      </w:pPr>
    </w:p>
    <w:p>
      <w:pPr>
        <w:spacing w:before="0"/>
        <w:ind w:left="460" w:right="0" w:firstLine="0"/>
        <w:jc w:val="left"/>
        <w:rPr>
          <w:i/>
          <w:sz w:val="22"/>
        </w:rPr>
      </w:pPr>
      <w:r>
        <w:rPr>
          <w:i/>
          <w:color w:val="6F2770"/>
          <w:w w:val="95"/>
          <w:sz w:val="22"/>
        </w:rPr>
        <w:t>Asset revaluation</w:t>
      </w:r>
      <w:r>
        <w:rPr>
          <w:i/>
          <w:color w:val="6F2770"/>
          <w:spacing w:val="19"/>
          <w:w w:val="95"/>
          <w:sz w:val="22"/>
        </w:rPr>
        <w:t> </w:t>
      </w:r>
      <w:r>
        <w:rPr>
          <w:i/>
          <w:color w:val="6F2770"/>
          <w:w w:val="95"/>
          <w:sz w:val="22"/>
        </w:rPr>
        <w:t>surplus</w:t>
      </w:r>
    </w:p>
    <w:p>
      <w:pPr>
        <w:pStyle w:val="BodyText"/>
        <w:spacing w:line="249" w:lineRule="auto" w:before="11"/>
        <w:ind w:left="460" w:right="964"/>
      </w:pPr>
      <w:r>
        <w:rPr/>
        <w:t>The asset revaluation surplus is used to record increments</w:t>
      </w:r>
      <w:r>
        <w:rPr>
          <w:spacing w:val="-24"/>
        </w:rPr>
        <w:t> </w:t>
      </w:r>
      <w:r>
        <w:rPr/>
        <w:t>and</w:t>
      </w:r>
      <w:r>
        <w:rPr>
          <w:spacing w:val="-24"/>
        </w:rPr>
        <w:t> </w:t>
      </w:r>
      <w:r>
        <w:rPr/>
        <w:t>decrements</w:t>
      </w:r>
      <w:r>
        <w:rPr>
          <w:spacing w:val="-23"/>
        </w:rPr>
        <w:t> </w:t>
      </w:r>
      <w:r>
        <w:rPr/>
        <w:t>on</w:t>
      </w:r>
      <w:r>
        <w:rPr>
          <w:spacing w:val="-24"/>
        </w:rPr>
        <w:t> </w:t>
      </w:r>
      <w:r>
        <w:rPr/>
        <w:t>the</w:t>
      </w:r>
      <w:r>
        <w:rPr>
          <w:spacing w:val="-24"/>
        </w:rPr>
        <w:t> </w:t>
      </w:r>
      <w:r>
        <w:rPr/>
        <w:t>revaluation</w:t>
      </w:r>
      <w:r>
        <w:rPr>
          <w:spacing w:val="-23"/>
        </w:rPr>
        <w:t> </w:t>
      </w:r>
      <w:r>
        <w:rPr>
          <w:spacing w:val="-9"/>
        </w:rPr>
        <w:t>of </w:t>
      </w:r>
      <w:r>
        <w:rPr/>
        <w:t>non-current</w:t>
      </w:r>
      <w:r>
        <w:rPr>
          <w:spacing w:val="-11"/>
        </w:rPr>
        <w:t> </w:t>
      </w:r>
      <w:r>
        <w:rPr/>
        <w:t>assets</w:t>
      </w:r>
      <w:r>
        <w:rPr>
          <w:spacing w:val="-11"/>
        </w:rPr>
        <w:t> </w:t>
      </w:r>
      <w:r>
        <w:rPr/>
        <w:t>on</w:t>
      </w:r>
      <w:r>
        <w:rPr>
          <w:spacing w:val="-11"/>
        </w:rPr>
        <w:t> </w:t>
      </w:r>
      <w:r>
        <w:rPr/>
        <w:t>a</w:t>
      </w:r>
      <w:r>
        <w:rPr>
          <w:spacing w:val="-11"/>
        </w:rPr>
        <w:t> </w:t>
      </w:r>
      <w:r>
        <w:rPr/>
        <w:t>class</w:t>
      </w:r>
      <w:r>
        <w:rPr>
          <w:spacing w:val="-10"/>
        </w:rPr>
        <w:t> </w:t>
      </w:r>
      <w:r>
        <w:rPr/>
        <w:t>of</w:t>
      </w:r>
      <w:r>
        <w:rPr>
          <w:spacing w:val="-11"/>
        </w:rPr>
        <w:t> </w:t>
      </w:r>
      <w:r>
        <w:rPr/>
        <w:t>assets</w:t>
      </w:r>
      <w:r>
        <w:rPr>
          <w:spacing w:val="-11"/>
        </w:rPr>
        <w:t> </w:t>
      </w:r>
      <w:r>
        <w:rPr/>
        <w:t>basis.</w:t>
      </w:r>
    </w:p>
    <w:p>
      <w:pPr>
        <w:pStyle w:val="BodyText"/>
        <w:spacing w:before="2"/>
        <w:rPr>
          <w:sz w:val="23"/>
        </w:rPr>
      </w:pPr>
    </w:p>
    <w:p>
      <w:pPr>
        <w:spacing w:before="0"/>
        <w:ind w:left="460" w:right="0" w:firstLine="0"/>
        <w:jc w:val="left"/>
        <w:rPr>
          <w:i/>
          <w:sz w:val="22"/>
        </w:rPr>
      </w:pPr>
      <w:r>
        <w:rPr>
          <w:i/>
          <w:color w:val="6F2770"/>
          <w:sz w:val="22"/>
        </w:rPr>
        <w:t>Depreciation</w:t>
      </w:r>
    </w:p>
    <w:p>
      <w:pPr>
        <w:pStyle w:val="BodyText"/>
        <w:spacing w:line="249" w:lineRule="auto" w:before="11"/>
        <w:ind w:left="460" w:right="1378"/>
      </w:pPr>
      <w:r>
        <w:rPr/>
        <w:t>All</w:t>
      </w:r>
      <w:r>
        <w:rPr>
          <w:spacing w:val="-27"/>
        </w:rPr>
        <w:t> </w:t>
      </w:r>
      <w:r>
        <w:rPr/>
        <w:t>non-current</w:t>
      </w:r>
      <w:r>
        <w:rPr>
          <w:spacing w:val="-26"/>
        </w:rPr>
        <w:t> </w:t>
      </w:r>
      <w:r>
        <w:rPr/>
        <w:t>assets</w:t>
      </w:r>
      <w:r>
        <w:rPr>
          <w:spacing w:val="-27"/>
        </w:rPr>
        <w:t> </w:t>
      </w:r>
      <w:r>
        <w:rPr/>
        <w:t>having</w:t>
      </w:r>
      <w:r>
        <w:rPr>
          <w:spacing w:val="-26"/>
        </w:rPr>
        <w:t> </w:t>
      </w:r>
      <w:r>
        <w:rPr/>
        <w:t>a</w:t>
      </w:r>
      <w:r>
        <w:rPr>
          <w:spacing w:val="-26"/>
        </w:rPr>
        <w:t> </w:t>
      </w:r>
      <w:r>
        <w:rPr/>
        <w:t>limited</w:t>
      </w:r>
      <w:r>
        <w:rPr>
          <w:spacing w:val="-27"/>
        </w:rPr>
        <w:t> </w:t>
      </w:r>
      <w:r>
        <w:rPr>
          <w:spacing w:val="-3"/>
        </w:rPr>
        <w:t>useful </w:t>
      </w:r>
      <w:r>
        <w:rPr/>
        <w:t>life</w:t>
      </w:r>
      <w:r>
        <w:rPr>
          <w:spacing w:val="-28"/>
        </w:rPr>
        <w:t> </w:t>
      </w:r>
      <w:r>
        <w:rPr/>
        <w:t>are</w:t>
      </w:r>
      <w:r>
        <w:rPr>
          <w:spacing w:val="-27"/>
        </w:rPr>
        <w:t> </w:t>
      </w:r>
      <w:r>
        <w:rPr/>
        <w:t>systematically</w:t>
      </w:r>
      <w:r>
        <w:rPr>
          <w:spacing w:val="-27"/>
        </w:rPr>
        <w:t> </w:t>
      </w:r>
      <w:r>
        <w:rPr/>
        <w:t>depreciated</w:t>
      </w:r>
      <w:r>
        <w:rPr>
          <w:spacing w:val="-28"/>
        </w:rPr>
        <w:t> </w:t>
      </w:r>
      <w:r>
        <w:rPr/>
        <w:t>over</w:t>
      </w:r>
      <w:r>
        <w:rPr>
          <w:spacing w:val="-27"/>
        </w:rPr>
        <w:t> </w:t>
      </w:r>
      <w:r>
        <w:rPr/>
        <w:t>their</w:t>
      </w:r>
    </w:p>
    <w:p>
      <w:pPr>
        <w:pStyle w:val="BodyText"/>
        <w:spacing w:line="249" w:lineRule="auto" w:before="2"/>
        <w:ind w:left="460" w:right="874"/>
      </w:pPr>
      <w:r>
        <w:rPr/>
        <w:t>estimated</w:t>
      </w:r>
      <w:r>
        <w:rPr>
          <w:spacing w:val="-23"/>
        </w:rPr>
        <w:t> </w:t>
      </w:r>
      <w:r>
        <w:rPr/>
        <w:t>useful</w:t>
      </w:r>
      <w:r>
        <w:rPr>
          <w:spacing w:val="-23"/>
        </w:rPr>
        <w:t> </w:t>
      </w:r>
      <w:r>
        <w:rPr/>
        <w:t>lives</w:t>
      </w:r>
      <w:r>
        <w:rPr>
          <w:spacing w:val="-22"/>
        </w:rPr>
        <w:t> </w:t>
      </w:r>
      <w:r>
        <w:rPr/>
        <w:t>in</w:t>
      </w:r>
      <w:r>
        <w:rPr>
          <w:spacing w:val="-23"/>
        </w:rPr>
        <w:t> </w:t>
      </w:r>
      <w:r>
        <w:rPr/>
        <w:t>a</w:t>
      </w:r>
      <w:r>
        <w:rPr>
          <w:spacing w:val="-22"/>
        </w:rPr>
        <w:t> </w:t>
      </w:r>
      <w:r>
        <w:rPr/>
        <w:t>manner</w:t>
      </w:r>
      <w:r>
        <w:rPr>
          <w:spacing w:val="-23"/>
        </w:rPr>
        <w:t> </w:t>
      </w:r>
      <w:r>
        <w:rPr/>
        <w:t>that</w:t>
      </w:r>
      <w:r>
        <w:rPr>
          <w:spacing w:val="-22"/>
        </w:rPr>
        <w:t> </w:t>
      </w:r>
      <w:r>
        <w:rPr/>
        <w:t>reflects</w:t>
      </w:r>
      <w:r>
        <w:rPr>
          <w:spacing w:val="-23"/>
        </w:rPr>
        <w:t> </w:t>
      </w:r>
      <w:r>
        <w:rPr>
          <w:spacing w:val="-6"/>
        </w:rPr>
        <w:t>the </w:t>
      </w:r>
      <w:r>
        <w:rPr/>
        <w:t>consumption</w:t>
      </w:r>
      <w:r>
        <w:rPr>
          <w:spacing w:val="-11"/>
        </w:rPr>
        <w:t> </w:t>
      </w:r>
      <w:r>
        <w:rPr/>
        <w:t>of</w:t>
      </w:r>
      <w:r>
        <w:rPr>
          <w:spacing w:val="-10"/>
        </w:rPr>
        <w:t> </w:t>
      </w:r>
      <w:r>
        <w:rPr/>
        <w:t>their</w:t>
      </w:r>
      <w:r>
        <w:rPr>
          <w:spacing w:val="-10"/>
        </w:rPr>
        <w:t> </w:t>
      </w:r>
      <w:r>
        <w:rPr/>
        <w:t>future</w:t>
      </w:r>
      <w:r>
        <w:rPr>
          <w:spacing w:val="-11"/>
        </w:rPr>
        <w:t> </w:t>
      </w:r>
      <w:r>
        <w:rPr/>
        <w:t>economic</w:t>
      </w:r>
      <w:r>
        <w:rPr>
          <w:spacing w:val="-10"/>
        </w:rPr>
        <w:t> </w:t>
      </w:r>
      <w:r>
        <w:rPr/>
        <w:t>benefits.</w:t>
      </w:r>
    </w:p>
    <w:p>
      <w:pPr>
        <w:spacing w:after="0" w:line="249" w:lineRule="auto"/>
        <w:sectPr>
          <w:type w:val="continuous"/>
          <w:pgSz w:w="16840" w:h="11910" w:orient="landscape"/>
          <w:pgMar w:top="1100" w:bottom="280" w:left="0" w:right="0"/>
          <w:cols w:num="3" w:equalWidth="0">
            <w:col w:w="5562" w:space="40"/>
            <w:col w:w="5152" w:space="39"/>
            <w:col w:w="6047"/>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sz w:val="23"/>
        </w:rPr>
      </w:pPr>
    </w:p>
    <w:p>
      <w:pPr>
        <w:pStyle w:val="Heading1"/>
        <w:ind w:left="785"/>
      </w:pPr>
      <w:r>
        <w:rPr/>
        <w:pict>
          <v:group style="position:absolute;margin-left:481.080994pt;margin-top:-57.499214pt;width:360.85pt;height:130.65pt;mso-position-horizontal-relative:page;mso-position-vertical-relative:paragraph;z-index:-699256"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3264" type="#_x0000_t202" filled="false"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3288"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331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rPr>
          <w:sz w:val="20"/>
        </w:rPr>
      </w:pPr>
    </w:p>
    <w:p>
      <w:pPr>
        <w:spacing w:after="0"/>
        <w:rPr>
          <w:sz w:val="20"/>
        </w:rPr>
        <w:sectPr>
          <w:footerReference w:type="default" r:id="rId146"/>
          <w:pgSz w:w="16840" w:h="11910" w:orient="landscape"/>
          <w:pgMar w:footer="774" w:header="0" w:top="0" w:bottom="960" w:left="0" w:right="0"/>
        </w:sectPr>
      </w:pPr>
    </w:p>
    <w:p>
      <w:pPr>
        <w:pStyle w:val="BodyText"/>
        <w:spacing w:before="5"/>
        <w:rPr>
          <w:sz w:val="23"/>
        </w:rPr>
      </w:pPr>
    </w:p>
    <w:p>
      <w:pPr>
        <w:pStyle w:val="BodyText"/>
        <w:spacing w:line="249" w:lineRule="auto"/>
        <w:ind w:left="785" w:right="179"/>
      </w:pPr>
      <w:r>
        <w:rPr/>
        <w:t>State Fleet motor vehicles are leased to other agencies</w:t>
      </w:r>
      <w:r>
        <w:rPr>
          <w:spacing w:val="-26"/>
        </w:rPr>
        <w:t> </w:t>
      </w:r>
      <w:r>
        <w:rPr/>
        <w:t>mainly</w:t>
      </w:r>
      <w:r>
        <w:rPr>
          <w:spacing w:val="-25"/>
        </w:rPr>
        <w:t> </w:t>
      </w:r>
      <w:r>
        <w:rPr/>
        <w:t>as</w:t>
      </w:r>
      <w:r>
        <w:rPr>
          <w:spacing w:val="-26"/>
        </w:rPr>
        <w:t> </w:t>
      </w:r>
      <w:r>
        <w:rPr/>
        <w:t>operating</w:t>
      </w:r>
      <w:r>
        <w:rPr>
          <w:spacing w:val="-25"/>
        </w:rPr>
        <w:t> </w:t>
      </w:r>
      <w:r>
        <w:rPr/>
        <w:t>leases.</w:t>
      </w:r>
      <w:r>
        <w:rPr>
          <w:spacing w:val="-26"/>
        </w:rPr>
        <w:t> </w:t>
      </w:r>
      <w:r>
        <w:rPr>
          <w:spacing w:val="-5"/>
        </w:rPr>
        <w:t>Taking</w:t>
      </w:r>
      <w:r>
        <w:rPr>
          <w:spacing w:val="-25"/>
        </w:rPr>
        <w:t> </w:t>
      </w:r>
      <w:r>
        <w:rPr/>
        <w:t>into account the residual values, the vehicles are depreciated</w:t>
      </w:r>
      <w:r>
        <w:rPr>
          <w:spacing w:val="-18"/>
        </w:rPr>
        <w:t> </w:t>
      </w:r>
      <w:r>
        <w:rPr/>
        <w:t>on</w:t>
      </w:r>
      <w:r>
        <w:rPr>
          <w:spacing w:val="-17"/>
        </w:rPr>
        <w:t> </w:t>
      </w:r>
      <w:r>
        <w:rPr/>
        <w:t>a</w:t>
      </w:r>
      <w:r>
        <w:rPr>
          <w:spacing w:val="-18"/>
        </w:rPr>
        <w:t> </w:t>
      </w:r>
      <w:r>
        <w:rPr/>
        <w:t>straight</w:t>
      </w:r>
      <w:r>
        <w:rPr>
          <w:spacing w:val="-17"/>
        </w:rPr>
        <w:t> </w:t>
      </w:r>
      <w:r>
        <w:rPr/>
        <w:t>line</w:t>
      </w:r>
      <w:r>
        <w:rPr>
          <w:spacing w:val="-18"/>
        </w:rPr>
        <w:t> </w:t>
      </w:r>
      <w:r>
        <w:rPr/>
        <w:t>basis</w:t>
      </w:r>
      <w:r>
        <w:rPr>
          <w:spacing w:val="-17"/>
        </w:rPr>
        <w:t> </w:t>
      </w:r>
      <w:r>
        <w:rPr/>
        <w:t>over</w:t>
      </w:r>
      <w:r>
        <w:rPr>
          <w:spacing w:val="-18"/>
        </w:rPr>
        <w:t> </w:t>
      </w:r>
      <w:r>
        <w:rPr/>
        <w:t>the</w:t>
      </w:r>
      <w:r>
        <w:rPr>
          <w:spacing w:val="-17"/>
        </w:rPr>
        <w:t> </w:t>
      </w:r>
      <w:r>
        <w:rPr>
          <w:spacing w:val="-5"/>
        </w:rPr>
        <w:t>term </w:t>
      </w:r>
      <w:r>
        <w:rPr/>
        <w:t>of the vehicle</w:t>
      </w:r>
      <w:r>
        <w:rPr>
          <w:spacing w:val="-6"/>
        </w:rPr>
        <w:t> </w:t>
      </w:r>
      <w:r>
        <w:rPr/>
        <w:t>lease.</w:t>
      </w:r>
    </w:p>
    <w:p>
      <w:pPr>
        <w:pStyle w:val="BodyText"/>
        <w:spacing w:before="4"/>
        <w:rPr>
          <w:sz w:val="23"/>
        </w:rPr>
      </w:pPr>
    </w:p>
    <w:p>
      <w:pPr>
        <w:pStyle w:val="BodyText"/>
        <w:spacing w:line="249" w:lineRule="auto"/>
        <w:ind w:left="785" w:right="-15"/>
      </w:pPr>
      <w:r>
        <w:rPr/>
        <w:t>Depreciation is calculated using the straight line method, using rates which are reviewed </w:t>
      </w:r>
      <w:r>
        <w:rPr>
          <w:spacing w:val="-3"/>
        </w:rPr>
        <w:t>annually. </w:t>
      </w:r>
      <w:r>
        <w:rPr/>
        <w:t>Estimated</w:t>
      </w:r>
      <w:r>
        <w:rPr>
          <w:spacing w:val="-25"/>
        </w:rPr>
        <w:t> </w:t>
      </w:r>
      <w:r>
        <w:rPr/>
        <w:t>useful</w:t>
      </w:r>
      <w:r>
        <w:rPr>
          <w:spacing w:val="-24"/>
        </w:rPr>
        <w:t> </w:t>
      </w:r>
      <w:r>
        <w:rPr/>
        <w:t>lives</w:t>
      </w:r>
      <w:r>
        <w:rPr>
          <w:spacing w:val="-25"/>
        </w:rPr>
        <w:t> </w:t>
      </w:r>
      <w:r>
        <w:rPr/>
        <w:t>for</w:t>
      </w:r>
      <w:r>
        <w:rPr>
          <w:spacing w:val="-25"/>
        </w:rPr>
        <w:t> </w:t>
      </w:r>
      <w:r>
        <w:rPr/>
        <w:t>each</w:t>
      </w:r>
      <w:r>
        <w:rPr>
          <w:spacing w:val="-24"/>
        </w:rPr>
        <w:t> </w:t>
      </w:r>
      <w:r>
        <w:rPr/>
        <w:t>class</w:t>
      </w:r>
      <w:r>
        <w:rPr>
          <w:spacing w:val="-25"/>
        </w:rPr>
        <w:t> </w:t>
      </w:r>
      <w:r>
        <w:rPr/>
        <w:t>of</w:t>
      </w:r>
      <w:r>
        <w:rPr>
          <w:spacing w:val="-24"/>
        </w:rPr>
        <w:t> </w:t>
      </w:r>
      <w:r>
        <w:rPr>
          <w:spacing w:val="-3"/>
        </w:rPr>
        <w:t>depreciable </w:t>
      </w:r>
      <w:r>
        <w:rPr/>
        <w:t>asset</w:t>
      </w:r>
      <w:r>
        <w:rPr>
          <w:spacing w:val="-1"/>
        </w:rPr>
        <w:t> </w:t>
      </w:r>
      <w:r>
        <w:rPr/>
        <w:t>are:</w:t>
      </w:r>
    </w:p>
    <w:p>
      <w:pPr>
        <w:pStyle w:val="BodyText"/>
        <w:spacing w:before="6"/>
        <w:rPr>
          <w:sz w:val="24"/>
        </w:rPr>
      </w:pPr>
    </w:p>
    <w:p>
      <w:pPr>
        <w:pStyle w:val="BodyText"/>
        <w:tabs>
          <w:tab w:pos="3184" w:val="left" w:leader="none"/>
        </w:tabs>
        <w:ind w:left="765"/>
      </w:pPr>
      <w:r>
        <w:rPr>
          <w:spacing w:val="-4"/>
        </w:rPr>
        <w:t>Buildings</w:t>
        <w:tab/>
      </w:r>
      <w:r>
        <w:rPr/>
        <w:t>30 to 40</w:t>
      </w:r>
      <w:r>
        <w:rPr>
          <w:spacing w:val="-27"/>
        </w:rPr>
        <w:t> </w:t>
      </w:r>
      <w:r>
        <w:rPr>
          <w:spacing w:val="-4"/>
        </w:rPr>
        <w:t>years</w:t>
      </w:r>
    </w:p>
    <w:p>
      <w:pPr>
        <w:pStyle w:val="BodyText"/>
        <w:tabs>
          <w:tab w:pos="3184" w:val="left" w:leader="none"/>
        </w:tabs>
        <w:spacing w:line="290" w:lineRule="auto" w:before="35"/>
        <w:ind w:left="765" w:right="1075"/>
      </w:pPr>
      <w:r>
        <w:rPr>
          <w:spacing w:val="-4"/>
        </w:rPr>
        <w:t>Heritage</w:t>
      </w:r>
      <w:r>
        <w:rPr>
          <w:spacing w:val="-24"/>
        </w:rPr>
        <w:t> </w:t>
      </w:r>
      <w:r>
        <w:rPr>
          <w:spacing w:val="-4"/>
        </w:rPr>
        <w:t>assets</w:t>
        <w:tab/>
      </w:r>
      <w:r>
        <w:rPr>
          <w:spacing w:val="-3"/>
        </w:rPr>
        <w:t>100 </w:t>
      </w:r>
      <w:r>
        <w:rPr>
          <w:spacing w:val="-4"/>
        </w:rPr>
        <w:t>years Plant</w:t>
      </w:r>
      <w:r>
        <w:rPr>
          <w:spacing w:val="-18"/>
        </w:rPr>
        <w:t> </w:t>
      </w:r>
      <w:r>
        <w:rPr>
          <w:spacing w:val="-3"/>
        </w:rPr>
        <w:t>and</w:t>
      </w:r>
      <w:r>
        <w:rPr>
          <w:spacing w:val="-17"/>
        </w:rPr>
        <w:t> </w:t>
      </w:r>
      <w:r>
        <w:rPr>
          <w:spacing w:val="-4"/>
        </w:rPr>
        <w:t>equipment</w:t>
        <w:tab/>
      </w:r>
      <w:r>
        <w:rPr/>
        <w:t>10</w:t>
      </w:r>
      <w:r>
        <w:rPr>
          <w:spacing w:val="-20"/>
        </w:rPr>
        <w:t> </w:t>
      </w:r>
      <w:r>
        <w:rPr/>
        <w:t>to</w:t>
      </w:r>
      <w:r>
        <w:rPr>
          <w:spacing w:val="-20"/>
        </w:rPr>
        <w:t> </w:t>
      </w:r>
      <w:r>
        <w:rPr/>
        <w:t>15</w:t>
      </w:r>
      <w:r>
        <w:rPr>
          <w:spacing w:val="-20"/>
        </w:rPr>
        <w:t> </w:t>
      </w:r>
      <w:r>
        <w:rPr>
          <w:spacing w:val="-4"/>
        </w:rPr>
        <w:t>years Office</w:t>
      </w:r>
      <w:r>
        <w:rPr>
          <w:spacing w:val="-20"/>
        </w:rPr>
        <w:t> </w:t>
      </w:r>
      <w:r>
        <w:rPr>
          <w:spacing w:val="-4"/>
        </w:rPr>
        <w:t>equipment</w:t>
        <w:tab/>
      </w:r>
      <w:r>
        <w:rPr/>
        <w:t>5</w:t>
      </w:r>
      <w:r>
        <w:rPr>
          <w:spacing w:val="-9"/>
        </w:rPr>
        <w:t> </w:t>
      </w:r>
      <w:r>
        <w:rPr>
          <w:spacing w:val="-4"/>
        </w:rPr>
        <w:t>years</w:t>
      </w:r>
    </w:p>
    <w:p>
      <w:pPr>
        <w:pStyle w:val="BodyText"/>
        <w:tabs>
          <w:tab w:pos="3184" w:val="left" w:leader="none"/>
        </w:tabs>
        <w:spacing w:line="237" w:lineRule="exact"/>
        <w:ind w:left="765"/>
      </w:pPr>
      <w:r>
        <w:rPr>
          <w:spacing w:val="-4"/>
        </w:rPr>
        <w:t>Software</w:t>
      </w:r>
      <w:r>
        <w:rPr>
          <w:spacing w:val="-23"/>
        </w:rPr>
        <w:t> </w:t>
      </w:r>
      <w:r>
        <w:rPr>
          <w:position w:val="8"/>
          <w:sz w:val="10"/>
        </w:rPr>
        <w:t>(a)</w:t>
        <w:tab/>
      </w:r>
      <w:r>
        <w:rPr/>
        <w:t>3 to 10</w:t>
      </w:r>
      <w:r>
        <w:rPr>
          <w:spacing w:val="-25"/>
        </w:rPr>
        <w:t> </w:t>
      </w:r>
      <w:r>
        <w:rPr>
          <w:spacing w:val="-4"/>
        </w:rPr>
        <w:t>years</w:t>
      </w:r>
    </w:p>
    <w:p>
      <w:pPr>
        <w:pStyle w:val="BodyText"/>
        <w:tabs>
          <w:tab w:pos="3184" w:val="left" w:leader="none"/>
        </w:tabs>
        <w:spacing w:line="249" w:lineRule="auto" w:before="34"/>
        <w:ind w:left="3184" w:right="6" w:hanging="2420"/>
      </w:pPr>
      <w:r>
        <w:rPr>
          <w:spacing w:val="-4"/>
        </w:rPr>
        <w:t>Office</w:t>
      </w:r>
      <w:r>
        <w:rPr>
          <w:spacing w:val="-17"/>
        </w:rPr>
        <w:t> </w:t>
      </w:r>
      <w:r>
        <w:rPr>
          <w:spacing w:val="-3"/>
        </w:rPr>
        <w:t>fitout</w:t>
        <w:tab/>
      </w:r>
      <w:r>
        <w:rPr/>
        <w:t>3</w:t>
      </w:r>
      <w:r>
        <w:rPr>
          <w:spacing w:val="-22"/>
        </w:rPr>
        <w:t> </w:t>
      </w:r>
      <w:r>
        <w:rPr/>
        <w:t>to</w:t>
      </w:r>
      <w:r>
        <w:rPr>
          <w:spacing w:val="-22"/>
        </w:rPr>
        <w:t> </w:t>
      </w:r>
      <w:r>
        <w:rPr/>
        <w:t>25</w:t>
      </w:r>
      <w:r>
        <w:rPr>
          <w:spacing w:val="-22"/>
        </w:rPr>
        <w:t> </w:t>
      </w:r>
      <w:r>
        <w:rPr>
          <w:spacing w:val="-4"/>
        </w:rPr>
        <w:t>years</w:t>
      </w:r>
      <w:r>
        <w:rPr>
          <w:spacing w:val="-23"/>
        </w:rPr>
        <w:t> </w:t>
      </w:r>
      <w:r>
        <w:rPr/>
        <w:t>or</w:t>
      </w:r>
      <w:r>
        <w:rPr>
          <w:spacing w:val="-22"/>
        </w:rPr>
        <w:t> </w:t>
      </w:r>
      <w:r>
        <w:rPr>
          <w:spacing w:val="-5"/>
        </w:rPr>
        <w:t>remaining </w:t>
      </w:r>
      <w:r>
        <w:rPr>
          <w:spacing w:val="-4"/>
        </w:rPr>
        <w:t>lease term, whichever is lower</w:t>
      </w:r>
    </w:p>
    <w:p>
      <w:pPr>
        <w:pStyle w:val="BodyText"/>
        <w:tabs>
          <w:tab w:pos="3184" w:val="left" w:leader="none"/>
        </w:tabs>
        <w:spacing w:before="27"/>
        <w:ind w:left="765"/>
      </w:pPr>
      <w:r>
        <w:rPr>
          <w:spacing w:val="-4"/>
        </w:rPr>
        <w:t>Motor</w:t>
      </w:r>
      <w:r>
        <w:rPr>
          <w:spacing w:val="-21"/>
        </w:rPr>
        <w:t> </w:t>
      </w:r>
      <w:r>
        <w:rPr>
          <w:spacing w:val="-4"/>
        </w:rPr>
        <w:t>vehicles</w:t>
      </w:r>
      <w:r>
        <w:rPr>
          <w:spacing w:val="-20"/>
        </w:rPr>
        <w:t> </w:t>
      </w:r>
      <w:r>
        <w:rPr>
          <w:position w:val="8"/>
          <w:sz w:val="10"/>
        </w:rPr>
        <w:t>(b)</w:t>
        <w:tab/>
      </w:r>
      <w:r>
        <w:rPr/>
        <w:t>6 </w:t>
      </w:r>
      <w:r>
        <w:rPr>
          <w:spacing w:val="-4"/>
        </w:rPr>
        <w:t>months </w:t>
      </w:r>
      <w:r>
        <w:rPr/>
        <w:t>to 6</w:t>
      </w:r>
      <w:r>
        <w:rPr>
          <w:spacing w:val="-34"/>
        </w:rPr>
        <w:t> </w:t>
      </w:r>
      <w:r>
        <w:rPr>
          <w:spacing w:val="-4"/>
        </w:rPr>
        <w:t>years</w:t>
      </w:r>
    </w:p>
    <w:p>
      <w:pPr>
        <w:pStyle w:val="BodyText"/>
        <w:rPr>
          <w:sz w:val="30"/>
        </w:rPr>
      </w:pPr>
    </w:p>
    <w:p>
      <w:pPr>
        <w:pStyle w:val="ListParagraph"/>
        <w:numPr>
          <w:ilvl w:val="0"/>
          <w:numId w:val="6"/>
        </w:numPr>
        <w:tabs>
          <w:tab w:pos="978" w:val="left" w:leader="none"/>
        </w:tabs>
        <w:spacing w:line="240" w:lineRule="auto" w:before="0" w:after="0"/>
        <w:ind w:left="977" w:right="0" w:hanging="192"/>
        <w:jc w:val="left"/>
        <w:rPr>
          <w:sz w:val="15"/>
        </w:rPr>
      </w:pPr>
      <w:r>
        <w:rPr>
          <w:sz w:val="15"/>
        </w:rPr>
        <w:t>Software</w:t>
      </w:r>
      <w:r>
        <w:rPr>
          <w:spacing w:val="-5"/>
          <w:sz w:val="15"/>
        </w:rPr>
        <w:t> </w:t>
      </w:r>
      <w:r>
        <w:rPr>
          <w:sz w:val="15"/>
        </w:rPr>
        <w:t>that</w:t>
      </w:r>
      <w:r>
        <w:rPr>
          <w:spacing w:val="-5"/>
          <w:sz w:val="15"/>
        </w:rPr>
        <w:t> </w:t>
      </w:r>
      <w:r>
        <w:rPr>
          <w:sz w:val="15"/>
        </w:rPr>
        <w:t>is</w:t>
      </w:r>
      <w:r>
        <w:rPr>
          <w:spacing w:val="-5"/>
          <w:sz w:val="15"/>
        </w:rPr>
        <w:t> </w:t>
      </w:r>
      <w:r>
        <w:rPr>
          <w:sz w:val="15"/>
        </w:rPr>
        <w:t>integral</w:t>
      </w:r>
      <w:r>
        <w:rPr>
          <w:spacing w:val="-5"/>
          <w:sz w:val="15"/>
        </w:rPr>
        <w:t> </w:t>
      </w:r>
      <w:r>
        <w:rPr>
          <w:sz w:val="15"/>
        </w:rPr>
        <w:t>to</w:t>
      </w:r>
      <w:r>
        <w:rPr>
          <w:spacing w:val="-5"/>
          <w:sz w:val="15"/>
        </w:rPr>
        <w:t> </w:t>
      </w:r>
      <w:r>
        <w:rPr>
          <w:sz w:val="15"/>
        </w:rPr>
        <w:t>the</w:t>
      </w:r>
      <w:r>
        <w:rPr>
          <w:spacing w:val="-5"/>
          <w:sz w:val="15"/>
        </w:rPr>
        <w:t> </w:t>
      </w:r>
      <w:r>
        <w:rPr>
          <w:sz w:val="15"/>
        </w:rPr>
        <w:t>operation</w:t>
      </w:r>
      <w:r>
        <w:rPr>
          <w:spacing w:val="-5"/>
          <w:sz w:val="15"/>
        </w:rPr>
        <w:t> </w:t>
      </w:r>
      <w:r>
        <w:rPr>
          <w:sz w:val="15"/>
        </w:rPr>
        <w:t>of</w:t>
      </w:r>
      <w:r>
        <w:rPr>
          <w:spacing w:val="-5"/>
          <w:sz w:val="15"/>
        </w:rPr>
        <w:t> </w:t>
      </w:r>
      <w:r>
        <w:rPr>
          <w:sz w:val="15"/>
        </w:rPr>
        <w:t>related</w:t>
      </w:r>
      <w:r>
        <w:rPr>
          <w:spacing w:val="-5"/>
          <w:sz w:val="15"/>
        </w:rPr>
        <w:t> </w:t>
      </w:r>
      <w:r>
        <w:rPr>
          <w:sz w:val="15"/>
        </w:rPr>
        <w:t>hardware.</w:t>
      </w:r>
    </w:p>
    <w:p>
      <w:pPr>
        <w:pStyle w:val="ListParagraph"/>
        <w:numPr>
          <w:ilvl w:val="0"/>
          <w:numId w:val="6"/>
        </w:numPr>
        <w:tabs>
          <w:tab w:pos="986" w:val="left" w:leader="none"/>
        </w:tabs>
        <w:spacing w:line="278" w:lineRule="auto" w:before="27" w:after="0"/>
        <w:ind w:left="976" w:right="181" w:hanging="191"/>
        <w:jc w:val="left"/>
        <w:rPr>
          <w:sz w:val="15"/>
        </w:rPr>
      </w:pPr>
      <w:r>
        <w:rPr>
          <w:sz w:val="15"/>
        </w:rPr>
        <w:t>Useful</w:t>
      </w:r>
      <w:r>
        <w:rPr>
          <w:spacing w:val="-12"/>
          <w:sz w:val="15"/>
        </w:rPr>
        <w:t> </w:t>
      </w:r>
      <w:r>
        <w:rPr>
          <w:sz w:val="15"/>
        </w:rPr>
        <w:t>life</w:t>
      </w:r>
      <w:r>
        <w:rPr>
          <w:spacing w:val="-11"/>
          <w:sz w:val="15"/>
        </w:rPr>
        <w:t> </w:t>
      </w:r>
      <w:r>
        <w:rPr>
          <w:sz w:val="15"/>
        </w:rPr>
        <w:t>of</w:t>
      </w:r>
      <w:r>
        <w:rPr>
          <w:spacing w:val="-12"/>
          <w:sz w:val="15"/>
        </w:rPr>
        <w:t> </w:t>
      </w:r>
      <w:r>
        <w:rPr>
          <w:sz w:val="15"/>
        </w:rPr>
        <w:t>motor</w:t>
      </w:r>
      <w:r>
        <w:rPr>
          <w:spacing w:val="-11"/>
          <w:sz w:val="15"/>
        </w:rPr>
        <w:t> </w:t>
      </w:r>
      <w:r>
        <w:rPr>
          <w:sz w:val="15"/>
        </w:rPr>
        <w:t>vehicles</w:t>
      </w:r>
      <w:r>
        <w:rPr>
          <w:spacing w:val="-12"/>
          <w:sz w:val="15"/>
        </w:rPr>
        <w:t> </w:t>
      </w:r>
      <w:r>
        <w:rPr>
          <w:sz w:val="15"/>
        </w:rPr>
        <w:t>extended</w:t>
      </w:r>
      <w:r>
        <w:rPr>
          <w:spacing w:val="-11"/>
          <w:sz w:val="15"/>
        </w:rPr>
        <w:t> </w:t>
      </w:r>
      <w:r>
        <w:rPr>
          <w:sz w:val="15"/>
        </w:rPr>
        <w:t>by</w:t>
      </w:r>
      <w:r>
        <w:rPr>
          <w:spacing w:val="-12"/>
          <w:sz w:val="15"/>
        </w:rPr>
        <w:t> </w:t>
      </w:r>
      <w:r>
        <w:rPr>
          <w:sz w:val="15"/>
        </w:rPr>
        <w:t>a</w:t>
      </w:r>
      <w:r>
        <w:rPr>
          <w:spacing w:val="-11"/>
          <w:sz w:val="15"/>
        </w:rPr>
        <w:t> </w:t>
      </w:r>
      <w:r>
        <w:rPr>
          <w:sz w:val="15"/>
        </w:rPr>
        <w:t>year</w:t>
      </w:r>
      <w:r>
        <w:rPr>
          <w:spacing w:val="-12"/>
          <w:sz w:val="15"/>
        </w:rPr>
        <w:t> </w:t>
      </w:r>
      <w:r>
        <w:rPr>
          <w:sz w:val="15"/>
        </w:rPr>
        <w:t>to</w:t>
      </w:r>
      <w:r>
        <w:rPr>
          <w:spacing w:val="-11"/>
          <w:sz w:val="15"/>
        </w:rPr>
        <w:t> </w:t>
      </w:r>
      <w:r>
        <w:rPr>
          <w:sz w:val="15"/>
        </w:rPr>
        <w:t>6</w:t>
      </w:r>
      <w:r>
        <w:rPr>
          <w:spacing w:val="-12"/>
          <w:sz w:val="15"/>
        </w:rPr>
        <w:t> </w:t>
      </w:r>
      <w:r>
        <w:rPr>
          <w:sz w:val="15"/>
        </w:rPr>
        <w:t>years</w:t>
      </w:r>
      <w:r>
        <w:rPr>
          <w:spacing w:val="-11"/>
          <w:sz w:val="15"/>
        </w:rPr>
        <w:t> </w:t>
      </w:r>
      <w:r>
        <w:rPr>
          <w:sz w:val="15"/>
        </w:rPr>
        <w:t>as</w:t>
      </w:r>
      <w:r>
        <w:rPr>
          <w:spacing w:val="-12"/>
          <w:sz w:val="15"/>
        </w:rPr>
        <w:t> </w:t>
      </w:r>
      <w:r>
        <w:rPr>
          <w:sz w:val="15"/>
        </w:rPr>
        <w:t>a</w:t>
      </w:r>
      <w:r>
        <w:rPr>
          <w:spacing w:val="-11"/>
          <w:sz w:val="15"/>
        </w:rPr>
        <w:t> </w:t>
      </w:r>
      <w:r>
        <w:rPr>
          <w:spacing w:val="-4"/>
          <w:sz w:val="15"/>
        </w:rPr>
        <w:t>result </w:t>
      </w:r>
      <w:r>
        <w:rPr>
          <w:sz w:val="15"/>
        </w:rPr>
        <w:t>of updates to State Fleet vehicle</w:t>
      </w:r>
      <w:r>
        <w:rPr>
          <w:spacing w:val="-12"/>
          <w:sz w:val="15"/>
        </w:rPr>
        <w:t> </w:t>
      </w:r>
      <w:r>
        <w:rPr>
          <w:sz w:val="15"/>
        </w:rPr>
        <w:t>policy.</w:t>
      </w:r>
    </w:p>
    <w:p>
      <w:pPr>
        <w:pStyle w:val="BodyText"/>
        <w:spacing w:before="35"/>
        <w:ind w:left="785"/>
      </w:pPr>
      <w:r>
        <w:rPr/>
        <w:t>Land is not depreciated.</w:t>
      </w:r>
    </w:p>
    <w:p>
      <w:pPr>
        <w:pStyle w:val="BodyText"/>
        <w:spacing w:before="5"/>
        <w:rPr>
          <w:sz w:val="23"/>
        </w:rPr>
      </w:pPr>
      <w:r>
        <w:rPr/>
        <w:br w:type="column"/>
      </w:r>
      <w:r>
        <w:rPr>
          <w:sz w:val="23"/>
        </w:rPr>
      </w:r>
    </w:p>
    <w:p>
      <w:pPr>
        <w:pStyle w:val="Heading6"/>
        <w:numPr>
          <w:ilvl w:val="0"/>
          <w:numId w:val="5"/>
        </w:numPr>
        <w:tabs>
          <w:tab w:pos="730" w:val="left" w:leader="none"/>
        </w:tabs>
        <w:spacing w:line="240" w:lineRule="auto" w:before="0" w:after="0"/>
        <w:ind w:left="729" w:right="0" w:hanging="322"/>
        <w:jc w:val="left"/>
      </w:pPr>
      <w:r>
        <w:rPr/>
        <w:t>Intangible</w:t>
      </w:r>
      <w:r>
        <w:rPr>
          <w:spacing w:val="-1"/>
        </w:rPr>
        <w:t> </w:t>
      </w:r>
      <w:r>
        <w:rPr/>
        <w:t>assets</w:t>
      </w:r>
    </w:p>
    <w:p>
      <w:pPr>
        <w:spacing w:before="11"/>
        <w:ind w:left="407" w:right="0" w:firstLine="0"/>
        <w:jc w:val="left"/>
        <w:rPr>
          <w:i/>
          <w:sz w:val="22"/>
        </w:rPr>
      </w:pPr>
      <w:r>
        <w:rPr>
          <w:i/>
          <w:color w:val="6F2770"/>
          <w:sz w:val="22"/>
        </w:rPr>
        <w:t>Capitalisation/expensing of assets</w:t>
      </w:r>
    </w:p>
    <w:p>
      <w:pPr>
        <w:pStyle w:val="BodyText"/>
        <w:spacing w:line="249" w:lineRule="auto" w:before="11"/>
        <w:ind w:left="407" w:right="61"/>
      </w:pPr>
      <w:r>
        <w:rPr/>
        <w:t>Acquisitions of intangible assets costing $5,000 or</w:t>
      </w:r>
      <w:r>
        <w:rPr>
          <w:spacing w:val="-30"/>
        </w:rPr>
        <w:t> </w:t>
      </w:r>
      <w:r>
        <w:rPr/>
        <w:t>more</w:t>
      </w:r>
      <w:r>
        <w:rPr>
          <w:spacing w:val="-29"/>
        </w:rPr>
        <w:t> </w:t>
      </w:r>
      <w:r>
        <w:rPr/>
        <w:t>and</w:t>
      </w:r>
      <w:r>
        <w:rPr>
          <w:spacing w:val="-29"/>
        </w:rPr>
        <w:t> </w:t>
      </w:r>
      <w:r>
        <w:rPr/>
        <w:t>internally</w:t>
      </w:r>
      <w:r>
        <w:rPr>
          <w:spacing w:val="-30"/>
        </w:rPr>
        <w:t> </w:t>
      </w:r>
      <w:r>
        <w:rPr/>
        <w:t>generated</w:t>
      </w:r>
      <w:r>
        <w:rPr>
          <w:spacing w:val="-29"/>
        </w:rPr>
        <w:t> </w:t>
      </w:r>
      <w:r>
        <w:rPr/>
        <w:t>intangible</w:t>
      </w:r>
      <w:r>
        <w:rPr>
          <w:spacing w:val="-29"/>
        </w:rPr>
        <w:t> </w:t>
      </w:r>
      <w:r>
        <w:rPr/>
        <w:t>assets costing</w:t>
      </w:r>
      <w:r>
        <w:rPr>
          <w:spacing w:val="-15"/>
        </w:rPr>
        <w:t> </w:t>
      </w:r>
      <w:r>
        <w:rPr/>
        <w:t>$50,000</w:t>
      </w:r>
      <w:r>
        <w:rPr>
          <w:spacing w:val="-15"/>
        </w:rPr>
        <w:t> </w:t>
      </w:r>
      <w:r>
        <w:rPr/>
        <w:t>or</w:t>
      </w:r>
      <w:r>
        <w:rPr>
          <w:spacing w:val="-14"/>
        </w:rPr>
        <w:t> </w:t>
      </w:r>
      <w:r>
        <w:rPr/>
        <w:t>more</w:t>
      </w:r>
      <w:r>
        <w:rPr>
          <w:spacing w:val="-15"/>
        </w:rPr>
        <w:t> </w:t>
      </w:r>
      <w:r>
        <w:rPr/>
        <w:t>are</w:t>
      </w:r>
      <w:r>
        <w:rPr>
          <w:spacing w:val="-15"/>
        </w:rPr>
        <w:t> </w:t>
      </w:r>
      <w:r>
        <w:rPr/>
        <w:t>capitalised.</w:t>
      </w:r>
      <w:r>
        <w:rPr>
          <w:spacing w:val="-14"/>
        </w:rPr>
        <w:t> </w:t>
      </w:r>
      <w:r>
        <w:rPr/>
        <w:t>The</w:t>
      </w:r>
      <w:r>
        <w:rPr>
          <w:spacing w:val="-15"/>
        </w:rPr>
        <w:t> </w:t>
      </w:r>
      <w:r>
        <w:rPr>
          <w:spacing w:val="-5"/>
        </w:rPr>
        <w:t>cost </w:t>
      </w:r>
      <w:r>
        <w:rPr/>
        <w:t>of utilising the assets is expensed (amortised) over</w:t>
      </w:r>
      <w:r>
        <w:rPr>
          <w:spacing w:val="-23"/>
        </w:rPr>
        <w:t> </w:t>
      </w:r>
      <w:r>
        <w:rPr/>
        <w:t>their</w:t>
      </w:r>
      <w:r>
        <w:rPr>
          <w:spacing w:val="-23"/>
        </w:rPr>
        <w:t> </w:t>
      </w:r>
      <w:r>
        <w:rPr/>
        <w:t>useful</w:t>
      </w:r>
      <w:r>
        <w:rPr>
          <w:spacing w:val="-23"/>
        </w:rPr>
        <w:t> </w:t>
      </w:r>
      <w:r>
        <w:rPr/>
        <w:t>lives.</w:t>
      </w:r>
      <w:r>
        <w:rPr>
          <w:spacing w:val="-23"/>
        </w:rPr>
        <w:t> </w:t>
      </w:r>
      <w:r>
        <w:rPr/>
        <w:t>Costs</w:t>
      </w:r>
      <w:r>
        <w:rPr>
          <w:spacing w:val="-23"/>
        </w:rPr>
        <w:t> </w:t>
      </w:r>
      <w:r>
        <w:rPr/>
        <w:t>incurred</w:t>
      </w:r>
      <w:r>
        <w:rPr>
          <w:spacing w:val="-22"/>
        </w:rPr>
        <w:t> </w:t>
      </w:r>
      <w:r>
        <w:rPr/>
        <w:t>below</w:t>
      </w:r>
      <w:r>
        <w:rPr>
          <w:spacing w:val="-23"/>
        </w:rPr>
        <w:t> </w:t>
      </w:r>
      <w:r>
        <w:rPr/>
        <w:t>these thresholds are immediately expensed directly to the Statement of Comprehensive</w:t>
      </w:r>
      <w:r>
        <w:rPr>
          <w:spacing w:val="-29"/>
        </w:rPr>
        <w:t> </w:t>
      </w:r>
      <w:r>
        <w:rPr/>
        <w:t>Income.</w:t>
      </w:r>
    </w:p>
    <w:p>
      <w:pPr>
        <w:pStyle w:val="BodyText"/>
        <w:spacing w:before="6"/>
        <w:rPr>
          <w:sz w:val="23"/>
        </w:rPr>
      </w:pPr>
    </w:p>
    <w:p>
      <w:pPr>
        <w:pStyle w:val="BodyText"/>
        <w:spacing w:line="249" w:lineRule="auto"/>
        <w:ind w:left="407" w:right="-5"/>
      </w:pPr>
      <w:r>
        <w:rPr/>
        <w:t>Intangible assets are initially recognised at cost. For</w:t>
      </w:r>
      <w:r>
        <w:rPr>
          <w:spacing w:val="-13"/>
        </w:rPr>
        <w:t> </w:t>
      </w:r>
      <w:r>
        <w:rPr/>
        <w:t>assets</w:t>
      </w:r>
      <w:r>
        <w:rPr>
          <w:spacing w:val="-12"/>
        </w:rPr>
        <w:t> </w:t>
      </w:r>
      <w:r>
        <w:rPr/>
        <w:t>acquired</w:t>
      </w:r>
      <w:r>
        <w:rPr>
          <w:spacing w:val="-13"/>
        </w:rPr>
        <w:t> </w:t>
      </w:r>
      <w:r>
        <w:rPr/>
        <w:t>at</w:t>
      </w:r>
      <w:r>
        <w:rPr>
          <w:spacing w:val="-12"/>
        </w:rPr>
        <w:t> </w:t>
      </w:r>
      <w:r>
        <w:rPr/>
        <w:t>no</w:t>
      </w:r>
      <w:r>
        <w:rPr>
          <w:spacing w:val="-12"/>
        </w:rPr>
        <w:t> </w:t>
      </w:r>
      <w:r>
        <w:rPr/>
        <w:t>cost</w:t>
      </w:r>
      <w:r>
        <w:rPr>
          <w:spacing w:val="-13"/>
        </w:rPr>
        <w:t> </w:t>
      </w:r>
      <w:r>
        <w:rPr/>
        <w:t>or</w:t>
      </w:r>
      <w:r>
        <w:rPr>
          <w:spacing w:val="-12"/>
        </w:rPr>
        <w:t> </w:t>
      </w:r>
      <w:r>
        <w:rPr/>
        <w:t>for</w:t>
      </w:r>
      <w:r>
        <w:rPr>
          <w:spacing w:val="-12"/>
        </w:rPr>
        <w:t> </w:t>
      </w:r>
      <w:r>
        <w:rPr/>
        <w:t>nominal</w:t>
      </w:r>
      <w:r>
        <w:rPr>
          <w:spacing w:val="-13"/>
        </w:rPr>
        <w:t> </w:t>
      </w:r>
      <w:r>
        <w:rPr/>
        <w:t>cost, the</w:t>
      </w:r>
      <w:r>
        <w:rPr>
          <w:spacing w:val="-15"/>
        </w:rPr>
        <w:t> </w:t>
      </w:r>
      <w:r>
        <w:rPr/>
        <w:t>cost</w:t>
      </w:r>
      <w:r>
        <w:rPr>
          <w:spacing w:val="-15"/>
        </w:rPr>
        <w:t> </w:t>
      </w:r>
      <w:r>
        <w:rPr/>
        <w:t>is</w:t>
      </w:r>
      <w:r>
        <w:rPr>
          <w:spacing w:val="-15"/>
        </w:rPr>
        <w:t> </w:t>
      </w:r>
      <w:r>
        <w:rPr/>
        <w:t>their</w:t>
      </w:r>
      <w:r>
        <w:rPr>
          <w:spacing w:val="-14"/>
        </w:rPr>
        <w:t> </w:t>
      </w:r>
      <w:r>
        <w:rPr/>
        <w:t>fair</w:t>
      </w:r>
      <w:r>
        <w:rPr>
          <w:spacing w:val="-15"/>
        </w:rPr>
        <w:t> </w:t>
      </w:r>
      <w:r>
        <w:rPr/>
        <w:t>value</w:t>
      </w:r>
      <w:r>
        <w:rPr>
          <w:spacing w:val="-15"/>
        </w:rPr>
        <w:t> </w:t>
      </w:r>
      <w:r>
        <w:rPr/>
        <w:t>at</w:t>
      </w:r>
      <w:r>
        <w:rPr>
          <w:spacing w:val="-14"/>
        </w:rPr>
        <w:t> </w:t>
      </w:r>
      <w:r>
        <w:rPr/>
        <w:t>the</w:t>
      </w:r>
      <w:r>
        <w:rPr>
          <w:spacing w:val="-15"/>
        </w:rPr>
        <w:t> </w:t>
      </w:r>
      <w:r>
        <w:rPr/>
        <w:t>date</w:t>
      </w:r>
      <w:r>
        <w:rPr>
          <w:spacing w:val="-15"/>
        </w:rPr>
        <w:t> </w:t>
      </w:r>
      <w:r>
        <w:rPr/>
        <w:t>of</w:t>
      </w:r>
      <w:r>
        <w:rPr>
          <w:spacing w:val="-14"/>
        </w:rPr>
        <w:t> </w:t>
      </w:r>
      <w:r>
        <w:rPr>
          <w:spacing w:val="-2"/>
        </w:rPr>
        <w:t>acquisition.</w:t>
      </w:r>
    </w:p>
    <w:p>
      <w:pPr>
        <w:pStyle w:val="BodyText"/>
        <w:spacing w:before="2"/>
        <w:rPr>
          <w:sz w:val="23"/>
        </w:rPr>
      </w:pPr>
    </w:p>
    <w:p>
      <w:pPr>
        <w:pStyle w:val="BodyText"/>
        <w:spacing w:line="249" w:lineRule="auto"/>
        <w:ind w:left="407" w:right="379"/>
      </w:pPr>
      <w:r>
        <w:rPr/>
        <w:t>The cost model is applied for subsequent measurement</w:t>
      </w:r>
      <w:r>
        <w:rPr>
          <w:spacing w:val="-22"/>
        </w:rPr>
        <w:t> </w:t>
      </w:r>
      <w:r>
        <w:rPr/>
        <w:t>requiring</w:t>
      </w:r>
      <w:r>
        <w:rPr>
          <w:spacing w:val="-21"/>
        </w:rPr>
        <w:t> </w:t>
      </w:r>
      <w:r>
        <w:rPr/>
        <w:t>the</w:t>
      </w:r>
      <w:r>
        <w:rPr>
          <w:spacing w:val="-22"/>
        </w:rPr>
        <w:t> </w:t>
      </w:r>
      <w:r>
        <w:rPr/>
        <w:t>asset</w:t>
      </w:r>
      <w:r>
        <w:rPr>
          <w:spacing w:val="-21"/>
        </w:rPr>
        <w:t> </w:t>
      </w:r>
      <w:r>
        <w:rPr/>
        <w:t>to</w:t>
      </w:r>
      <w:r>
        <w:rPr>
          <w:spacing w:val="-22"/>
        </w:rPr>
        <w:t> </w:t>
      </w:r>
      <w:r>
        <w:rPr/>
        <w:t>be</w:t>
      </w:r>
      <w:r>
        <w:rPr>
          <w:spacing w:val="-21"/>
        </w:rPr>
        <w:t> </w:t>
      </w:r>
      <w:r>
        <w:rPr/>
        <w:t>carried at</w:t>
      </w:r>
      <w:r>
        <w:rPr>
          <w:spacing w:val="-19"/>
        </w:rPr>
        <w:t> </w:t>
      </w:r>
      <w:r>
        <w:rPr/>
        <w:t>cost</w:t>
      </w:r>
      <w:r>
        <w:rPr>
          <w:spacing w:val="-18"/>
        </w:rPr>
        <w:t> </w:t>
      </w:r>
      <w:r>
        <w:rPr/>
        <w:t>less</w:t>
      </w:r>
      <w:r>
        <w:rPr>
          <w:spacing w:val="-18"/>
        </w:rPr>
        <w:t> </w:t>
      </w:r>
      <w:r>
        <w:rPr/>
        <w:t>any</w:t>
      </w:r>
      <w:r>
        <w:rPr>
          <w:spacing w:val="-18"/>
        </w:rPr>
        <w:t> </w:t>
      </w:r>
      <w:r>
        <w:rPr/>
        <w:t>accumulated</w:t>
      </w:r>
      <w:r>
        <w:rPr>
          <w:spacing w:val="-18"/>
        </w:rPr>
        <w:t> </w:t>
      </w:r>
      <w:r>
        <w:rPr/>
        <w:t>amortisation</w:t>
      </w:r>
      <w:r>
        <w:rPr>
          <w:spacing w:val="-18"/>
        </w:rPr>
        <w:t> </w:t>
      </w:r>
      <w:r>
        <w:rPr>
          <w:spacing w:val="-6"/>
        </w:rPr>
        <w:t>and </w:t>
      </w:r>
      <w:r>
        <w:rPr/>
        <w:t>accumulated impairment</w:t>
      </w:r>
      <w:r>
        <w:rPr>
          <w:spacing w:val="-8"/>
        </w:rPr>
        <w:t> </w:t>
      </w:r>
      <w:r>
        <w:rPr/>
        <w:t>losses.</w:t>
      </w:r>
    </w:p>
    <w:p>
      <w:pPr>
        <w:pStyle w:val="BodyText"/>
        <w:spacing w:before="3"/>
        <w:rPr>
          <w:sz w:val="23"/>
        </w:rPr>
      </w:pPr>
    </w:p>
    <w:p>
      <w:pPr>
        <w:pStyle w:val="BodyText"/>
        <w:spacing w:line="249" w:lineRule="auto"/>
        <w:ind w:left="407" w:right="83"/>
      </w:pPr>
      <w:r>
        <w:rPr/>
        <w:t>Amortisation</w:t>
      </w:r>
      <w:r>
        <w:rPr>
          <w:spacing w:val="-28"/>
        </w:rPr>
        <w:t> </w:t>
      </w:r>
      <w:r>
        <w:rPr/>
        <w:t>for</w:t>
      </w:r>
      <w:r>
        <w:rPr>
          <w:spacing w:val="-28"/>
        </w:rPr>
        <w:t> </w:t>
      </w:r>
      <w:r>
        <w:rPr/>
        <w:t>intangible</w:t>
      </w:r>
      <w:r>
        <w:rPr>
          <w:spacing w:val="-28"/>
        </w:rPr>
        <w:t> </w:t>
      </w:r>
      <w:r>
        <w:rPr/>
        <w:t>assets</w:t>
      </w:r>
      <w:r>
        <w:rPr>
          <w:spacing w:val="-28"/>
        </w:rPr>
        <w:t> </w:t>
      </w:r>
      <w:r>
        <w:rPr/>
        <w:t>with</w:t>
      </w:r>
      <w:r>
        <w:rPr>
          <w:spacing w:val="-28"/>
        </w:rPr>
        <w:t> </w:t>
      </w:r>
      <w:r>
        <w:rPr/>
        <w:t>finite</w:t>
      </w:r>
      <w:r>
        <w:rPr>
          <w:spacing w:val="-27"/>
        </w:rPr>
        <w:t> </w:t>
      </w:r>
      <w:r>
        <w:rPr>
          <w:spacing w:val="-3"/>
        </w:rPr>
        <w:t>useful </w:t>
      </w:r>
      <w:r>
        <w:rPr/>
        <w:t>lives is calculated for the period of the expected benefit (estimated useful life which is reviewed annually)</w:t>
      </w:r>
      <w:r>
        <w:rPr>
          <w:spacing w:val="-22"/>
        </w:rPr>
        <w:t> </w:t>
      </w:r>
      <w:r>
        <w:rPr/>
        <w:t>on</w:t>
      </w:r>
      <w:r>
        <w:rPr>
          <w:spacing w:val="-21"/>
        </w:rPr>
        <w:t> </w:t>
      </w:r>
      <w:r>
        <w:rPr/>
        <w:t>the</w:t>
      </w:r>
      <w:r>
        <w:rPr>
          <w:spacing w:val="-21"/>
        </w:rPr>
        <w:t> </w:t>
      </w:r>
      <w:r>
        <w:rPr/>
        <w:t>straight</w:t>
      </w:r>
      <w:r>
        <w:rPr>
          <w:spacing w:val="-21"/>
        </w:rPr>
        <w:t> </w:t>
      </w:r>
      <w:r>
        <w:rPr/>
        <w:t>line</w:t>
      </w:r>
      <w:r>
        <w:rPr>
          <w:spacing w:val="-21"/>
        </w:rPr>
        <w:t> </w:t>
      </w:r>
      <w:r>
        <w:rPr/>
        <w:t>basis.</w:t>
      </w:r>
      <w:r>
        <w:rPr>
          <w:spacing w:val="-21"/>
        </w:rPr>
        <w:t> </w:t>
      </w:r>
      <w:r>
        <w:rPr/>
        <w:t>All</w:t>
      </w:r>
      <w:r>
        <w:rPr>
          <w:spacing w:val="-21"/>
        </w:rPr>
        <w:t> </w:t>
      </w:r>
      <w:r>
        <w:rPr/>
        <w:t>intangible assets</w:t>
      </w:r>
      <w:r>
        <w:rPr>
          <w:spacing w:val="-19"/>
        </w:rPr>
        <w:t> </w:t>
      </w:r>
      <w:r>
        <w:rPr/>
        <w:t>controlled</w:t>
      </w:r>
      <w:r>
        <w:rPr>
          <w:spacing w:val="-19"/>
        </w:rPr>
        <w:t> </w:t>
      </w:r>
      <w:r>
        <w:rPr/>
        <w:t>by</w:t>
      </w:r>
      <w:r>
        <w:rPr>
          <w:spacing w:val="-19"/>
        </w:rPr>
        <w:t> </w:t>
      </w:r>
      <w:r>
        <w:rPr/>
        <w:t>the</w:t>
      </w:r>
      <w:r>
        <w:rPr>
          <w:spacing w:val="-19"/>
        </w:rPr>
        <w:t> </w:t>
      </w:r>
      <w:r>
        <w:rPr/>
        <w:t>Department</w:t>
      </w:r>
      <w:r>
        <w:rPr>
          <w:spacing w:val="-19"/>
        </w:rPr>
        <w:t> </w:t>
      </w:r>
      <w:r>
        <w:rPr/>
        <w:t>have</w:t>
      </w:r>
      <w:r>
        <w:rPr>
          <w:spacing w:val="-19"/>
        </w:rPr>
        <w:t> </w:t>
      </w:r>
      <w:r>
        <w:rPr/>
        <w:t>a</w:t>
      </w:r>
      <w:r>
        <w:rPr>
          <w:spacing w:val="-18"/>
        </w:rPr>
        <w:t> </w:t>
      </w:r>
      <w:r>
        <w:rPr/>
        <w:t>finite useful life and zero residual</w:t>
      </w:r>
      <w:r>
        <w:rPr>
          <w:spacing w:val="-30"/>
        </w:rPr>
        <w:t> </w:t>
      </w:r>
      <w:r>
        <w:rPr/>
        <w:t>value.</w:t>
      </w:r>
    </w:p>
    <w:p>
      <w:pPr>
        <w:pStyle w:val="BodyText"/>
        <w:spacing w:before="5"/>
        <w:rPr>
          <w:sz w:val="23"/>
        </w:rPr>
      </w:pPr>
      <w:r>
        <w:rPr/>
        <w:br w:type="column"/>
      </w:r>
      <w:r>
        <w:rPr>
          <w:sz w:val="23"/>
        </w:rPr>
      </w:r>
    </w:p>
    <w:p>
      <w:pPr>
        <w:pStyle w:val="BodyText"/>
        <w:spacing w:line="249" w:lineRule="auto"/>
        <w:ind w:left="420" w:right="1567"/>
      </w:pPr>
      <w:r>
        <w:rPr/>
        <w:t>The</w:t>
      </w:r>
      <w:r>
        <w:rPr>
          <w:spacing w:val="-22"/>
        </w:rPr>
        <w:t> </w:t>
      </w:r>
      <w:r>
        <w:rPr/>
        <w:t>expected</w:t>
      </w:r>
      <w:r>
        <w:rPr>
          <w:spacing w:val="-21"/>
        </w:rPr>
        <w:t> </w:t>
      </w:r>
      <w:r>
        <w:rPr/>
        <w:t>useful</w:t>
      </w:r>
      <w:r>
        <w:rPr>
          <w:spacing w:val="-21"/>
        </w:rPr>
        <w:t> </w:t>
      </w:r>
      <w:r>
        <w:rPr/>
        <w:t>lives</w:t>
      </w:r>
      <w:r>
        <w:rPr>
          <w:spacing w:val="-21"/>
        </w:rPr>
        <w:t> </w:t>
      </w:r>
      <w:r>
        <w:rPr/>
        <w:t>for</w:t>
      </w:r>
      <w:r>
        <w:rPr>
          <w:spacing w:val="-21"/>
        </w:rPr>
        <w:t> </w:t>
      </w:r>
      <w:r>
        <w:rPr/>
        <w:t>each</w:t>
      </w:r>
      <w:r>
        <w:rPr>
          <w:spacing w:val="-21"/>
        </w:rPr>
        <w:t> </w:t>
      </w:r>
      <w:r>
        <w:rPr/>
        <w:t>class</w:t>
      </w:r>
      <w:r>
        <w:rPr>
          <w:spacing w:val="-21"/>
        </w:rPr>
        <w:t> </w:t>
      </w:r>
      <w:r>
        <w:rPr>
          <w:spacing w:val="-9"/>
        </w:rPr>
        <w:t>of </w:t>
      </w:r>
      <w:r>
        <w:rPr/>
        <w:t>intangible asset</w:t>
      </w:r>
      <w:r>
        <w:rPr>
          <w:spacing w:val="-5"/>
        </w:rPr>
        <w:t> </w:t>
      </w:r>
      <w:r>
        <w:rPr/>
        <w:t>are:</w:t>
      </w:r>
    </w:p>
    <w:p>
      <w:pPr>
        <w:pStyle w:val="BodyText"/>
        <w:spacing w:before="1"/>
        <w:rPr>
          <w:sz w:val="23"/>
        </w:rPr>
      </w:pPr>
    </w:p>
    <w:p>
      <w:pPr>
        <w:pStyle w:val="BodyText"/>
        <w:tabs>
          <w:tab w:pos="2839" w:val="left" w:leader="none"/>
        </w:tabs>
        <w:spacing w:before="1"/>
        <w:ind w:left="420"/>
      </w:pPr>
      <w:r>
        <w:rPr>
          <w:spacing w:val="-4"/>
        </w:rPr>
        <w:t>Licences</w:t>
        <w:tab/>
      </w:r>
      <w:r>
        <w:rPr/>
        <w:t>up to 10</w:t>
      </w:r>
      <w:r>
        <w:rPr>
          <w:spacing w:val="-25"/>
        </w:rPr>
        <w:t> </w:t>
      </w:r>
      <w:r>
        <w:rPr>
          <w:spacing w:val="-4"/>
        </w:rPr>
        <w:t>years</w:t>
      </w:r>
    </w:p>
    <w:p>
      <w:pPr>
        <w:pStyle w:val="BodyText"/>
        <w:tabs>
          <w:tab w:pos="2839" w:val="left" w:leader="none"/>
        </w:tabs>
        <w:spacing w:before="34"/>
        <w:ind w:left="420"/>
      </w:pPr>
      <w:r>
        <w:rPr>
          <w:spacing w:val="-4"/>
        </w:rPr>
        <w:t>Software</w:t>
      </w:r>
      <w:r>
        <w:rPr>
          <w:spacing w:val="-23"/>
        </w:rPr>
        <w:t> </w:t>
      </w:r>
      <w:r>
        <w:rPr>
          <w:position w:val="8"/>
          <w:sz w:val="10"/>
        </w:rPr>
        <w:t>(a)</w:t>
        <w:tab/>
      </w:r>
      <w:r>
        <w:rPr/>
        <w:t>3 to 13</w:t>
      </w:r>
      <w:r>
        <w:rPr>
          <w:spacing w:val="-23"/>
        </w:rPr>
        <w:t> </w:t>
      </w:r>
      <w:r>
        <w:rPr>
          <w:spacing w:val="-4"/>
        </w:rPr>
        <w:t>years</w:t>
      </w:r>
    </w:p>
    <w:p>
      <w:pPr>
        <w:pStyle w:val="BodyText"/>
        <w:spacing w:before="6"/>
        <w:rPr>
          <w:sz w:val="27"/>
        </w:rPr>
      </w:pPr>
    </w:p>
    <w:p>
      <w:pPr>
        <w:spacing w:before="0"/>
        <w:ind w:left="420" w:right="0" w:firstLine="0"/>
        <w:jc w:val="left"/>
        <w:rPr>
          <w:sz w:val="15"/>
        </w:rPr>
      </w:pPr>
      <w:r>
        <w:rPr>
          <w:sz w:val="15"/>
        </w:rPr>
        <w:t>(a) Software that is not integral to the operation of any related hardware.</w:t>
      </w:r>
    </w:p>
    <w:p>
      <w:pPr>
        <w:pStyle w:val="BodyText"/>
        <w:spacing w:before="3"/>
        <w:rPr>
          <w:sz w:val="25"/>
        </w:rPr>
      </w:pPr>
    </w:p>
    <w:p>
      <w:pPr>
        <w:spacing w:before="0"/>
        <w:ind w:left="420" w:right="0" w:firstLine="0"/>
        <w:jc w:val="left"/>
        <w:rPr>
          <w:i/>
          <w:sz w:val="22"/>
        </w:rPr>
      </w:pPr>
      <w:r>
        <w:rPr>
          <w:i/>
          <w:color w:val="6F2770"/>
          <w:sz w:val="22"/>
        </w:rPr>
        <w:t>Licences</w:t>
      </w:r>
    </w:p>
    <w:p>
      <w:pPr>
        <w:pStyle w:val="BodyText"/>
        <w:spacing w:line="249" w:lineRule="auto" w:before="11"/>
        <w:ind w:left="420" w:right="1121"/>
      </w:pPr>
      <w:r>
        <w:rPr/>
        <w:t>Licences</w:t>
      </w:r>
      <w:r>
        <w:rPr>
          <w:spacing w:val="-26"/>
        </w:rPr>
        <w:t> </w:t>
      </w:r>
      <w:r>
        <w:rPr/>
        <w:t>have</w:t>
      </w:r>
      <w:r>
        <w:rPr>
          <w:spacing w:val="-25"/>
        </w:rPr>
        <w:t> </w:t>
      </w:r>
      <w:r>
        <w:rPr/>
        <w:t>a</w:t>
      </w:r>
      <w:r>
        <w:rPr>
          <w:spacing w:val="-25"/>
        </w:rPr>
        <w:t> </w:t>
      </w:r>
      <w:r>
        <w:rPr/>
        <w:t>finite</w:t>
      </w:r>
      <w:r>
        <w:rPr>
          <w:spacing w:val="-25"/>
        </w:rPr>
        <w:t> </w:t>
      </w:r>
      <w:r>
        <w:rPr/>
        <w:t>useful</w:t>
      </w:r>
      <w:r>
        <w:rPr>
          <w:spacing w:val="-25"/>
        </w:rPr>
        <w:t> </w:t>
      </w:r>
      <w:r>
        <w:rPr/>
        <w:t>life</w:t>
      </w:r>
      <w:r>
        <w:rPr>
          <w:spacing w:val="-25"/>
        </w:rPr>
        <w:t> </w:t>
      </w:r>
      <w:r>
        <w:rPr/>
        <w:t>and</w:t>
      </w:r>
      <w:r>
        <w:rPr>
          <w:spacing w:val="-25"/>
        </w:rPr>
        <w:t> </w:t>
      </w:r>
      <w:r>
        <w:rPr/>
        <w:t>are</w:t>
      </w:r>
      <w:r>
        <w:rPr>
          <w:spacing w:val="-25"/>
        </w:rPr>
        <w:t> </w:t>
      </w:r>
      <w:r>
        <w:rPr>
          <w:spacing w:val="-3"/>
        </w:rPr>
        <w:t>carried </w:t>
      </w:r>
      <w:r>
        <w:rPr/>
        <w:t>at cost less accumulated amortisation and accumulated impairment</w:t>
      </w:r>
      <w:r>
        <w:rPr>
          <w:spacing w:val="-8"/>
        </w:rPr>
        <w:t> </w:t>
      </w:r>
      <w:r>
        <w:rPr/>
        <w:t>losses.</w:t>
      </w:r>
    </w:p>
    <w:p>
      <w:pPr>
        <w:pStyle w:val="BodyText"/>
        <w:spacing w:before="2"/>
        <w:rPr>
          <w:sz w:val="23"/>
        </w:rPr>
      </w:pPr>
    </w:p>
    <w:p>
      <w:pPr>
        <w:spacing w:before="0"/>
        <w:ind w:left="420" w:right="0" w:firstLine="0"/>
        <w:jc w:val="left"/>
        <w:rPr>
          <w:i/>
          <w:sz w:val="22"/>
        </w:rPr>
      </w:pPr>
      <w:r>
        <w:rPr>
          <w:i/>
          <w:color w:val="6F2770"/>
          <w:sz w:val="22"/>
        </w:rPr>
        <w:t>Computer software</w:t>
      </w:r>
    </w:p>
    <w:p>
      <w:pPr>
        <w:pStyle w:val="BodyText"/>
        <w:spacing w:line="249" w:lineRule="auto" w:before="11"/>
        <w:ind w:left="420" w:right="765"/>
      </w:pPr>
      <w:r>
        <w:rPr/>
        <w:t>Software that is an integral part of the related hardware is recognised as </w:t>
      </w:r>
      <w:r>
        <w:rPr>
          <w:spacing w:val="-3"/>
        </w:rPr>
        <w:t>property, </w:t>
      </w:r>
      <w:r>
        <w:rPr/>
        <w:t>plant and equipment.</w:t>
      </w:r>
      <w:r>
        <w:rPr>
          <w:spacing w:val="-13"/>
        </w:rPr>
        <w:t> </w:t>
      </w:r>
      <w:r>
        <w:rPr/>
        <w:t>Software</w:t>
      </w:r>
      <w:r>
        <w:rPr>
          <w:spacing w:val="-13"/>
        </w:rPr>
        <w:t> </w:t>
      </w:r>
      <w:r>
        <w:rPr/>
        <w:t>that</w:t>
      </w:r>
      <w:r>
        <w:rPr>
          <w:spacing w:val="-12"/>
        </w:rPr>
        <w:t> </w:t>
      </w:r>
      <w:r>
        <w:rPr/>
        <w:t>is</w:t>
      </w:r>
      <w:r>
        <w:rPr>
          <w:spacing w:val="-13"/>
        </w:rPr>
        <w:t> </w:t>
      </w:r>
      <w:r>
        <w:rPr/>
        <w:t>not</w:t>
      </w:r>
      <w:r>
        <w:rPr>
          <w:spacing w:val="-13"/>
        </w:rPr>
        <w:t> </w:t>
      </w:r>
      <w:r>
        <w:rPr/>
        <w:t>an</w:t>
      </w:r>
      <w:r>
        <w:rPr>
          <w:spacing w:val="-12"/>
        </w:rPr>
        <w:t> </w:t>
      </w:r>
      <w:r>
        <w:rPr/>
        <w:t>integral</w:t>
      </w:r>
      <w:r>
        <w:rPr>
          <w:spacing w:val="-13"/>
        </w:rPr>
        <w:t> </w:t>
      </w:r>
      <w:r>
        <w:rPr/>
        <w:t>part</w:t>
      </w:r>
      <w:r>
        <w:rPr>
          <w:spacing w:val="-13"/>
        </w:rPr>
        <w:t> </w:t>
      </w:r>
      <w:r>
        <w:rPr/>
        <w:t>of the</w:t>
      </w:r>
      <w:r>
        <w:rPr>
          <w:spacing w:val="-28"/>
        </w:rPr>
        <w:t> </w:t>
      </w:r>
      <w:r>
        <w:rPr/>
        <w:t>related</w:t>
      </w:r>
      <w:r>
        <w:rPr>
          <w:spacing w:val="-28"/>
        </w:rPr>
        <w:t> </w:t>
      </w:r>
      <w:r>
        <w:rPr/>
        <w:t>hardware</w:t>
      </w:r>
      <w:r>
        <w:rPr>
          <w:spacing w:val="-28"/>
        </w:rPr>
        <w:t> </w:t>
      </w:r>
      <w:r>
        <w:rPr/>
        <w:t>is</w:t>
      </w:r>
      <w:r>
        <w:rPr>
          <w:spacing w:val="-28"/>
        </w:rPr>
        <w:t> </w:t>
      </w:r>
      <w:r>
        <w:rPr/>
        <w:t>recognised</w:t>
      </w:r>
      <w:r>
        <w:rPr>
          <w:spacing w:val="-28"/>
        </w:rPr>
        <w:t> </w:t>
      </w:r>
      <w:r>
        <w:rPr/>
        <w:t>as</w:t>
      </w:r>
      <w:r>
        <w:rPr>
          <w:spacing w:val="-28"/>
        </w:rPr>
        <w:t> </w:t>
      </w:r>
      <w:r>
        <w:rPr/>
        <w:t>an</w:t>
      </w:r>
      <w:r>
        <w:rPr>
          <w:spacing w:val="-28"/>
        </w:rPr>
        <w:t> </w:t>
      </w:r>
      <w:r>
        <w:rPr/>
        <w:t>intangible asset. Software costing less than $5,000 is expensed in the year of</w:t>
      </w:r>
      <w:r>
        <w:rPr>
          <w:spacing w:val="-21"/>
        </w:rPr>
        <w:t> </w:t>
      </w:r>
      <w:r>
        <w:rPr/>
        <w:t>acquisition.</w:t>
      </w:r>
    </w:p>
    <w:p>
      <w:pPr>
        <w:pStyle w:val="BodyText"/>
        <w:spacing w:before="5"/>
        <w:rPr>
          <w:sz w:val="23"/>
        </w:rPr>
      </w:pPr>
    </w:p>
    <w:p>
      <w:pPr>
        <w:pStyle w:val="Heading6"/>
        <w:ind w:left="420"/>
      </w:pPr>
      <w:r>
        <w:rPr/>
        <w:t>(i) Impairment of assets</w:t>
      </w:r>
    </w:p>
    <w:p>
      <w:pPr>
        <w:pStyle w:val="BodyText"/>
        <w:spacing w:line="249" w:lineRule="auto" w:before="11"/>
        <w:ind w:left="420" w:right="915"/>
      </w:pPr>
      <w:r>
        <w:rPr>
          <w:spacing w:val="-3"/>
        </w:rPr>
        <w:t>Property, </w:t>
      </w:r>
      <w:r>
        <w:rPr/>
        <w:t>plant and equipment, and intangible assets</w:t>
      </w:r>
      <w:r>
        <w:rPr>
          <w:spacing w:val="-24"/>
        </w:rPr>
        <w:t> </w:t>
      </w:r>
      <w:r>
        <w:rPr/>
        <w:t>are</w:t>
      </w:r>
      <w:r>
        <w:rPr>
          <w:spacing w:val="-23"/>
        </w:rPr>
        <w:t> </w:t>
      </w:r>
      <w:r>
        <w:rPr/>
        <w:t>tested</w:t>
      </w:r>
      <w:r>
        <w:rPr>
          <w:spacing w:val="-23"/>
        </w:rPr>
        <w:t> </w:t>
      </w:r>
      <w:r>
        <w:rPr/>
        <w:t>for</w:t>
      </w:r>
      <w:r>
        <w:rPr>
          <w:spacing w:val="-23"/>
        </w:rPr>
        <w:t> </w:t>
      </w:r>
      <w:r>
        <w:rPr/>
        <w:t>any</w:t>
      </w:r>
      <w:r>
        <w:rPr>
          <w:spacing w:val="-23"/>
        </w:rPr>
        <w:t> </w:t>
      </w:r>
      <w:r>
        <w:rPr/>
        <w:t>indication</w:t>
      </w:r>
      <w:r>
        <w:rPr>
          <w:spacing w:val="-23"/>
        </w:rPr>
        <w:t> </w:t>
      </w:r>
      <w:r>
        <w:rPr/>
        <w:t>of</w:t>
      </w:r>
      <w:r>
        <w:rPr>
          <w:spacing w:val="-23"/>
        </w:rPr>
        <w:t> </w:t>
      </w:r>
      <w:r>
        <w:rPr/>
        <w:t>impairment at the end of each reporting</w:t>
      </w:r>
      <w:r>
        <w:rPr>
          <w:spacing w:val="-18"/>
        </w:rPr>
        <w:t> </w:t>
      </w:r>
      <w:r>
        <w:rPr/>
        <w:t>period.</w:t>
      </w:r>
    </w:p>
    <w:p>
      <w:pPr>
        <w:spacing w:after="0" w:line="249" w:lineRule="auto"/>
        <w:sectPr>
          <w:type w:val="continuous"/>
          <w:pgSz w:w="16840" w:h="11910" w:orient="landscape"/>
          <w:pgMar w:top="1100" w:bottom="280" w:left="0" w:right="0"/>
          <w:cols w:num="3" w:equalWidth="0">
            <w:col w:w="5582" w:space="40"/>
            <w:col w:w="5192" w:space="39"/>
            <w:col w:w="5987"/>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360.811798pt;margin-top:-57.373512pt;width:481.1pt;height:371.15pt;mso-position-horizontal-relative:page;mso-position-vertical-relative:paragraph;z-index:-699064"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345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3480"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350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7"/>
          <w:pgSz w:w="16840" w:h="11910" w:orient="landscape"/>
          <w:pgMar w:footer="774" w:header="0" w:top="0" w:bottom="960" w:left="0" w:right="0"/>
        </w:sectPr>
      </w:pPr>
    </w:p>
    <w:p>
      <w:pPr>
        <w:pStyle w:val="BodyText"/>
        <w:spacing w:before="5"/>
        <w:rPr>
          <w:sz w:val="23"/>
        </w:rPr>
      </w:pPr>
    </w:p>
    <w:p>
      <w:pPr>
        <w:pStyle w:val="BodyText"/>
        <w:spacing w:line="249" w:lineRule="auto"/>
        <w:ind w:left="765" w:right="740"/>
      </w:pPr>
      <w:r>
        <w:rPr/>
        <w:t>Where</w:t>
      </w:r>
      <w:r>
        <w:rPr>
          <w:spacing w:val="-27"/>
        </w:rPr>
        <w:t> </w:t>
      </w:r>
      <w:r>
        <w:rPr/>
        <w:t>there</w:t>
      </w:r>
      <w:r>
        <w:rPr>
          <w:spacing w:val="-27"/>
        </w:rPr>
        <w:t> </w:t>
      </w:r>
      <w:r>
        <w:rPr/>
        <w:t>is</w:t>
      </w:r>
      <w:r>
        <w:rPr>
          <w:spacing w:val="-27"/>
        </w:rPr>
        <w:t> </w:t>
      </w:r>
      <w:r>
        <w:rPr/>
        <w:t>an</w:t>
      </w:r>
      <w:r>
        <w:rPr>
          <w:spacing w:val="-26"/>
        </w:rPr>
        <w:t> </w:t>
      </w:r>
      <w:r>
        <w:rPr/>
        <w:t>indication</w:t>
      </w:r>
      <w:r>
        <w:rPr>
          <w:spacing w:val="-27"/>
        </w:rPr>
        <w:t> </w:t>
      </w:r>
      <w:r>
        <w:rPr/>
        <w:t>of</w:t>
      </w:r>
      <w:r>
        <w:rPr>
          <w:spacing w:val="-27"/>
        </w:rPr>
        <w:t> </w:t>
      </w:r>
      <w:r>
        <w:rPr/>
        <w:t>impairment, the recoverable amount is</w:t>
      </w:r>
      <w:r>
        <w:rPr>
          <w:spacing w:val="-35"/>
        </w:rPr>
        <w:t> </w:t>
      </w:r>
      <w:r>
        <w:rPr/>
        <w:t>estimated.</w:t>
      </w:r>
    </w:p>
    <w:p>
      <w:pPr>
        <w:pStyle w:val="BodyText"/>
        <w:spacing w:line="249" w:lineRule="auto" w:before="2"/>
        <w:ind w:left="765" w:right="578"/>
      </w:pPr>
      <w:r>
        <w:rPr/>
        <w:t>Where the recoverable amount is less than the</w:t>
      </w:r>
      <w:r>
        <w:rPr>
          <w:spacing w:val="-18"/>
        </w:rPr>
        <w:t> </w:t>
      </w:r>
      <w:r>
        <w:rPr/>
        <w:t>carrying</w:t>
      </w:r>
      <w:r>
        <w:rPr>
          <w:spacing w:val="-18"/>
        </w:rPr>
        <w:t> </w:t>
      </w:r>
      <w:r>
        <w:rPr/>
        <w:t>amount,</w:t>
      </w:r>
      <w:r>
        <w:rPr>
          <w:spacing w:val="-17"/>
        </w:rPr>
        <w:t> </w:t>
      </w:r>
      <w:r>
        <w:rPr/>
        <w:t>the</w:t>
      </w:r>
      <w:r>
        <w:rPr>
          <w:spacing w:val="-18"/>
        </w:rPr>
        <w:t> </w:t>
      </w:r>
      <w:r>
        <w:rPr/>
        <w:t>asset</w:t>
      </w:r>
      <w:r>
        <w:rPr>
          <w:spacing w:val="-17"/>
        </w:rPr>
        <w:t> </w:t>
      </w:r>
      <w:r>
        <w:rPr/>
        <w:t>is</w:t>
      </w:r>
      <w:r>
        <w:rPr>
          <w:spacing w:val="-18"/>
        </w:rPr>
        <w:t> </w:t>
      </w:r>
      <w:r>
        <w:rPr>
          <w:spacing w:val="-3"/>
        </w:rPr>
        <w:t>considered</w:t>
      </w:r>
    </w:p>
    <w:p>
      <w:pPr>
        <w:pStyle w:val="BodyText"/>
        <w:spacing w:line="249" w:lineRule="auto" w:before="2"/>
        <w:ind w:left="765" w:right="273"/>
      </w:pPr>
      <w:r>
        <w:rPr/>
        <w:t>impaired</w:t>
      </w:r>
      <w:r>
        <w:rPr>
          <w:spacing w:val="-15"/>
        </w:rPr>
        <w:t> </w:t>
      </w:r>
      <w:r>
        <w:rPr/>
        <w:t>and</w:t>
      </w:r>
      <w:r>
        <w:rPr>
          <w:spacing w:val="-14"/>
        </w:rPr>
        <w:t> </w:t>
      </w:r>
      <w:r>
        <w:rPr/>
        <w:t>is</w:t>
      </w:r>
      <w:r>
        <w:rPr>
          <w:spacing w:val="-14"/>
        </w:rPr>
        <w:t> </w:t>
      </w:r>
      <w:r>
        <w:rPr/>
        <w:t>written</w:t>
      </w:r>
      <w:r>
        <w:rPr>
          <w:spacing w:val="-14"/>
        </w:rPr>
        <w:t> </w:t>
      </w:r>
      <w:r>
        <w:rPr/>
        <w:t>down</w:t>
      </w:r>
      <w:r>
        <w:rPr>
          <w:spacing w:val="-14"/>
        </w:rPr>
        <w:t> </w:t>
      </w:r>
      <w:r>
        <w:rPr/>
        <w:t>to</w:t>
      </w:r>
      <w:r>
        <w:rPr>
          <w:spacing w:val="-14"/>
        </w:rPr>
        <w:t> </w:t>
      </w:r>
      <w:r>
        <w:rPr/>
        <w:t>the</w:t>
      </w:r>
      <w:r>
        <w:rPr>
          <w:spacing w:val="-14"/>
        </w:rPr>
        <w:t> </w:t>
      </w:r>
      <w:r>
        <w:rPr>
          <w:spacing w:val="-3"/>
        </w:rPr>
        <w:t>recoverable </w:t>
      </w:r>
      <w:r>
        <w:rPr/>
        <w:t>amount and an impairment loss is recognised. Where an asset measured at cost is written down to recoverable amount, an impairment loss is recognised in profit or loss. Where a previously revalued asset is written down to recoverable</w:t>
      </w:r>
      <w:r>
        <w:rPr>
          <w:spacing w:val="-17"/>
        </w:rPr>
        <w:t> </w:t>
      </w:r>
      <w:r>
        <w:rPr/>
        <w:t>amount,</w:t>
      </w:r>
      <w:r>
        <w:rPr>
          <w:spacing w:val="-17"/>
        </w:rPr>
        <w:t> </w:t>
      </w:r>
      <w:r>
        <w:rPr/>
        <w:t>the</w:t>
      </w:r>
      <w:r>
        <w:rPr>
          <w:spacing w:val="-17"/>
        </w:rPr>
        <w:t> </w:t>
      </w:r>
      <w:r>
        <w:rPr/>
        <w:t>loss</w:t>
      </w:r>
      <w:r>
        <w:rPr>
          <w:spacing w:val="-17"/>
        </w:rPr>
        <w:t> </w:t>
      </w:r>
      <w:r>
        <w:rPr/>
        <w:t>is</w:t>
      </w:r>
      <w:r>
        <w:rPr>
          <w:spacing w:val="-17"/>
        </w:rPr>
        <w:t> </w:t>
      </w:r>
      <w:r>
        <w:rPr/>
        <w:t>recognised</w:t>
      </w:r>
      <w:r>
        <w:rPr>
          <w:spacing w:val="-17"/>
        </w:rPr>
        <w:t> </w:t>
      </w:r>
      <w:r>
        <w:rPr/>
        <w:t>as</w:t>
      </w:r>
    </w:p>
    <w:p>
      <w:pPr>
        <w:pStyle w:val="BodyText"/>
        <w:spacing w:line="249" w:lineRule="auto" w:before="6"/>
        <w:ind w:left="765" w:right="233"/>
      </w:pPr>
      <w:r>
        <w:rPr/>
        <w:t>a</w:t>
      </w:r>
      <w:r>
        <w:rPr>
          <w:spacing w:val="-29"/>
        </w:rPr>
        <w:t> </w:t>
      </w:r>
      <w:r>
        <w:rPr/>
        <w:t>revaluation</w:t>
      </w:r>
      <w:r>
        <w:rPr>
          <w:spacing w:val="-28"/>
        </w:rPr>
        <w:t> </w:t>
      </w:r>
      <w:r>
        <w:rPr/>
        <w:t>decrement</w:t>
      </w:r>
      <w:r>
        <w:rPr>
          <w:spacing w:val="-28"/>
        </w:rPr>
        <w:t> </w:t>
      </w:r>
      <w:r>
        <w:rPr/>
        <w:t>in</w:t>
      </w:r>
      <w:r>
        <w:rPr>
          <w:spacing w:val="-28"/>
        </w:rPr>
        <w:t> </w:t>
      </w:r>
      <w:r>
        <w:rPr/>
        <w:t>other</w:t>
      </w:r>
      <w:r>
        <w:rPr>
          <w:spacing w:val="-29"/>
        </w:rPr>
        <w:t> </w:t>
      </w:r>
      <w:r>
        <w:rPr>
          <w:spacing w:val="-3"/>
        </w:rPr>
        <w:t>comprehensive </w:t>
      </w:r>
      <w:r>
        <w:rPr/>
        <w:t>income. As the Department is a not-for-profit </w:t>
      </w:r>
      <w:r>
        <w:rPr>
          <w:spacing w:val="-3"/>
        </w:rPr>
        <w:t>entity, </w:t>
      </w:r>
      <w:r>
        <w:rPr/>
        <w:t>unless a specialised asset has been identified as a surplus asset, the recoverable amount</w:t>
      </w:r>
      <w:r>
        <w:rPr>
          <w:spacing w:val="-18"/>
        </w:rPr>
        <w:t> </w:t>
      </w:r>
      <w:r>
        <w:rPr/>
        <w:t>is</w:t>
      </w:r>
      <w:r>
        <w:rPr>
          <w:spacing w:val="-18"/>
        </w:rPr>
        <w:t> </w:t>
      </w:r>
      <w:r>
        <w:rPr/>
        <w:t>the</w:t>
      </w:r>
      <w:r>
        <w:rPr>
          <w:spacing w:val="-18"/>
        </w:rPr>
        <w:t> </w:t>
      </w:r>
      <w:r>
        <w:rPr/>
        <w:t>higher</w:t>
      </w:r>
      <w:r>
        <w:rPr>
          <w:spacing w:val="-18"/>
        </w:rPr>
        <w:t> </w:t>
      </w:r>
      <w:r>
        <w:rPr/>
        <w:t>of</w:t>
      </w:r>
      <w:r>
        <w:rPr>
          <w:spacing w:val="-18"/>
        </w:rPr>
        <w:t> </w:t>
      </w:r>
      <w:r>
        <w:rPr/>
        <w:t>an</w:t>
      </w:r>
      <w:r>
        <w:rPr>
          <w:spacing w:val="-18"/>
        </w:rPr>
        <w:t> </w:t>
      </w:r>
      <w:r>
        <w:rPr>
          <w:spacing w:val="-4"/>
        </w:rPr>
        <w:t>asset’s</w:t>
      </w:r>
      <w:r>
        <w:rPr>
          <w:spacing w:val="-18"/>
        </w:rPr>
        <w:t> </w:t>
      </w:r>
      <w:r>
        <w:rPr/>
        <w:t>fair</w:t>
      </w:r>
      <w:r>
        <w:rPr>
          <w:spacing w:val="-18"/>
        </w:rPr>
        <w:t> </w:t>
      </w:r>
      <w:r>
        <w:rPr/>
        <w:t>value</w:t>
      </w:r>
      <w:r>
        <w:rPr>
          <w:spacing w:val="-18"/>
        </w:rPr>
        <w:t> </w:t>
      </w:r>
      <w:r>
        <w:rPr/>
        <w:t>less costs to sell and current replacement</w:t>
      </w:r>
      <w:r>
        <w:rPr>
          <w:spacing w:val="-38"/>
        </w:rPr>
        <w:t> </w:t>
      </w:r>
      <w:r>
        <w:rPr/>
        <w:t>cost.</w:t>
      </w:r>
    </w:p>
    <w:p>
      <w:pPr>
        <w:pStyle w:val="BodyText"/>
        <w:spacing w:before="5"/>
        <w:rPr>
          <w:sz w:val="23"/>
        </w:rPr>
      </w:pPr>
    </w:p>
    <w:p>
      <w:pPr>
        <w:pStyle w:val="BodyText"/>
        <w:spacing w:line="249" w:lineRule="auto"/>
        <w:ind w:left="765" w:right="-6"/>
      </w:pPr>
      <w:r>
        <w:rPr/>
        <w:t>The risk of impairment is generally limited to circumstances where an </w:t>
      </w:r>
      <w:r>
        <w:rPr>
          <w:spacing w:val="-4"/>
        </w:rPr>
        <w:t>asset’s </w:t>
      </w:r>
      <w:r>
        <w:rPr/>
        <w:t>depreciation is materially understated, where the replacement cost</w:t>
      </w:r>
      <w:r>
        <w:rPr>
          <w:spacing w:val="-20"/>
        </w:rPr>
        <w:t> </w:t>
      </w:r>
      <w:r>
        <w:rPr/>
        <w:t>is</w:t>
      </w:r>
      <w:r>
        <w:rPr>
          <w:spacing w:val="-19"/>
        </w:rPr>
        <w:t> </w:t>
      </w:r>
      <w:r>
        <w:rPr/>
        <w:t>falling</w:t>
      </w:r>
      <w:r>
        <w:rPr>
          <w:spacing w:val="-19"/>
        </w:rPr>
        <w:t> </w:t>
      </w:r>
      <w:r>
        <w:rPr/>
        <w:t>or</w:t>
      </w:r>
      <w:r>
        <w:rPr>
          <w:spacing w:val="-20"/>
        </w:rPr>
        <w:t> </w:t>
      </w:r>
      <w:r>
        <w:rPr/>
        <w:t>where</w:t>
      </w:r>
      <w:r>
        <w:rPr>
          <w:spacing w:val="-19"/>
        </w:rPr>
        <w:t> </w:t>
      </w:r>
      <w:r>
        <w:rPr/>
        <w:t>there</w:t>
      </w:r>
      <w:r>
        <w:rPr>
          <w:spacing w:val="-19"/>
        </w:rPr>
        <w:t> </w:t>
      </w:r>
      <w:r>
        <w:rPr/>
        <w:t>is</w:t>
      </w:r>
      <w:r>
        <w:rPr>
          <w:spacing w:val="-20"/>
        </w:rPr>
        <w:t> </w:t>
      </w:r>
      <w:r>
        <w:rPr/>
        <w:t>a</w:t>
      </w:r>
      <w:r>
        <w:rPr>
          <w:spacing w:val="-19"/>
        </w:rPr>
        <w:t> </w:t>
      </w:r>
      <w:r>
        <w:rPr/>
        <w:t>significant</w:t>
      </w:r>
      <w:r>
        <w:rPr>
          <w:spacing w:val="-19"/>
        </w:rPr>
        <w:t> </w:t>
      </w:r>
      <w:r>
        <w:rPr>
          <w:spacing w:val="-4"/>
        </w:rPr>
        <w:t>change </w:t>
      </w:r>
      <w:r>
        <w:rPr/>
        <w:t>in useful life. Each relevant class of assets is reviewed annually to verify that the accumulated depreciation/amortisation reflects the level of consumption or expiration of the assets’ future economic</w:t>
      </w:r>
      <w:r>
        <w:rPr>
          <w:spacing w:val="-24"/>
        </w:rPr>
        <w:t> </w:t>
      </w:r>
      <w:r>
        <w:rPr/>
        <w:t>benefits</w:t>
      </w:r>
      <w:r>
        <w:rPr>
          <w:spacing w:val="-23"/>
        </w:rPr>
        <w:t> </w:t>
      </w:r>
      <w:r>
        <w:rPr/>
        <w:t>and</w:t>
      </w:r>
      <w:r>
        <w:rPr>
          <w:spacing w:val="-23"/>
        </w:rPr>
        <w:t> </w:t>
      </w:r>
      <w:r>
        <w:rPr/>
        <w:t>to</w:t>
      </w:r>
      <w:r>
        <w:rPr>
          <w:spacing w:val="-23"/>
        </w:rPr>
        <w:t> </w:t>
      </w:r>
      <w:r>
        <w:rPr/>
        <w:t>evaluate</w:t>
      </w:r>
      <w:r>
        <w:rPr>
          <w:spacing w:val="-23"/>
        </w:rPr>
        <w:t> </w:t>
      </w:r>
      <w:r>
        <w:rPr/>
        <w:t>any</w:t>
      </w:r>
      <w:r>
        <w:rPr>
          <w:spacing w:val="-23"/>
        </w:rPr>
        <w:t> </w:t>
      </w:r>
      <w:r>
        <w:rPr/>
        <w:t>impairment risk from falling replacement</w:t>
      </w:r>
      <w:r>
        <w:rPr>
          <w:spacing w:val="-16"/>
        </w:rPr>
        <w:t> </w:t>
      </w:r>
      <w:r>
        <w:rPr/>
        <w:t>costs.</w:t>
      </w:r>
    </w:p>
    <w:p>
      <w:pPr>
        <w:pStyle w:val="BodyText"/>
        <w:spacing w:before="5"/>
        <w:rPr>
          <w:sz w:val="23"/>
        </w:rPr>
      </w:pPr>
      <w:r>
        <w:rPr/>
        <w:br w:type="column"/>
      </w:r>
      <w:r>
        <w:rPr>
          <w:sz w:val="23"/>
        </w:rPr>
      </w:r>
    </w:p>
    <w:p>
      <w:pPr>
        <w:pStyle w:val="BodyText"/>
        <w:spacing w:line="249" w:lineRule="auto"/>
        <w:ind w:left="423" w:right="288"/>
      </w:pPr>
      <w:r>
        <w:rPr/>
        <w:t>Intangible</w:t>
      </w:r>
      <w:r>
        <w:rPr>
          <w:spacing w:val="-24"/>
        </w:rPr>
        <w:t> </w:t>
      </w:r>
      <w:r>
        <w:rPr/>
        <w:t>assets</w:t>
      </w:r>
      <w:r>
        <w:rPr>
          <w:spacing w:val="-24"/>
        </w:rPr>
        <w:t> </w:t>
      </w:r>
      <w:r>
        <w:rPr/>
        <w:t>with</w:t>
      </w:r>
      <w:r>
        <w:rPr>
          <w:spacing w:val="-24"/>
        </w:rPr>
        <w:t> </w:t>
      </w:r>
      <w:r>
        <w:rPr/>
        <w:t>an</w:t>
      </w:r>
      <w:r>
        <w:rPr>
          <w:spacing w:val="-23"/>
        </w:rPr>
        <w:t> </w:t>
      </w:r>
      <w:r>
        <w:rPr/>
        <w:t>indefinite</w:t>
      </w:r>
      <w:r>
        <w:rPr>
          <w:spacing w:val="-24"/>
        </w:rPr>
        <w:t> </w:t>
      </w:r>
      <w:r>
        <w:rPr/>
        <w:t>useful</w:t>
      </w:r>
      <w:r>
        <w:rPr>
          <w:spacing w:val="-24"/>
        </w:rPr>
        <w:t> </w:t>
      </w:r>
      <w:r>
        <w:rPr/>
        <w:t>life and</w:t>
      </w:r>
      <w:r>
        <w:rPr>
          <w:spacing w:val="-24"/>
        </w:rPr>
        <w:t> </w:t>
      </w:r>
      <w:r>
        <w:rPr/>
        <w:t>intangible</w:t>
      </w:r>
      <w:r>
        <w:rPr>
          <w:spacing w:val="-23"/>
        </w:rPr>
        <w:t> </w:t>
      </w:r>
      <w:r>
        <w:rPr/>
        <w:t>assets</w:t>
      </w:r>
      <w:r>
        <w:rPr>
          <w:spacing w:val="-24"/>
        </w:rPr>
        <w:t> </w:t>
      </w:r>
      <w:r>
        <w:rPr/>
        <w:t>not</w:t>
      </w:r>
      <w:r>
        <w:rPr>
          <w:spacing w:val="-23"/>
        </w:rPr>
        <w:t> </w:t>
      </w:r>
      <w:r>
        <w:rPr/>
        <w:t>yet</w:t>
      </w:r>
      <w:r>
        <w:rPr>
          <w:spacing w:val="-24"/>
        </w:rPr>
        <w:t> </w:t>
      </w:r>
      <w:r>
        <w:rPr/>
        <w:t>available</w:t>
      </w:r>
      <w:r>
        <w:rPr>
          <w:spacing w:val="-23"/>
        </w:rPr>
        <w:t> </w:t>
      </w:r>
      <w:r>
        <w:rPr/>
        <w:t>for</w:t>
      </w:r>
      <w:r>
        <w:rPr>
          <w:spacing w:val="-24"/>
        </w:rPr>
        <w:t> </w:t>
      </w:r>
      <w:r>
        <w:rPr>
          <w:spacing w:val="-6"/>
        </w:rPr>
        <w:t>use </w:t>
      </w:r>
      <w:r>
        <w:rPr/>
        <w:t>are tested for impairment at the end of each reporting</w:t>
      </w:r>
      <w:r>
        <w:rPr>
          <w:spacing w:val="-25"/>
        </w:rPr>
        <w:t> </w:t>
      </w:r>
      <w:r>
        <w:rPr/>
        <w:t>period</w:t>
      </w:r>
      <w:r>
        <w:rPr>
          <w:spacing w:val="-24"/>
        </w:rPr>
        <w:t> </w:t>
      </w:r>
      <w:r>
        <w:rPr/>
        <w:t>irrespective</w:t>
      </w:r>
      <w:r>
        <w:rPr>
          <w:spacing w:val="-25"/>
        </w:rPr>
        <w:t> </w:t>
      </w:r>
      <w:r>
        <w:rPr/>
        <w:t>of</w:t>
      </w:r>
      <w:r>
        <w:rPr>
          <w:spacing w:val="-24"/>
        </w:rPr>
        <w:t> </w:t>
      </w:r>
      <w:r>
        <w:rPr/>
        <w:t>whether</w:t>
      </w:r>
      <w:r>
        <w:rPr>
          <w:spacing w:val="-25"/>
        </w:rPr>
        <w:t> </w:t>
      </w:r>
      <w:r>
        <w:rPr/>
        <w:t>there is any indication of</w:t>
      </w:r>
      <w:r>
        <w:rPr>
          <w:spacing w:val="-16"/>
        </w:rPr>
        <w:t> </w:t>
      </w:r>
      <w:r>
        <w:rPr/>
        <w:t>impairment.</w:t>
      </w:r>
    </w:p>
    <w:p>
      <w:pPr>
        <w:pStyle w:val="BodyText"/>
        <w:spacing w:before="4"/>
        <w:rPr>
          <w:sz w:val="23"/>
        </w:rPr>
      </w:pPr>
    </w:p>
    <w:p>
      <w:pPr>
        <w:pStyle w:val="BodyText"/>
        <w:ind w:left="423"/>
      </w:pPr>
      <w:r>
        <w:rPr/>
        <w:t>The recoverable amount of assets identified</w:t>
      </w:r>
    </w:p>
    <w:p>
      <w:pPr>
        <w:pStyle w:val="BodyText"/>
        <w:spacing w:line="249" w:lineRule="auto" w:before="11"/>
        <w:ind w:left="423" w:right="-5"/>
      </w:pPr>
      <w:r>
        <w:rPr/>
        <w:t>as</w:t>
      </w:r>
      <w:r>
        <w:rPr>
          <w:spacing w:val="-18"/>
        </w:rPr>
        <w:t> </w:t>
      </w:r>
      <w:r>
        <w:rPr/>
        <w:t>surplus</w:t>
      </w:r>
      <w:r>
        <w:rPr>
          <w:spacing w:val="-17"/>
        </w:rPr>
        <w:t> </w:t>
      </w:r>
      <w:r>
        <w:rPr/>
        <w:t>assets</w:t>
      </w:r>
      <w:r>
        <w:rPr>
          <w:spacing w:val="-17"/>
        </w:rPr>
        <w:t> </w:t>
      </w:r>
      <w:r>
        <w:rPr/>
        <w:t>is</w:t>
      </w:r>
      <w:r>
        <w:rPr>
          <w:spacing w:val="-17"/>
        </w:rPr>
        <w:t> </w:t>
      </w:r>
      <w:r>
        <w:rPr/>
        <w:t>the</w:t>
      </w:r>
      <w:r>
        <w:rPr>
          <w:spacing w:val="-17"/>
        </w:rPr>
        <w:t> </w:t>
      </w:r>
      <w:r>
        <w:rPr/>
        <w:t>higher</w:t>
      </w:r>
      <w:r>
        <w:rPr>
          <w:spacing w:val="-18"/>
        </w:rPr>
        <w:t> </w:t>
      </w:r>
      <w:r>
        <w:rPr/>
        <w:t>of</w:t>
      </w:r>
      <w:r>
        <w:rPr>
          <w:spacing w:val="-17"/>
        </w:rPr>
        <w:t> </w:t>
      </w:r>
      <w:r>
        <w:rPr/>
        <w:t>fair</w:t>
      </w:r>
      <w:r>
        <w:rPr>
          <w:spacing w:val="-17"/>
        </w:rPr>
        <w:t> </w:t>
      </w:r>
      <w:r>
        <w:rPr/>
        <w:t>value</w:t>
      </w:r>
      <w:r>
        <w:rPr>
          <w:spacing w:val="-17"/>
        </w:rPr>
        <w:t> </w:t>
      </w:r>
      <w:r>
        <w:rPr/>
        <w:t>less costs</w:t>
      </w:r>
      <w:r>
        <w:rPr>
          <w:spacing w:val="-16"/>
        </w:rPr>
        <w:t> </w:t>
      </w:r>
      <w:r>
        <w:rPr/>
        <w:t>to</w:t>
      </w:r>
      <w:r>
        <w:rPr>
          <w:spacing w:val="-15"/>
        </w:rPr>
        <w:t> </w:t>
      </w:r>
      <w:r>
        <w:rPr/>
        <w:t>sell</w:t>
      </w:r>
      <w:r>
        <w:rPr>
          <w:spacing w:val="-16"/>
        </w:rPr>
        <w:t> </w:t>
      </w:r>
      <w:r>
        <w:rPr/>
        <w:t>and</w:t>
      </w:r>
      <w:r>
        <w:rPr>
          <w:spacing w:val="-15"/>
        </w:rPr>
        <w:t> </w:t>
      </w:r>
      <w:r>
        <w:rPr/>
        <w:t>the</w:t>
      </w:r>
      <w:r>
        <w:rPr>
          <w:spacing w:val="-15"/>
        </w:rPr>
        <w:t> </w:t>
      </w:r>
      <w:r>
        <w:rPr/>
        <w:t>present</w:t>
      </w:r>
      <w:r>
        <w:rPr>
          <w:spacing w:val="-16"/>
        </w:rPr>
        <w:t> </w:t>
      </w:r>
      <w:r>
        <w:rPr/>
        <w:t>value</w:t>
      </w:r>
      <w:r>
        <w:rPr>
          <w:spacing w:val="-15"/>
        </w:rPr>
        <w:t> </w:t>
      </w:r>
      <w:r>
        <w:rPr/>
        <w:t>of</w:t>
      </w:r>
      <w:r>
        <w:rPr>
          <w:spacing w:val="-16"/>
        </w:rPr>
        <w:t> </w:t>
      </w:r>
      <w:r>
        <w:rPr/>
        <w:t>future</w:t>
      </w:r>
      <w:r>
        <w:rPr>
          <w:spacing w:val="-15"/>
        </w:rPr>
        <w:t> </w:t>
      </w:r>
      <w:r>
        <w:rPr>
          <w:spacing w:val="-5"/>
        </w:rPr>
        <w:t>cash </w:t>
      </w:r>
      <w:r>
        <w:rPr/>
        <w:t>flows</w:t>
      </w:r>
      <w:r>
        <w:rPr>
          <w:spacing w:val="-8"/>
        </w:rPr>
        <w:t> </w:t>
      </w:r>
      <w:r>
        <w:rPr/>
        <w:t>expected</w:t>
      </w:r>
      <w:r>
        <w:rPr>
          <w:spacing w:val="-7"/>
        </w:rPr>
        <w:t> </w:t>
      </w:r>
      <w:r>
        <w:rPr/>
        <w:t>to</w:t>
      </w:r>
      <w:r>
        <w:rPr>
          <w:spacing w:val="-7"/>
        </w:rPr>
        <w:t> </w:t>
      </w:r>
      <w:r>
        <w:rPr/>
        <w:t>be</w:t>
      </w:r>
      <w:r>
        <w:rPr>
          <w:spacing w:val="-8"/>
        </w:rPr>
        <w:t> </w:t>
      </w:r>
      <w:r>
        <w:rPr/>
        <w:t>derived</w:t>
      </w:r>
      <w:r>
        <w:rPr>
          <w:spacing w:val="-7"/>
        </w:rPr>
        <w:t> </w:t>
      </w:r>
      <w:r>
        <w:rPr/>
        <w:t>from</w:t>
      </w:r>
      <w:r>
        <w:rPr>
          <w:spacing w:val="-7"/>
        </w:rPr>
        <w:t> </w:t>
      </w:r>
      <w:r>
        <w:rPr/>
        <w:t>the</w:t>
      </w:r>
      <w:r>
        <w:rPr>
          <w:spacing w:val="-8"/>
        </w:rPr>
        <w:t> </w:t>
      </w:r>
      <w:r>
        <w:rPr/>
        <w:t>asset.</w:t>
      </w:r>
    </w:p>
    <w:p>
      <w:pPr>
        <w:pStyle w:val="BodyText"/>
        <w:spacing w:line="249" w:lineRule="auto" w:before="3"/>
        <w:ind w:left="423" w:right="136"/>
      </w:pPr>
      <w:r>
        <w:rPr/>
        <w:t>Surplus</w:t>
      </w:r>
      <w:r>
        <w:rPr>
          <w:spacing w:val="-23"/>
        </w:rPr>
        <w:t> </w:t>
      </w:r>
      <w:r>
        <w:rPr/>
        <w:t>assets</w:t>
      </w:r>
      <w:r>
        <w:rPr>
          <w:spacing w:val="-23"/>
        </w:rPr>
        <w:t> </w:t>
      </w:r>
      <w:r>
        <w:rPr/>
        <w:t>carried</w:t>
      </w:r>
      <w:r>
        <w:rPr>
          <w:spacing w:val="-23"/>
        </w:rPr>
        <w:t> </w:t>
      </w:r>
      <w:r>
        <w:rPr/>
        <w:t>at</w:t>
      </w:r>
      <w:r>
        <w:rPr>
          <w:spacing w:val="-22"/>
        </w:rPr>
        <w:t> </w:t>
      </w:r>
      <w:r>
        <w:rPr/>
        <w:t>fair</w:t>
      </w:r>
      <w:r>
        <w:rPr>
          <w:spacing w:val="-23"/>
        </w:rPr>
        <w:t> </w:t>
      </w:r>
      <w:r>
        <w:rPr/>
        <w:t>value</w:t>
      </w:r>
      <w:r>
        <w:rPr>
          <w:spacing w:val="-23"/>
        </w:rPr>
        <w:t> </w:t>
      </w:r>
      <w:r>
        <w:rPr/>
        <w:t>have</w:t>
      </w:r>
      <w:r>
        <w:rPr>
          <w:spacing w:val="-23"/>
        </w:rPr>
        <w:t> </w:t>
      </w:r>
      <w:r>
        <w:rPr/>
        <w:t>no</w:t>
      </w:r>
      <w:r>
        <w:rPr>
          <w:spacing w:val="-22"/>
        </w:rPr>
        <w:t> </w:t>
      </w:r>
      <w:r>
        <w:rPr>
          <w:spacing w:val="-5"/>
        </w:rPr>
        <w:t>risk </w:t>
      </w:r>
      <w:r>
        <w:rPr/>
        <w:t>of material impairment where fair value is determined by reference to market-based evidence. Where fair value is determined by reference</w:t>
      </w:r>
      <w:r>
        <w:rPr>
          <w:spacing w:val="-21"/>
        </w:rPr>
        <w:t> </w:t>
      </w:r>
      <w:r>
        <w:rPr/>
        <w:t>to</w:t>
      </w:r>
      <w:r>
        <w:rPr>
          <w:spacing w:val="-21"/>
        </w:rPr>
        <w:t> </w:t>
      </w:r>
      <w:r>
        <w:rPr/>
        <w:t>current</w:t>
      </w:r>
      <w:r>
        <w:rPr>
          <w:spacing w:val="-21"/>
        </w:rPr>
        <w:t> </w:t>
      </w:r>
      <w:r>
        <w:rPr/>
        <w:t>replacement</w:t>
      </w:r>
      <w:r>
        <w:rPr>
          <w:spacing w:val="-21"/>
        </w:rPr>
        <w:t> </w:t>
      </w:r>
      <w:r>
        <w:rPr/>
        <w:t>cost,</w:t>
      </w:r>
      <w:r>
        <w:rPr>
          <w:spacing w:val="-21"/>
        </w:rPr>
        <w:t> </w:t>
      </w:r>
      <w:r>
        <w:rPr/>
        <w:t>surplus assets are at risk of impairment and the recoverable amount is</w:t>
      </w:r>
      <w:r>
        <w:rPr>
          <w:spacing w:val="-15"/>
        </w:rPr>
        <w:t> </w:t>
      </w:r>
      <w:r>
        <w:rPr/>
        <w:t>measured.</w:t>
      </w:r>
    </w:p>
    <w:p>
      <w:pPr>
        <w:pStyle w:val="BodyText"/>
        <w:spacing w:line="249" w:lineRule="auto" w:before="6"/>
        <w:ind w:left="423" w:right="85"/>
      </w:pPr>
      <w:r>
        <w:rPr/>
        <w:t>Surplus</w:t>
      </w:r>
      <w:r>
        <w:rPr>
          <w:spacing w:val="-20"/>
        </w:rPr>
        <w:t> </w:t>
      </w:r>
      <w:r>
        <w:rPr/>
        <w:t>assets</w:t>
      </w:r>
      <w:r>
        <w:rPr>
          <w:spacing w:val="-20"/>
        </w:rPr>
        <w:t> </w:t>
      </w:r>
      <w:r>
        <w:rPr/>
        <w:t>at</w:t>
      </w:r>
      <w:r>
        <w:rPr>
          <w:spacing w:val="-20"/>
        </w:rPr>
        <w:t> </w:t>
      </w:r>
      <w:r>
        <w:rPr/>
        <w:t>cost</w:t>
      </w:r>
      <w:r>
        <w:rPr>
          <w:spacing w:val="-20"/>
        </w:rPr>
        <w:t> </w:t>
      </w:r>
      <w:r>
        <w:rPr/>
        <w:t>are</w:t>
      </w:r>
      <w:r>
        <w:rPr>
          <w:spacing w:val="-19"/>
        </w:rPr>
        <w:t> </w:t>
      </w:r>
      <w:r>
        <w:rPr/>
        <w:t>tested</w:t>
      </w:r>
      <w:r>
        <w:rPr>
          <w:spacing w:val="-20"/>
        </w:rPr>
        <w:t> </w:t>
      </w:r>
      <w:r>
        <w:rPr/>
        <w:t>for</w:t>
      </w:r>
      <w:r>
        <w:rPr>
          <w:spacing w:val="-20"/>
        </w:rPr>
        <w:t> </w:t>
      </w:r>
      <w:r>
        <w:rPr/>
        <w:t>indications of impairment at the end of each reporting period.</w:t>
      </w:r>
    </w:p>
    <w:p>
      <w:pPr>
        <w:pStyle w:val="BodyText"/>
        <w:spacing w:before="2"/>
        <w:rPr>
          <w:sz w:val="23"/>
        </w:rPr>
      </w:pPr>
    </w:p>
    <w:p>
      <w:pPr>
        <w:pStyle w:val="BodyText"/>
        <w:spacing w:line="249" w:lineRule="auto"/>
        <w:ind w:left="423" w:right="431"/>
      </w:pPr>
      <w:r>
        <w:rPr/>
        <w:t>See Note 27 ‘Impairment of assets’ for the outcome</w:t>
      </w:r>
      <w:r>
        <w:rPr>
          <w:spacing w:val="-19"/>
        </w:rPr>
        <w:t> </w:t>
      </w:r>
      <w:r>
        <w:rPr/>
        <w:t>of</w:t>
      </w:r>
      <w:r>
        <w:rPr>
          <w:spacing w:val="-19"/>
        </w:rPr>
        <w:t> </w:t>
      </w:r>
      <w:r>
        <w:rPr/>
        <w:t>impairment</w:t>
      </w:r>
      <w:r>
        <w:rPr>
          <w:spacing w:val="-19"/>
        </w:rPr>
        <w:t> </w:t>
      </w:r>
      <w:r>
        <w:rPr/>
        <w:t>reviews</w:t>
      </w:r>
      <w:r>
        <w:rPr>
          <w:spacing w:val="-19"/>
        </w:rPr>
        <w:t> </w:t>
      </w:r>
      <w:r>
        <w:rPr/>
        <w:t>and</w:t>
      </w:r>
      <w:r>
        <w:rPr>
          <w:spacing w:val="-18"/>
        </w:rPr>
        <w:t> </w:t>
      </w:r>
      <w:r>
        <w:rPr>
          <w:spacing w:val="-3"/>
        </w:rPr>
        <w:t>testing.</w:t>
      </w:r>
    </w:p>
    <w:p>
      <w:pPr>
        <w:pStyle w:val="BodyText"/>
        <w:spacing w:before="1"/>
        <w:rPr>
          <w:sz w:val="23"/>
        </w:rPr>
      </w:pPr>
    </w:p>
    <w:p>
      <w:pPr>
        <w:pStyle w:val="Heading6"/>
        <w:numPr>
          <w:ilvl w:val="0"/>
          <w:numId w:val="7"/>
        </w:numPr>
        <w:tabs>
          <w:tab w:pos="677" w:val="left" w:leader="none"/>
        </w:tabs>
        <w:spacing w:line="249" w:lineRule="auto" w:before="1" w:after="0"/>
        <w:ind w:left="423" w:right="153" w:firstLine="0"/>
        <w:jc w:val="left"/>
      </w:pPr>
      <w:r>
        <w:rPr/>
        <w:t>Non-current assets (or disposal </w:t>
      </w:r>
      <w:r>
        <w:rPr>
          <w:spacing w:val="-4"/>
        </w:rPr>
        <w:t>groups) </w:t>
      </w:r>
      <w:r>
        <w:rPr/>
        <w:t>classified as held for</w:t>
      </w:r>
      <w:r>
        <w:rPr>
          <w:spacing w:val="-2"/>
        </w:rPr>
        <w:t> </w:t>
      </w:r>
      <w:r>
        <w:rPr/>
        <w:t>sale</w:t>
      </w:r>
    </w:p>
    <w:p>
      <w:pPr>
        <w:pStyle w:val="BodyText"/>
        <w:spacing w:line="249" w:lineRule="auto" w:before="1"/>
        <w:ind w:left="423" w:right="370"/>
      </w:pPr>
      <w:r>
        <w:rPr/>
        <w:t>The Department does not have </w:t>
      </w:r>
      <w:r>
        <w:rPr>
          <w:spacing w:val="-3"/>
        </w:rPr>
        <w:t>non-current </w:t>
      </w:r>
      <w:r>
        <w:rPr/>
        <w:t>assets held for sale.</w:t>
      </w:r>
    </w:p>
    <w:p>
      <w:pPr>
        <w:pStyle w:val="BodyText"/>
        <w:spacing w:before="5"/>
        <w:rPr>
          <w:sz w:val="23"/>
        </w:rPr>
      </w:pPr>
      <w:r>
        <w:rPr/>
        <w:br w:type="column"/>
      </w:r>
      <w:r>
        <w:rPr>
          <w:sz w:val="23"/>
        </w:rPr>
      </w:r>
    </w:p>
    <w:p>
      <w:pPr>
        <w:pStyle w:val="Heading6"/>
        <w:numPr>
          <w:ilvl w:val="0"/>
          <w:numId w:val="7"/>
        </w:numPr>
        <w:tabs>
          <w:tab w:pos="946" w:val="left" w:leader="none"/>
        </w:tabs>
        <w:spacing w:line="240" w:lineRule="auto" w:before="0" w:after="0"/>
        <w:ind w:left="945" w:right="0" w:hanging="318"/>
        <w:jc w:val="left"/>
      </w:pPr>
      <w:r>
        <w:rPr/>
        <w:t>Leases</w:t>
      </w:r>
    </w:p>
    <w:p>
      <w:pPr>
        <w:pStyle w:val="BodyText"/>
        <w:spacing w:line="249" w:lineRule="auto" w:before="11"/>
        <w:ind w:left="627" w:right="1055"/>
      </w:pPr>
      <w:r>
        <w:rPr/>
        <w:t>Finance</w:t>
      </w:r>
      <w:r>
        <w:rPr>
          <w:spacing w:val="-27"/>
        </w:rPr>
        <w:t> </w:t>
      </w:r>
      <w:r>
        <w:rPr/>
        <w:t>lease</w:t>
      </w:r>
      <w:r>
        <w:rPr>
          <w:spacing w:val="-27"/>
        </w:rPr>
        <w:t> </w:t>
      </w:r>
      <w:r>
        <w:rPr/>
        <w:t>rights</w:t>
      </w:r>
      <w:r>
        <w:rPr>
          <w:spacing w:val="-27"/>
        </w:rPr>
        <w:t> </w:t>
      </w:r>
      <w:r>
        <w:rPr/>
        <w:t>and</w:t>
      </w:r>
      <w:r>
        <w:rPr>
          <w:spacing w:val="-26"/>
        </w:rPr>
        <w:t> </w:t>
      </w:r>
      <w:r>
        <w:rPr/>
        <w:t>obligations</w:t>
      </w:r>
      <w:r>
        <w:rPr>
          <w:spacing w:val="-27"/>
        </w:rPr>
        <w:t> </w:t>
      </w:r>
      <w:r>
        <w:rPr/>
        <w:t>are</w:t>
      </w:r>
      <w:r>
        <w:rPr>
          <w:spacing w:val="-27"/>
        </w:rPr>
        <w:t> </w:t>
      </w:r>
      <w:r>
        <w:rPr/>
        <w:t>initially recognised,</w:t>
      </w:r>
      <w:r>
        <w:rPr>
          <w:spacing w:val="-17"/>
        </w:rPr>
        <w:t> </w:t>
      </w:r>
      <w:r>
        <w:rPr/>
        <w:t>at</w:t>
      </w:r>
      <w:r>
        <w:rPr>
          <w:spacing w:val="-16"/>
        </w:rPr>
        <w:t> </w:t>
      </w:r>
      <w:r>
        <w:rPr/>
        <w:t>the</w:t>
      </w:r>
      <w:r>
        <w:rPr>
          <w:spacing w:val="-16"/>
        </w:rPr>
        <w:t> </w:t>
      </w:r>
      <w:r>
        <w:rPr/>
        <w:t>commencement</w:t>
      </w:r>
      <w:r>
        <w:rPr>
          <w:spacing w:val="-16"/>
        </w:rPr>
        <w:t> </w:t>
      </w:r>
      <w:r>
        <w:rPr/>
        <w:t>of</w:t>
      </w:r>
      <w:r>
        <w:rPr>
          <w:spacing w:val="-16"/>
        </w:rPr>
        <w:t> </w:t>
      </w:r>
      <w:r>
        <w:rPr/>
        <w:t>the</w:t>
      </w:r>
      <w:r>
        <w:rPr>
          <w:spacing w:val="-16"/>
        </w:rPr>
        <w:t> </w:t>
      </w:r>
      <w:r>
        <w:rPr/>
        <w:t>lease term,</w:t>
      </w:r>
      <w:r>
        <w:rPr>
          <w:spacing w:val="-20"/>
        </w:rPr>
        <w:t> </w:t>
      </w:r>
      <w:r>
        <w:rPr/>
        <w:t>as</w:t>
      </w:r>
      <w:r>
        <w:rPr>
          <w:spacing w:val="-19"/>
        </w:rPr>
        <w:t> </w:t>
      </w:r>
      <w:r>
        <w:rPr/>
        <w:t>assets</w:t>
      </w:r>
      <w:r>
        <w:rPr>
          <w:spacing w:val="-19"/>
        </w:rPr>
        <w:t> </w:t>
      </w:r>
      <w:r>
        <w:rPr/>
        <w:t>and</w:t>
      </w:r>
      <w:r>
        <w:rPr>
          <w:spacing w:val="-19"/>
        </w:rPr>
        <w:t> </w:t>
      </w:r>
      <w:r>
        <w:rPr/>
        <w:t>liabilities</w:t>
      </w:r>
      <w:r>
        <w:rPr>
          <w:spacing w:val="-19"/>
        </w:rPr>
        <w:t> </w:t>
      </w:r>
      <w:r>
        <w:rPr/>
        <w:t>equal</w:t>
      </w:r>
      <w:r>
        <w:rPr>
          <w:spacing w:val="-19"/>
        </w:rPr>
        <w:t> </w:t>
      </w:r>
      <w:r>
        <w:rPr/>
        <w:t>in</w:t>
      </w:r>
      <w:r>
        <w:rPr>
          <w:spacing w:val="-19"/>
        </w:rPr>
        <w:t> </w:t>
      </w:r>
      <w:r>
        <w:rPr/>
        <w:t>amount</w:t>
      </w:r>
      <w:r>
        <w:rPr>
          <w:spacing w:val="-19"/>
        </w:rPr>
        <w:t> </w:t>
      </w:r>
      <w:r>
        <w:rPr>
          <w:spacing w:val="-9"/>
        </w:rPr>
        <w:t>to </w:t>
      </w:r>
      <w:r>
        <w:rPr/>
        <w:t>the fair value of the leased item </w:t>
      </w:r>
      <w:r>
        <w:rPr>
          <w:spacing w:val="-7"/>
        </w:rPr>
        <w:t>or, </w:t>
      </w:r>
      <w:r>
        <w:rPr/>
        <w:t>if </w:t>
      </w:r>
      <w:r>
        <w:rPr>
          <w:spacing w:val="-4"/>
        </w:rPr>
        <w:t>lower, </w:t>
      </w:r>
      <w:r>
        <w:rPr/>
        <w:t>the present</w:t>
      </w:r>
      <w:r>
        <w:rPr>
          <w:spacing w:val="-20"/>
        </w:rPr>
        <w:t> </w:t>
      </w:r>
      <w:r>
        <w:rPr/>
        <w:t>value</w:t>
      </w:r>
      <w:r>
        <w:rPr>
          <w:spacing w:val="-19"/>
        </w:rPr>
        <w:t> </w:t>
      </w:r>
      <w:r>
        <w:rPr/>
        <w:t>of</w:t>
      </w:r>
      <w:r>
        <w:rPr>
          <w:spacing w:val="-20"/>
        </w:rPr>
        <w:t> </w:t>
      </w:r>
      <w:r>
        <w:rPr/>
        <w:t>the</w:t>
      </w:r>
      <w:r>
        <w:rPr>
          <w:spacing w:val="-19"/>
        </w:rPr>
        <w:t> </w:t>
      </w:r>
      <w:r>
        <w:rPr/>
        <w:t>minimum</w:t>
      </w:r>
      <w:r>
        <w:rPr>
          <w:spacing w:val="-19"/>
        </w:rPr>
        <w:t> </w:t>
      </w:r>
      <w:r>
        <w:rPr/>
        <w:t>lease</w:t>
      </w:r>
      <w:r>
        <w:rPr>
          <w:spacing w:val="-20"/>
        </w:rPr>
        <w:t> </w:t>
      </w:r>
      <w:r>
        <w:rPr/>
        <w:t>payments, determined at the inception of the</w:t>
      </w:r>
      <w:r>
        <w:rPr>
          <w:spacing w:val="-38"/>
        </w:rPr>
        <w:t> </w:t>
      </w:r>
      <w:r>
        <w:rPr/>
        <w:t>lease.</w:t>
      </w:r>
    </w:p>
    <w:p>
      <w:pPr>
        <w:pStyle w:val="BodyText"/>
        <w:spacing w:line="249" w:lineRule="auto" w:before="5"/>
        <w:ind w:left="627" w:right="806"/>
      </w:pPr>
      <w:r>
        <w:rPr/>
        <w:t>The</w:t>
      </w:r>
      <w:r>
        <w:rPr>
          <w:spacing w:val="-18"/>
        </w:rPr>
        <w:t> </w:t>
      </w:r>
      <w:r>
        <w:rPr/>
        <w:t>assets</w:t>
      </w:r>
      <w:r>
        <w:rPr>
          <w:spacing w:val="-18"/>
        </w:rPr>
        <w:t> </w:t>
      </w:r>
      <w:r>
        <w:rPr/>
        <w:t>are</w:t>
      </w:r>
      <w:r>
        <w:rPr>
          <w:spacing w:val="-18"/>
        </w:rPr>
        <w:t> </w:t>
      </w:r>
      <w:r>
        <w:rPr/>
        <w:t>disclosed</w:t>
      </w:r>
      <w:r>
        <w:rPr>
          <w:spacing w:val="-18"/>
        </w:rPr>
        <w:t> </w:t>
      </w:r>
      <w:r>
        <w:rPr/>
        <w:t>as</w:t>
      </w:r>
      <w:r>
        <w:rPr>
          <w:spacing w:val="-18"/>
        </w:rPr>
        <w:t> </w:t>
      </w:r>
      <w:r>
        <w:rPr/>
        <w:t>plant,</w:t>
      </w:r>
      <w:r>
        <w:rPr>
          <w:spacing w:val="-17"/>
        </w:rPr>
        <w:t> </w:t>
      </w:r>
      <w:r>
        <w:rPr/>
        <w:t>equipment</w:t>
      </w:r>
      <w:r>
        <w:rPr>
          <w:spacing w:val="-18"/>
        </w:rPr>
        <w:t> </w:t>
      </w:r>
      <w:r>
        <w:rPr/>
        <w:t>and vehicles</w:t>
      </w:r>
      <w:r>
        <w:rPr>
          <w:spacing w:val="-26"/>
        </w:rPr>
        <w:t> </w:t>
      </w:r>
      <w:r>
        <w:rPr/>
        <w:t>under</w:t>
      </w:r>
      <w:r>
        <w:rPr>
          <w:spacing w:val="-25"/>
        </w:rPr>
        <w:t> </w:t>
      </w:r>
      <w:r>
        <w:rPr/>
        <w:t>lease,</w:t>
      </w:r>
      <w:r>
        <w:rPr>
          <w:spacing w:val="-26"/>
        </w:rPr>
        <w:t> </w:t>
      </w:r>
      <w:r>
        <w:rPr/>
        <w:t>and</w:t>
      </w:r>
      <w:r>
        <w:rPr>
          <w:spacing w:val="-25"/>
        </w:rPr>
        <w:t> </w:t>
      </w:r>
      <w:r>
        <w:rPr/>
        <w:t>are</w:t>
      </w:r>
      <w:r>
        <w:rPr>
          <w:spacing w:val="-26"/>
        </w:rPr>
        <w:t> </w:t>
      </w:r>
      <w:r>
        <w:rPr/>
        <w:t>depreciated</w:t>
      </w:r>
      <w:r>
        <w:rPr>
          <w:spacing w:val="-25"/>
        </w:rPr>
        <w:t> </w:t>
      </w:r>
      <w:r>
        <w:rPr/>
        <w:t>over</w:t>
      </w:r>
      <w:r>
        <w:rPr>
          <w:spacing w:val="-26"/>
        </w:rPr>
        <w:t> </w:t>
      </w:r>
      <w:r>
        <w:rPr/>
        <w:t>the period during which the Department is expected to</w:t>
      </w:r>
      <w:r>
        <w:rPr>
          <w:spacing w:val="-21"/>
        </w:rPr>
        <w:t> </w:t>
      </w:r>
      <w:r>
        <w:rPr/>
        <w:t>benefit</w:t>
      </w:r>
      <w:r>
        <w:rPr>
          <w:spacing w:val="-20"/>
        </w:rPr>
        <w:t> </w:t>
      </w:r>
      <w:r>
        <w:rPr/>
        <w:t>from</w:t>
      </w:r>
      <w:r>
        <w:rPr>
          <w:spacing w:val="-20"/>
        </w:rPr>
        <w:t> </w:t>
      </w:r>
      <w:r>
        <w:rPr/>
        <w:t>their</w:t>
      </w:r>
      <w:r>
        <w:rPr>
          <w:spacing w:val="-21"/>
        </w:rPr>
        <w:t> </w:t>
      </w:r>
      <w:r>
        <w:rPr/>
        <w:t>use.</w:t>
      </w:r>
      <w:r>
        <w:rPr>
          <w:spacing w:val="-20"/>
        </w:rPr>
        <w:t> </w:t>
      </w:r>
      <w:r>
        <w:rPr/>
        <w:t>Minimum</w:t>
      </w:r>
      <w:r>
        <w:rPr>
          <w:spacing w:val="-20"/>
        </w:rPr>
        <w:t> </w:t>
      </w:r>
      <w:r>
        <w:rPr/>
        <w:t>lease</w:t>
      </w:r>
      <w:r>
        <w:rPr>
          <w:spacing w:val="-20"/>
        </w:rPr>
        <w:t> </w:t>
      </w:r>
      <w:r>
        <w:rPr>
          <w:spacing w:val="-3"/>
        </w:rPr>
        <w:t>payments </w:t>
      </w:r>
      <w:r>
        <w:rPr/>
        <w:t>are apportioned between the finance charge and the reduction of the outstanding lease </w:t>
      </w:r>
      <w:r>
        <w:rPr>
          <w:spacing w:val="-3"/>
        </w:rPr>
        <w:t>liability, </w:t>
      </w:r>
      <w:r>
        <w:rPr/>
        <w:t>according</w:t>
      </w:r>
      <w:r>
        <w:rPr>
          <w:spacing w:val="-15"/>
        </w:rPr>
        <w:t> </w:t>
      </w:r>
      <w:r>
        <w:rPr/>
        <w:t>to</w:t>
      </w:r>
      <w:r>
        <w:rPr>
          <w:spacing w:val="-14"/>
        </w:rPr>
        <w:t> </w:t>
      </w:r>
      <w:r>
        <w:rPr/>
        <w:t>the</w:t>
      </w:r>
      <w:r>
        <w:rPr>
          <w:spacing w:val="-14"/>
        </w:rPr>
        <w:t> </w:t>
      </w:r>
      <w:r>
        <w:rPr/>
        <w:t>interest</w:t>
      </w:r>
      <w:r>
        <w:rPr>
          <w:spacing w:val="-14"/>
        </w:rPr>
        <w:t> </w:t>
      </w:r>
      <w:r>
        <w:rPr/>
        <w:t>rate</w:t>
      </w:r>
      <w:r>
        <w:rPr>
          <w:spacing w:val="-14"/>
        </w:rPr>
        <w:t> </w:t>
      </w:r>
      <w:r>
        <w:rPr/>
        <w:t>implicit</w:t>
      </w:r>
      <w:r>
        <w:rPr>
          <w:spacing w:val="-14"/>
        </w:rPr>
        <w:t> </w:t>
      </w:r>
      <w:r>
        <w:rPr/>
        <w:t>in</w:t>
      </w:r>
      <w:r>
        <w:rPr>
          <w:spacing w:val="-14"/>
        </w:rPr>
        <w:t> </w:t>
      </w:r>
      <w:r>
        <w:rPr/>
        <w:t>the</w:t>
      </w:r>
      <w:r>
        <w:rPr>
          <w:spacing w:val="-14"/>
        </w:rPr>
        <w:t> </w:t>
      </w:r>
      <w:r>
        <w:rPr/>
        <w:t>lease.</w:t>
      </w:r>
    </w:p>
    <w:p>
      <w:pPr>
        <w:pStyle w:val="BodyText"/>
        <w:spacing w:before="6"/>
        <w:rPr>
          <w:sz w:val="23"/>
        </w:rPr>
      </w:pPr>
    </w:p>
    <w:p>
      <w:pPr>
        <w:pStyle w:val="BodyText"/>
        <w:spacing w:line="249" w:lineRule="auto"/>
        <w:ind w:left="627" w:right="776"/>
      </w:pPr>
      <w:r>
        <w:rPr/>
        <w:t>The Department has entered into an operating lease</w:t>
      </w:r>
      <w:r>
        <w:rPr>
          <w:spacing w:val="-21"/>
        </w:rPr>
        <w:t> </w:t>
      </w:r>
      <w:r>
        <w:rPr/>
        <w:t>arrangement</w:t>
      </w:r>
      <w:r>
        <w:rPr>
          <w:spacing w:val="-20"/>
        </w:rPr>
        <w:t> </w:t>
      </w:r>
      <w:r>
        <w:rPr/>
        <w:t>for</w:t>
      </w:r>
      <w:r>
        <w:rPr>
          <w:spacing w:val="-20"/>
        </w:rPr>
        <w:t> </w:t>
      </w:r>
      <w:r>
        <w:rPr/>
        <w:t>the</w:t>
      </w:r>
      <w:r>
        <w:rPr>
          <w:spacing w:val="-20"/>
        </w:rPr>
        <w:t> </w:t>
      </w:r>
      <w:r>
        <w:rPr/>
        <w:t>rent</w:t>
      </w:r>
      <w:r>
        <w:rPr>
          <w:spacing w:val="-21"/>
        </w:rPr>
        <w:t> </w:t>
      </w:r>
      <w:r>
        <w:rPr/>
        <w:t>of</w:t>
      </w:r>
      <w:r>
        <w:rPr>
          <w:spacing w:val="-20"/>
        </w:rPr>
        <w:t> </w:t>
      </w:r>
      <w:r>
        <w:rPr/>
        <w:t>the</w:t>
      </w:r>
      <w:r>
        <w:rPr>
          <w:spacing w:val="-20"/>
        </w:rPr>
        <w:t> </w:t>
      </w:r>
      <w:r>
        <w:rPr/>
        <w:t>office</w:t>
      </w:r>
      <w:r>
        <w:rPr>
          <w:spacing w:val="-20"/>
        </w:rPr>
        <w:t> </w:t>
      </w:r>
      <w:r>
        <w:rPr>
          <w:spacing w:val="-3"/>
        </w:rPr>
        <w:t>building </w:t>
      </w:r>
      <w:r>
        <w:rPr/>
        <w:t>where</w:t>
      </w:r>
      <w:r>
        <w:rPr>
          <w:spacing w:val="-23"/>
        </w:rPr>
        <w:t> </w:t>
      </w:r>
      <w:r>
        <w:rPr/>
        <w:t>the</w:t>
      </w:r>
      <w:r>
        <w:rPr>
          <w:spacing w:val="-23"/>
        </w:rPr>
        <w:t> </w:t>
      </w:r>
      <w:r>
        <w:rPr/>
        <w:t>lessor</w:t>
      </w:r>
      <w:r>
        <w:rPr>
          <w:spacing w:val="-23"/>
        </w:rPr>
        <w:t> </w:t>
      </w:r>
      <w:r>
        <w:rPr/>
        <w:t>effectively</w:t>
      </w:r>
      <w:r>
        <w:rPr>
          <w:spacing w:val="-23"/>
        </w:rPr>
        <w:t> </w:t>
      </w:r>
      <w:r>
        <w:rPr/>
        <w:t>retains</w:t>
      </w:r>
      <w:r>
        <w:rPr>
          <w:spacing w:val="-23"/>
        </w:rPr>
        <w:t> </w:t>
      </w:r>
      <w:r>
        <w:rPr/>
        <w:t>the</w:t>
      </w:r>
      <w:r>
        <w:rPr>
          <w:spacing w:val="-23"/>
        </w:rPr>
        <w:t> </w:t>
      </w:r>
      <w:r>
        <w:rPr/>
        <w:t>entire</w:t>
      </w:r>
      <w:r>
        <w:rPr>
          <w:spacing w:val="-23"/>
        </w:rPr>
        <w:t> </w:t>
      </w:r>
      <w:r>
        <w:rPr/>
        <w:t>risks and benefits incidental to ownership of the items held under the operating</w:t>
      </w:r>
      <w:r>
        <w:rPr>
          <w:spacing w:val="-12"/>
        </w:rPr>
        <w:t> </w:t>
      </w:r>
      <w:r>
        <w:rPr/>
        <w:t>lease.</w:t>
      </w:r>
    </w:p>
    <w:p>
      <w:pPr>
        <w:pStyle w:val="BodyText"/>
        <w:spacing w:before="4"/>
        <w:rPr>
          <w:sz w:val="23"/>
        </w:rPr>
      </w:pPr>
    </w:p>
    <w:p>
      <w:pPr>
        <w:pStyle w:val="BodyText"/>
        <w:spacing w:line="249" w:lineRule="auto"/>
        <w:ind w:left="627" w:right="806"/>
      </w:pPr>
      <w:r>
        <w:rPr/>
        <w:t>Lease income from operating leases where the Department</w:t>
      </w:r>
      <w:r>
        <w:rPr>
          <w:spacing w:val="-19"/>
        </w:rPr>
        <w:t> </w:t>
      </w:r>
      <w:r>
        <w:rPr/>
        <w:t>is</w:t>
      </w:r>
      <w:r>
        <w:rPr>
          <w:spacing w:val="-18"/>
        </w:rPr>
        <w:t> </w:t>
      </w:r>
      <w:r>
        <w:rPr/>
        <w:t>a</w:t>
      </w:r>
      <w:r>
        <w:rPr>
          <w:spacing w:val="-19"/>
        </w:rPr>
        <w:t> </w:t>
      </w:r>
      <w:r>
        <w:rPr/>
        <w:t>lessor</w:t>
      </w:r>
      <w:r>
        <w:rPr>
          <w:spacing w:val="-18"/>
        </w:rPr>
        <w:t> </w:t>
      </w:r>
      <w:r>
        <w:rPr/>
        <w:t>is</w:t>
      </w:r>
      <w:r>
        <w:rPr>
          <w:spacing w:val="-19"/>
        </w:rPr>
        <w:t> </w:t>
      </w:r>
      <w:r>
        <w:rPr/>
        <w:t>recognised</w:t>
      </w:r>
      <w:r>
        <w:rPr>
          <w:spacing w:val="-18"/>
        </w:rPr>
        <w:t> </w:t>
      </w:r>
      <w:r>
        <w:rPr/>
        <w:t>as</w:t>
      </w:r>
      <w:r>
        <w:rPr>
          <w:spacing w:val="-19"/>
        </w:rPr>
        <w:t> </w:t>
      </w:r>
      <w:r>
        <w:rPr/>
        <w:t>income</w:t>
      </w:r>
      <w:r>
        <w:rPr>
          <w:spacing w:val="-18"/>
        </w:rPr>
        <w:t> </w:t>
      </w:r>
      <w:r>
        <w:rPr>
          <w:spacing w:val="-9"/>
        </w:rPr>
        <w:t>on </w:t>
      </w:r>
      <w:r>
        <w:rPr/>
        <w:t>a straight-line basis over the lease</w:t>
      </w:r>
      <w:r>
        <w:rPr>
          <w:spacing w:val="-39"/>
        </w:rPr>
        <w:t> </w:t>
      </w:r>
      <w:r>
        <w:rPr/>
        <w:t>term.</w:t>
      </w:r>
    </w:p>
    <w:p>
      <w:pPr>
        <w:pStyle w:val="BodyText"/>
        <w:spacing w:before="2"/>
        <w:rPr>
          <w:sz w:val="23"/>
        </w:rPr>
      </w:pPr>
    </w:p>
    <w:p>
      <w:pPr>
        <w:pStyle w:val="BodyText"/>
        <w:spacing w:line="249" w:lineRule="auto"/>
        <w:ind w:left="627" w:right="1032"/>
      </w:pPr>
      <w:r>
        <w:rPr/>
        <w:t>Operating</w:t>
      </w:r>
      <w:r>
        <w:rPr>
          <w:spacing w:val="-26"/>
        </w:rPr>
        <w:t> </w:t>
      </w:r>
      <w:r>
        <w:rPr/>
        <w:t>leases</w:t>
      </w:r>
      <w:r>
        <w:rPr>
          <w:spacing w:val="-25"/>
        </w:rPr>
        <w:t> </w:t>
      </w:r>
      <w:r>
        <w:rPr/>
        <w:t>are</w:t>
      </w:r>
      <w:r>
        <w:rPr>
          <w:spacing w:val="-25"/>
        </w:rPr>
        <w:t> </w:t>
      </w:r>
      <w:r>
        <w:rPr/>
        <w:t>expensed</w:t>
      </w:r>
      <w:r>
        <w:rPr>
          <w:spacing w:val="-25"/>
        </w:rPr>
        <w:t> </w:t>
      </w:r>
      <w:r>
        <w:rPr/>
        <w:t>on</w:t>
      </w:r>
      <w:r>
        <w:rPr>
          <w:spacing w:val="-26"/>
        </w:rPr>
        <w:t> </w:t>
      </w:r>
      <w:r>
        <w:rPr/>
        <w:t>a</w:t>
      </w:r>
      <w:r>
        <w:rPr>
          <w:spacing w:val="-25"/>
        </w:rPr>
        <w:t> </w:t>
      </w:r>
      <w:r>
        <w:rPr/>
        <w:t>straight</w:t>
      </w:r>
      <w:r>
        <w:rPr>
          <w:spacing w:val="-25"/>
        </w:rPr>
        <w:t> </w:t>
      </w:r>
      <w:r>
        <w:rPr>
          <w:spacing w:val="-5"/>
        </w:rPr>
        <w:t>line </w:t>
      </w:r>
      <w:r>
        <w:rPr/>
        <w:t>basis</w:t>
      </w:r>
      <w:r>
        <w:rPr>
          <w:spacing w:val="-18"/>
        </w:rPr>
        <w:t> </w:t>
      </w:r>
      <w:r>
        <w:rPr/>
        <w:t>over</w:t>
      </w:r>
      <w:r>
        <w:rPr>
          <w:spacing w:val="-18"/>
        </w:rPr>
        <w:t> </w:t>
      </w:r>
      <w:r>
        <w:rPr/>
        <w:t>the</w:t>
      </w:r>
      <w:r>
        <w:rPr>
          <w:spacing w:val="-18"/>
        </w:rPr>
        <w:t> </w:t>
      </w:r>
      <w:r>
        <w:rPr/>
        <w:t>lease</w:t>
      </w:r>
      <w:r>
        <w:rPr>
          <w:spacing w:val="-18"/>
        </w:rPr>
        <w:t> </w:t>
      </w:r>
      <w:r>
        <w:rPr/>
        <w:t>term</w:t>
      </w:r>
      <w:r>
        <w:rPr>
          <w:spacing w:val="-18"/>
        </w:rPr>
        <w:t> </w:t>
      </w:r>
      <w:r>
        <w:rPr/>
        <w:t>as</w:t>
      </w:r>
      <w:r>
        <w:rPr>
          <w:spacing w:val="-18"/>
        </w:rPr>
        <w:t> </w:t>
      </w:r>
      <w:r>
        <w:rPr/>
        <w:t>this</w:t>
      </w:r>
      <w:r>
        <w:rPr>
          <w:spacing w:val="-18"/>
        </w:rPr>
        <w:t> </w:t>
      </w:r>
      <w:r>
        <w:rPr/>
        <w:t>represents</w:t>
      </w:r>
      <w:r>
        <w:rPr>
          <w:spacing w:val="-18"/>
        </w:rPr>
        <w:t> </w:t>
      </w:r>
      <w:r>
        <w:rPr/>
        <w:t>the pattern of benefits derived from the leased properties.</w:t>
      </w:r>
    </w:p>
    <w:p>
      <w:pPr>
        <w:spacing w:after="0" w:line="249" w:lineRule="auto"/>
        <w:sectPr>
          <w:type w:val="continuous"/>
          <w:pgSz w:w="16840" w:h="11910" w:orient="landscape"/>
          <w:pgMar w:top="1100" w:bottom="280" w:left="0" w:right="0"/>
          <w:cols w:num="3" w:equalWidth="0">
            <w:col w:w="5546" w:space="40"/>
            <w:col w:w="5000" w:space="39"/>
            <w:col w:w="6215"/>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sz w:val="23"/>
        </w:rPr>
      </w:pPr>
    </w:p>
    <w:p>
      <w:pPr>
        <w:pStyle w:val="Heading1"/>
        <w:ind w:left="785"/>
      </w:pPr>
      <w:r>
        <w:rPr/>
        <w:pict>
          <v:group style="position:absolute;margin-left:481.080994pt;margin-top:-57.499214pt;width:360.85pt;height:130.65pt;mso-position-horizontal-relative:page;mso-position-vertical-relative:paragraph;z-index:-698872"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3672" type="#_x0000_t202" filled="false"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369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372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rPr>
          <w:sz w:val="20"/>
        </w:rPr>
      </w:pPr>
    </w:p>
    <w:p>
      <w:pPr>
        <w:spacing w:after="0"/>
        <w:rPr>
          <w:sz w:val="20"/>
        </w:rPr>
        <w:sectPr>
          <w:footerReference w:type="default" r:id="rId148"/>
          <w:pgSz w:w="16840" w:h="11910" w:orient="landscape"/>
          <w:pgMar w:footer="774" w:header="0" w:top="0" w:bottom="960" w:left="0" w:right="0"/>
        </w:sectPr>
      </w:pPr>
    </w:p>
    <w:p>
      <w:pPr>
        <w:pStyle w:val="BodyText"/>
        <w:spacing w:before="5"/>
        <w:rPr>
          <w:sz w:val="23"/>
        </w:rPr>
      </w:pPr>
    </w:p>
    <w:p>
      <w:pPr>
        <w:pStyle w:val="Heading6"/>
        <w:numPr>
          <w:ilvl w:val="0"/>
          <w:numId w:val="7"/>
        </w:numPr>
        <w:tabs>
          <w:tab w:pos="1014" w:val="left" w:leader="none"/>
        </w:tabs>
        <w:spacing w:line="240" w:lineRule="auto" w:before="0" w:after="0"/>
        <w:ind w:left="1013" w:right="0" w:hanging="248"/>
        <w:jc w:val="left"/>
      </w:pPr>
      <w:r>
        <w:rPr/>
        <w:t>Financial</w:t>
      </w:r>
      <w:r>
        <w:rPr>
          <w:spacing w:val="-1"/>
        </w:rPr>
        <w:t> </w:t>
      </w:r>
      <w:r>
        <w:rPr/>
        <w:t>instruments</w:t>
      </w:r>
    </w:p>
    <w:p>
      <w:pPr>
        <w:pStyle w:val="BodyText"/>
        <w:spacing w:line="249" w:lineRule="auto" w:before="11"/>
        <w:ind w:left="765" w:right="486"/>
      </w:pPr>
      <w:r>
        <w:rPr/>
        <w:t>In addition to cash, the Department has </w:t>
      </w:r>
      <w:r>
        <w:rPr>
          <w:spacing w:val="-6"/>
        </w:rPr>
        <w:t>two </w:t>
      </w:r>
      <w:r>
        <w:rPr/>
        <w:t>categories of financial instruments:</w:t>
      </w:r>
    </w:p>
    <w:p>
      <w:pPr>
        <w:pStyle w:val="BodyText"/>
        <w:spacing w:before="2"/>
        <w:ind w:left="1071"/>
      </w:pPr>
      <w:r>
        <w:rPr/>
        <w:pict>
          <v:group style="position:absolute;margin-left:38.267799pt;margin-top:1.452261pt;width:9.950pt;height:23.25pt;mso-position-horizontal-relative:page;mso-position-vertical-relative:paragraph;z-index:13648" coordorigin="765,29" coordsize="199,465">
            <v:shape style="position:absolute;left:765;top:29;width:199;height:199" type="#_x0000_t75" stroked="false">
              <v:imagedata r:id="rId90" o:title=""/>
            </v:shape>
            <v:shape style="position:absolute;left:765;top:295;width:199;height:199" type="#_x0000_t75" stroked="false">
              <v:imagedata r:id="rId143" o:title=""/>
            </v:shape>
            <w10:wrap type="none"/>
          </v:group>
        </w:pict>
      </w:r>
      <w:r>
        <w:rPr/>
        <w:t>Receivables; and</w:t>
      </w:r>
    </w:p>
    <w:p>
      <w:pPr>
        <w:pStyle w:val="BodyText"/>
        <w:spacing w:before="11"/>
        <w:ind w:left="1071"/>
      </w:pPr>
      <w:r>
        <w:rPr/>
        <w:t>Financial</w:t>
      </w:r>
      <w:r>
        <w:rPr>
          <w:spacing w:val="-35"/>
        </w:rPr>
        <w:t> </w:t>
      </w:r>
      <w:r>
        <w:rPr/>
        <w:t>liabilities</w:t>
      </w:r>
      <w:r>
        <w:rPr>
          <w:spacing w:val="-35"/>
        </w:rPr>
        <w:t> </w:t>
      </w:r>
      <w:r>
        <w:rPr/>
        <w:t>measured</w:t>
      </w:r>
      <w:r>
        <w:rPr>
          <w:spacing w:val="-34"/>
        </w:rPr>
        <w:t> </w:t>
      </w:r>
      <w:r>
        <w:rPr/>
        <w:t>at</w:t>
      </w:r>
      <w:r>
        <w:rPr>
          <w:spacing w:val="-35"/>
        </w:rPr>
        <w:t> </w:t>
      </w:r>
      <w:r>
        <w:rPr/>
        <w:t>amortised</w:t>
      </w:r>
      <w:r>
        <w:rPr>
          <w:spacing w:val="-34"/>
        </w:rPr>
        <w:t> </w:t>
      </w:r>
      <w:r>
        <w:rPr>
          <w:spacing w:val="-4"/>
        </w:rPr>
        <w:t>cost.</w:t>
      </w:r>
    </w:p>
    <w:p>
      <w:pPr>
        <w:pStyle w:val="BodyText"/>
        <w:spacing w:before="10"/>
        <w:rPr>
          <w:sz w:val="23"/>
        </w:rPr>
      </w:pPr>
    </w:p>
    <w:p>
      <w:pPr>
        <w:pStyle w:val="BodyText"/>
        <w:spacing w:line="249" w:lineRule="auto"/>
        <w:ind w:left="765" w:right="276"/>
      </w:pPr>
      <w:r>
        <w:rPr/>
        <w:t>Financial</w:t>
      </w:r>
      <w:r>
        <w:rPr>
          <w:spacing w:val="-37"/>
        </w:rPr>
        <w:t> </w:t>
      </w:r>
      <w:r>
        <w:rPr/>
        <w:t>instruments</w:t>
      </w:r>
      <w:r>
        <w:rPr>
          <w:spacing w:val="-37"/>
        </w:rPr>
        <w:t> </w:t>
      </w:r>
      <w:r>
        <w:rPr/>
        <w:t>have</w:t>
      </w:r>
      <w:r>
        <w:rPr>
          <w:spacing w:val="-37"/>
        </w:rPr>
        <w:t> </w:t>
      </w:r>
      <w:r>
        <w:rPr/>
        <w:t>been</w:t>
      </w:r>
      <w:r>
        <w:rPr>
          <w:spacing w:val="-37"/>
        </w:rPr>
        <w:t> </w:t>
      </w:r>
      <w:r>
        <w:rPr>
          <w:spacing w:val="-3"/>
        </w:rPr>
        <w:t>disaggregated </w:t>
      </w:r>
      <w:r>
        <w:rPr/>
        <w:t>into the following</w:t>
      </w:r>
      <w:r>
        <w:rPr>
          <w:spacing w:val="-7"/>
        </w:rPr>
        <w:t> </w:t>
      </w:r>
      <w:r>
        <w:rPr/>
        <w:t>classes:</w:t>
      </w:r>
    </w:p>
    <w:p>
      <w:pPr>
        <w:pStyle w:val="BodyText"/>
        <w:spacing w:before="2"/>
        <w:ind w:left="765"/>
      </w:pPr>
      <w:r>
        <w:rPr>
          <w:position w:val="-1"/>
        </w:rPr>
        <w:drawing>
          <wp:inline distT="0" distB="0" distL="0" distR="0">
            <wp:extent cx="125999" cy="125999"/>
            <wp:effectExtent l="0" t="0" r="0" b="0"/>
            <wp:docPr id="63" name="image90.png" descr=""/>
            <wp:cNvGraphicFramePr>
              <a:graphicFrameLocks noChangeAspect="1"/>
            </wp:cNvGraphicFramePr>
            <a:graphic>
              <a:graphicData uri="http://schemas.openxmlformats.org/drawingml/2006/picture">
                <pic:pic>
                  <pic:nvPicPr>
                    <pic:cNvPr id="64" name="image90.png"/>
                    <pic:cNvPicPr/>
                  </pic:nvPicPr>
                  <pic:blipFill>
                    <a:blip r:embed="rId14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Financial</w:t>
      </w:r>
      <w:r>
        <w:rPr>
          <w:spacing w:val="-2"/>
        </w:rPr>
        <w:t> </w:t>
      </w:r>
      <w:r>
        <w:rPr/>
        <w:t>assets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Cash and cash</w:t>
      </w:r>
      <w:r>
        <w:rPr>
          <w:spacing w:val="-10"/>
          <w:sz w:val="22"/>
        </w:rPr>
        <w:t> </w:t>
      </w:r>
      <w:r>
        <w:rPr>
          <w:sz w:val="22"/>
        </w:rPr>
        <w:t>equivalents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Restricted cash and cash</w:t>
      </w:r>
      <w:r>
        <w:rPr>
          <w:spacing w:val="-31"/>
          <w:sz w:val="22"/>
        </w:rPr>
        <w:t> </w:t>
      </w:r>
      <w:r>
        <w:rPr>
          <w:sz w:val="22"/>
        </w:rPr>
        <w:t>equivalents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Receivables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Finance lease</w:t>
      </w:r>
      <w:r>
        <w:rPr>
          <w:spacing w:val="-9"/>
          <w:sz w:val="22"/>
        </w:rPr>
        <w:t> </w:t>
      </w:r>
      <w:r>
        <w:rPr>
          <w:sz w:val="22"/>
        </w:rPr>
        <w:t>receivables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Amounts receivable for</w:t>
      </w:r>
      <w:r>
        <w:rPr>
          <w:spacing w:val="-17"/>
          <w:sz w:val="22"/>
        </w:rPr>
        <w:t> </w:t>
      </w:r>
      <w:r>
        <w:rPr>
          <w:sz w:val="22"/>
        </w:rPr>
        <w:t>services.</w:t>
      </w:r>
    </w:p>
    <w:p>
      <w:pPr>
        <w:pStyle w:val="BodyText"/>
        <w:spacing w:before="11"/>
        <w:ind w:left="765"/>
      </w:pPr>
      <w:r>
        <w:rPr>
          <w:position w:val="-2"/>
        </w:rPr>
        <w:drawing>
          <wp:inline distT="0" distB="0" distL="0" distR="0">
            <wp:extent cx="125999" cy="125999"/>
            <wp:effectExtent l="0" t="0" r="0" b="0"/>
            <wp:docPr id="65" name="image68.png" descr=""/>
            <wp:cNvGraphicFramePr>
              <a:graphicFrameLocks noChangeAspect="1"/>
            </wp:cNvGraphicFramePr>
            <a:graphic>
              <a:graphicData uri="http://schemas.openxmlformats.org/drawingml/2006/picture">
                <pic:pic>
                  <pic:nvPicPr>
                    <pic:cNvPr id="66" name="image68.png"/>
                    <pic:cNvPicPr/>
                  </pic:nvPicPr>
                  <pic:blipFill>
                    <a:blip r:embed="rId96"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Financial</w:t>
      </w:r>
      <w:r>
        <w:rPr>
          <w:spacing w:val="-3"/>
        </w:rPr>
        <w:t> </w:t>
      </w:r>
      <w:r>
        <w:rPr/>
        <w:t>liabilities</w:t>
      </w:r>
    </w:p>
    <w:p>
      <w:pPr>
        <w:pStyle w:val="ListParagraph"/>
        <w:numPr>
          <w:ilvl w:val="0"/>
          <w:numId w:val="8"/>
        </w:numPr>
        <w:tabs>
          <w:tab w:pos="1275" w:val="left" w:leader="none"/>
        </w:tabs>
        <w:spacing w:line="240" w:lineRule="auto" w:before="11" w:after="0"/>
        <w:ind w:left="1254" w:right="0" w:hanging="122"/>
        <w:jc w:val="left"/>
        <w:rPr>
          <w:sz w:val="22"/>
        </w:rPr>
      </w:pPr>
      <w:r>
        <w:rPr>
          <w:sz w:val="22"/>
        </w:rPr>
        <w:t>Payables</w:t>
      </w:r>
    </w:p>
    <w:p>
      <w:pPr>
        <w:pStyle w:val="ListParagraph"/>
        <w:numPr>
          <w:ilvl w:val="0"/>
          <w:numId w:val="8"/>
        </w:numPr>
        <w:tabs>
          <w:tab w:pos="1275" w:val="left" w:leader="none"/>
        </w:tabs>
        <w:spacing w:line="249" w:lineRule="auto" w:before="11" w:after="0"/>
        <w:ind w:left="1254" w:right="408" w:hanging="122"/>
        <w:jc w:val="left"/>
        <w:rPr>
          <w:sz w:val="22"/>
        </w:rPr>
      </w:pPr>
      <w:r>
        <w:rPr>
          <w:w w:val="95"/>
          <w:sz w:val="22"/>
        </w:rPr>
        <w:t>Western Australian </w:t>
      </w:r>
      <w:r>
        <w:rPr>
          <w:spacing w:val="-4"/>
          <w:w w:val="95"/>
          <w:sz w:val="22"/>
        </w:rPr>
        <w:t>Treasury </w:t>
      </w:r>
      <w:r>
        <w:rPr>
          <w:w w:val="95"/>
          <w:sz w:val="22"/>
        </w:rPr>
        <w:t>Corporation </w:t>
      </w:r>
      <w:r>
        <w:rPr>
          <w:spacing w:val="-4"/>
          <w:sz w:val="22"/>
        </w:rPr>
        <w:t>(WATC)</w:t>
      </w:r>
      <w:r>
        <w:rPr>
          <w:spacing w:val="-3"/>
          <w:sz w:val="22"/>
        </w:rPr>
        <w:t> </w:t>
      </w:r>
      <w:r>
        <w:rPr>
          <w:sz w:val="22"/>
        </w:rPr>
        <w:t>borrowings</w:t>
      </w:r>
    </w:p>
    <w:p>
      <w:pPr>
        <w:pStyle w:val="ListParagraph"/>
        <w:numPr>
          <w:ilvl w:val="0"/>
          <w:numId w:val="8"/>
        </w:numPr>
        <w:tabs>
          <w:tab w:pos="1275" w:val="left" w:leader="none"/>
        </w:tabs>
        <w:spacing w:line="240" w:lineRule="auto" w:before="2" w:after="0"/>
        <w:ind w:left="1274" w:right="0" w:hanging="142"/>
        <w:jc w:val="left"/>
        <w:rPr>
          <w:sz w:val="22"/>
        </w:rPr>
      </w:pPr>
      <w:r>
        <w:rPr>
          <w:w w:val="95"/>
          <w:sz w:val="22"/>
        </w:rPr>
        <w:t>Heritage  Maintenance</w:t>
      </w:r>
      <w:r>
        <w:rPr>
          <w:spacing w:val="3"/>
          <w:w w:val="95"/>
          <w:sz w:val="22"/>
        </w:rPr>
        <w:t> </w:t>
      </w:r>
      <w:r>
        <w:rPr>
          <w:w w:val="95"/>
          <w:sz w:val="22"/>
        </w:rPr>
        <w:t>borrowings</w:t>
      </w:r>
    </w:p>
    <w:p>
      <w:pPr>
        <w:pStyle w:val="ListParagraph"/>
        <w:numPr>
          <w:ilvl w:val="0"/>
          <w:numId w:val="8"/>
        </w:numPr>
        <w:tabs>
          <w:tab w:pos="1275" w:val="left" w:leader="none"/>
        </w:tabs>
        <w:spacing w:line="240" w:lineRule="auto" w:before="11" w:after="0"/>
        <w:ind w:left="1274" w:right="0" w:hanging="142"/>
        <w:jc w:val="left"/>
        <w:rPr>
          <w:sz w:val="22"/>
        </w:rPr>
      </w:pPr>
      <w:r>
        <w:rPr>
          <w:sz w:val="22"/>
        </w:rPr>
        <w:t>Amounts due to the</w:t>
      </w:r>
      <w:r>
        <w:rPr>
          <w:spacing w:val="-14"/>
          <w:sz w:val="22"/>
        </w:rPr>
        <w:t> </w:t>
      </w:r>
      <w:r>
        <w:rPr>
          <w:spacing w:val="-5"/>
          <w:sz w:val="22"/>
        </w:rPr>
        <w:t>Treasurer.</w:t>
      </w:r>
    </w:p>
    <w:p>
      <w:pPr>
        <w:pStyle w:val="BodyText"/>
        <w:spacing w:before="10"/>
        <w:rPr>
          <w:sz w:val="23"/>
        </w:rPr>
      </w:pPr>
    </w:p>
    <w:p>
      <w:pPr>
        <w:pStyle w:val="BodyText"/>
        <w:spacing w:line="249" w:lineRule="auto" w:before="1"/>
        <w:ind w:left="765" w:right="99"/>
      </w:pPr>
      <w:r>
        <w:rPr/>
        <w:t>Initial recognition and measurement of financial instruments is at fair value which normally equates</w:t>
      </w:r>
      <w:r>
        <w:rPr>
          <w:spacing w:val="-15"/>
        </w:rPr>
        <w:t> </w:t>
      </w:r>
      <w:r>
        <w:rPr/>
        <w:t>to</w:t>
      </w:r>
      <w:r>
        <w:rPr>
          <w:spacing w:val="-14"/>
        </w:rPr>
        <w:t> </w:t>
      </w:r>
      <w:r>
        <w:rPr/>
        <w:t>the</w:t>
      </w:r>
      <w:r>
        <w:rPr>
          <w:spacing w:val="-14"/>
        </w:rPr>
        <w:t> </w:t>
      </w:r>
      <w:r>
        <w:rPr/>
        <w:t>transaction</w:t>
      </w:r>
      <w:r>
        <w:rPr>
          <w:spacing w:val="-15"/>
        </w:rPr>
        <w:t> </w:t>
      </w:r>
      <w:r>
        <w:rPr/>
        <w:t>cost</w:t>
      </w:r>
      <w:r>
        <w:rPr>
          <w:spacing w:val="-14"/>
        </w:rPr>
        <w:t> </w:t>
      </w:r>
      <w:r>
        <w:rPr/>
        <w:t>or</w:t>
      </w:r>
      <w:r>
        <w:rPr>
          <w:spacing w:val="-14"/>
        </w:rPr>
        <w:t> </w:t>
      </w:r>
      <w:r>
        <w:rPr/>
        <w:t>the</w:t>
      </w:r>
      <w:r>
        <w:rPr>
          <w:spacing w:val="-14"/>
        </w:rPr>
        <w:t> </w:t>
      </w:r>
      <w:r>
        <w:rPr/>
        <w:t>face</w:t>
      </w:r>
      <w:r>
        <w:rPr>
          <w:spacing w:val="-15"/>
        </w:rPr>
        <w:t> </w:t>
      </w:r>
      <w:r>
        <w:rPr>
          <w:spacing w:val="-3"/>
        </w:rPr>
        <w:t>value. </w:t>
      </w:r>
      <w:r>
        <w:rPr/>
        <w:t>Subsequent measurement is at amortised cost using the effective interest</w:t>
      </w:r>
      <w:r>
        <w:rPr>
          <w:spacing w:val="-18"/>
        </w:rPr>
        <w:t> </w:t>
      </w:r>
      <w:r>
        <w:rPr/>
        <w:t>method.</w:t>
      </w:r>
    </w:p>
    <w:p>
      <w:pPr>
        <w:pStyle w:val="BodyText"/>
        <w:spacing w:before="5"/>
        <w:rPr>
          <w:sz w:val="23"/>
        </w:rPr>
      </w:pPr>
      <w:r>
        <w:rPr/>
        <w:br w:type="column"/>
      </w:r>
      <w:r>
        <w:rPr>
          <w:sz w:val="23"/>
        </w:rPr>
      </w:r>
    </w:p>
    <w:p>
      <w:pPr>
        <w:pStyle w:val="BodyText"/>
        <w:spacing w:line="249" w:lineRule="auto"/>
        <w:ind w:left="473" w:right="130"/>
      </w:pPr>
      <w:r>
        <w:rPr/>
        <w:t>The fair value of short-term receivables and payables</w:t>
      </w:r>
      <w:r>
        <w:rPr>
          <w:spacing w:val="-18"/>
        </w:rPr>
        <w:t> </w:t>
      </w:r>
      <w:r>
        <w:rPr/>
        <w:t>is</w:t>
      </w:r>
      <w:r>
        <w:rPr>
          <w:spacing w:val="-17"/>
        </w:rPr>
        <w:t> </w:t>
      </w:r>
      <w:r>
        <w:rPr/>
        <w:t>the</w:t>
      </w:r>
      <w:r>
        <w:rPr>
          <w:spacing w:val="-18"/>
        </w:rPr>
        <w:t> </w:t>
      </w:r>
      <w:r>
        <w:rPr/>
        <w:t>transaction</w:t>
      </w:r>
      <w:r>
        <w:rPr>
          <w:spacing w:val="-17"/>
        </w:rPr>
        <w:t> </w:t>
      </w:r>
      <w:r>
        <w:rPr/>
        <w:t>cost</w:t>
      </w:r>
      <w:r>
        <w:rPr>
          <w:spacing w:val="-18"/>
        </w:rPr>
        <w:t> </w:t>
      </w:r>
      <w:r>
        <w:rPr/>
        <w:t>or</w:t>
      </w:r>
      <w:r>
        <w:rPr>
          <w:spacing w:val="-17"/>
        </w:rPr>
        <w:t> </w:t>
      </w:r>
      <w:r>
        <w:rPr/>
        <w:t>the</w:t>
      </w:r>
      <w:r>
        <w:rPr>
          <w:spacing w:val="-18"/>
        </w:rPr>
        <w:t> </w:t>
      </w:r>
      <w:r>
        <w:rPr/>
        <w:t>face</w:t>
      </w:r>
      <w:r>
        <w:rPr>
          <w:spacing w:val="-17"/>
        </w:rPr>
        <w:t> </w:t>
      </w:r>
      <w:r>
        <w:rPr>
          <w:spacing w:val="-4"/>
        </w:rPr>
        <w:t>value </w:t>
      </w:r>
      <w:r>
        <w:rPr/>
        <w:t>because</w:t>
      </w:r>
      <w:r>
        <w:rPr>
          <w:spacing w:val="-17"/>
        </w:rPr>
        <w:t> </w:t>
      </w:r>
      <w:r>
        <w:rPr/>
        <w:t>there</w:t>
      </w:r>
      <w:r>
        <w:rPr>
          <w:spacing w:val="-17"/>
        </w:rPr>
        <w:t> </w:t>
      </w:r>
      <w:r>
        <w:rPr/>
        <w:t>is</w:t>
      </w:r>
      <w:r>
        <w:rPr>
          <w:spacing w:val="-17"/>
        </w:rPr>
        <w:t> </w:t>
      </w:r>
      <w:r>
        <w:rPr/>
        <w:t>no</w:t>
      </w:r>
      <w:r>
        <w:rPr>
          <w:spacing w:val="-16"/>
        </w:rPr>
        <w:t> </w:t>
      </w:r>
      <w:r>
        <w:rPr/>
        <w:t>interest</w:t>
      </w:r>
      <w:r>
        <w:rPr>
          <w:spacing w:val="-17"/>
        </w:rPr>
        <w:t> </w:t>
      </w:r>
      <w:r>
        <w:rPr/>
        <w:t>rate</w:t>
      </w:r>
      <w:r>
        <w:rPr>
          <w:spacing w:val="-17"/>
        </w:rPr>
        <w:t> </w:t>
      </w:r>
      <w:r>
        <w:rPr/>
        <w:t>applicable</w:t>
      </w:r>
      <w:r>
        <w:rPr>
          <w:spacing w:val="-16"/>
        </w:rPr>
        <w:t> </w:t>
      </w:r>
      <w:r>
        <w:rPr/>
        <w:t>and subsequent</w:t>
      </w:r>
      <w:r>
        <w:rPr>
          <w:spacing w:val="-20"/>
        </w:rPr>
        <w:t> </w:t>
      </w:r>
      <w:r>
        <w:rPr/>
        <w:t>measurement</w:t>
      </w:r>
      <w:r>
        <w:rPr>
          <w:spacing w:val="-19"/>
        </w:rPr>
        <w:t> </w:t>
      </w:r>
      <w:r>
        <w:rPr/>
        <w:t>is</w:t>
      </w:r>
      <w:r>
        <w:rPr>
          <w:spacing w:val="-19"/>
        </w:rPr>
        <w:t> </w:t>
      </w:r>
      <w:r>
        <w:rPr/>
        <w:t>not</w:t>
      </w:r>
      <w:r>
        <w:rPr>
          <w:spacing w:val="-19"/>
        </w:rPr>
        <w:t> </w:t>
      </w:r>
      <w:r>
        <w:rPr/>
        <w:t>required</w:t>
      </w:r>
      <w:r>
        <w:rPr>
          <w:spacing w:val="-19"/>
        </w:rPr>
        <w:t> </w:t>
      </w:r>
      <w:r>
        <w:rPr/>
        <w:t>as</w:t>
      </w:r>
      <w:r>
        <w:rPr>
          <w:spacing w:val="-19"/>
        </w:rPr>
        <w:t> </w:t>
      </w:r>
      <w:r>
        <w:rPr/>
        <w:t>the effect of discounting is not</w:t>
      </w:r>
      <w:r>
        <w:rPr>
          <w:spacing w:val="-20"/>
        </w:rPr>
        <w:t> </w:t>
      </w:r>
      <w:r>
        <w:rPr/>
        <w:t>material.</w:t>
      </w:r>
    </w:p>
    <w:p>
      <w:pPr>
        <w:pStyle w:val="BodyText"/>
        <w:spacing w:before="4"/>
        <w:rPr>
          <w:sz w:val="23"/>
        </w:rPr>
      </w:pPr>
    </w:p>
    <w:p>
      <w:pPr>
        <w:pStyle w:val="Heading6"/>
        <w:numPr>
          <w:ilvl w:val="0"/>
          <w:numId w:val="7"/>
        </w:numPr>
        <w:tabs>
          <w:tab w:pos="865" w:val="left" w:leader="none"/>
        </w:tabs>
        <w:spacing w:line="240" w:lineRule="auto" w:before="0" w:after="0"/>
        <w:ind w:left="864" w:right="0" w:hanging="391"/>
        <w:jc w:val="left"/>
      </w:pPr>
      <w:r>
        <w:rPr/>
        <w:t>Cash and cash</w:t>
      </w:r>
      <w:r>
        <w:rPr>
          <w:spacing w:val="-2"/>
        </w:rPr>
        <w:t> </w:t>
      </w:r>
      <w:r>
        <w:rPr/>
        <w:t>equivalents</w:t>
      </w:r>
    </w:p>
    <w:p>
      <w:pPr>
        <w:pStyle w:val="BodyText"/>
        <w:spacing w:line="249" w:lineRule="auto" w:before="11"/>
        <w:ind w:left="473" w:right="-17"/>
      </w:pPr>
      <w:r>
        <w:rPr/>
        <w:t>For the purpose of the Statement of Cash Flows, cash</w:t>
      </w:r>
      <w:r>
        <w:rPr>
          <w:spacing w:val="-22"/>
        </w:rPr>
        <w:t> </w:t>
      </w:r>
      <w:r>
        <w:rPr/>
        <w:t>and</w:t>
      </w:r>
      <w:r>
        <w:rPr>
          <w:spacing w:val="-21"/>
        </w:rPr>
        <w:t> </w:t>
      </w:r>
      <w:r>
        <w:rPr/>
        <w:t>cash</w:t>
      </w:r>
      <w:r>
        <w:rPr>
          <w:spacing w:val="-21"/>
        </w:rPr>
        <w:t> </w:t>
      </w:r>
      <w:r>
        <w:rPr/>
        <w:t>equivalent</w:t>
      </w:r>
      <w:r>
        <w:rPr>
          <w:spacing w:val="-21"/>
        </w:rPr>
        <w:t> </w:t>
      </w:r>
      <w:r>
        <w:rPr/>
        <w:t>(and</w:t>
      </w:r>
      <w:r>
        <w:rPr>
          <w:spacing w:val="-21"/>
        </w:rPr>
        <w:t> </w:t>
      </w:r>
      <w:r>
        <w:rPr/>
        <w:t>restricted</w:t>
      </w:r>
      <w:r>
        <w:rPr>
          <w:spacing w:val="-22"/>
        </w:rPr>
        <w:t> </w:t>
      </w:r>
      <w:r>
        <w:rPr/>
        <w:t>cash</w:t>
      </w:r>
      <w:r>
        <w:rPr>
          <w:spacing w:val="-21"/>
        </w:rPr>
        <w:t> </w:t>
      </w:r>
      <w:r>
        <w:rPr>
          <w:spacing w:val="-7"/>
        </w:rPr>
        <w:t>and </w:t>
      </w:r>
      <w:r>
        <w:rPr/>
        <w:t>cash equivalent) assets comprise cash on hand and</w:t>
      </w:r>
      <w:r>
        <w:rPr>
          <w:spacing w:val="-17"/>
        </w:rPr>
        <w:t> </w:t>
      </w:r>
      <w:r>
        <w:rPr/>
        <w:t>short-term</w:t>
      </w:r>
      <w:r>
        <w:rPr>
          <w:spacing w:val="-16"/>
        </w:rPr>
        <w:t> </w:t>
      </w:r>
      <w:r>
        <w:rPr/>
        <w:t>deposits</w:t>
      </w:r>
      <w:r>
        <w:rPr>
          <w:spacing w:val="-16"/>
        </w:rPr>
        <w:t> </w:t>
      </w:r>
      <w:r>
        <w:rPr/>
        <w:t>with</w:t>
      </w:r>
      <w:r>
        <w:rPr>
          <w:spacing w:val="-16"/>
        </w:rPr>
        <w:t> </w:t>
      </w:r>
      <w:r>
        <w:rPr/>
        <w:t>original</w:t>
      </w:r>
      <w:r>
        <w:rPr>
          <w:spacing w:val="-17"/>
        </w:rPr>
        <w:t> </w:t>
      </w:r>
      <w:r>
        <w:rPr/>
        <w:t>maturities</w:t>
      </w:r>
      <w:r>
        <w:rPr>
          <w:spacing w:val="-16"/>
        </w:rPr>
        <w:t> </w:t>
      </w:r>
      <w:r>
        <w:rPr/>
        <w:t>of three</w:t>
      </w:r>
      <w:r>
        <w:rPr>
          <w:spacing w:val="-20"/>
        </w:rPr>
        <w:t> </w:t>
      </w:r>
      <w:r>
        <w:rPr/>
        <w:t>months</w:t>
      </w:r>
      <w:r>
        <w:rPr>
          <w:spacing w:val="-20"/>
        </w:rPr>
        <w:t> </w:t>
      </w:r>
      <w:r>
        <w:rPr/>
        <w:t>or</w:t>
      </w:r>
      <w:r>
        <w:rPr>
          <w:spacing w:val="-19"/>
        </w:rPr>
        <w:t> </w:t>
      </w:r>
      <w:r>
        <w:rPr/>
        <w:t>less</w:t>
      </w:r>
      <w:r>
        <w:rPr>
          <w:spacing w:val="-20"/>
        </w:rPr>
        <w:t> </w:t>
      </w:r>
      <w:r>
        <w:rPr/>
        <w:t>that</w:t>
      </w:r>
      <w:r>
        <w:rPr>
          <w:spacing w:val="-19"/>
        </w:rPr>
        <w:t> </w:t>
      </w:r>
      <w:r>
        <w:rPr/>
        <w:t>are</w:t>
      </w:r>
      <w:r>
        <w:rPr>
          <w:spacing w:val="-20"/>
        </w:rPr>
        <w:t> </w:t>
      </w:r>
      <w:r>
        <w:rPr/>
        <w:t>readily</w:t>
      </w:r>
      <w:r>
        <w:rPr>
          <w:spacing w:val="-19"/>
        </w:rPr>
        <w:t> </w:t>
      </w:r>
      <w:r>
        <w:rPr/>
        <w:t>convertible</w:t>
      </w:r>
      <w:r>
        <w:rPr>
          <w:spacing w:val="-20"/>
        </w:rPr>
        <w:t> </w:t>
      </w:r>
      <w:r>
        <w:rPr/>
        <w:t>to a</w:t>
      </w:r>
      <w:r>
        <w:rPr>
          <w:spacing w:val="-10"/>
        </w:rPr>
        <w:t> </w:t>
      </w:r>
      <w:r>
        <w:rPr/>
        <w:t>known</w:t>
      </w:r>
      <w:r>
        <w:rPr>
          <w:spacing w:val="-10"/>
        </w:rPr>
        <w:t> </w:t>
      </w:r>
      <w:r>
        <w:rPr/>
        <w:t>amount</w:t>
      </w:r>
      <w:r>
        <w:rPr>
          <w:spacing w:val="-10"/>
        </w:rPr>
        <w:t> </w:t>
      </w:r>
      <w:r>
        <w:rPr/>
        <w:t>of</w:t>
      </w:r>
      <w:r>
        <w:rPr>
          <w:spacing w:val="-10"/>
        </w:rPr>
        <w:t> </w:t>
      </w:r>
      <w:r>
        <w:rPr/>
        <w:t>cash</w:t>
      </w:r>
      <w:r>
        <w:rPr>
          <w:spacing w:val="-9"/>
        </w:rPr>
        <w:t> </w:t>
      </w:r>
      <w:r>
        <w:rPr/>
        <w:t>and</w:t>
      </w:r>
      <w:r>
        <w:rPr>
          <w:spacing w:val="-10"/>
        </w:rPr>
        <w:t> </w:t>
      </w:r>
      <w:r>
        <w:rPr/>
        <w:t>which</w:t>
      </w:r>
      <w:r>
        <w:rPr>
          <w:spacing w:val="-10"/>
        </w:rPr>
        <w:t> </w:t>
      </w:r>
      <w:r>
        <w:rPr/>
        <w:t>are</w:t>
      </w:r>
      <w:r>
        <w:rPr>
          <w:spacing w:val="-10"/>
        </w:rPr>
        <w:t> </w:t>
      </w:r>
      <w:r>
        <w:rPr/>
        <w:t>subject</w:t>
      </w:r>
      <w:r>
        <w:rPr>
          <w:spacing w:val="-10"/>
        </w:rPr>
        <w:t> </w:t>
      </w:r>
      <w:r>
        <w:rPr/>
        <w:t>to insignificant risk of changes in</w:t>
      </w:r>
      <w:r>
        <w:rPr>
          <w:spacing w:val="-28"/>
        </w:rPr>
        <w:t> </w:t>
      </w:r>
      <w:r>
        <w:rPr/>
        <w:t>value.</w:t>
      </w:r>
    </w:p>
    <w:p>
      <w:pPr>
        <w:pStyle w:val="BodyText"/>
        <w:spacing w:before="6"/>
        <w:rPr>
          <w:sz w:val="23"/>
        </w:rPr>
      </w:pPr>
    </w:p>
    <w:p>
      <w:pPr>
        <w:pStyle w:val="Heading6"/>
        <w:numPr>
          <w:ilvl w:val="0"/>
          <w:numId w:val="7"/>
        </w:numPr>
        <w:tabs>
          <w:tab w:pos="796" w:val="left" w:leader="none"/>
        </w:tabs>
        <w:spacing w:line="240" w:lineRule="auto" w:before="0" w:after="0"/>
        <w:ind w:left="795" w:right="0" w:hanging="322"/>
        <w:jc w:val="left"/>
      </w:pPr>
      <w:r>
        <w:rPr/>
        <w:t>Accrued</w:t>
      </w:r>
      <w:r>
        <w:rPr>
          <w:spacing w:val="-1"/>
        </w:rPr>
        <w:t> </w:t>
      </w:r>
      <w:r>
        <w:rPr/>
        <w:t>salaries</w:t>
      </w:r>
    </w:p>
    <w:p>
      <w:pPr>
        <w:pStyle w:val="BodyText"/>
        <w:spacing w:line="249" w:lineRule="auto" w:before="11"/>
        <w:ind w:left="473" w:right="31"/>
      </w:pPr>
      <w:r>
        <w:rPr/>
        <w:t>Accrued salaries (see Note 28 ‘Payables’) represent the amount due to staff but unpaid at the</w:t>
      </w:r>
      <w:r>
        <w:rPr>
          <w:spacing w:val="-21"/>
        </w:rPr>
        <w:t> </w:t>
      </w:r>
      <w:r>
        <w:rPr/>
        <w:t>end</w:t>
      </w:r>
      <w:r>
        <w:rPr>
          <w:spacing w:val="-20"/>
        </w:rPr>
        <w:t> </w:t>
      </w:r>
      <w:r>
        <w:rPr/>
        <w:t>of</w:t>
      </w:r>
      <w:r>
        <w:rPr>
          <w:spacing w:val="-20"/>
        </w:rPr>
        <w:t> </w:t>
      </w:r>
      <w:r>
        <w:rPr/>
        <w:t>the</w:t>
      </w:r>
      <w:r>
        <w:rPr>
          <w:spacing w:val="-20"/>
        </w:rPr>
        <w:t> </w:t>
      </w:r>
      <w:r>
        <w:rPr/>
        <w:t>financial</w:t>
      </w:r>
      <w:r>
        <w:rPr>
          <w:spacing w:val="-20"/>
        </w:rPr>
        <w:t> </w:t>
      </w:r>
      <w:r>
        <w:rPr>
          <w:spacing w:val="-5"/>
        </w:rPr>
        <w:t>year.</w:t>
      </w:r>
      <w:r>
        <w:rPr>
          <w:spacing w:val="-20"/>
        </w:rPr>
        <w:t> </w:t>
      </w:r>
      <w:r>
        <w:rPr/>
        <w:t>Accrued</w:t>
      </w:r>
      <w:r>
        <w:rPr>
          <w:spacing w:val="-20"/>
        </w:rPr>
        <w:t> </w:t>
      </w:r>
      <w:r>
        <w:rPr/>
        <w:t>salaries</w:t>
      </w:r>
      <w:r>
        <w:rPr>
          <w:spacing w:val="-20"/>
        </w:rPr>
        <w:t> </w:t>
      </w:r>
      <w:r>
        <w:rPr/>
        <w:t>are settled</w:t>
      </w:r>
      <w:r>
        <w:rPr>
          <w:spacing w:val="-17"/>
        </w:rPr>
        <w:t> </w:t>
      </w:r>
      <w:r>
        <w:rPr/>
        <w:t>within</w:t>
      </w:r>
      <w:r>
        <w:rPr>
          <w:spacing w:val="-16"/>
        </w:rPr>
        <w:t> </w:t>
      </w:r>
      <w:r>
        <w:rPr/>
        <w:t>a</w:t>
      </w:r>
      <w:r>
        <w:rPr>
          <w:spacing w:val="-17"/>
        </w:rPr>
        <w:t> </w:t>
      </w:r>
      <w:r>
        <w:rPr/>
        <w:t>fortnight</w:t>
      </w:r>
      <w:r>
        <w:rPr>
          <w:spacing w:val="-16"/>
        </w:rPr>
        <w:t> </w:t>
      </w:r>
      <w:r>
        <w:rPr/>
        <w:t>of</w:t>
      </w:r>
      <w:r>
        <w:rPr>
          <w:spacing w:val="-16"/>
        </w:rPr>
        <w:t> </w:t>
      </w:r>
      <w:r>
        <w:rPr/>
        <w:t>the</w:t>
      </w:r>
      <w:r>
        <w:rPr>
          <w:spacing w:val="-17"/>
        </w:rPr>
        <w:t> </w:t>
      </w:r>
      <w:r>
        <w:rPr/>
        <w:t>financial</w:t>
      </w:r>
      <w:r>
        <w:rPr>
          <w:spacing w:val="-16"/>
        </w:rPr>
        <w:t> </w:t>
      </w:r>
      <w:r>
        <w:rPr/>
        <w:t>year</w:t>
      </w:r>
      <w:r>
        <w:rPr>
          <w:spacing w:val="-16"/>
        </w:rPr>
        <w:t> </w:t>
      </w:r>
      <w:r>
        <w:rPr/>
        <w:t>end. The</w:t>
      </w:r>
      <w:r>
        <w:rPr>
          <w:spacing w:val="-22"/>
        </w:rPr>
        <w:t> </w:t>
      </w:r>
      <w:r>
        <w:rPr/>
        <w:t>Department</w:t>
      </w:r>
      <w:r>
        <w:rPr>
          <w:spacing w:val="-21"/>
        </w:rPr>
        <w:t> </w:t>
      </w:r>
      <w:r>
        <w:rPr/>
        <w:t>considers</w:t>
      </w:r>
      <w:r>
        <w:rPr>
          <w:spacing w:val="-21"/>
        </w:rPr>
        <w:t> </w:t>
      </w:r>
      <w:r>
        <w:rPr/>
        <w:t>the</w:t>
      </w:r>
      <w:r>
        <w:rPr>
          <w:spacing w:val="-21"/>
        </w:rPr>
        <w:t> </w:t>
      </w:r>
      <w:r>
        <w:rPr/>
        <w:t>carrying</w:t>
      </w:r>
      <w:r>
        <w:rPr>
          <w:spacing w:val="-22"/>
        </w:rPr>
        <w:t> </w:t>
      </w:r>
      <w:r>
        <w:rPr/>
        <w:t>amount</w:t>
      </w:r>
      <w:r>
        <w:rPr>
          <w:spacing w:val="-21"/>
        </w:rPr>
        <w:t> </w:t>
      </w:r>
      <w:r>
        <w:rPr>
          <w:spacing w:val="-9"/>
        </w:rPr>
        <w:t>of </w:t>
      </w:r>
      <w:r>
        <w:rPr/>
        <w:t>accrued</w:t>
      </w:r>
      <w:r>
        <w:rPr>
          <w:spacing w:val="-18"/>
        </w:rPr>
        <w:t> </w:t>
      </w:r>
      <w:r>
        <w:rPr/>
        <w:t>salaries</w:t>
      </w:r>
      <w:r>
        <w:rPr>
          <w:spacing w:val="-18"/>
        </w:rPr>
        <w:t> </w:t>
      </w:r>
      <w:r>
        <w:rPr/>
        <w:t>to</w:t>
      </w:r>
      <w:r>
        <w:rPr>
          <w:spacing w:val="-18"/>
        </w:rPr>
        <w:t> </w:t>
      </w:r>
      <w:r>
        <w:rPr/>
        <w:t>be</w:t>
      </w:r>
      <w:r>
        <w:rPr>
          <w:spacing w:val="-18"/>
        </w:rPr>
        <w:t> </w:t>
      </w:r>
      <w:r>
        <w:rPr/>
        <w:t>equivalent</w:t>
      </w:r>
      <w:r>
        <w:rPr>
          <w:spacing w:val="-17"/>
        </w:rPr>
        <w:t> </w:t>
      </w:r>
      <w:r>
        <w:rPr/>
        <w:t>to</w:t>
      </w:r>
      <w:r>
        <w:rPr>
          <w:spacing w:val="-18"/>
        </w:rPr>
        <w:t> </w:t>
      </w:r>
      <w:r>
        <w:rPr/>
        <w:t>its</w:t>
      </w:r>
      <w:r>
        <w:rPr>
          <w:spacing w:val="-18"/>
        </w:rPr>
        <w:t> </w:t>
      </w:r>
      <w:r>
        <w:rPr/>
        <w:t>fair</w:t>
      </w:r>
      <w:r>
        <w:rPr>
          <w:spacing w:val="-18"/>
        </w:rPr>
        <w:t> </w:t>
      </w:r>
      <w:r>
        <w:rPr/>
        <w:t>value.</w:t>
      </w:r>
    </w:p>
    <w:p>
      <w:pPr>
        <w:pStyle w:val="BodyText"/>
        <w:spacing w:before="5"/>
        <w:rPr>
          <w:sz w:val="23"/>
        </w:rPr>
      </w:pPr>
    </w:p>
    <w:p>
      <w:pPr>
        <w:pStyle w:val="BodyText"/>
        <w:spacing w:line="249" w:lineRule="auto"/>
        <w:ind w:left="473" w:right="67"/>
      </w:pPr>
      <w:r>
        <w:rPr/>
        <w:t>The accrued salaries suspense account (see Note 19 ‘Restricted cash and cash equivalents’) consists of amounts paid </w:t>
      </w:r>
      <w:r>
        <w:rPr>
          <w:spacing w:val="-3"/>
        </w:rPr>
        <w:t>annually, </w:t>
      </w:r>
      <w:r>
        <w:rPr/>
        <w:t>from departmental</w:t>
      </w:r>
      <w:r>
        <w:rPr>
          <w:spacing w:val="-37"/>
        </w:rPr>
        <w:t> </w:t>
      </w:r>
      <w:r>
        <w:rPr/>
        <w:t>appropriations</w:t>
      </w:r>
      <w:r>
        <w:rPr>
          <w:spacing w:val="-36"/>
        </w:rPr>
        <w:t> </w:t>
      </w:r>
      <w:r>
        <w:rPr/>
        <w:t>for</w:t>
      </w:r>
      <w:r>
        <w:rPr>
          <w:spacing w:val="-37"/>
        </w:rPr>
        <w:t> </w:t>
      </w:r>
      <w:r>
        <w:rPr/>
        <w:t>salaries</w:t>
      </w:r>
      <w:r>
        <w:rPr>
          <w:spacing w:val="-36"/>
        </w:rPr>
        <w:t> </w:t>
      </w:r>
      <w:r>
        <w:rPr>
          <w:spacing w:val="-3"/>
        </w:rPr>
        <w:t>expense,</w:t>
      </w:r>
    </w:p>
    <w:p>
      <w:pPr>
        <w:pStyle w:val="BodyText"/>
        <w:spacing w:before="5"/>
        <w:rPr>
          <w:sz w:val="23"/>
        </w:rPr>
      </w:pPr>
      <w:r>
        <w:rPr/>
        <w:br w:type="column"/>
      </w:r>
      <w:r>
        <w:rPr>
          <w:sz w:val="23"/>
        </w:rPr>
      </w:r>
    </w:p>
    <w:p>
      <w:pPr>
        <w:pStyle w:val="BodyText"/>
        <w:spacing w:line="249" w:lineRule="auto"/>
        <w:ind w:left="456" w:right="834"/>
      </w:pPr>
      <w:r>
        <w:rPr/>
        <w:t>into a suspense account to meet the additional cash outflow for employee salary payments in reporting periods with 27 pay days instead of the normal</w:t>
      </w:r>
      <w:r>
        <w:rPr>
          <w:spacing w:val="-16"/>
        </w:rPr>
        <w:t> </w:t>
      </w:r>
      <w:r>
        <w:rPr/>
        <w:t>26.</w:t>
      </w:r>
      <w:r>
        <w:rPr>
          <w:spacing w:val="-15"/>
        </w:rPr>
        <w:t> </w:t>
      </w:r>
      <w:r>
        <w:rPr/>
        <w:t>No</w:t>
      </w:r>
      <w:r>
        <w:rPr>
          <w:spacing w:val="-16"/>
        </w:rPr>
        <w:t> </w:t>
      </w:r>
      <w:r>
        <w:rPr/>
        <w:t>interest</w:t>
      </w:r>
      <w:r>
        <w:rPr>
          <w:spacing w:val="-15"/>
        </w:rPr>
        <w:t> </w:t>
      </w:r>
      <w:r>
        <w:rPr/>
        <w:t>is</w:t>
      </w:r>
      <w:r>
        <w:rPr>
          <w:spacing w:val="-15"/>
        </w:rPr>
        <w:t> </w:t>
      </w:r>
      <w:r>
        <w:rPr/>
        <w:t>received</w:t>
      </w:r>
      <w:r>
        <w:rPr>
          <w:spacing w:val="-16"/>
        </w:rPr>
        <w:t> </w:t>
      </w:r>
      <w:r>
        <w:rPr/>
        <w:t>on</w:t>
      </w:r>
      <w:r>
        <w:rPr>
          <w:spacing w:val="-15"/>
        </w:rPr>
        <w:t> </w:t>
      </w:r>
      <w:r>
        <w:rPr/>
        <w:t>this</w:t>
      </w:r>
      <w:r>
        <w:rPr>
          <w:spacing w:val="-15"/>
        </w:rPr>
        <w:t> </w:t>
      </w:r>
      <w:r>
        <w:rPr>
          <w:spacing w:val="-3"/>
        </w:rPr>
        <w:t>account.</w:t>
      </w:r>
    </w:p>
    <w:p>
      <w:pPr>
        <w:pStyle w:val="BodyText"/>
        <w:spacing w:before="3"/>
        <w:rPr>
          <w:sz w:val="23"/>
        </w:rPr>
      </w:pPr>
    </w:p>
    <w:p>
      <w:pPr>
        <w:pStyle w:val="Heading6"/>
        <w:numPr>
          <w:ilvl w:val="0"/>
          <w:numId w:val="7"/>
        </w:numPr>
        <w:tabs>
          <w:tab w:pos="783" w:val="left" w:leader="none"/>
        </w:tabs>
        <w:spacing w:line="249" w:lineRule="auto" w:before="0" w:after="0"/>
        <w:ind w:left="456" w:right="1891" w:firstLine="0"/>
        <w:jc w:val="left"/>
      </w:pPr>
      <w:r>
        <w:rPr/>
        <w:t>Amounts receivable for </w:t>
      </w:r>
      <w:r>
        <w:rPr>
          <w:spacing w:val="-3"/>
        </w:rPr>
        <w:t>services </w:t>
      </w:r>
      <w:r>
        <w:rPr/>
        <w:t>(holding</w:t>
      </w:r>
      <w:r>
        <w:rPr>
          <w:spacing w:val="-1"/>
        </w:rPr>
        <w:t> </w:t>
      </w:r>
      <w:r>
        <w:rPr/>
        <w:t>account)</w:t>
      </w:r>
    </w:p>
    <w:p>
      <w:pPr>
        <w:pStyle w:val="BodyText"/>
        <w:spacing w:line="249" w:lineRule="auto" w:before="2"/>
        <w:ind w:left="456" w:right="756"/>
      </w:pPr>
      <w:r>
        <w:rPr/>
        <w:t>The Department receives funding on an accrual basis. The appropriations are paid partly in cash and</w:t>
      </w:r>
      <w:r>
        <w:rPr>
          <w:spacing w:val="-26"/>
        </w:rPr>
        <w:t> </w:t>
      </w:r>
      <w:r>
        <w:rPr/>
        <w:t>partly</w:t>
      </w:r>
      <w:r>
        <w:rPr>
          <w:spacing w:val="-26"/>
        </w:rPr>
        <w:t> </w:t>
      </w:r>
      <w:r>
        <w:rPr/>
        <w:t>as</w:t>
      </w:r>
      <w:r>
        <w:rPr>
          <w:spacing w:val="-25"/>
        </w:rPr>
        <w:t> </w:t>
      </w:r>
      <w:r>
        <w:rPr/>
        <w:t>an</w:t>
      </w:r>
      <w:r>
        <w:rPr>
          <w:spacing w:val="-26"/>
        </w:rPr>
        <w:t> </w:t>
      </w:r>
      <w:r>
        <w:rPr/>
        <w:t>asset</w:t>
      </w:r>
      <w:r>
        <w:rPr>
          <w:spacing w:val="-26"/>
        </w:rPr>
        <w:t> </w:t>
      </w:r>
      <w:r>
        <w:rPr/>
        <w:t>(holding</w:t>
      </w:r>
      <w:r>
        <w:rPr>
          <w:spacing w:val="-25"/>
        </w:rPr>
        <w:t> </w:t>
      </w:r>
      <w:r>
        <w:rPr/>
        <w:t>account</w:t>
      </w:r>
      <w:r>
        <w:rPr>
          <w:spacing w:val="-26"/>
        </w:rPr>
        <w:t> </w:t>
      </w:r>
      <w:r>
        <w:rPr>
          <w:spacing w:val="-3"/>
        </w:rPr>
        <w:t>receivable). </w:t>
      </w:r>
      <w:r>
        <w:rPr/>
        <w:t>The accrued amount receivable is accessible on the</w:t>
      </w:r>
      <w:r>
        <w:rPr>
          <w:spacing w:val="-16"/>
        </w:rPr>
        <w:t> </w:t>
      </w:r>
      <w:r>
        <w:rPr/>
        <w:t>emergence</w:t>
      </w:r>
      <w:r>
        <w:rPr>
          <w:spacing w:val="-16"/>
        </w:rPr>
        <w:t> </w:t>
      </w:r>
      <w:r>
        <w:rPr/>
        <w:t>of</w:t>
      </w:r>
      <w:r>
        <w:rPr>
          <w:spacing w:val="-16"/>
        </w:rPr>
        <w:t> </w:t>
      </w:r>
      <w:r>
        <w:rPr/>
        <w:t>the</w:t>
      </w:r>
      <w:r>
        <w:rPr>
          <w:spacing w:val="-16"/>
        </w:rPr>
        <w:t> </w:t>
      </w:r>
      <w:r>
        <w:rPr/>
        <w:t>cash</w:t>
      </w:r>
      <w:r>
        <w:rPr>
          <w:spacing w:val="-16"/>
        </w:rPr>
        <w:t> </w:t>
      </w:r>
      <w:r>
        <w:rPr/>
        <w:t>funding</w:t>
      </w:r>
      <w:r>
        <w:rPr>
          <w:spacing w:val="-16"/>
        </w:rPr>
        <w:t> </w:t>
      </w:r>
      <w:r>
        <w:rPr/>
        <w:t>requirement</w:t>
      </w:r>
      <w:r>
        <w:rPr>
          <w:spacing w:val="-16"/>
        </w:rPr>
        <w:t> </w:t>
      </w:r>
      <w:r>
        <w:rPr/>
        <w:t>to cover</w:t>
      </w:r>
      <w:r>
        <w:rPr>
          <w:spacing w:val="-18"/>
        </w:rPr>
        <w:t> </w:t>
      </w:r>
      <w:r>
        <w:rPr/>
        <w:t>leave</w:t>
      </w:r>
      <w:r>
        <w:rPr>
          <w:spacing w:val="-18"/>
        </w:rPr>
        <w:t> </w:t>
      </w:r>
      <w:r>
        <w:rPr/>
        <w:t>entitlements</w:t>
      </w:r>
      <w:r>
        <w:rPr>
          <w:spacing w:val="-18"/>
        </w:rPr>
        <w:t> </w:t>
      </w:r>
      <w:r>
        <w:rPr/>
        <w:t>and</w:t>
      </w:r>
      <w:r>
        <w:rPr>
          <w:spacing w:val="-18"/>
        </w:rPr>
        <w:t> </w:t>
      </w:r>
      <w:r>
        <w:rPr/>
        <w:t>asset</w:t>
      </w:r>
      <w:r>
        <w:rPr>
          <w:spacing w:val="-18"/>
        </w:rPr>
        <w:t> </w:t>
      </w:r>
      <w:r>
        <w:rPr/>
        <w:t>replacement.</w:t>
      </w:r>
    </w:p>
    <w:p>
      <w:pPr>
        <w:pStyle w:val="BodyText"/>
        <w:spacing w:before="5"/>
        <w:rPr>
          <w:sz w:val="23"/>
        </w:rPr>
      </w:pPr>
    </w:p>
    <w:p>
      <w:pPr>
        <w:pStyle w:val="Heading6"/>
        <w:numPr>
          <w:ilvl w:val="0"/>
          <w:numId w:val="7"/>
        </w:numPr>
        <w:tabs>
          <w:tab w:pos="783" w:val="left" w:leader="none"/>
        </w:tabs>
        <w:spacing w:line="240" w:lineRule="auto" w:before="0" w:after="0"/>
        <w:ind w:left="782" w:right="0" w:hanging="326"/>
        <w:jc w:val="left"/>
      </w:pPr>
      <w:r>
        <w:rPr/>
        <w:t>Receivables</w:t>
      </w:r>
    </w:p>
    <w:p>
      <w:pPr>
        <w:pStyle w:val="BodyText"/>
        <w:spacing w:line="249" w:lineRule="auto" w:before="11"/>
        <w:ind w:left="456" w:right="928"/>
      </w:pPr>
      <w:r>
        <w:rPr/>
        <w:t>Receivables are recognised at original invoice amount less an allowance for any uncollectible amounts (that is, impairment). The collectability of receivables is reviewed on an ongoing basis and</w:t>
      </w:r>
      <w:r>
        <w:rPr>
          <w:spacing w:val="-33"/>
        </w:rPr>
        <w:t> </w:t>
      </w:r>
      <w:r>
        <w:rPr/>
        <w:t>any</w:t>
      </w:r>
      <w:r>
        <w:rPr>
          <w:spacing w:val="-32"/>
        </w:rPr>
        <w:t> </w:t>
      </w:r>
      <w:r>
        <w:rPr/>
        <w:t>receivables</w:t>
      </w:r>
      <w:r>
        <w:rPr>
          <w:spacing w:val="-33"/>
        </w:rPr>
        <w:t> </w:t>
      </w:r>
      <w:r>
        <w:rPr/>
        <w:t>identified</w:t>
      </w:r>
      <w:r>
        <w:rPr>
          <w:spacing w:val="-32"/>
        </w:rPr>
        <w:t> </w:t>
      </w:r>
      <w:r>
        <w:rPr/>
        <w:t>as</w:t>
      </w:r>
      <w:r>
        <w:rPr>
          <w:spacing w:val="-32"/>
        </w:rPr>
        <w:t> </w:t>
      </w:r>
      <w:r>
        <w:rPr/>
        <w:t>uncollectible</w:t>
      </w:r>
      <w:r>
        <w:rPr>
          <w:spacing w:val="-33"/>
        </w:rPr>
        <w:t> </w:t>
      </w:r>
      <w:r>
        <w:rPr/>
        <w:t>are written-off against the allowance account. The allowance for uncollectible amounts (doubtful debts)</w:t>
      </w:r>
      <w:r>
        <w:rPr>
          <w:spacing w:val="-21"/>
        </w:rPr>
        <w:t> </w:t>
      </w:r>
      <w:r>
        <w:rPr/>
        <w:t>is</w:t>
      </w:r>
      <w:r>
        <w:rPr>
          <w:spacing w:val="-20"/>
        </w:rPr>
        <w:t> </w:t>
      </w:r>
      <w:r>
        <w:rPr/>
        <w:t>raised</w:t>
      </w:r>
      <w:r>
        <w:rPr>
          <w:spacing w:val="-21"/>
        </w:rPr>
        <w:t> </w:t>
      </w:r>
      <w:r>
        <w:rPr/>
        <w:t>when</w:t>
      </w:r>
      <w:r>
        <w:rPr>
          <w:spacing w:val="-20"/>
        </w:rPr>
        <w:t> </w:t>
      </w:r>
      <w:r>
        <w:rPr/>
        <w:t>there</w:t>
      </w:r>
      <w:r>
        <w:rPr>
          <w:spacing w:val="-20"/>
        </w:rPr>
        <w:t> </w:t>
      </w:r>
      <w:r>
        <w:rPr/>
        <w:t>is</w:t>
      </w:r>
      <w:r>
        <w:rPr>
          <w:spacing w:val="-21"/>
        </w:rPr>
        <w:t> </w:t>
      </w:r>
      <w:r>
        <w:rPr/>
        <w:t>objective</w:t>
      </w:r>
      <w:r>
        <w:rPr>
          <w:spacing w:val="-20"/>
        </w:rPr>
        <w:t> </w:t>
      </w:r>
      <w:r>
        <w:rPr/>
        <w:t>evidence that</w:t>
      </w:r>
      <w:r>
        <w:rPr>
          <w:spacing w:val="-11"/>
        </w:rPr>
        <w:t> </w:t>
      </w:r>
      <w:r>
        <w:rPr/>
        <w:t>the</w:t>
      </w:r>
      <w:r>
        <w:rPr>
          <w:spacing w:val="-11"/>
        </w:rPr>
        <w:t> </w:t>
      </w:r>
      <w:r>
        <w:rPr/>
        <w:t>Department</w:t>
      </w:r>
      <w:r>
        <w:rPr>
          <w:spacing w:val="-11"/>
        </w:rPr>
        <w:t> </w:t>
      </w:r>
      <w:r>
        <w:rPr/>
        <w:t>will</w:t>
      </w:r>
      <w:r>
        <w:rPr>
          <w:spacing w:val="-11"/>
        </w:rPr>
        <w:t> </w:t>
      </w:r>
      <w:r>
        <w:rPr/>
        <w:t>not</w:t>
      </w:r>
      <w:r>
        <w:rPr>
          <w:spacing w:val="-11"/>
        </w:rPr>
        <w:t> </w:t>
      </w:r>
      <w:r>
        <w:rPr/>
        <w:t>be</w:t>
      </w:r>
      <w:r>
        <w:rPr>
          <w:spacing w:val="-11"/>
        </w:rPr>
        <w:t> </w:t>
      </w:r>
      <w:r>
        <w:rPr/>
        <w:t>able</w:t>
      </w:r>
      <w:r>
        <w:rPr>
          <w:spacing w:val="-11"/>
        </w:rPr>
        <w:t> </w:t>
      </w:r>
      <w:r>
        <w:rPr/>
        <w:t>to</w:t>
      </w:r>
      <w:r>
        <w:rPr>
          <w:spacing w:val="-11"/>
        </w:rPr>
        <w:t> </w:t>
      </w:r>
      <w:r>
        <w:rPr/>
        <w:t>collect</w:t>
      </w:r>
      <w:r>
        <w:rPr>
          <w:spacing w:val="-11"/>
        </w:rPr>
        <w:t> </w:t>
      </w:r>
      <w:r>
        <w:rPr>
          <w:spacing w:val="-6"/>
        </w:rPr>
        <w:t>the </w:t>
      </w:r>
      <w:r>
        <w:rPr/>
        <w:t>debts. The carrying amount is equivalent to fair value</w:t>
      </w:r>
      <w:r>
        <w:rPr>
          <w:spacing w:val="-11"/>
        </w:rPr>
        <w:t> </w:t>
      </w:r>
      <w:r>
        <w:rPr/>
        <w:t>as</w:t>
      </w:r>
      <w:r>
        <w:rPr>
          <w:spacing w:val="-11"/>
        </w:rPr>
        <w:t> </w:t>
      </w:r>
      <w:r>
        <w:rPr/>
        <w:t>it</w:t>
      </w:r>
      <w:r>
        <w:rPr>
          <w:spacing w:val="-11"/>
        </w:rPr>
        <w:t> </w:t>
      </w:r>
      <w:r>
        <w:rPr/>
        <w:t>is</w:t>
      </w:r>
      <w:r>
        <w:rPr>
          <w:spacing w:val="-11"/>
        </w:rPr>
        <w:t> </w:t>
      </w:r>
      <w:r>
        <w:rPr/>
        <w:t>due</w:t>
      </w:r>
      <w:r>
        <w:rPr>
          <w:spacing w:val="-11"/>
        </w:rPr>
        <w:t> </w:t>
      </w:r>
      <w:r>
        <w:rPr/>
        <w:t>for</w:t>
      </w:r>
      <w:r>
        <w:rPr>
          <w:spacing w:val="-11"/>
        </w:rPr>
        <w:t> </w:t>
      </w:r>
      <w:r>
        <w:rPr/>
        <w:t>settlement</w:t>
      </w:r>
      <w:r>
        <w:rPr>
          <w:spacing w:val="-11"/>
        </w:rPr>
        <w:t> </w:t>
      </w:r>
      <w:r>
        <w:rPr/>
        <w:t>within</w:t>
      </w:r>
      <w:r>
        <w:rPr>
          <w:spacing w:val="-11"/>
        </w:rPr>
        <w:t> </w:t>
      </w:r>
      <w:r>
        <w:rPr/>
        <w:t>30</w:t>
      </w:r>
      <w:r>
        <w:rPr>
          <w:spacing w:val="-11"/>
        </w:rPr>
        <w:t> </w:t>
      </w:r>
      <w:r>
        <w:rPr/>
        <w:t>days.</w:t>
      </w:r>
    </w:p>
    <w:p>
      <w:pPr>
        <w:spacing w:after="0" w:line="249" w:lineRule="auto"/>
        <w:sectPr>
          <w:type w:val="continuous"/>
          <w:pgSz w:w="16840" w:h="11910" w:orient="landscape"/>
          <w:pgMar w:top="1100" w:bottom="280" w:left="0" w:right="0"/>
          <w:cols w:num="3" w:equalWidth="0">
            <w:col w:w="5497" w:space="40"/>
            <w:col w:w="5221" w:space="39"/>
            <w:col w:w="6043"/>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360.811798pt;margin-top:-57.373512pt;width:481.1pt;height:371.15pt;mso-position-horizontal-relative:page;mso-position-vertical-relative:paragraph;z-index:-698656"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3864"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3888"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391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49"/>
          <w:pgSz w:w="16840" w:h="11910" w:orient="landscape"/>
          <w:pgMar w:footer="774" w:header="0" w:top="0" w:bottom="960" w:left="0" w:right="0"/>
        </w:sectPr>
      </w:pPr>
    </w:p>
    <w:p>
      <w:pPr>
        <w:pStyle w:val="BodyText"/>
        <w:spacing w:before="5"/>
        <w:rPr>
          <w:sz w:val="23"/>
        </w:rPr>
      </w:pPr>
    </w:p>
    <w:p>
      <w:pPr>
        <w:pStyle w:val="Heading6"/>
        <w:numPr>
          <w:ilvl w:val="0"/>
          <w:numId w:val="7"/>
        </w:numPr>
        <w:tabs>
          <w:tab w:pos="1092" w:val="left" w:leader="none"/>
        </w:tabs>
        <w:spacing w:line="240" w:lineRule="auto" w:before="0" w:after="0"/>
        <w:ind w:left="1091" w:right="0" w:hanging="326"/>
        <w:jc w:val="left"/>
      </w:pPr>
      <w:r>
        <w:rPr/>
        <w:t>Payables</w:t>
      </w:r>
    </w:p>
    <w:p>
      <w:pPr>
        <w:pStyle w:val="BodyText"/>
        <w:spacing w:line="249" w:lineRule="auto" w:before="11"/>
        <w:ind w:left="765" w:right="-13"/>
      </w:pPr>
      <w:r>
        <w:rPr/>
        <w:t>Payables are recognised at the amounts payable when the Department becomes obliged to make future</w:t>
      </w:r>
      <w:r>
        <w:rPr>
          <w:spacing w:val="-19"/>
        </w:rPr>
        <w:t> </w:t>
      </w:r>
      <w:r>
        <w:rPr/>
        <w:t>payments</w:t>
      </w:r>
      <w:r>
        <w:rPr>
          <w:spacing w:val="-18"/>
        </w:rPr>
        <w:t> </w:t>
      </w:r>
      <w:r>
        <w:rPr/>
        <w:t>as</w:t>
      </w:r>
      <w:r>
        <w:rPr>
          <w:spacing w:val="-19"/>
        </w:rPr>
        <w:t> </w:t>
      </w:r>
      <w:r>
        <w:rPr/>
        <w:t>a</w:t>
      </w:r>
      <w:r>
        <w:rPr>
          <w:spacing w:val="-19"/>
        </w:rPr>
        <w:t> </w:t>
      </w:r>
      <w:r>
        <w:rPr/>
        <w:t>result</w:t>
      </w:r>
      <w:r>
        <w:rPr>
          <w:spacing w:val="-18"/>
        </w:rPr>
        <w:t> </w:t>
      </w:r>
      <w:r>
        <w:rPr/>
        <w:t>of</w:t>
      </w:r>
      <w:r>
        <w:rPr>
          <w:spacing w:val="-19"/>
        </w:rPr>
        <w:t> </w:t>
      </w:r>
      <w:r>
        <w:rPr/>
        <w:t>a</w:t>
      </w:r>
      <w:r>
        <w:rPr>
          <w:spacing w:val="-18"/>
        </w:rPr>
        <w:t> </w:t>
      </w:r>
      <w:r>
        <w:rPr/>
        <w:t>purchase</w:t>
      </w:r>
      <w:r>
        <w:rPr>
          <w:spacing w:val="-19"/>
        </w:rPr>
        <w:t> </w:t>
      </w:r>
      <w:r>
        <w:rPr/>
        <w:t>of</w:t>
      </w:r>
      <w:r>
        <w:rPr>
          <w:spacing w:val="-18"/>
        </w:rPr>
        <w:t> </w:t>
      </w:r>
      <w:r>
        <w:rPr>
          <w:spacing w:val="-3"/>
        </w:rPr>
        <w:t>assets </w:t>
      </w:r>
      <w:r>
        <w:rPr/>
        <w:t>or services. The carrying amount is equivalent to fair</w:t>
      </w:r>
      <w:r>
        <w:rPr>
          <w:spacing w:val="-26"/>
        </w:rPr>
        <w:t> </w:t>
      </w:r>
      <w:r>
        <w:rPr/>
        <w:t>value,</w:t>
      </w:r>
      <w:r>
        <w:rPr>
          <w:spacing w:val="-25"/>
        </w:rPr>
        <w:t> </w:t>
      </w:r>
      <w:r>
        <w:rPr/>
        <w:t>as</w:t>
      </w:r>
      <w:r>
        <w:rPr>
          <w:spacing w:val="-25"/>
        </w:rPr>
        <w:t> </w:t>
      </w:r>
      <w:r>
        <w:rPr/>
        <w:t>settlement</w:t>
      </w:r>
      <w:r>
        <w:rPr>
          <w:spacing w:val="-25"/>
        </w:rPr>
        <w:t> </w:t>
      </w:r>
      <w:r>
        <w:rPr/>
        <w:t>is</w:t>
      </w:r>
      <w:r>
        <w:rPr>
          <w:spacing w:val="-25"/>
        </w:rPr>
        <w:t> </w:t>
      </w:r>
      <w:r>
        <w:rPr/>
        <w:t>generally</w:t>
      </w:r>
      <w:r>
        <w:rPr>
          <w:spacing w:val="-25"/>
        </w:rPr>
        <w:t> </w:t>
      </w:r>
      <w:r>
        <w:rPr/>
        <w:t>within</w:t>
      </w:r>
      <w:r>
        <w:rPr>
          <w:spacing w:val="-25"/>
        </w:rPr>
        <w:t> </w:t>
      </w:r>
      <w:r>
        <w:rPr/>
        <w:t>30</w:t>
      </w:r>
      <w:r>
        <w:rPr>
          <w:spacing w:val="-26"/>
        </w:rPr>
        <w:t> </w:t>
      </w:r>
      <w:r>
        <w:rPr/>
        <w:t>days.</w:t>
      </w:r>
    </w:p>
    <w:p>
      <w:pPr>
        <w:pStyle w:val="BodyText"/>
        <w:spacing w:before="4"/>
        <w:rPr>
          <w:sz w:val="23"/>
        </w:rPr>
      </w:pPr>
    </w:p>
    <w:p>
      <w:pPr>
        <w:pStyle w:val="Heading6"/>
        <w:numPr>
          <w:ilvl w:val="0"/>
          <w:numId w:val="7"/>
        </w:numPr>
        <w:tabs>
          <w:tab w:pos="1043" w:val="left" w:leader="none"/>
        </w:tabs>
        <w:spacing w:line="240" w:lineRule="auto" w:before="0" w:after="0"/>
        <w:ind w:left="1042" w:right="0" w:hanging="277"/>
        <w:jc w:val="left"/>
      </w:pPr>
      <w:r>
        <w:rPr/>
        <w:t>Borrowings</w:t>
      </w:r>
    </w:p>
    <w:p>
      <w:pPr>
        <w:pStyle w:val="BodyText"/>
        <w:spacing w:line="249" w:lineRule="auto" w:before="11"/>
        <w:ind w:left="765" w:right="753"/>
      </w:pPr>
      <w:r>
        <w:rPr/>
        <w:t>All</w:t>
      </w:r>
      <w:r>
        <w:rPr>
          <w:spacing w:val="-26"/>
        </w:rPr>
        <w:t> </w:t>
      </w:r>
      <w:r>
        <w:rPr/>
        <w:t>loans</w:t>
      </w:r>
      <w:r>
        <w:rPr>
          <w:spacing w:val="-26"/>
        </w:rPr>
        <w:t> </w:t>
      </w:r>
      <w:r>
        <w:rPr/>
        <w:t>payable</w:t>
      </w:r>
      <w:r>
        <w:rPr>
          <w:spacing w:val="-25"/>
        </w:rPr>
        <w:t> </w:t>
      </w:r>
      <w:r>
        <w:rPr/>
        <w:t>are</w:t>
      </w:r>
      <w:r>
        <w:rPr>
          <w:spacing w:val="-26"/>
        </w:rPr>
        <w:t> </w:t>
      </w:r>
      <w:r>
        <w:rPr/>
        <w:t>initially</w:t>
      </w:r>
      <w:r>
        <w:rPr>
          <w:spacing w:val="-25"/>
        </w:rPr>
        <w:t> </w:t>
      </w:r>
      <w:r>
        <w:rPr/>
        <w:t>recognised</w:t>
      </w:r>
      <w:r>
        <w:rPr>
          <w:spacing w:val="-26"/>
        </w:rPr>
        <w:t> </w:t>
      </w:r>
      <w:r>
        <w:rPr/>
        <w:t>at fair</w:t>
      </w:r>
      <w:r>
        <w:rPr>
          <w:spacing w:val="-23"/>
        </w:rPr>
        <w:t> </w:t>
      </w:r>
      <w:r>
        <w:rPr/>
        <w:t>value,</w:t>
      </w:r>
      <w:r>
        <w:rPr>
          <w:spacing w:val="-22"/>
        </w:rPr>
        <w:t> </w:t>
      </w:r>
      <w:r>
        <w:rPr/>
        <w:t>being</w:t>
      </w:r>
      <w:r>
        <w:rPr>
          <w:spacing w:val="-23"/>
        </w:rPr>
        <w:t> </w:t>
      </w:r>
      <w:r>
        <w:rPr/>
        <w:t>the</w:t>
      </w:r>
      <w:r>
        <w:rPr>
          <w:spacing w:val="-22"/>
        </w:rPr>
        <w:t> </w:t>
      </w:r>
      <w:r>
        <w:rPr/>
        <w:t>net</w:t>
      </w:r>
      <w:r>
        <w:rPr>
          <w:spacing w:val="-23"/>
        </w:rPr>
        <w:t> </w:t>
      </w:r>
      <w:r>
        <w:rPr/>
        <w:t>proceeds</w:t>
      </w:r>
      <w:r>
        <w:rPr>
          <w:spacing w:val="-22"/>
        </w:rPr>
        <w:t> </w:t>
      </w:r>
      <w:r>
        <w:rPr>
          <w:spacing w:val="-3"/>
        </w:rPr>
        <w:t>received.</w:t>
      </w:r>
    </w:p>
    <w:p>
      <w:pPr>
        <w:pStyle w:val="BodyText"/>
        <w:spacing w:line="249" w:lineRule="auto" w:before="2"/>
        <w:ind w:left="765" w:right="252"/>
      </w:pPr>
      <w:r>
        <w:rPr/>
        <w:t>Subsequent measurement is at amortised cost using</w:t>
      </w:r>
      <w:r>
        <w:rPr>
          <w:spacing w:val="-26"/>
        </w:rPr>
        <w:t> </w:t>
      </w:r>
      <w:r>
        <w:rPr/>
        <w:t>the</w:t>
      </w:r>
      <w:r>
        <w:rPr>
          <w:spacing w:val="-25"/>
        </w:rPr>
        <w:t> </w:t>
      </w:r>
      <w:r>
        <w:rPr/>
        <w:t>effective</w:t>
      </w:r>
      <w:r>
        <w:rPr>
          <w:spacing w:val="-26"/>
        </w:rPr>
        <w:t> </w:t>
      </w:r>
      <w:r>
        <w:rPr/>
        <w:t>interest</w:t>
      </w:r>
      <w:r>
        <w:rPr>
          <w:spacing w:val="-25"/>
        </w:rPr>
        <w:t> </w:t>
      </w:r>
      <w:r>
        <w:rPr/>
        <w:t>rate</w:t>
      </w:r>
      <w:r>
        <w:rPr>
          <w:spacing w:val="-25"/>
        </w:rPr>
        <w:t> </w:t>
      </w:r>
      <w:r>
        <w:rPr/>
        <w:t>method</w:t>
      </w:r>
      <w:r>
        <w:rPr>
          <w:spacing w:val="-26"/>
        </w:rPr>
        <w:t> </w:t>
      </w:r>
      <w:r>
        <w:rPr/>
        <w:t>(see</w:t>
      </w:r>
      <w:r>
        <w:rPr>
          <w:spacing w:val="-25"/>
        </w:rPr>
        <w:t> </w:t>
      </w:r>
      <w:r>
        <w:rPr>
          <w:spacing w:val="-5"/>
        </w:rPr>
        <w:t>also </w:t>
      </w:r>
      <w:r>
        <w:rPr/>
        <w:t>Note 2(l) ‘Financial instruments’ and Note 29 ‘Borrowings’.</w:t>
      </w:r>
    </w:p>
    <w:p>
      <w:pPr>
        <w:pStyle w:val="BodyText"/>
        <w:spacing w:before="3"/>
        <w:rPr>
          <w:sz w:val="23"/>
        </w:rPr>
      </w:pPr>
    </w:p>
    <w:p>
      <w:pPr>
        <w:pStyle w:val="Heading6"/>
        <w:numPr>
          <w:ilvl w:val="0"/>
          <w:numId w:val="7"/>
        </w:numPr>
        <w:tabs>
          <w:tab w:pos="1075" w:val="left" w:leader="none"/>
        </w:tabs>
        <w:spacing w:line="240" w:lineRule="auto" w:before="0" w:after="0"/>
        <w:ind w:left="1074" w:right="0" w:hanging="309"/>
        <w:jc w:val="left"/>
      </w:pPr>
      <w:r>
        <w:rPr/>
        <w:t>Amounts due to the </w:t>
      </w:r>
      <w:r>
        <w:rPr>
          <w:spacing w:val="-4"/>
        </w:rPr>
        <w:t>Treasurer</w:t>
      </w:r>
    </w:p>
    <w:p>
      <w:pPr>
        <w:pStyle w:val="BodyText"/>
        <w:spacing w:line="249" w:lineRule="auto" w:before="11"/>
        <w:ind w:left="765" w:right="401"/>
      </w:pPr>
      <w:r>
        <w:rPr/>
        <w:t>The</w:t>
      </w:r>
      <w:r>
        <w:rPr>
          <w:spacing w:val="-15"/>
        </w:rPr>
        <w:t> </w:t>
      </w:r>
      <w:r>
        <w:rPr/>
        <w:t>amount</w:t>
      </w:r>
      <w:r>
        <w:rPr>
          <w:spacing w:val="-14"/>
        </w:rPr>
        <w:t> </w:t>
      </w:r>
      <w:r>
        <w:rPr/>
        <w:t>due</w:t>
      </w:r>
      <w:r>
        <w:rPr>
          <w:spacing w:val="-14"/>
        </w:rPr>
        <w:t> </w:t>
      </w:r>
      <w:r>
        <w:rPr/>
        <w:t>to</w:t>
      </w:r>
      <w:r>
        <w:rPr>
          <w:spacing w:val="-14"/>
        </w:rPr>
        <w:t> </w:t>
      </w:r>
      <w:r>
        <w:rPr/>
        <w:t>the</w:t>
      </w:r>
      <w:r>
        <w:rPr>
          <w:spacing w:val="-14"/>
        </w:rPr>
        <w:t> </w:t>
      </w:r>
      <w:r>
        <w:rPr>
          <w:spacing w:val="-4"/>
        </w:rPr>
        <w:t>Treasurer</w:t>
      </w:r>
      <w:r>
        <w:rPr>
          <w:spacing w:val="-14"/>
        </w:rPr>
        <w:t> </w:t>
      </w:r>
      <w:r>
        <w:rPr/>
        <w:t>is</w:t>
      </w:r>
      <w:r>
        <w:rPr>
          <w:spacing w:val="-14"/>
        </w:rPr>
        <w:t> </w:t>
      </w:r>
      <w:r>
        <w:rPr/>
        <w:t>in</w:t>
      </w:r>
      <w:r>
        <w:rPr>
          <w:spacing w:val="-14"/>
        </w:rPr>
        <w:t> </w:t>
      </w:r>
      <w:r>
        <w:rPr/>
        <w:t>respect of</w:t>
      </w:r>
      <w:r>
        <w:rPr>
          <w:spacing w:val="-28"/>
        </w:rPr>
        <w:t> </w:t>
      </w:r>
      <w:r>
        <w:rPr/>
        <w:t>a</w:t>
      </w:r>
      <w:r>
        <w:rPr>
          <w:spacing w:val="-27"/>
        </w:rPr>
        <w:t> </w:t>
      </w:r>
      <w:r>
        <w:rPr>
          <w:spacing w:val="-5"/>
        </w:rPr>
        <w:t>Treasurer’s</w:t>
      </w:r>
      <w:r>
        <w:rPr>
          <w:spacing w:val="-27"/>
        </w:rPr>
        <w:t> </w:t>
      </w:r>
      <w:r>
        <w:rPr/>
        <w:t>advance.</w:t>
      </w:r>
      <w:r>
        <w:rPr>
          <w:spacing w:val="-28"/>
        </w:rPr>
        <w:t> </w:t>
      </w:r>
      <w:r>
        <w:rPr/>
        <w:t>Initial</w:t>
      </w:r>
      <w:r>
        <w:rPr>
          <w:spacing w:val="-27"/>
        </w:rPr>
        <w:t> </w:t>
      </w:r>
      <w:r>
        <w:rPr/>
        <w:t>recognition</w:t>
      </w:r>
      <w:r>
        <w:rPr>
          <w:spacing w:val="-27"/>
        </w:rPr>
        <w:t> </w:t>
      </w:r>
      <w:r>
        <w:rPr>
          <w:spacing w:val="-6"/>
        </w:rPr>
        <w:t>and </w:t>
      </w:r>
      <w:r>
        <w:rPr/>
        <w:t>measurement,</w:t>
      </w:r>
      <w:r>
        <w:rPr>
          <w:spacing w:val="-29"/>
        </w:rPr>
        <w:t> </w:t>
      </w:r>
      <w:r>
        <w:rPr/>
        <w:t>and</w:t>
      </w:r>
      <w:r>
        <w:rPr>
          <w:spacing w:val="-28"/>
        </w:rPr>
        <w:t> </w:t>
      </w:r>
      <w:r>
        <w:rPr/>
        <w:t>subsequent</w:t>
      </w:r>
      <w:r>
        <w:rPr>
          <w:spacing w:val="-29"/>
        </w:rPr>
        <w:t> </w:t>
      </w:r>
      <w:r>
        <w:rPr/>
        <w:t>measurement are</w:t>
      </w:r>
      <w:r>
        <w:rPr>
          <w:spacing w:val="-15"/>
        </w:rPr>
        <w:t> </w:t>
      </w:r>
      <w:r>
        <w:rPr/>
        <w:t>at</w:t>
      </w:r>
      <w:r>
        <w:rPr>
          <w:spacing w:val="-15"/>
        </w:rPr>
        <w:t> </w:t>
      </w:r>
      <w:r>
        <w:rPr/>
        <w:t>the</w:t>
      </w:r>
      <w:r>
        <w:rPr>
          <w:spacing w:val="-14"/>
        </w:rPr>
        <w:t> </w:t>
      </w:r>
      <w:r>
        <w:rPr/>
        <w:t>amount</w:t>
      </w:r>
      <w:r>
        <w:rPr>
          <w:spacing w:val="-15"/>
        </w:rPr>
        <w:t> </w:t>
      </w:r>
      <w:r>
        <w:rPr/>
        <w:t>repayable.</w:t>
      </w:r>
      <w:r>
        <w:rPr>
          <w:spacing w:val="-15"/>
        </w:rPr>
        <w:t> </w:t>
      </w:r>
      <w:r>
        <w:rPr/>
        <w:t>Although</w:t>
      </w:r>
      <w:r>
        <w:rPr>
          <w:spacing w:val="-14"/>
        </w:rPr>
        <w:t> </w:t>
      </w:r>
      <w:r>
        <w:rPr/>
        <w:t>there</w:t>
      </w:r>
    </w:p>
    <w:p>
      <w:pPr>
        <w:pStyle w:val="BodyText"/>
        <w:spacing w:line="249" w:lineRule="auto" w:before="4"/>
        <w:ind w:left="765" w:right="558"/>
        <w:jc w:val="both"/>
      </w:pPr>
      <w:r>
        <w:rPr/>
        <w:t>is</w:t>
      </w:r>
      <w:r>
        <w:rPr>
          <w:spacing w:val="-21"/>
        </w:rPr>
        <w:t> </w:t>
      </w:r>
      <w:r>
        <w:rPr/>
        <w:t>no</w:t>
      </w:r>
      <w:r>
        <w:rPr>
          <w:spacing w:val="-20"/>
        </w:rPr>
        <w:t> </w:t>
      </w:r>
      <w:r>
        <w:rPr/>
        <w:t>interest</w:t>
      </w:r>
      <w:r>
        <w:rPr>
          <w:spacing w:val="-20"/>
        </w:rPr>
        <w:t> </w:t>
      </w:r>
      <w:r>
        <w:rPr/>
        <w:t>charged,</w:t>
      </w:r>
      <w:r>
        <w:rPr>
          <w:spacing w:val="-21"/>
        </w:rPr>
        <w:t> </w:t>
      </w:r>
      <w:r>
        <w:rPr/>
        <w:t>the</w:t>
      </w:r>
      <w:r>
        <w:rPr>
          <w:spacing w:val="-20"/>
        </w:rPr>
        <w:t> </w:t>
      </w:r>
      <w:r>
        <w:rPr/>
        <w:t>amount</w:t>
      </w:r>
      <w:r>
        <w:rPr>
          <w:spacing w:val="-20"/>
        </w:rPr>
        <w:t> </w:t>
      </w:r>
      <w:r>
        <w:rPr/>
        <w:t>repayable is</w:t>
      </w:r>
      <w:r>
        <w:rPr>
          <w:spacing w:val="-17"/>
        </w:rPr>
        <w:t> </w:t>
      </w:r>
      <w:r>
        <w:rPr/>
        <w:t>equivalent</w:t>
      </w:r>
      <w:r>
        <w:rPr>
          <w:spacing w:val="-17"/>
        </w:rPr>
        <w:t> </w:t>
      </w:r>
      <w:r>
        <w:rPr/>
        <w:t>to</w:t>
      </w:r>
      <w:r>
        <w:rPr>
          <w:spacing w:val="-16"/>
        </w:rPr>
        <w:t> </w:t>
      </w:r>
      <w:r>
        <w:rPr/>
        <w:t>fair</w:t>
      </w:r>
      <w:r>
        <w:rPr>
          <w:spacing w:val="-17"/>
        </w:rPr>
        <w:t> </w:t>
      </w:r>
      <w:r>
        <w:rPr/>
        <w:t>value</w:t>
      </w:r>
      <w:r>
        <w:rPr>
          <w:spacing w:val="-16"/>
        </w:rPr>
        <w:t> </w:t>
      </w:r>
      <w:r>
        <w:rPr/>
        <w:t>as</w:t>
      </w:r>
      <w:r>
        <w:rPr>
          <w:spacing w:val="-17"/>
        </w:rPr>
        <w:t> </w:t>
      </w:r>
      <w:r>
        <w:rPr/>
        <w:t>the</w:t>
      </w:r>
      <w:r>
        <w:rPr>
          <w:spacing w:val="-16"/>
        </w:rPr>
        <w:t> </w:t>
      </w:r>
      <w:r>
        <w:rPr/>
        <w:t>period</w:t>
      </w:r>
      <w:r>
        <w:rPr>
          <w:spacing w:val="-17"/>
        </w:rPr>
        <w:t> </w:t>
      </w:r>
      <w:r>
        <w:rPr/>
        <w:t>of</w:t>
      </w:r>
      <w:r>
        <w:rPr>
          <w:spacing w:val="-16"/>
        </w:rPr>
        <w:t> </w:t>
      </w:r>
      <w:r>
        <w:rPr/>
        <w:t>the borrowing</w:t>
      </w:r>
      <w:r>
        <w:rPr>
          <w:spacing w:val="-12"/>
        </w:rPr>
        <w:t> </w:t>
      </w:r>
      <w:r>
        <w:rPr/>
        <w:t>is</w:t>
      </w:r>
      <w:r>
        <w:rPr>
          <w:spacing w:val="-11"/>
        </w:rPr>
        <w:t> </w:t>
      </w:r>
      <w:r>
        <w:rPr/>
        <w:t>for</w:t>
      </w:r>
      <w:r>
        <w:rPr>
          <w:spacing w:val="-11"/>
        </w:rPr>
        <w:t> </w:t>
      </w:r>
      <w:r>
        <w:rPr/>
        <w:t>less</w:t>
      </w:r>
      <w:r>
        <w:rPr>
          <w:spacing w:val="-12"/>
        </w:rPr>
        <w:t> </w:t>
      </w:r>
      <w:r>
        <w:rPr/>
        <w:t>than</w:t>
      </w:r>
      <w:r>
        <w:rPr>
          <w:spacing w:val="-11"/>
        </w:rPr>
        <w:t> </w:t>
      </w:r>
      <w:r>
        <w:rPr/>
        <w:t>12</w:t>
      </w:r>
      <w:r>
        <w:rPr>
          <w:spacing w:val="-11"/>
        </w:rPr>
        <w:t> </w:t>
      </w:r>
      <w:r>
        <w:rPr/>
        <w:t>months</w:t>
      </w:r>
      <w:r>
        <w:rPr>
          <w:spacing w:val="-12"/>
        </w:rPr>
        <w:t> </w:t>
      </w:r>
      <w:r>
        <w:rPr/>
        <w:t>with</w:t>
      </w:r>
      <w:r>
        <w:rPr>
          <w:spacing w:val="-11"/>
        </w:rPr>
        <w:t> </w:t>
      </w:r>
      <w:r>
        <w:rPr>
          <w:spacing w:val="-6"/>
        </w:rPr>
        <w:t>the </w:t>
      </w:r>
      <w:r>
        <w:rPr/>
        <w:t>effect of discounting not being</w:t>
      </w:r>
      <w:r>
        <w:rPr>
          <w:spacing w:val="-38"/>
        </w:rPr>
        <w:t> </w:t>
      </w:r>
      <w:r>
        <w:rPr/>
        <w:t>material.</w:t>
      </w:r>
    </w:p>
    <w:p>
      <w:pPr>
        <w:pStyle w:val="BodyText"/>
        <w:spacing w:before="3"/>
        <w:rPr>
          <w:sz w:val="23"/>
        </w:rPr>
      </w:pPr>
    </w:p>
    <w:p>
      <w:pPr>
        <w:pStyle w:val="Heading6"/>
        <w:numPr>
          <w:ilvl w:val="0"/>
          <w:numId w:val="7"/>
        </w:numPr>
        <w:tabs>
          <w:tab w:pos="1035" w:val="left" w:leader="none"/>
        </w:tabs>
        <w:spacing w:line="240" w:lineRule="auto" w:before="0" w:after="0"/>
        <w:ind w:left="1034" w:right="0" w:hanging="269"/>
        <w:jc w:val="left"/>
      </w:pPr>
      <w:r>
        <w:rPr/>
        <w:t>Provisions</w:t>
      </w:r>
    </w:p>
    <w:p>
      <w:pPr>
        <w:pStyle w:val="BodyText"/>
        <w:spacing w:line="249" w:lineRule="auto" w:before="11"/>
        <w:ind w:left="765" w:right="143"/>
      </w:pPr>
      <w:r>
        <w:rPr/>
        <w:t>Provisions are liabilities of uncertain timing or amount and are recognised where there is a present</w:t>
      </w:r>
      <w:r>
        <w:rPr>
          <w:spacing w:val="-22"/>
        </w:rPr>
        <w:t> </w:t>
      </w:r>
      <w:r>
        <w:rPr/>
        <w:t>legal</w:t>
      </w:r>
      <w:r>
        <w:rPr>
          <w:spacing w:val="-21"/>
        </w:rPr>
        <w:t> </w:t>
      </w:r>
      <w:r>
        <w:rPr/>
        <w:t>or</w:t>
      </w:r>
      <w:r>
        <w:rPr>
          <w:spacing w:val="-22"/>
        </w:rPr>
        <w:t> </w:t>
      </w:r>
      <w:r>
        <w:rPr/>
        <w:t>constructive</w:t>
      </w:r>
      <w:r>
        <w:rPr>
          <w:spacing w:val="-21"/>
        </w:rPr>
        <w:t> </w:t>
      </w:r>
      <w:r>
        <w:rPr/>
        <w:t>obligation</w:t>
      </w:r>
      <w:r>
        <w:rPr>
          <w:spacing w:val="-22"/>
        </w:rPr>
        <w:t> </w:t>
      </w:r>
      <w:r>
        <w:rPr/>
        <w:t>as</w:t>
      </w:r>
      <w:r>
        <w:rPr>
          <w:spacing w:val="-21"/>
        </w:rPr>
        <w:t> </w:t>
      </w:r>
      <w:r>
        <w:rPr/>
        <w:t>a</w:t>
      </w:r>
      <w:r>
        <w:rPr>
          <w:spacing w:val="-22"/>
        </w:rPr>
        <w:t> </w:t>
      </w:r>
      <w:r>
        <w:rPr>
          <w:spacing w:val="-4"/>
        </w:rPr>
        <w:t>result</w:t>
      </w:r>
    </w:p>
    <w:p>
      <w:pPr>
        <w:pStyle w:val="BodyText"/>
        <w:spacing w:before="5"/>
        <w:rPr>
          <w:sz w:val="23"/>
        </w:rPr>
      </w:pPr>
      <w:r>
        <w:rPr/>
        <w:br w:type="column"/>
      </w:r>
      <w:r>
        <w:rPr>
          <w:sz w:val="23"/>
        </w:rPr>
      </w:r>
    </w:p>
    <w:p>
      <w:pPr>
        <w:pStyle w:val="BodyText"/>
        <w:spacing w:line="249" w:lineRule="auto"/>
        <w:ind w:left="385" w:right="81"/>
      </w:pPr>
      <w:r>
        <w:rPr/>
        <w:t>of</w:t>
      </w:r>
      <w:r>
        <w:rPr>
          <w:spacing w:val="-13"/>
        </w:rPr>
        <w:t> </w:t>
      </w:r>
      <w:r>
        <w:rPr/>
        <w:t>a</w:t>
      </w:r>
      <w:r>
        <w:rPr>
          <w:spacing w:val="-12"/>
        </w:rPr>
        <w:t> </w:t>
      </w:r>
      <w:r>
        <w:rPr/>
        <w:t>past</w:t>
      </w:r>
      <w:r>
        <w:rPr>
          <w:spacing w:val="-12"/>
        </w:rPr>
        <w:t> </w:t>
      </w:r>
      <w:r>
        <w:rPr/>
        <w:t>event</w:t>
      </w:r>
      <w:r>
        <w:rPr>
          <w:spacing w:val="-12"/>
        </w:rPr>
        <w:t> </w:t>
      </w:r>
      <w:r>
        <w:rPr/>
        <w:t>and</w:t>
      </w:r>
      <w:r>
        <w:rPr>
          <w:spacing w:val="-12"/>
        </w:rPr>
        <w:t> </w:t>
      </w:r>
      <w:r>
        <w:rPr/>
        <w:t>when</w:t>
      </w:r>
      <w:r>
        <w:rPr>
          <w:spacing w:val="-13"/>
        </w:rPr>
        <w:t> </w:t>
      </w:r>
      <w:r>
        <w:rPr/>
        <w:t>the</w:t>
      </w:r>
      <w:r>
        <w:rPr>
          <w:spacing w:val="-12"/>
        </w:rPr>
        <w:t> </w:t>
      </w:r>
      <w:r>
        <w:rPr/>
        <w:t>outflow</w:t>
      </w:r>
      <w:r>
        <w:rPr>
          <w:spacing w:val="-12"/>
        </w:rPr>
        <w:t> </w:t>
      </w:r>
      <w:r>
        <w:rPr/>
        <w:t>of</w:t>
      </w:r>
      <w:r>
        <w:rPr>
          <w:spacing w:val="-12"/>
        </w:rPr>
        <w:t> </w:t>
      </w:r>
      <w:r>
        <w:rPr>
          <w:spacing w:val="-3"/>
        </w:rPr>
        <w:t>resources </w:t>
      </w:r>
      <w:r>
        <w:rPr/>
        <w:t>embodying</w:t>
      </w:r>
      <w:r>
        <w:rPr>
          <w:spacing w:val="-10"/>
        </w:rPr>
        <w:t> </w:t>
      </w:r>
      <w:r>
        <w:rPr/>
        <w:t>economic</w:t>
      </w:r>
      <w:r>
        <w:rPr>
          <w:spacing w:val="-9"/>
        </w:rPr>
        <w:t> </w:t>
      </w:r>
      <w:r>
        <w:rPr/>
        <w:t>benefits</w:t>
      </w:r>
      <w:r>
        <w:rPr>
          <w:spacing w:val="-10"/>
        </w:rPr>
        <w:t> </w:t>
      </w:r>
      <w:r>
        <w:rPr/>
        <w:t>is</w:t>
      </w:r>
      <w:r>
        <w:rPr>
          <w:spacing w:val="-9"/>
        </w:rPr>
        <w:t> </w:t>
      </w:r>
      <w:r>
        <w:rPr/>
        <w:t>probable</w:t>
      </w:r>
      <w:r>
        <w:rPr>
          <w:spacing w:val="-10"/>
        </w:rPr>
        <w:t> </w:t>
      </w:r>
      <w:r>
        <w:rPr/>
        <w:t>and</w:t>
      </w:r>
    </w:p>
    <w:p>
      <w:pPr>
        <w:pStyle w:val="BodyText"/>
        <w:spacing w:line="249" w:lineRule="auto" w:before="2"/>
        <w:ind w:left="385" w:right="359"/>
      </w:pPr>
      <w:r>
        <w:rPr/>
        <w:t>a</w:t>
      </w:r>
      <w:r>
        <w:rPr>
          <w:spacing w:val="-16"/>
        </w:rPr>
        <w:t> </w:t>
      </w:r>
      <w:r>
        <w:rPr/>
        <w:t>reliable</w:t>
      </w:r>
      <w:r>
        <w:rPr>
          <w:spacing w:val="-15"/>
        </w:rPr>
        <w:t> </w:t>
      </w:r>
      <w:r>
        <w:rPr/>
        <w:t>estimate</w:t>
      </w:r>
      <w:r>
        <w:rPr>
          <w:spacing w:val="-16"/>
        </w:rPr>
        <w:t> </w:t>
      </w:r>
      <w:r>
        <w:rPr/>
        <w:t>can</w:t>
      </w:r>
      <w:r>
        <w:rPr>
          <w:spacing w:val="-15"/>
        </w:rPr>
        <w:t> </w:t>
      </w:r>
      <w:r>
        <w:rPr/>
        <w:t>be</w:t>
      </w:r>
      <w:r>
        <w:rPr>
          <w:spacing w:val="-15"/>
        </w:rPr>
        <w:t> </w:t>
      </w:r>
      <w:r>
        <w:rPr/>
        <w:t>made</w:t>
      </w:r>
      <w:r>
        <w:rPr>
          <w:spacing w:val="-16"/>
        </w:rPr>
        <w:t> </w:t>
      </w:r>
      <w:r>
        <w:rPr/>
        <w:t>of</w:t>
      </w:r>
      <w:r>
        <w:rPr>
          <w:spacing w:val="-15"/>
        </w:rPr>
        <w:t> </w:t>
      </w:r>
      <w:r>
        <w:rPr/>
        <w:t>the</w:t>
      </w:r>
      <w:r>
        <w:rPr>
          <w:spacing w:val="-15"/>
        </w:rPr>
        <w:t> </w:t>
      </w:r>
      <w:r>
        <w:rPr/>
        <w:t>amount of</w:t>
      </w:r>
      <w:r>
        <w:rPr>
          <w:spacing w:val="-24"/>
        </w:rPr>
        <w:t> </w:t>
      </w:r>
      <w:r>
        <w:rPr/>
        <w:t>the</w:t>
      </w:r>
      <w:r>
        <w:rPr>
          <w:spacing w:val="-23"/>
        </w:rPr>
        <w:t> </w:t>
      </w:r>
      <w:r>
        <w:rPr/>
        <w:t>obligation.</w:t>
      </w:r>
      <w:r>
        <w:rPr>
          <w:spacing w:val="-24"/>
        </w:rPr>
        <w:t> </w:t>
      </w:r>
      <w:r>
        <w:rPr/>
        <w:t>Provisions</w:t>
      </w:r>
      <w:r>
        <w:rPr>
          <w:spacing w:val="-23"/>
        </w:rPr>
        <w:t> </w:t>
      </w:r>
      <w:r>
        <w:rPr/>
        <w:t>are</w:t>
      </w:r>
      <w:r>
        <w:rPr>
          <w:spacing w:val="-23"/>
        </w:rPr>
        <w:t> </w:t>
      </w:r>
      <w:r>
        <w:rPr/>
        <w:t>reviewed</w:t>
      </w:r>
      <w:r>
        <w:rPr>
          <w:spacing w:val="-24"/>
        </w:rPr>
        <w:t> </w:t>
      </w:r>
      <w:r>
        <w:rPr/>
        <w:t>at</w:t>
      </w:r>
      <w:r>
        <w:rPr>
          <w:spacing w:val="-23"/>
        </w:rPr>
        <w:t> </w:t>
      </w:r>
      <w:r>
        <w:rPr>
          <w:spacing w:val="-6"/>
        </w:rPr>
        <w:t>the </w:t>
      </w:r>
      <w:r>
        <w:rPr/>
        <w:t>end</w:t>
      </w:r>
      <w:r>
        <w:rPr>
          <w:spacing w:val="-16"/>
        </w:rPr>
        <w:t> </w:t>
      </w:r>
      <w:r>
        <w:rPr/>
        <w:t>of</w:t>
      </w:r>
      <w:r>
        <w:rPr>
          <w:spacing w:val="-15"/>
        </w:rPr>
        <w:t> </w:t>
      </w:r>
      <w:r>
        <w:rPr/>
        <w:t>each</w:t>
      </w:r>
      <w:r>
        <w:rPr>
          <w:spacing w:val="-15"/>
        </w:rPr>
        <w:t> </w:t>
      </w:r>
      <w:r>
        <w:rPr/>
        <w:t>reporting</w:t>
      </w:r>
      <w:r>
        <w:rPr>
          <w:spacing w:val="-16"/>
        </w:rPr>
        <w:t> </w:t>
      </w:r>
      <w:r>
        <w:rPr/>
        <w:t>period</w:t>
      </w:r>
      <w:r>
        <w:rPr>
          <w:spacing w:val="-15"/>
        </w:rPr>
        <w:t> </w:t>
      </w:r>
      <w:r>
        <w:rPr/>
        <w:t>(see</w:t>
      </w:r>
      <w:r>
        <w:rPr>
          <w:spacing w:val="-15"/>
        </w:rPr>
        <w:t> </w:t>
      </w:r>
      <w:r>
        <w:rPr/>
        <w:t>also</w:t>
      </w:r>
      <w:r>
        <w:rPr>
          <w:spacing w:val="-16"/>
        </w:rPr>
        <w:t> </w:t>
      </w:r>
      <w:r>
        <w:rPr/>
        <w:t>Note</w:t>
      </w:r>
      <w:r>
        <w:rPr>
          <w:spacing w:val="-15"/>
        </w:rPr>
        <w:t> </w:t>
      </w:r>
      <w:r>
        <w:rPr/>
        <w:t>30 ‘Provisions’).</w:t>
      </w:r>
    </w:p>
    <w:p>
      <w:pPr>
        <w:pStyle w:val="BodyText"/>
        <w:spacing w:before="3"/>
        <w:rPr>
          <w:sz w:val="23"/>
        </w:rPr>
      </w:pPr>
    </w:p>
    <w:p>
      <w:pPr>
        <w:spacing w:before="0"/>
        <w:ind w:left="385" w:right="0" w:firstLine="0"/>
        <w:jc w:val="left"/>
        <w:rPr>
          <w:i/>
          <w:sz w:val="22"/>
        </w:rPr>
      </w:pPr>
      <w:r>
        <w:rPr>
          <w:i/>
          <w:color w:val="6F2770"/>
          <w:sz w:val="22"/>
        </w:rPr>
        <w:t>Provisions - employee benefits</w:t>
      </w:r>
    </w:p>
    <w:p>
      <w:pPr>
        <w:pStyle w:val="BodyText"/>
        <w:spacing w:line="249" w:lineRule="auto" w:before="11"/>
        <w:ind w:left="385" w:right="193"/>
      </w:pPr>
      <w:r>
        <w:rPr/>
        <w:t>All</w:t>
      </w:r>
      <w:r>
        <w:rPr>
          <w:spacing w:val="-32"/>
        </w:rPr>
        <w:t> </w:t>
      </w:r>
      <w:r>
        <w:rPr/>
        <w:t>annual</w:t>
      </w:r>
      <w:r>
        <w:rPr>
          <w:spacing w:val="-31"/>
        </w:rPr>
        <w:t> </w:t>
      </w:r>
      <w:r>
        <w:rPr/>
        <w:t>leave</w:t>
      </w:r>
      <w:r>
        <w:rPr>
          <w:spacing w:val="-31"/>
        </w:rPr>
        <w:t> </w:t>
      </w:r>
      <w:r>
        <w:rPr/>
        <w:t>and</w:t>
      </w:r>
      <w:r>
        <w:rPr>
          <w:spacing w:val="-31"/>
        </w:rPr>
        <w:t> </w:t>
      </w:r>
      <w:r>
        <w:rPr/>
        <w:t>long</w:t>
      </w:r>
      <w:r>
        <w:rPr>
          <w:spacing w:val="-31"/>
        </w:rPr>
        <w:t> </w:t>
      </w:r>
      <w:r>
        <w:rPr/>
        <w:t>service</w:t>
      </w:r>
      <w:r>
        <w:rPr>
          <w:spacing w:val="-32"/>
        </w:rPr>
        <w:t> </w:t>
      </w:r>
      <w:r>
        <w:rPr/>
        <w:t>leave</w:t>
      </w:r>
      <w:r>
        <w:rPr>
          <w:spacing w:val="-31"/>
        </w:rPr>
        <w:t> </w:t>
      </w:r>
      <w:r>
        <w:rPr>
          <w:spacing w:val="-3"/>
        </w:rPr>
        <w:t>provisions </w:t>
      </w:r>
      <w:r>
        <w:rPr/>
        <w:t>are in respect of employees’ services up to the end of the reporting</w:t>
      </w:r>
      <w:r>
        <w:rPr>
          <w:spacing w:val="-7"/>
        </w:rPr>
        <w:t> </w:t>
      </w:r>
      <w:r>
        <w:rPr/>
        <w:t>period.</w:t>
      </w:r>
    </w:p>
    <w:p>
      <w:pPr>
        <w:pStyle w:val="BodyText"/>
        <w:spacing w:before="2"/>
        <w:rPr>
          <w:sz w:val="23"/>
        </w:rPr>
      </w:pPr>
    </w:p>
    <w:p>
      <w:pPr>
        <w:spacing w:before="0"/>
        <w:ind w:left="385" w:right="0" w:firstLine="0"/>
        <w:jc w:val="left"/>
        <w:rPr>
          <w:i/>
          <w:sz w:val="22"/>
        </w:rPr>
      </w:pPr>
      <w:r>
        <w:rPr>
          <w:i/>
          <w:sz w:val="22"/>
        </w:rPr>
        <w:t>Annual leave</w:t>
      </w:r>
    </w:p>
    <w:p>
      <w:pPr>
        <w:pStyle w:val="BodyText"/>
        <w:spacing w:line="249" w:lineRule="auto" w:before="11"/>
        <w:ind w:left="385" w:right="102"/>
      </w:pPr>
      <w:r>
        <w:rPr/>
        <w:t>Annual</w:t>
      </w:r>
      <w:r>
        <w:rPr>
          <w:spacing w:val="-15"/>
        </w:rPr>
        <w:t> </w:t>
      </w:r>
      <w:r>
        <w:rPr/>
        <w:t>leave</w:t>
      </w:r>
      <w:r>
        <w:rPr>
          <w:spacing w:val="-15"/>
        </w:rPr>
        <w:t> </w:t>
      </w:r>
      <w:r>
        <w:rPr/>
        <w:t>is</w:t>
      </w:r>
      <w:r>
        <w:rPr>
          <w:spacing w:val="-14"/>
        </w:rPr>
        <w:t> </w:t>
      </w:r>
      <w:r>
        <w:rPr/>
        <w:t>not</w:t>
      </w:r>
      <w:r>
        <w:rPr>
          <w:spacing w:val="-15"/>
        </w:rPr>
        <w:t> </w:t>
      </w:r>
      <w:r>
        <w:rPr/>
        <w:t>expected</w:t>
      </w:r>
      <w:r>
        <w:rPr>
          <w:spacing w:val="-14"/>
        </w:rPr>
        <w:t> </w:t>
      </w:r>
      <w:r>
        <w:rPr/>
        <w:t>to</w:t>
      </w:r>
      <w:r>
        <w:rPr>
          <w:spacing w:val="-15"/>
        </w:rPr>
        <w:t> </w:t>
      </w:r>
      <w:r>
        <w:rPr/>
        <w:t>be</w:t>
      </w:r>
      <w:r>
        <w:rPr>
          <w:spacing w:val="-15"/>
        </w:rPr>
        <w:t> </w:t>
      </w:r>
      <w:r>
        <w:rPr/>
        <w:t>settled</w:t>
      </w:r>
      <w:r>
        <w:rPr>
          <w:spacing w:val="-14"/>
        </w:rPr>
        <w:t> </w:t>
      </w:r>
      <w:r>
        <w:rPr/>
        <w:t>wholly within 12 months after the end of the reporting period and is therefore considered to be ‘other long-term employee benefits’. The annual leave liability</w:t>
      </w:r>
      <w:r>
        <w:rPr>
          <w:spacing w:val="-23"/>
        </w:rPr>
        <w:t> </w:t>
      </w:r>
      <w:r>
        <w:rPr/>
        <w:t>is</w:t>
      </w:r>
      <w:r>
        <w:rPr>
          <w:spacing w:val="-23"/>
        </w:rPr>
        <w:t> </w:t>
      </w:r>
      <w:r>
        <w:rPr/>
        <w:t>recognised</w:t>
      </w:r>
      <w:r>
        <w:rPr>
          <w:spacing w:val="-22"/>
        </w:rPr>
        <w:t> </w:t>
      </w:r>
      <w:r>
        <w:rPr/>
        <w:t>and</w:t>
      </w:r>
      <w:r>
        <w:rPr>
          <w:spacing w:val="-23"/>
        </w:rPr>
        <w:t> </w:t>
      </w:r>
      <w:r>
        <w:rPr/>
        <w:t>measured</w:t>
      </w:r>
      <w:r>
        <w:rPr>
          <w:spacing w:val="-23"/>
        </w:rPr>
        <w:t> </w:t>
      </w:r>
      <w:r>
        <w:rPr/>
        <w:t>at</w:t>
      </w:r>
      <w:r>
        <w:rPr>
          <w:spacing w:val="-22"/>
        </w:rPr>
        <w:t> </w:t>
      </w:r>
      <w:r>
        <w:rPr/>
        <w:t>the</w:t>
      </w:r>
      <w:r>
        <w:rPr>
          <w:spacing w:val="-23"/>
        </w:rPr>
        <w:t> </w:t>
      </w:r>
      <w:r>
        <w:rPr>
          <w:spacing w:val="-4"/>
        </w:rPr>
        <w:t>present </w:t>
      </w:r>
      <w:r>
        <w:rPr/>
        <w:t>value of amounts expected to be paid when the liabilities are settled using the remuneration rate expected to apply at the time of</w:t>
      </w:r>
      <w:r>
        <w:rPr>
          <w:spacing w:val="-35"/>
        </w:rPr>
        <w:t> </w:t>
      </w:r>
      <w:r>
        <w:rPr/>
        <w:t>settlement.</w:t>
      </w:r>
    </w:p>
    <w:p>
      <w:pPr>
        <w:pStyle w:val="BodyText"/>
        <w:spacing w:before="7"/>
        <w:rPr>
          <w:sz w:val="23"/>
        </w:rPr>
      </w:pPr>
    </w:p>
    <w:p>
      <w:pPr>
        <w:pStyle w:val="BodyText"/>
        <w:spacing w:line="249" w:lineRule="auto"/>
        <w:ind w:left="385" w:right="-13"/>
      </w:pPr>
      <w:r>
        <w:rPr/>
        <w:t>When assessing expected future payments consideration is given to expected future wage and</w:t>
      </w:r>
      <w:r>
        <w:rPr>
          <w:spacing w:val="-28"/>
        </w:rPr>
        <w:t> </w:t>
      </w:r>
      <w:r>
        <w:rPr/>
        <w:t>salary</w:t>
      </w:r>
      <w:r>
        <w:rPr>
          <w:spacing w:val="-28"/>
        </w:rPr>
        <w:t> </w:t>
      </w:r>
      <w:r>
        <w:rPr/>
        <w:t>levels</w:t>
      </w:r>
      <w:r>
        <w:rPr>
          <w:spacing w:val="-27"/>
        </w:rPr>
        <w:t> </w:t>
      </w:r>
      <w:r>
        <w:rPr/>
        <w:t>including</w:t>
      </w:r>
      <w:r>
        <w:rPr>
          <w:spacing w:val="-28"/>
        </w:rPr>
        <w:t> </w:t>
      </w:r>
      <w:r>
        <w:rPr/>
        <w:t>non-salary</w:t>
      </w:r>
      <w:r>
        <w:rPr>
          <w:spacing w:val="-28"/>
        </w:rPr>
        <w:t> </w:t>
      </w:r>
      <w:r>
        <w:rPr/>
        <w:t>components such</w:t>
      </w:r>
      <w:r>
        <w:rPr>
          <w:spacing w:val="-29"/>
        </w:rPr>
        <w:t> </w:t>
      </w:r>
      <w:r>
        <w:rPr/>
        <w:t>as</w:t>
      </w:r>
      <w:r>
        <w:rPr>
          <w:spacing w:val="-28"/>
        </w:rPr>
        <w:t> </w:t>
      </w:r>
      <w:r>
        <w:rPr/>
        <w:t>employer</w:t>
      </w:r>
      <w:r>
        <w:rPr>
          <w:spacing w:val="-28"/>
        </w:rPr>
        <w:t> </w:t>
      </w:r>
      <w:r>
        <w:rPr/>
        <w:t>superannuation</w:t>
      </w:r>
      <w:r>
        <w:rPr>
          <w:spacing w:val="-28"/>
        </w:rPr>
        <w:t> </w:t>
      </w:r>
      <w:r>
        <w:rPr/>
        <w:t>contributions,</w:t>
      </w:r>
      <w:r>
        <w:rPr>
          <w:spacing w:val="-28"/>
        </w:rPr>
        <w:t> </w:t>
      </w:r>
      <w:r>
        <w:rPr>
          <w:spacing w:val="-8"/>
        </w:rPr>
        <w:t>as </w:t>
      </w:r>
      <w:r>
        <w:rPr/>
        <w:t>well</w:t>
      </w:r>
      <w:r>
        <w:rPr>
          <w:spacing w:val="-24"/>
        </w:rPr>
        <w:t> </w:t>
      </w:r>
      <w:r>
        <w:rPr/>
        <w:t>as</w:t>
      </w:r>
      <w:r>
        <w:rPr>
          <w:spacing w:val="-23"/>
        </w:rPr>
        <w:t> </w:t>
      </w:r>
      <w:r>
        <w:rPr/>
        <w:t>the</w:t>
      </w:r>
      <w:r>
        <w:rPr>
          <w:spacing w:val="-24"/>
        </w:rPr>
        <w:t> </w:t>
      </w:r>
      <w:r>
        <w:rPr/>
        <w:t>experience</w:t>
      </w:r>
      <w:r>
        <w:rPr>
          <w:spacing w:val="-23"/>
        </w:rPr>
        <w:t> </w:t>
      </w:r>
      <w:r>
        <w:rPr/>
        <w:t>of</w:t>
      </w:r>
      <w:r>
        <w:rPr>
          <w:spacing w:val="-24"/>
        </w:rPr>
        <w:t> </w:t>
      </w:r>
      <w:r>
        <w:rPr/>
        <w:t>employee</w:t>
      </w:r>
      <w:r>
        <w:rPr>
          <w:spacing w:val="-23"/>
        </w:rPr>
        <w:t> </w:t>
      </w:r>
      <w:r>
        <w:rPr/>
        <w:t>departures</w:t>
      </w:r>
      <w:r>
        <w:rPr>
          <w:spacing w:val="-24"/>
        </w:rPr>
        <w:t> </w:t>
      </w:r>
      <w:r>
        <w:rPr/>
        <w:t>and periods</w:t>
      </w:r>
      <w:r>
        <w:rPr>
          <w:spacing w:val="-18"/>
        </w:rPr>
        <w:t> </w:t>
      </w:r>
      <w:r>
        <w:rPr/>
        <w:t>of</w:t>
      </w:r>
      <w:r>
        <w:rPr>
          <w:spacing w:val="-17"/>
        </w:rPr>
        <w:t> </w:t>
      </w:r>
      <w:r>
        <w:rPr/>
        <w:t>service.</w:t>
      </w:r>
      <w:r>
        <w:rPr>
          <w:spacing w:val="-17"/>
        </w:rPr>
        <w:t> </w:t>
      </w:r>
      <w:r>
        <w:rPr/>
        <w:t>The</w:t>
      </w:r>
      <w:r>
        <w:rPr>
          <w:spacing w:val="-17"/>
        </w:rPr>
        <w:t> </w:t>
      </w:r>
      <w:r>
        <w:rPr/>
        <w:t>expected</w:t>
      </w:r>
      <w:r>
        <w:rPr>
          <w:spacing w:val="-17"/>
        </w:rPr>
        <w:t> </w:t>
      </w:r>
      <w:r>
        <w:rPr/>
        <w:t>future</w:t>
      </w:r>
      <w:r>
        <w:rPr>
          <w:spacing w:val="-18"/>
        </w:rPr>
        <w:t> </w:t>
      </w:r>
      <w:r>
        <w:rPr/>
        <w:t>payments are</w:t>
      </w:r>
      <w:r>
        <w:rPr>
          <w:spacing w:val="-11"/>
        </w:rPr>
        <w:t> </w:t>
      </w:r>
      <w:r>
        <w:rPr/>
        <w:t>discounted</w:t>
      </w:r>
      <w:r>
        <w:rPr>
          <w:spacing w:val="-11"/>
        </w:rPr>
        <w:t> </w:t>
      </w:r>
      <w:r>
        <w:rPr/>
        <w:t>using</w:t>
      </w:r>
      <w:r>
        <w:rPr>
          <w:spacing w:val="-10"/>
        </w:rPr>
        <w:t> </w:t>
      </w:r>
      <w:r>
        <w:rPr/>
        <w:t>market</w:t>
      </w:r>
      <w:r>
        <w:rPr>
          <w:spacing w:val="-11"/>
        </w:rPr>
        <w:t> </w:t>
      </w:r>
      <w:r>
        <w:rPr/>
        <w:t>yields</w:t>
      </w:r>
      <w:r>
        <w:rPr>
          <w:spacing w:val="-10"/>
        </w:rPr>
        <w:t> </w:t>
      </w:r>
      <w:r>
        <w:rPr/>
        <w:t>at</w:t>
      </w:r>
      <w:r>
        <w:rPr>
          <w:spacing w:val="-11"/>
        </w:rPr>
        <w:t> </w:t>
      </w:r>
      <w:r>
        <w:rPr/>
        <w:t>the</w:t>
      </w:r>
      <w:r>
        <w:rPr>
          <w:spacing w:val="-10"/>
        </w:rPr>
        <w:t> </w:t>
      </w:r>
      <w:r>
        <w:rPr/>
        <w:t>end</w:t>
      </w:r>
      <w:r>
        <w:rPr>
          <w:spacing w:val="-11"/>
        </w:rPr>
        <w:t> </w:t>
      </w:r>
      <w:r>
        <w:rPr/>
        <w:t>of</w:t>
      </w:r>
    </w:p>
    <w:p>
      <w:pPr>
        <w:pStyle w:val="BodyText"/>
        <w:spacing w:before="5"/>
        <w:rPr>
          <w:sz w:val="23"/>
        </w:rPr>
      </w:pPr>
      <w:r>
        <w:rPr/>
        <w:br w:type="column"/>
      </w:r>
      <w:r>
        <w:rPr>
          <w:sz w:val="23"/>
        </w:rPr>
      </w:r>
    </w:p>
    <w:p>
      <w:pPr>
        <w:pStyle w:val="BodyText"/>
        <w:spacing w:line="249" w:lineRule="auto"/>
        <w:ind w:left="385" w:right="765"/>
      </w:pPr>
      <w:r>
        <w:rPr/>
        <w:t>the</w:t>
      </w:r>
      <w:r>
        <w:rPr>
          <w:spacing w:val="-18"/>
        </w:rPr>
        <w:t> </w:t>
      </w:r>
      <w:r>
        <w:rPr/>
        <w:t>reporting</w:t>
      </w:r>
      <w:r>
        <w:rPr>
          <w:spacing w:val="-18"/>
        </w:rPr>
        <w:t> </w:t>
      </w:r>
      <w:r>
        <w:rPr/>
        <w:t>period</w:t>
      </w:r>
      <w:r>
        <w:rPr>
          <w:spacing w:val="-18"/>
        </w:rPr>
        <w:t> </w:t>
      </w:r>
      <w:r>
        <w:rPr/>
        <w:t>on</w:t>
      </w:r>
      <w:r>
        <w:rPr>
          <w:spacing w:val="-18"/>
        </w:rPr>
        <w:t> </w:t>
      </w:r>
      <w:r>
        <w:rPr/>
        <w:t>national</w:t>
      </w:r>
      <w:r>
        <w:rPr>
          <w:spacing w:val="-18"/>
        </w:rPr>
        <w:t> </w:t>
      </w:r>
      <w:r>
        <w:rPr/>
        <w:t>government</w:t>
      </w:r>
      <w:r>
        <w:rPr>
          <w:spacing w:val="-17"/>
        </w:rPr>
        <w:t> </w:t>
      </w:r>
      <w:r>
        <w:rPr>
          <w:spacing w:val="-4"/>
        </w:rPr>
        <w:t>bonds </w:t>
      </w:r>
      <w:r>
        <w:rPr/>
        <w:t>with terms to maturity that match, as closely as possible, the estimated future cash</w:t>
      </w:r>
      <w:r>
        <w:rPr>
          <w:spacing w:val="-37"/>
        </w:rPr>
        <w:t> </w:t>
      </w:r>
      <w:r>
        <w:rPr/>
        <w:t>outflows.</w:t>
      </w:r>
    </w:p>
    <w:p>
      <w:pPr>
        <w:pStyle w:val="BodyText"/>
        <w:spacing w:before="2"/>
        <w:rPr>
          <w:sz w:val="23"/>
        </w:rPr>
      </w:pPr>
    </w:p>
    <w:p>
      <w:pPr>
        <w:pStyle w:val="BodyText"/>
        <w:spacing w:line="249" w:lineRule="auto"/>
        <w:ind w:left="385" w:right="979"/>
      </w:pPr>
      <w:r>
        <w:rPr/>
        <w:t>The</w:t>
      </w:r>
      <w:r>
        <w:rPr>
          <w:spacing w:val="-20"/>
        </w:rPr>
        <w:t> </w:t>
      </w:r>
      <w:r>
        <w:rPr/>
        <w:t>provision</w:t>
      </w:r>
      <w:r>
        <w:rPr>
          <w:spacing w:val="-19"/>
        </w:rPr>
        <w:t> </w:t>
      </w:r>
      <w:r>
        <w:rPr/>
        <w:t>for</w:t>
      </w:r>
      <w:r>
        <w:rPr>
          <w:spacing w:val="-20"/>
        </w:rPr>
        <w:t> </w:t>
      </w:r>
      <w:r>
        <w:rPr/>
        <w:t>annual</w:t>
      </w:r>
      <w:r>
        <w:rPr>
          <w:spacing w:val="-19"/>
        </w:rPr>
        <w:t> </w:t>
      </w:r>
      <w:r>
        <w:rPr/>
        <w:t>leave</w:t>
      </w:r>
      <w:r>
        <w:rPr>
          <w:spacing w:val="-20"/>
        </w:rPr>
        <w:t> </w:t>
      </w:r>
      <w:r>
        <w:rPr/>
        <w:t>is</w:t>
      </w:r>
      <w:r>
        <w:rPr>
          <w:spacing w:val="-19"/>
        </w:rPr>
        <w:t> </w:t>
      </w:r>
      <w:r>
        <w:rPr/>
        <w:t>classified</w:t>
      </w:r>
      <w:r>
        <w:rPr>
          <w:spacing w:val="-19"/>
        </w:rPr>
        <w:t> </w:t>
      </w:r>
      <w:r>
        <w:rPr/>
        <w:t>as</w:t>
      </w:r>
      <w:r>
        <w:rPr>
          <w:spacing w:val="-20"/>
        </w:rPr>
        <w:t> </w:t>
      </w:r>
      <w:r>
        <w:rPr/>
        <w:t>a current</w:t>
      </w:r>
      <w:r>
        <w:rPr>
          <w:spacing w:val="-21"/>
        </w:rPr>
        <w:t> </w:t>
      </w:r>
      <w:r>
        <w:rPr/>
        <w:t>liability</w:t>
      </w:r>
      <w:r>
        <w:rPr>
          <w:spacing w:val="-20"/>
        </w:rPr>
        <w:t> </w:t>
      </w:r>
      <w:r>
        <w:rPr/>
        <w:t>as</w:t>
      </w:r>
      <w:r>
        <w:rPr>
          <w:spacing w:val="-21"/>
        </w:rPr>
        <w:t> </w:t>
      </w:r>
      <w:r>
        <w:rPr/>
        <w:t>the</w:t>
      </w:r>
      <w:r>
        <w:rPr>
          <w:spacing w:val="-20"/>
        </w:rPr>
        <w:t> </w:t>
      </w:r>
      <w:r>
        <w:rPr/>
        <w:t>Department</w:t>
      </w:r>
      <w:r>
        <w:rPr>
          <w:spacing w:val="-20"/>
        </w:rPr>
        <w:t> </w:t>
      </w:r>
      <w:r>
        <w:rPr/>
        <w:t>does</w:t>
      </w:r>
      <w:r>
        <w:rPr>
          <w:spacing w:val="-21"/>
        </w:rPr>
        <w:t> </w:t>
      </w:r>
      <w:r>
        <w:rPr/>
        <w:t>not</w:t>
      </w:r>
      <w:r>
        <w:rPr>
          <w:spacing w:val="-20"/>
        </w:rPr>
        <w:t> </w:t>
      </w:r>
      <w:r>
        <w:rPr/>
        <w:t>have an unconditional right to defer settlement of the liability</w:t>
      </w:r>
      <w:r>
        <w:rPr>
          <w:spacing w:val="-14"/>
        </w:rPr>
        <w:t> </w:t>
      </w:r>
      <w:r>
        <w:rPr/>
        <w:t>for</w:t>
      </w:r>
      <w:r>
        <w:rPr>
          <w:spacing w:val="-14"/>
        </w:rPr>
        <w:t> </w:t>
      </w:r>
      <w:r>
        <w:rPr/>
        <w:t>at</w:t>
      </w:r>
      <w:r>
        <w:rPr>
          <w:spacing w:val="-14"/>
        </w:rPr>
        <w:t> </w:t>
      </w:r>
      <w:r>
        <w:rPr/>
        <w:t>least</w:t>
      </w:r>
      <w:r>
        <w:rPr>
          <w:spacing w:val="-14"/>
        </w:rPr>
        <w:t> </w:t>
      </w:r>
      <w:r>
        <w:rPr/>
        <w:t>12</w:t>
      </w:r>
      <w:r>
        <w:rPr>
          <w:spacing w:val="-14"/>
        </w:rPr>
        <w:t> </w:t>
      </w:r>
      <w:r>
        <w:rPr/>
        <w:t>months</w:t>
      </w:r>
      <w:r>
        <w:rPr>
          <w:spacing w:val="-14"/>
        </w:rPr>
        <w:t> </w:t>
      </w:r>
      <w:r>
        <w:rPr/>
        <w:t>after</w:t>
      </w:r>
      <w:r>
        <w:rPr>
          <w:spacing w:val="-13"/>
        </w:rPr>
        <w:t> </w:t>
      </w:r>
      <w:r>
        <w:rPr/>
        <w:t>the</w:t>
      </w:r>
      <w:r>
        <w:rPr>
          <w:spacing w:val="-14"/>
        </w:rPr>
        <w:t> </w:t>
      </w:r>
      <w:r>
        <w:rPr/>
        <w:t>end</w:t>
      </w:r>
      <w:r>
        <w:rPr>
          <w:spacing w:val="-14"/>
        </w:rPr>
        <w:t> </w:t>
      </w:r>
      <w:r>
        <w:rPr/>
        <w:t>of</w:t>
      </w:r>
      <w:r>
        <w:rPr>
          <w:spacing w:val="-14"/>
        </w:rPr>
        <w:t> </w:t>
      </w:r>
      <w:r>
        <w:rPr>
          <w:spacing w:val="-6"/>
        </w:rPr>
        <w:t>the </w:t>
      </w:r>
      <w:r>
        <w:rPr/>
        <w:t>reporting</w:t>
      </w:r>
      <w:r>
        <w:rPr>
          <w:spacing w:val="-1"/>
        </w:rPr>
        <w:t> </w:t>
      </w:r>
      <w:r>
        <w:rPr/>
        <w:t>period.</w:t>
      </w:r>
    </w:p>
    <w:p>
      <w:pPr>
        <w:pStyle w:val="BodyText"/>
        <w:spacing w:before="4"/>
        <w:rPr>
          <w:sz w:val="23"/>
        </w:rPr>
      </w:pPr>
    </w:p>
    <w:p>
      <w:pPr>
        <w:spacing w:before="0"/>
        <w:ind w:left="385" w:right="0" w:firstLine="0"/>
        <w:jc w:val="left"/>
        <w:rPr>
          <w:i/>
          <w:sz w:val="22"/>
        </w:rPr>
      </w:pPr>
      <w:r>
        <w:rPr>
          <w:i/>
          <w:sz w:val="22"/>
        </w:rPr>
        <w:t>Long service leave</w:t>
      </w:r>
    </w:p>
    <w:p>
      <w:pPr>
        <w:pStyle w:val="BodyText"/>
        <w:spacing w:line="249" w:lineRule="auto" w:before="11"/>
        <w:ind w:left="385" w:right="1072"/>
      </w:pPr>
      <w:r>
        <w:rPr/>
        <w:t>Long</w:t>
      </w:r>
      <w:r>
        <w:rPr>
          <w:spacing w:val="-15"/>
        </w:rPr>
        <w:t> </w:t>
      </w:r>
      <w:r>
        <w:rPr/>
        <w:t>service</w:t>
      </w:r>
      <w:r>
        <w:rPr>
          <w:spacing w:val="-15"/>
        </w:rPr>
        <w:t> </w:t>
      </w:r>
      <w:r>
        <w:rPr/>
        <w:t>leave</w:t>
      </w:r>
      <w:r>
        <w:rPr>
          <w:spacing w:val="-15"/>
        </w:rPr>
        <w:t> </w:t>
      </w:r>
      <w:r>
        <w:rPr/>
        <w:t>is</w:t>
      </w:r>
      <w:r>
        <w:rPr>
          <w:spacing w:val="-15"/>
        </w:rPr>
        <w:t> </w:t>
      </w:r>
      <w:r>
        <w:rPr/>
        <w:t>not</w:t>
      </w:r>
      <w:r>
        <w:rPr>
          <w:spacing w:val="-15"/>
        </w:rPr>
        <w:t> </w:t>
      </w:r>
      <w:r>
        <w:rPr/>
        <w:t>expected</w:t>
      </w:r>
      <w:r>
        <w:rPr>
          <w:spacing w:val="-15"/>
        </w:rPr>
        <w:t> </w:t>
      </w:r>
      <w:r>
        <w:rPr/>
        <w:t>to</w:t>
      </w:r>
      <w:r>
        <w:rPr>
          <w:spacing w:val="-15"/>
        </w:rPr>
        <w:t> </w:t>
      </w:r>
      <w:r>
        <w:rPr/>
        <w:t>be</w:t>
      </w:r>
      <w:r>
        <w:rPr>
          <w:spacing w:val="-15"/>
        </w:rPr>
        <w:t> </w:t>
      </w:r>
      <w:r>
        <w:rPr>
          <w:spacing w:val="-3"/>
        </w:rPr>
        <w:t>settled </w:t>
      </w:r>
      <w:r>
        <w:rPr/>
        <w:t>wholly within 12 months after the end of the reporting period and is therefore recognised and</w:t>
      </w:r>
      <w:r>
        <w:rPr>
          <w:spacing w:val="-17"/>
        </w:rPr>
        <w:t> </w:t>
      </w:r>
      <w:r>
        <w:rPr/>
        <w:t>measured</w:t>
      </w:r>
      <w:r>
        <w:rPr>
          <w:spacing w:val="-16"/>
        </w:rPr>
        <w:t> </w:t>
      </w:r>
      <w:r>
        <w:rPr/>
        <w:t>at</w:t>
      </w:r>
      <w:r>
        <w:rPr>
          <w:spacing w:val="-16"/>
        </w:rPr>
        <w:t> </w:t>
      </w:r>
      <w:r>
        <w:rPr/>
        <w:t>the</w:t>
      </w:r>
      <w:r>
        <w:rPr>
          <w:spacing w:val="-16"/>
        </w:rPr>
        <w:t> </w:t>
      </w:r>
      <w:r>
        <w:rPr/>
        <w:t>present</w:t>
      </w:r>
      <w:r>
        <w:rPr>
          <w:spacing w:val="-16"/>
        </w:rPr>
        <w:t> </w:t>
      </w:r>
      <w:r>
        <w:rPr/>
        <w:t>value</w:t>
      </w:r>
      <w:r>
        <w:rPr>
          <w:spacing w:val="-17"/>
        </w:rPr>
        <w:t> </w:t>
      </w:r>
      <w:r>
        <w:rPr/>
        <w:t>of</w:t>
      </w:r>
      <w:r>
        <w:rPr>
          <w:spacing w:val="-16"/>
        </w:rPr>
        <w:t> </w:t>
      </w:r>
      <w:r>
        <w:rPr/>
        <w:t>amounts</w:t>
      </w:r>
    </w:p>
    <w:p>
      <w:pPr>
        <w:pStyle w:val="BodyText"/>
        <w:spacing w:line="249" w:lineRule="auto" w:before="4"/>
        <w:ind w:left="385" w:right="867"/>
      </w:pPr>
      <w:r>
        <w:rPr/>
        <w:t>expected</w:t>
      </w:r>
      <w:r>
        <w:rPr>
          <w:spacing w:val="-17"/>
        </w:rPr>
        <w:t> </w:t>
      </w:r>
      <w:r>
        <w:rPr/>
        <w:t>to</w:t>
      </w:r>
      <w:r>
        <w:rPr>
          <w:spacing w:val="-17"/>
        </w:rPr>
        <w:t> </w:t>
      </w:r>
      <w:r>
        <w:rPr/>
        <w:t>be</w:t>
      </w:r>
      <w:r>
        <w:rPr>
          <w:spacing w:val="-17"/>
        </w:rPr>
        <w:t> </w:t>
      </w:r>
      <w:r>
        <w:rPr/>
        <w:t>paid</w:t>
      </w:r>
      <w:r>
        <w:rPr>
          <w:spacing w:val="-17"/>
        </w:rPr>
        <w:t> </w:t>
      </w:r>
      <w:r>
        <w:rPr/>
        <w:t>when</w:t>
      </w:r>
      <w:r>
        <w:rPr>
          <w:spacing w:val="-17"/>
        </w:rPr>
        <w:t> </w:t>
      </w:r>
      <w:r>
        <w:rPr/>
        <w:t>the</w:t>
      </w:r>
      <w:r>
        <w:rPr>
          <w:spacing w:val="-17"/>
        </w:rPr>
        <w:t> </w:t>
      </w:r>
      <w:r>
        <w:rPr/>
        <w:t>liabilities</w:t>
      </w:r>
      <w:r>
        <w:rPr>
          <w:spacing w:val="-16"/>
        </w:rPr>
        <w:t> </w:t>
      </w:r>
      <w:r>
        <w:rPr/>
        <w:t>are</w:t>
      </w:r>
      <w:r>
        <w:rPr>
          <w:spacing w:val="-17"/>
        </w:rPr>
        <w:t> </w:t>
      </w:r>
      <w:r>
        <w:rPr>
          <w:spacing w:val="-3"/>
        </w:rPr>
        <w:t>settled </w:t>
      </w:r>
      <w:r>
        <w:rPr/>
        <w:t>using</w:t>
      </w:r>
      <w:r>
        <w:rPr>
          <w:spacing w:val="-15"/>
        </w:rPr>
        <w:t> </w:t>
      </w:r>
      <w:r>
        <w:rPr/>
        <w:t>the</w:t>
      </w:r>
      <w:r>
        <w:rPr>
          <w:spacing w:val="-14"/>
        </w:rPr>
        <w:t> </w:t>
      </w:r>
      <w:r>
        <w:rPr/>
        <w:t>remuneration</w:t>
      </w:r>
      <w:r>
        <w:rPr>
          <w:spacing w:val="-14"/>
        </w:rPr>
        <w:t> </w:t>
      </w:r>
      <w:r>
        <w:rPr/>
        <w:t>rate</w:t>
      </w:r>
      <w:r>
        <w:rPr>
          <w:spacing w:val="-14"/>
        </w:rPr>
        <w:t> </w:t>
      </w:r>
      <w:r>
        <w:rPr/>
        <w:t>expected</w:t>
      </w:r>
      <w:r>
        <w:rPr>
          <w:spacing w:val="-15"/>
        </w:rPr>
        <w:t> </w:t>
      </w:r>
      <w:r>
        <w:rPr/>
        <w:t>to</w:t>
      </w:r>
      <w:r>
        <w:rPr>
          <w:spacing w:val="-14"/>
        </w:rPr>
        <w:t> </w:t>
      </w:r>
      <w:r>
        <w:rPr/>
        <w:t>apply</w:t>
      </w:r>
      <w:r>
        <w:rPr>
          <w:spacing w:val="-14"/>
        </w:rPr>
        <w:t> </w:t>
      </w:r>
      <w:r>
        <w:rPr/>
        <w:t>at the time of</w:t>
      </w:r>
      <w:r>
        <w:rPr>
          <w:spacing w:val="-4"/>
        </w:rPr>
        <w:t> </w:t>
      </w:r>
      <w:r>
        <w:rPr/>
        <w:t>settlement.</w:t>
      </w:r>
    </w:p>
    <w:p>
      <w:pPr>
        <w:pStyle w:val="BodyText"/>
        <w:spacing w:before="2"/>
        <w:rPr>
          <w:sz w:val="23"/>
        </w:rPr>
      </w:pPr>
    </w:p>
    <w:p>
      <w:pPr>
        <w:pStyle w:val="BodyText"/>
        <w:spacing w:line="249" w:lineRule="auto"/>
        <w:ind w:left="385" w:right="748"/>
      </w:pPr>
      <w:r>
        <w:rPr/>
        <w:t>When assessing expected future payments consideration is given to expected future wage and</w:t>
      </w:r>
      <w:r>
        <w:rPr>
          <w:spacing w:val="-28"/>
        </w:rPr>
        <w:t> </w:t>
      </w:r>
      <w:r>
        <w:rPr/>
        <w:t>salary</w:t>
      </w:r>
      <w:r>
        <w:rPr>
          <w:spacing w:val="-27"/>
        </w:rPr>
        <w:t> </w:t>
      </w:r>
      <w:r>
        <w:rPr/>
        <w:t>levels</w:t>
      </w:r>
      <w:r>
        <w:rPr>
          <w:spacing w:val="-28"/>
        </w:rPr>
        <w:t> </w:t>
      </w:r>
      <w:r>
        <w:rPr/>
        <w:t>including</w:t>
      </w:r>
      <w:r>
        <w:rPr>
          <w:spacing w:val="-27"/>
        </w:rPr>
        <w:t> </w:t>
      </w:r>
      <w:r>
        <w:rPr/>
        <w:t>non-salary</w:t>
      </w:r>
      <w:r>
        <w:rPr>
          <w:spacing w:val="-27"/>
        </w:rPr>
        <w:t> </w:t>
      </w:r>
      <w:r>
        <w:rPr/>
        <w:t>components such</w:t>
      </w:r>
      <w:r>
        <w:rPr>
          <w:spacing w:val="-28"/>
        </w:rPr>
        <w:t> </w:t>
      </w:r>
      <w:r>
        <w:rPr/>
        <w:t>as</w:t>
      </w:r>
      <w:r>
        <w:rPr>
          <w:spacing w:val="-28"/>
        </w:rPr>
        <w:t> </w:t>
      </w:r>
      <w:r>
        <w:rPr/>
        <w:t>employer</w:t>
      </w:r>
      <w:r>
        <w:rPr>
          <w:spacing w:val="-28"/>
        </w:rPr>
        <w:t> </w:t>
      </w:r>
      <w:r>
        <w:rPr/>
        <w:t>superannuation</w:t>
      </w:r>
      <w:r>
        <w:rPr>
          <w:spacing w:val="-28"/>
        </w:rPr>
        <w:t> </w:t>
      </w:r>
      <w:r>
        <w:rPr/>
        <w:t>contributions,</w:t>
      </w:r>
      <w:r>
        <w:rPr>
          <w:spacing w:val="-28"/>
        </w:rPr>
        <w:t> </w:t>
      </w:r>
      <w:r>
        <w:rPr>
          <w:spacing w:val="-7"/>
        </w:rPr>
        <w:t>as </w:t>
      </w:r>
      <w:r>
        <w:rPr/>
        <w:t>well</w:t>
      </w:r>
      <w:r>
        <w:rPr>
          <w:spacing w:val="-24"/>
        </w:rPr>
        <w:t> </w:t>
      </w:r>
      <w:r>
        <w:rPr/>
        <w:t>as</w:t>
      </w:r>
      <w:r>
        <w:rPr>
          <w:spacing w:val="-23"/>
        </w:rPr>
        <w:t> </w:t>
      </w:r>
      <w:r>
        <w:rPr/>
        <w:t>the</w:t>
      </w:r>
      <w:r>
        <w:rPr>
          <w:spacing w:val="-23"/>
        </w:rPr>
        <w:t> </w:t>
      </w:r>
      <w:r>
        <w:rPr/>
        <w:t>experience</w:t>
      </w:r>
      <w:r>
        <w:rPr>
          <w:spacing w:val="-24"/>
        </w:rPr>
        <w:t> </w:t>
      </w:r>
      <w:r>
        <w:rPr/>
        <w:t>of</w:t>
      </w:r>
      <w:r>
        <w:rPr>
          <w:spacing w:val="-23"/>
        </w:rPr>
        <w:t> </w:t>
      </w:r>
      <w:r>
        <w:rPr/>
        <w:t>employee</w:t>
      </w:r>
      <w:r>
        <w:rPr>
          <w:spacing w:val="-23"/>
        </w:rPr>
        <w:t> </w:t>
      </w:r>
      <w:r>
        <w:rPr/>
        <w:t>departures</w:t>
      </w:r>
      <w:r>
        <w:rPr>
          <w:spacing w:val="-23"/>
        </w:rPr>
        <w:t> </w:t>
      </w:r>
      <w:r>
        <w:rPr/>
        <w:t>and periods of service. The expected future payments are discounted using market yields at the end of the</w:t>
      </w:r>
      <w:r>
        <w:rPr>
          <w:spacing w:val="-18"/>
        </w:rPr>
        <w:t> </w:t>
      </w:r>
      <w:r>
        <w:rPr/>
        <w:t>reporting</w:t>
      </w:r>
      <w:r>
        <w:rPr>
          <w:spacing w:val="-18"/>
        </w:rPr>
        <w:t> </w:t>
      </w:r>
      <w:r>
        <w:rPr/>
        <w:t>period</w:t>
      </w:r>
      <w:r>
        <w:rPr>
          <w:spacing w:val="-17"/>
        </w:rPr>
        <w:t> </w:t>
      </w:r>
      <w:r>
        <w:rPr/>
        <w:t>on</w:t>
      </w:r>
      <w:r>
        <w:rPr>
          <w:spacing w:val="-18"/>
        </w:rPr>
        <w:t> </w:t>
      </w:r>
      <w:r>
        <w:rPr/>
        <w:t>national</w:t>
      </w:r>
      <w:r>
        <w:rPr>
          <w:spacing w:val="-18"/>
        </w:rPr>
        <w:t> </w:t>
      </w:r>
      <w:r>
        <w:rPr/>
        <w:t>government</w:t>
      </w:r>
      <w:r>
        <w:rPr>
          <w:spacing w:val="-18"/>
        </w:rPr>
        <w:t> </w:t>
      </w:r>
      <w:r>
        <w:rPr>
          <w:spacing w:val="-3"/>
        </w:rPr>
        <w:t>bonds </w:t>
      </w:r>
      <w:r>
        <w:rPr/>
        <w:t>with terms to maturity that match, as closely as possible, the estimated future cash</w:t>
      </w:r>
      <w:r>
        <w:rPr>
          <w:spacing w:val="-37"/>
        </w:rPr>
        <w:t> </w:t>
      </w:r>
      <w:r>
        <w:rPr/>
        <w:t>outflows.</w:t>
      </w:r>
    </w:p>
    <w:p>
      <w:pPr>
        <w:spacing w:after="0" w:line="249" w:lineRule="auto"/>
        <w:sectPr>
          <w:type w:val="continuous"/>
          <w:pgSz w:w="16840" w:h="11910" w:orient="landscape"/>
          <w:pgMar w:top="1100" w:bottom="280" w:left="0" w:right="0"/>
          <w:cols w:num="3" w:equalWidth="0">
            <w:col w:w="5584" w:space="40"/>
            <w:col w:w="5205" w:space="39"/>
            <w:col w:w="5972"/>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sz w:val="23"/>
        </w:rPr>
      </w:pPr>
    </w:p>
    <w:p>
      <w:pPr>
        <w:pStyle w:val="Heading1"/>
        <w:ind w:left="785"/>
      </w:pPr>
      <w:r>
        <w:rPr/>
        <w:pict>
          <v:group style="position:absolute;margin-left:481.080994pt;margin-top:-57.499214pt;width:360.85pt;height:130.65pt;mso-position-horizontal-relative:page;mso-position-vertical-relative:paragraph;z-index:-698464"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4104"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4128"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415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rPr>
          <w:sz w:val="20"/>
        </w:rPr>
      </w:pPr>
    </w:p>
    <w:p>
      <w:pPr>
        <w:spacing w:after="0"/>
        <w:rPr>
          <w:sz w:val="20"/>
        </w:rPr>
        <w:sectPr>
          <w:footerReference w:type="default" r:id="rId150"/>
          <w:pgSz w:w="16840" w:h="11910" w:orient="landscape"/>
          <w:pgMar w:footer="0" w:header="0" w:top="0" w:bottom="0" w:left="0" w:right="0"/>
        </w:sectPr>
      </w:pPr>
    </w:p>
    <w:p>
      <w:pPr>
        <w:pStyle w:val="BodyText"/>
        <w:spacing w:before="5"/>
        <w:rPr>
          <w:sz w:val="23"/>
        </w:rPr>
      </w:pPr>
    </w:p>
    <w:p>
      <w:pPr>
        <w:pStyle w:val="BodyText"/>
        <w:spacing w:line="249" w:lineRule="auto"/>
        <w:ind w:left="785" w:right="-5"/>
      </w:pPr>
      <w:r>
        <w:rPr/>
        <w:t>Unconditional long service leave provisions are classified</w:t>
      </w:r>
      <w:r>
        <w:rPr>
          <w:spacing w:val="-22"/>
        </w:rPr>
        <w:t> </w:t>
      </w:r>
      <w:r>
        <w:rPr/>
        <w:t>as</w:t>
      </w:r>
      <w:r>
        <w:rPr>
          <w:spacing w:val="-22"/>
        </w:rPr>
        <w:t> </w:t>
      </w:r>
      <w:r>
        <w:rPr/>
        <w:t>current</w:t>
      </w:r>
      <w:r>
        <w:rPr>
          <w:spacing w:val="-21"/>
        </w:rPr>
        <w:t> </w:t>
      </w:r>
      <w:r>
        <w:rPr/>
        <w:t>liabilities</w:t>
      </w:r>
      <w:r>
        <w:rPr>
          <w:spacing w:val="-22"/>
        </w:rPr>
        <w:t> </w:t>
      </w:r>
      <w:r>
        <w:rPr/>
        <w:t>as</w:t>
      </w:r>
      <w:r>
        <w:rPr>
          <w:spacing w:val="-22"/>
        </w:rPr>
        <w:t> </w:t>
      </w:r>
      <w:r>
        <w:rPr/>
        <w:t>the</w:t>
      </w:r>
      <w:r>
        <w:rPr>
          <w:spacing w:val="-21"/>
        </w:rPr>
        <w:t> </w:t>
      </w:r>
      <w:r>
        <w:rPr/>
        <w:t>Department does not have an unconditional right to defer settlement of the liability for at least 12 months after the end of the reporting period. Pre- conditional and conditional long service leave provisions</w:t>
      </w:r>
      <w:r>
        <w:rPr>
          <w:spacing w:val="-26"/>
        </w:rPr>
        <w:t> </w:t>
      </w:r>
      <w:r>
        <w:rPr/>
        <w:t>are</w:t>
      </w:r>
      <w:r>
        <w:rPr>
          <w:spacing w:val="-26"/>
        </w:rPr>
        <w:t> </w:t>
      </w:r>
      <w:r>
        <w:rPr/>
        <w:t>classified</w:t>
      </w:r>
      <w:r>
        <w:rPr>
          <w:spacing w:val="-25"/>
        </w:rPr>
        <w:t> </w:t>
      </w:r>
      <w:r>
        <w:rPr/>
        <w:t>as</w:t>
      </w:r>
      <w:r>
        <w:rPr>
          <w:spacing w:val="-26"/>
        </w:rPr>
        <w:t> </w:t>
      </w:r>
      <w:r>
        <w:rPr/>
        <w:t>non-current</w:t>
      </w:r>
      <w:r>
        <w:rPr>
          <w:spacing w:val="-26"/>
        </w:rPr>
        <w:t> </w:t>
      </w:r>
      <w:r>
        <w:rPr/>
        <w:t>liabilities because the Department has an unconditional right</w:t>
      </w:r>
      <w:r>
        <w:rPr>
          <w:spacing w:val="-17"/>
        </w:rPr>
        <w:t> </w:t>
      </w:r>
      <w:r>
        <w:rPr/>
        <w:t>to</w:t>
      </w:r>
      <w:r>
        <w:rPr>
          <w:spacing w:val="-17"/>
        </w:rPr>
        <w:t> </w:t>
      </w:r>
      <w:r>
        <w:rPr/>
        <w:t>defer</w:t>
      </w:r>
      <w:r>
        <w:rPr>
          <w:spacing w:val="-17"/>
        </w:rPr>
        <w:t> </w:t>
      </w:r>
      <w:r>
        <w:rPr/>
        <w:t>the</w:t>
      </w:r>
      <w:r>
        <w:rPr>
          <w:spacing w:val="-16"/>
        </w:rPr>
        <w:t> </w:t>
      </w:r>
      <w:r>
        <w:rPr/>
        <w:t>settlement</w:t>
      </w:r>
      <w:r>
        <w:rPr>
          <w:spacing w:val="-17"/>
        </w:rPr>
        <w:t> </w:t>
      </w:r>
      <w:r>
        <w:rPr/>
        <w:t>of</w:t>
      </w:r>
      <w:r>
        <w:rPr>
          <w:spacing w:val="-17"/>
        </w:rPr>
        <w:t> </w:t>
      </w:r>
      <w:r>
        <w:rPr/>
        <w:t>the</w:t>
      </w:r>
      <w:r>
        <w:rPr>
          <w:spacing w:val="-16"/>
        </w:rPr>
        <w:t> </w:t>
      </w:r>
      <w:r>
        <w:rPr/>
        <w:t>liability</w:t>
      </w:r>
      <w:r>
        <w:rPr>
          <w:spacing w:val="-17"/>
        </w:rPr>
        <w:t> </w:t>
      </w:r>
      <w:r>
        <w:rPr/>
        <w:t>until</w:t>
      </w:r>
      <w:r>
        <w:rPr>
          <w:spacing w:val="-17"/>
        </w:rPr>
        <w:t> </w:t>
      </w:r>
      <w:r>
        <w:rPr>
          <w:spacing w:val="-7"/>
        </w:rPr>
        <w:t>the </w:t>
      </w:r>
      <w:r>
        <w:rPr/>
        <w:t>employee has completed the requisite years of service.</w:t>
      </w:r>
    </w:p>
    <w:p>
      <w:pPr>
        <w:pStyle w:val="BodyText"/>
        <w:spacing w:before="9"/>
        <w:rPr>
          <w:sz w:val="23"/>
        </w:rPr>
      </w:pPr>
    </w:p>
    <w:p>
      <w:pPr>
        <w:spacing w:before="0"/>
        <w:ind w:left="785" w:right="0" w:firstLine="0"/>
        <w:jc w:val="left"/>
        <w:rPr>
          <w:i/>
          <w:sz w:val="22"/>
        </w:rPr>
      </w:pPr>
      <w:r>
        <w:rPr>
          <w:i/>
          <w:sz w:val="22"/>
        </w:rPr>
        <w:t>Deferred leave</w:t>
      </w:r>
    </w:p>
    <w:p>
      <w:pPr>
        <w:pStyle w:val="BodyText"/>
        <w:spacing w:line="249" w:lineRule="auto" w:before="11"/>
        <w:ind w:left="785" w:right="80"/>
      </w:pPr>
      <w:r>
        <w:rPr/>
        <w:t>The</w:t>
      </w:r>
      <w:r>
        <w:rPr>
          <w:spacing w:val="-25"/>
        </w:rPr>
        <w:t> </w:t>
      </w:r>
      <w:r>
        <w:rPr/>
        <w:t>provision</w:t>
      </w:r>
      <w:r>
        <w:rPr>
          <w:spacing w:val="-25"/>
        </w:rPr>
        <w:t> </w:t>
      </w:r>
      <w:r>
        <w:rPr/>
        <w:t>for</w:t>
      </w:r>
      <w:r>
        <w:rPr>
          <w:spacing w:val="-25"/>
        </w:rPr>
        <w:t> </w:t>
      </w:r>
      <w:r>
        <w:rPr/>
        <w:t>deferred</w:t>
      </w:r>
      <w:r>
        <w:rPr>
          <w:spacing w:val="-25"/>
        </w:rPr>
        <w:t> </w:t>
      </w:r>
      <w:r>
        <w:rPr/>
        <w:t>leave</w:t>
      </w:r>
      <w:r>
        <w:rPr>
          <w:spacing w:val="-25"/>
        </w:rPr>
        <w:t> </w:t>
      </w:r>
      <w:r>
        <w:rPr/>
        <w:t>relates</w:t>
      </w:r>
      <w:r>
        <w:rPr>
          <w:spacing w:val="-25"/>
        </w:rPr>
        <w:t> </w:t>
      </w:r>
      <w:r>
        <w:rPr/>
        <w:t>to</w:t>
      </w:r>
      <w:r>
        <w:rPr>
          <w:spacing w:val="-25"/>
        </w:rPr>
        <w:t> </w:t>
      </w:r>
      <w:r>
        <w:rPr/>
        <w:t>Public Service employees who have entered into an agreement</w:t>
      </w:r>
      <w:r>
        <w:rPr>
          <w:spacing w:val="-15"/>
        </w:rPr>
        <w:t> </w:t>
      </w:r>
      <w:r>
        <w:rPr/>
        <w:t>to</w:t>
      </w:r>
      <w:r>
        <w:rPr>
          <w:spacing w:val="-15"/>
        </w:rPr>
        <w:t> </w:t>
      </w:r>
      <w:r>
        <w:rPr/>
        <w:t>self-fund</w:t>
      </w:r>
      <w:r>
        <w:rPr>
          <w:spacing w:val="-15"/>
        </w:rPr>
        <w:t> </w:t>
      </w:r>
      <w:r>
        <w:rPr/>
        <w:t>an</w:t>
      </w:r>
      <w:r>
        <w:rPr>
          <w:spacing w:val="-15"/>
        </w:rPr>
        <w:t> </w:t>
      </w:r>
      <w:r>
        <w:rPr/>
        <w:t>additional</w:t>
      </w:r>
      <w:r>
        <w:rPr>
          <w:spacing w:val="-15"/>
        </w:rPr>
        <w:t> </w:t>
      </w:r>
      <w:r>
        <w:rPr/>
        <w:t>12</w:t>
      </w:r>
      <w:r>
        <w:rPr>
          <w:spacing w:val="-14"/>
        </w:rPr>
        <w:t> </w:t>
      </w:r>
      <w:r>
        <w:rPr/>
        <w:t>months leave in the fifth year of the agreement. The provision</w:t>
      </w:r>
      <w:r>
        <w:rPr>
          <w:spacing w:val="-27"/>
        </w:rPr>
        <w:t> </w:t>
      </w:r>
      <w:r>
        <w:rPr/>
        <w:t>recognises</w:t>
      </w:r>
      <w:r>
        <w:rPr>
          <w:spacing w:val="-27"/>
        </w:rPr>
        <w:t> </w:t>
      </w:r>
      <w:r>
        <w:rPr/>
        <w:t>the</w:t>
      </w:r>
      <w:r>
        <w:rPr>
          <w:spacing w:val="-27"/>
        </w:rPr>
        <w:t> </w:t>
      </w:r>
      <w:r>
        <w:rPr/>
        <w:t>value</w:t>
      </w:r>
      <w:r>
        <w:rPr>
          <w:spacing w:val="-27"/>
        </w:rPr>
        <w:t> </w:t>
      </w:r>
      <w:r>
        <w:rPr/>
        <w:t>of</w:t>
      </w:r>
      <w:r>
        <w:rPr>
          <w:spacing w:val="-27"/>
        </w:rPr>
        <w:t> </w:t>
      </w:r>
      <w:r>
        <w:rPr/>
        <w:t>salary</w:t>
      </w:r>
      <w:r>
        <w:rPr>
          <w:spacing w:val="-27"/>
        </w:rPr>
        <w:t> </w:t>
      </w:r>
      <w:r>
        <w:rPr/>
        <w:t>set</w:t>
      </w:r>
      <w:r>
        <w:rPr>
          <w:spacing w:val="-27"/>
        </w:rPr>
        <w:t> </w:t>
      </w:r>
      <w:r>
        <w:rPr>
          <w:spacing w:val="-4"/>
        </w:rPr>
        <w:t>aside </w:t>
      </w:r>
      <w:r>
        <w:rPr/>
        <w:t>for employees to be used in the fifth </w:t>
      </w:r>
      <w:r>
        <w:rPr>
          <w:spacing w:val="-5"/>
        </w:rPr>
        <w:t>year. </w:t>
      </w:r>
      <w:r>
        <w:rPr/>
        <w:t>This liability</w:t>
      </w:r>
      <w:r>
        <w:rPr>
          <w:spacing w:val="-25"/>
        </w:rPr>
        <w:t> </w:t>
      </w:r>
      <w:r>
        <w:rPr/>
        <w:t>is</w:t>
      </w:r>
      <w:r>
        <w:rPr>
          <w:spacing w:val="-24"/>
        </w:rPr>
        <w:t> </w:t>
      </w:r>
      <w:r>
        <w:rPr/>
        <w:t>measured</w:t>
      </w:r>
      <w:r>
        <w:rPr>
          <w:spacing w:val="-25"/>
        </w:rPr>
        <w:t> </w:t>
      </w:r>
      <w:r>
        <w:rPr/>
        <w:t>on</w:t>
      </w:r>
      <w:r>
        <w:rPr>
          <w:spacing w:val="-24"/>
        </w:rPr>
        <w:t> </w:t>
      </w:r>
      <w:r>
        <w:rPr/>
        <w:t>the</w:t>
      </w:r>
      <w:r>
        <w:rPr>
          <w:spacing w:val="-25"/>
        </w:rPr>
        <w:t> </w:t>
      </w:r>
      <w:r>
        <w:rPr/>
        <w:t>same</w:t>
      </w:r>
      <w:r>
        <w:rPr>
          <w:spacing w:val="-24"/>
        </w:rPr>
        <w:t> </w:t>
      </w:r>
      <w:r>
        <w:rPr/>
        <w:t>basis</w:t>
      </w:r>
      <w:r>
        <w:rPr>
          <w:spacing w:val="-24"/>
        </w:rPr>
        <w:t> </w:t>
      </w:r>
      <w:r>
        <w:rPr/>
        <w:t>as</w:t>
      </w:r>
      <w:r>
        <w:rPr>
          <w:spacing w:val="-25"/>
        </w:rPr>
        <w:t> </w:t>
      </w:r>
      <w:r>
        <w:rPr/>
        <w:t>annual leave. Deferred leave is reported as a current provision</w:t>
      </w:r>
      <w:r>
        <w:rPr>
          <w:spacing w:val="-24"/>
        </w:rPr>
        <w:t> </w:t>
      </w:r>
      <w:r>
        <w:rPr/>
        <w:t>as</w:t>
      </w:r>
      <w:r>
        <w:rPr>
          <w:spacing w:val="-23"/>
        </w:rPr>
        <w:t> </w:t>
      </w:r>
      <w:r>
        <w:rPr/>
        <w:t>employees</w:t>
      </w:r>
      <w:r>
        <w:rPr>
          <w:spacing w:val="-24"/>
        </w:rPr>
        <w:t> </w:t>
      </w:r>
      <w:r>
        <w:rPr/>
        <w:t>can</w:t>
      </w:r>
      <w:r>
        <w:rPr>
          <w:spacing w:val="-23"/>
        </w:rPr>
        <w:t> </w:t>
      </w:r>
      <w:r>
        <w:rPr/>
        <w:t>leave</w:t>
      </w:r>
      <w:r>
        <w:rPr>
          <w:spacing w:val="-23"/>
        </w:rPr>
        <w:t> </w:t>
      </w:r>
      <w:r>
        <w:rPr/>
        <w:t>the</w:t>
      </w:r>
      <w:r>
        <w:rPr>
          <w:spacing w:val="-24"/>
        </w:rPr>
        <w:t> </w:t>
      </w:r>
      <w:r>
        <w:rPr/>
        <w:t>scheme</w:t>
      </w:r>
      <w:r>
        <w:rPr>
          <w:spacing w:val="-23"/>
        </w:rPr>
        <w:t> </w:t>
      </w:r>
      <w:r>
        <w:rPr/>
        <w:t>at their discretion at any</w:t>
      </w:r>
      <w:r>
        <w:rPr>
          <w:spacing w:val="-10"/>
        </w:rPr>
        <w:t> </w:t>
      </w:r>
      <w:r>
        <w:rPr/>
        <w:t>time.</w:t>
      </w:r>
    </w:p>
    <w:p>
      <w:pPr>
        <w:pStyle w:val="BodyText"/>
        <w:spacing w:before="9"/>
        <w:rPr>
          <w:sz w:val="23"/>
        </w:rPr>
      </w:pPr>
    </w:p>
    <w:p>
      <w:pPr>
        <w:spacing w:before="0"/>
        <w:ind w:left="785" w:right="0" w:firstLine="0"/>
        <w:jc w:val="left"/>
        <w:rPr>
          <w:i/>
          <w:sz w:val="22"/>
        </w:rPr>
      </w:pPr>
      <w:r>
        <w:rPr>
          <w:i/>
          <w:sz w:val="22"/>
        </w:rPr>
        <w:t>Purchased leave</w:t>
      </w:r>
    </w:p>
    <w:p>
      <w:pPr>
        <w:pStyle w:val="BodyText"/>
        <w:spacing w:line="249" w:lineRule="auto" w:before="11"/>
        <w:ind w:left="785" w:right="98"/>
      </w:pPr>
      <w:r>
        <w:rPr/>
        <w:t>The provision for purchased leave relates to Public</w:t>
      </w:r>
      <w:r>
        <w:rPr>
          <w:spacing w:val="-27"/>
        </w:rPr>
        <w:t> </w:t>
      </w:r>
      <w:r>
        <w:rPr/>
        <w:t>Service</w:t>
      </w:r>
      <w:r>
        <w:rPr>
          <w:spacing w:val="-26"/>
        </w:rPr>
        <w:t> </w:t>
      </w:r>
      <w:r>
        <w:rPr/>
        <w:t>employees</w:t>
      </w:r>
      <w:r>
        <w:rPr>
          <w:spacing w:val="-26"/>
        </w:rPr>
        <w:t> </w:t>
      </w:r>
      <w:r>
        <w:rPr/>
        <w:t>who</w:t>
      </w:r>
      <w:r>
        <w:rPr>
          <w:spacing w:val="-26"/>
        </w:rPr>
        <w:t> </w:t>
      </w:r>
      <w:r>
        <w:rPr/>
        <w:t>have</w:t>
      </w:r>
      <w:r>
        <w:rPr>
          <w:spacing w:val="-26"/>
        </w:rPr>
        <w:t> </w:t>
      </w:r>
      <w:r>
        <w:rPr/>
        <w:t>entered</w:t>
      </w:r>
      <w:r>
        <w:rPr>
          <w:spacing w:val="-26"/>
        </w:rPr>
        <w:t> </w:t>
      </w:r>
      <w:r>
        <w:rPr>
          <w:spacing w:val="-5"/>
        </w:rPr>
        <w:t>into </w:t>
      </w:r>
      <w:r>
        <w:rPr/>
        <w:t>an</w:t>
      </w:r>
      <w:r>
        <w:rPr>
          <w:spacing w:val="-10"/>
        </w:rPr>
        <w:t> </w:t>
      </w:r>
      <w:r>
        <w:rPr/>
        <w:t>agreement</w:t>
      </w:r>
      <w:r>
        <w:rPr>
          <w:spacing w:val="-9"/>
        </w:rPr>
        <w:t> </w:t>
      </w:r>
      <w:r>
        <w:rPr/>
        <w:t>to</w:t>
      </w:r>
      <w:r>
        <w:rPr>
          <w:spacing w:val="-10"/>
        </w:rPr>
        <w:t> </w:t>
      </w:r>
      <w:r>
        <w:rPr/>
        <w:t>self-fund</w:t>
      </w:r>
      <w:r>
        <w:rPr>
          <w:spacing w:val="-9"/>
        </w:rPr>
        <w:t> </w:t>
      </w:r>
      <w:r>
        <w:rPr/>
        <w:t>up</w:t>
      </w:r>
      <w:r>
        <w:rPr>
          <w:spacing w:val="-9"/>
        </w:rPr>
        <w:t> </w:t>
      </w:r>
      <w:r>
        <w:rPr/>
        <w:t>to</w:t>
      </w:r>
      <w:r>
        <w:rPr>
          <w:spacing w:val="-10"/>
        </w:rPr>
        <w:t> </w:t>
      </w:r>
      <w:r>
        <w:rPr/>
        <w:t>an</w:t>
      </w:r>
      <w:r>
        <w:rPr>
          <w:spacing w:val="-9"/>
        </w:rPr>
        <w:t> </w:t>
      </w:r>
      <w:r>
        <w:rPr/>
        <w:t>additional</w:t>
      </w:r>
    </w:p>
    <w:p>
      <w:pPr>
        <w:pStyle w:val="BodyText"/>
        <w:spacing w:before="3"/>
        <w:ind w:left="785"/>
      </w:pPr>
      <w:r>
        <w:rPr/>
        <w:t>10 weeks leave per calendar year.</w:t>
      </w:r>
    </w:p>
    <w:p>
      <w:pPr>
        <w:pStyle w:val="BodyText"/>
        <w:spacing w:before="5"/>
        <w:rPr>
          <w:sz w:val="23"/>
        </w:rPr>
      </w:pPr>
      <w:r>
        <w:rPr/>
        <w:br w:type="column"/>
      </w:r>
      <w:r>
        <w:rPr>
          <w:sz w:val="23"/>
        </w:rPr>
      </w:r>
    </w:p>
    <w:p>
      <w:pPr>
        <w:pStyle w:val="BodyText"/>
        <w:spacing w:line="249" w:lineRule="auto"/>
        <w:ind w:left="518" w:right="-6"/>
      </w:pPr>
      <w:r>
        <w:rPr/>
        <w:t>The provision recognises the value of salary set aside for employees and is measured at the undiscounted amounts expected to be paid </w:t>
      </w:r>
      <w:r>
        <w:rPr>
          <w:spacing w:val="-5"/>
        </w:rPr>
        <w:t>when </w:t>
      </w:r>
      <w:r>
        <w:rPr/>
        <w:t>the liabilities are settled.</w:t>
      </w:r>
    </w:p>
    <w:p>
      <w:pPr>
        <w:pStyle w:val="BodyText"/>
        <w:spacing w:before="3"/>
        <w:rPr>
          <w:sz w:val="23"/>
        </w:rPr>
      </w:pPr>
    </w:p>
    <w:p>
      <w:pPr>
        <w:spacing w:before="0"/>
        <w:ind w:left="518" w:right="0" w:firstLine="0"/>
        <w:jc w:val="left"/>
        <w:rPr>
          <w:i/>
          <w:sz w:val="22"/>
        </w:rPr>
      </w:pPr>
      <w:r>
        <w:rPr>
          <w:i/>
          <w:sz w:val="22"/>
        </w:rPr>
        <w:t>Superannuation</w:t>
      </w:r>
    </w:p>
    <w:p>
      <w:pPr>
        <w:pStyle w:val="BodyText"/>
        <w:spacing w:line="249" w:lineRule="auto" w:before="11"/>
        <w:ind w:left="518" w:right="20"/>
      </w:pPr>
      <w:r>
        <w:rPr/>
        <w:t>The Government Employees Superannuation Board</w:t>
      </w:r>
      <w:r>
        <w:rPr>
          <w:spacing w:val="-32"/>
        </w:rPr>
        <w:t> </w:t>
      </w:r>
      <w:r>
        <w:rPr/>
        <w:t>(GESB)</w:t>
      </w:r>
      <w:r>
        <w:rPr>
          <w:spacing w:val="-32"/>
        </w:rPr>
        <w:t> </w:t>
      </w:r>
      <w:r>
        <w:rPr/>
        <w:t>and</w:t>
      </w:r>
      <w:r>
        <w:rPr>
          <w:spacing w:val="-32"/>
        </w:rPr>
        <w:t> </w:t>
      </w:r>
      <w:r>
        <w:rPr/>
        <w:t>other</w:t>
      </w:r>
      <w:r>
        <w:rPr>
          <w:spacing w:val="-32"/>
        </w:rPr>
        <w:t> </w:t>
      </w:r>
      <w:r>
        <w:rPr/>
        <w:t>fund</w:t>
      </w:r>
      <w:r>
        <w:rPr>
          <w:spacing w:val="-31"/>
        </w:rPr>
        <w:t> </w:t>
      </w:r>
      <w:r>
        <w:rPr/>
        <w:t>providers</w:t>
      </w:r>
      <w:r>
        <w:rPr>
          <w:spacing w:val="-32"/>
        </w:rPr>
        <w:t> </w:t>
      </w:r>
      <w:r>
        <w:rPr/>
        <w:t>administer public sector superannuation arrangements in Western Australia in accordance with legislative requirements.</w:t>
      </w:r>
      <w:r>
        <w:rPr>
          <w:spacing w:val="-28"/>
        </w:rPr>
        <w:t> </w:t>
      </w:r>
      <w:r>
        <w:rPr/>
        <w:t>Eligibility</w:t>
      </w:r>
      <w:r>
        <w:rPr>
          <w:spacing w:val="-27"/>
        </w:rPr>
        <w:t> </w:t>
      </w:r>
      <w:r>
        <w:rPr/>
        <w:t>criteria</w:t>
      </w:r>
      <w:r>
        <w:rPr>
          <w:spacing w:val="-28"/>
        </w:rPr>
        <w:t> </w:t>
      </w:r>
      <w:r>
        <w:rPr/>
        <w:t>for</w:t>
      </w:r>
      <w:r>
        <w:rPr>
          <w:spacing w:val="-27"/>
        </w:rPr>
        <w:t> </w:t>
      </w:r>
      <w:r>
        <w:rPr/>
        <w:t>membership</w:t>
      </w:r>
      <w:r>
        <w:rPr>
          <w:spacing w:val="-27"/>
        </w:rPr>
        <w:t> </w:t>
      </w:r>
      <w:r>
        <w:rPr/>
        <w:t>in particular schemes for public sector employees vary according to commencement and implementation</w:t>
      </w:r>
      <w:r>
        <w:rPr>
          <w:spacing w:val="-2"/>
        </w:rPr>
        <w:t> </w:t>
      </w:r>
      <w:r>
        <w:rPr/>
        <w:t>dates.</w:t>
      </w:r>
    </w:p>
    <w:p>
      <w:pPr>
        <w:pStyle w:val="BodyText"/>
        <w:spacing w:before="7"/>
        <w:rPr>
          <w:sz w:val="23"/>
        </w:rPr>
      </w:pPr>
    </w:p>
    <w:p>
      <w:pPr>
        <w:pStyle w:val="BodyText"/>
        <w:spacing w:line="249" w:lineRule="auto"/>
        <w:ind w:left="518" w:right="-7"/>
      </w:pPr>
      <w:r>
        <w:rPr/>
        <w:t>Eligible employees contribute to the Pension Scheme,</w:t>
      </w:r>
      <w:r>
        <w:rPr>
          <w:spacing w:val="-22"/>
        </w:rPr>
        <w:t> </w:t>
      </w:r>
      <w:r>
        <w:rPr/>
        <w:t>a</w:t>
      </w:r>
      <w:r>
        <w:rPr>
          <w:spacing w:val="-21"/>
        </w:rPr>
        <w:t> </w:t>
      </w:r>
      <w:r>
        <w:rPr/>
        <w:t>defined</w:t>
      </w:r>
      <w:r>
        <w:rPr>
          <w:spacing w:val="-22"/>
        </w:rPr>
        <w:t> </w:t>
      </w:r>
      <w:r>
        <w:rPr/>
        <w:t>benefit</w:t>
      </w:r>
      <w:r>
        <w:rPr>
          <w:spacing w:val="-21"/>
        </w:rPr>
        <w:t> </w:t>
      </w:r>
      <w:r>
        <w:rPr/>
        <w:t>pension</w:t>
      </w:r>
      <w:r>
        <w:rPr>
          <w:spacing w:val="-22"/>
        </w:rPr>
        <w:t> </w:t>
      </w:r>
      <w:r>
        <w:rPr/>
        <w:t>scheme</w:t>
      </w:r>
      <w:r>
        <w:rPr>
          <w:spacing w:val="-21"/>
        </w:rPr>
        <w:t> </w:t>
      </w:r>
      <w:r>
        <w:rPr>
          <w:spacing w:val="-4"/>
        </w:rPr>
        <w:t>closed </w:t>
      </w:r>
      <w:r>
        <w:rPr/>
        <w:t>to new members since 1987, or the Gold State Superannuation</w:t>
      </w:r>
      <w:r>
        <w:rPr>
          <w:spacing w:val="-29"/>
        </w:rPr>
        <w:t> </w:t>
      </w:r>
      <w:r>
        <w:rPr/>
        <w:t>Scheme</w:t>
      </w:r>
      <w:r>
        <w:rPr>
          <w:spacing w:val="-28"/>
        </w:rPr>
        <w:t> </w:t>
      </w:r>
      <w:r>
        <w:rPr/>
        <w:t>(GSS),</w:t>
      </w:r>
      <w:r>
        <w:rPr>
          <w:spacing w:val="-28"/>
        </w:rPr>
        <w:t> </w:t>
      </w:r>
      <w:r>
        <w:rPr/>
        <w:t>a</w:t>
      </w:r>
      <w:r>
        <w:rPr>
          <w:spacing w:val="-28"/>
        </w:rPr>
        <w:t> </w:t>
      </w:r>
      <w:r>
        <w:rPr/>
        <w:t>defined</w:t>
      </w:r>
      <w:r>
        <w:rPr>
          <w:spacing w:val="-29"/>
        </w:rPr>
        <w:t> </w:t>
      </w:r>
      <w:r>
        <w:rPr/>
        <w:t>benefit lump sum scheme closed to new members since 1995.</w:t>
      </w:r>
    </w:p>
    <w:p>
      <w:pPr>
        <w:pStyle w:val="BodyText"/>
        <w:spacing w:before="5"/>
        <w:rPr>
          <w:sz w:val="23"/>
        </w:rPr>
      </w:pPr>
    </w:p>
    <w:p>
      <w:pPr>
        <w:pStyle w:val="BodyText"/>
        <w:spacing w:line="249" w:lineRule="auto"/>
        <w:ind w:left="518" w:right="274"/>
      </w:pPr>
      <w:r>
        <w:rPr/>
        <w:t>Employees commencing employment prior to 16 April 2007 who were not members of </w:t>
      </w:r>
      <w:r>
        <w:rPr>
          <w:spacing w:val="-3"/>
        </w:rPr>
        <w:t>either </w:t>
      </w:r>
      <w:r>
        <w:rPr/>
        <w:t>the Pension Scheme or the GSS became</w:t>
      </w:r>
    </w:p>
    <w:p>
      <w:pPr>
        <w:pStyle w:val="BodyText"/>
        <w:spacing w:line="249" w:lineRule="auto" w:before="2"/>
        <w:ind w:left="518" w:right="460"/>
      </w:pPr>
      <w:r>
        <w:rPr/>
        <w:t>non-contributory members of the West </w:t>
      </w:r>
      <w:r>
        <w:rPr>
          <w:spacing w:val="-4"/>
        </w:rPr>
        <w:t>State </w:t>
      </w:r>
      <w:r>
        <w:rPr>
          <w:w w:val="95"/>
        </w:rPr>
        <w:t>Superannuation Scheme (WSS). Employees </w:t>
      </w:r>
      <w:r>
        <w:rPr/>
        <w:t>commencing employment on or after</w:t>
      </w:r>
    </w:p>
    <w:p>
      <w:pPr>
        <w:pStyle w:val="BodyText"/>
        <w:spacing w:line="249" w:lineRule="auto" w:before="3"/>
        <w:ind w:left="518" w:right="1027"/>
      </w:pPr>
      <w:r>
        <w:rPr/>
        <w:t>16 April 2007 became members of the GESB Super Scheme (GESBS).</w:t>
      </w:r>
    </w:p>
    <w:p>
      <w:pPr>
        <w:pStyle w:val="BodyText"/>
        <w:spacing w:before="5"/>
        <w:rPr>
          <w:sz w:val="23"/>
        </w:rPr>
      </w:pPr>
      <w:r>
        <w:rPr/>
        <w:br w:type="column"/>
      </w:r>
      <w:r>
        <w:rPr>
          <w:sz w:val="23"/>
        </w:rPr>
      </w:r>
    </w:p>
    <w:p>
      <w:pPr>
        <w:pStyle w:val="BodyText"/>
        <w:spacing w:line="249" w:lineRule="auto"/>
        <w:ind w:left="428" w:right="767"/>
      </w:pPr>
      <w:r>
        <w:rPr/>
        <w:t>From 30 March 2012, existing members of the WSS or GESBS and new employees have been able</w:t>
      </w:r>
      <w:r>
        <w:rPr>
          <w:spacing w:val="-24"/>
        </w:rPr>
        <w:t> </w:t>
      </w:r>
      <w:r>
        <w:rPr/>
        <w:t>to</w:t>
      </w:r>
      <w:r>
        <w:rPr>
          <w:spacing w:val="-24"/>
        </w:rPr>
        <w:t> </w:t>
      </w:r>
      <w:r>
        <w:rPr/>
        <w:t>choose</w:t>
      </w:r>
      <w:r>
        <w:rPr>
          <w:spacing w:val="-23"/>
        </w:rPr>
        <w:t> </w:t>
      </w:r>
      <w:r>
        <w:rPr/>
        <w:t>their</w:t>
      </w:r>
      <w:r>
        <w:rPr>
          <w:spacing w:val="-24"/>
        </w:rPr>
        <w:t> </w:t>
      </w:r>
      <w:r>
        <w:rPr/>
        <w:t>preferred</w:t>
      </w:r>
      <w:r>
        <w:rPr>
          <w:spacing w:val="-23"/>
        </w:rPr>
        <w:t> </w:t>
      </w:r>
      <w:r>
        <w:rPr/>
        <w:t>superannuation</w:t>
      </w:r>
      <w:r>
        <w:rPr>
          <w:spacing w:val="-24"/>
        </w:rPr>
        <w:t> </w:t>
      </w:r>
      <w:r>
        <w:rPr>
          <w:spacing w:val="-5"/>
        </w:rPr>
        <w:t>fund </w:t>
      </w:r>
      <w:r>
        <w:rPr>
          <w:spacing w:val="-3"/>
        </w:rPr>
        <w:t>provider. </w:t>
      </w:r>
      <w:r>
        <w:rPr/>
        <w:t>The Department makes</w:t>
      </w:r>
      <w:r>
        <w:rPr>
          <w:spacing w:val="-41"/>
        </w:rPr>
        <w:t> </w:t>
      </w:r>
      <w:r>
        <w:rPr/>
        <w:t>contributions</w:t>
      </w:r>
    </w:p>
    <w:p>
      <w:pPr>
        <w:spacing w:line="249" w:lineRule="auto" w:before="4"/>
        <w:ind w:left="428" w:right="797" w:firstLine="0"/>
        <w:jc w:val="left"/>
        <w:rPr>
          <w:sz w:val="22"/>
        </w:rPr>
      </w:pPr>
      <w:r>
        <w:rPr>
          <w:sz w:val="22"/>
        </w:rPr>
        <w:t>to GESB or other fund providers on behalf of employees</w:t>
      </w:r>
      <w:r>
        <w:rPr>
          <w:spacing w:val="-21"/>
          <w:sz w:val="22"/>
        </w:rPr>
        <w:t> </w:t>
      </w:r>
      <w:r>
        <w:rPr>
          <w:sz w:val="22"/>
        </w:rPr>
        <w:t>in</w:t>
      </w:r>
      <w:r>
        <w:rPr>
          <w:spacing w:val="-21"/>
          <w:sz w:val="22"/>
        </w:rPr>
        <w:t> </w:t>
      </w:r>
      <w:r>
        <w:rPr>
          <w:sz w:val="22"/>
        </w:rPr>
        <w:t>compliance</w:t>
      </w:r>
      <w:r>
        <w:rPr>
          <w:spacing w:val="-21"/>
          <w:sz w:val="22"/>
        </w:rPr>
        <w:t> </w:t>
      </w:r>
      <w:r>
        <w:rPr>
          <w:sz w:val="22"/>
        </w:rPr>
        <w:t>with</w:t>
      </w:r>
      <w:r>
        <w:rPr>
          <w:spacing w:val="-21"/>
          <w:sz w:val="22"/>
        </w:rPr>
        <w:t> </w:t>
      </w:r>
      <w:r>
        <w:rPr>
          <w:sz w:val="22"/>
        </w:rPr>
        <w:t>the</w:t>
      </w:r>
      <w:r>
        <w:rPr>
          <w:spacing w:val="-21"/>
          <w:sz w:val="22"/>
        </w:rPr>
        <w:t> </w:t>
      </w:r>
      <w:r>
        <w:rPr>
          <w:i/>
          <w:spacing w:val="-2"/>
          <w:sz w:val="22"/>
        </w:rPr>
        <w:t>Commonwealth </w:t>
      </w:r>
      <w:r>
        <w:rPr>
          <w:i/>
          <w:sz w:val="22"/>
        </w:rPr>
        <w:t>Government’s Superannuation Guarantee (Administration) Act 1992</w:t>
      </w:r>
      <w:r>
        <w:rPr>
          <w:sz w:val="22"/>
        </w:rPr>
        <w:t>. Contributions</w:t>
      </w:r>
      <w:r>
        <w:rPr>
          <w:spacing w:val="-26"/>
          <w:sz w:val="22"/>
        </w:rPr>
        <w:t> </w:t>
      </w:r>
      <w:r>
        <w:rPr>
          <w:sz w:val="22"/>
        </w:rPr>
        <w:t>to</w:t>
      </w:r>
    </w:p>
    <w:p>
      <w:pPr>
        <w:pStyle w:val="BodyText"/>
        <w:spacing w:line="249" w:lineRule="auto" w:before="3"/>
        <w:ind w:left="428" w:right="746"/>
      </w:pPr>
      <w:r>
        <w:rPr/>
        <w:t>these accumulation schemes extinguish the </w:t>
      </w:r>
      <w:r>
        <w:rPr>
          <w:spacing w:val="-3"/>
        </w:rPr>
        <w:t>Department’s</w:t>
      </w:r>
      <w:r>
        <w:rPr>
          <w:spacing w:val="-30"/>
        </w:rPr>
        <w:t> </w:t>
      </w:r>
      <w:r>
        <w:rPr/>
        <w:t>liability</w:t>
      </w:r>
      <w:r>
        <w:rPr>
          <w:spacing w:val="-29"/>
        </w:rPr>
        <w:t> </w:t>
      </w:r>
      <w:r>
        <w:rPr/>
        <w:t>for</w:t>
      </w:r>
      <w:r>
        <w:rPr>
          <w:spacing w:val="-29"/>
        </w:rPr>
        <w:t> </w:t>
      </w:r>
      <w:r>
        <w:rPr/>
        <w:t>superannuation</w:t>
      </w:r>
      <w:r>
        <w:rPr>
          <w:spacing w:val="-30"/>
        </w:rPr>
        <w:t> </w:t>
      </w:r>
      <w:r>
        <w:rPr/>
        <w:t>charges</w:t>
      </w:r>
      <w:r>
        <w:rPr>
          <w:spacing w:val="-29"/>
        </w:rPr>
        <w:t> </w:t>
      </w:r>
      <w:r>
        <w:rPr>
          <w:spacing w:val="-9"/>
        </w:rPr>
        <w:t>in </w:t>
      </w:r>
      <w:r>
        <w:rPr/>
        <w:t>respect</w:t>
      </w:r>
      <w:r>
        <w:rPr>
          <w:spacing w:val="-14"/>
        </w:rPr>
        <w:t> </w:t>
      </w:r>
      <w:r>
        <w:rPr/>
        <w:t>of</w:t>
      </w:r>
      <w:r>
        <w:rPr>
          <w:spacing w:val="-14"/>
        </w:rPr>
        <w:t> </w:t>
      </w:r>
      <w:r>
        <w:rPr/>
        <w:t>employees</w:t>
      </w:r>
      <w:r>
        <w:rPr>
          <w:spacing w:val="-14"/>
        </w:rPr>
        <w:t> </w:t>
      </w:r>
      <w:r>
        <w:rPr/>
        <w:t>who</w:t>
      </w:r>
      <w:r>
        <w:rPr>
          <w:spacing w:val="-14"/>
        </w:rPr>
        <w:t> </w:t>
      </w:r>
      <w:r>
        <w:rPr/>
        <w:t>are</w:t>
      </w:r>
      <w:r>
        <w:rPr>
          <w:spacing w:val="-13"/>
        </w:rPr>
        <w:t> </w:t>
      </w:r>
      <w:r>
        <w:rPr/>
        <w:t>not</w:t>
      </w:r>
      <w:r>
        <w:rPr>
          <w:spacing w:val="-14"/>
        </w:rPr>
        <w:t> </w:t>
      </w:r>
      <w:r>
        <w:rPr/>
        <w:t>members</w:t>
      </w:r>
      <w:r>
        <w:rPr>
          <w:spacing w:val="-14"/>
        </w:rPr>
        <w:t> </w:t>
      </w:r>
      <w:r>
        <w:rPr/>
        <w:t>of</w:t>
      </w:r>
      <w:r>
        <w:rPr>
          <w:spacing w:val="-14"/>
        </w:rPr>
        <w:t> </w:t>
      </w:r>
      <w:r>
        <w:rPr/>
        <w:t>the Pension Scheme or</w:t>
      </w:r>
      <w:r>
        <w:rPr>
          <w:spacing w:val="-7"/>
        </w:rPr>
        <w:t> </w:t>
      </w:r>
      <w:r>
        <w:rPr/>
        <w:t>GSS.</w:t>
      </w:r>
    </w:p>
    <w:p>
      <w:pPr>
        <w:pStyle w:val="BodyText"/>
        <w:spacing w:before="3"/>
        <w:rPr>
          <w:sz w:val="23"/>
        </w:rPr>
      </w:pPr>
    </w:p>
    <w:p>
      <w:pPr>
        <w:pStyle w:val="BodyText"/>
        <w:spacing w:line="249" w:lineRule="auto"/>
        <w:ind w:left="428" w:right="827"/>
      </w:pPr>
      <w:r>
        <w:rPr/>
        <w:t>The GSS is a defined benefit scheme for the purposes</w:t>
      </w:r>
      <w:r>
        <w:rPr>
          <w:spacing w:val="-28"/>
        </w:rPr>
        <w:t> </w:t>
      </w:r>
      <w:r>
        <w:rPr/>
        <w:t>of</w:t>
      </w:r>
      <w:r>
        <w:rPr>
          <w:spacing w:val="-28"/>
        </w:rPr>
        <w:t> </w:t>
      </w:r>
      <w:r>
        <w:rPr/>
        <w:t>employees</w:t>
      </w:r>
      <w:r>
        <w:rPr>
          <w:spacing w:val="-28"/>
        </w:rPr>
        <w:t> </w:t>
      </w:r>
      <w:r>
        <w:rPr/>
        <w:t>and</w:t>
      </w:r>
      <w:r>
        <w:rPr>
          <w:spacing w:val="-27"/>
        </w:rPr>
        <w:t> </w:t>
      </w:r>
      <w:r>
        <w:rPr/>
        <w:t>whole-of-government reporting. </w:t>
      </w:r>
      <w:r>
        <w:rPr>
          <w:spacing w:val="-3"/>
        </w:rPr>
        <w:t>However, </w:t>
      </w:r>
      <w:r>
        <w:rPr/>
        <w:t>it is a defined contribution plan</w:t>
      </w:r>
      <w:r>
        <w:rPr>
          <w:spacing w:val="-19"/>
        </w:rPr>
        <w:t> </w:t>
      </w:r>
      <w:r>
        <w:rPr/>
        <w:t>for</w:t>
      </w:r>
      <w:r>
        <w:rPr>
          <w:spacing w:val="-19"/>
        </w:rPr>
        <w:t> </w:t>
      </w:r>
      <w:r>
        <w:rPr/>
        <w:t>agency</w:t>
      </w:r>
      <w:r>
        <w:rPr>
          <w:spacing w:val="-19"/>
        </w:rPr>
        <w:t> </w:t>
      </w:r>
      <w:r>
        <w:rPr/>
        <w:t>purposes</w:t>
      </w:r>
      <w:r>
        <w:rPr>
          <w:spacing w:val="-19"/>
        </w:rPr>
        <w:t> </w:t>
      </w:r>
      <w:r>
        <w:rPr/>
        <w:t>because</w:t>
      </w:r>
      <w:r>
        <w:rPr>
          <w:spacing w:val="-19"/>
        </w:rPr>
        <w:t> </w:t>
      </w:r>
      <w:r>
        <w:rPr/>
        <w:t>the</w:t>
      </w:r>
      <w:r>
        <w:rPr>
          <w:spacing w:val="-19"/>
        </w:rPr>
        <w:t> </w:t>
      </w:r>
      <w:r>
        <w:rPr/>
        <w:t>concurrent contributions</w:t>
      </w:r>
      <w:r>
        <w:rPr>
          <w:spacing w:val="-20"/>
        </w:rPr>
        <w:t> </w:t>
      </w:r>
      <w:r>
        <w:rPr/>
        <w:t>(defined</w:t>
      </w:r>
      <w:r>
        <w:rPr>
          <w:spacing w:val="-20"/>
        </w:rPr>
        <w:t> </w:t>
      </w:r>
      <w:r>
        <w:rPr/>
        <w:t>contributions)</w:t>
      </w:r>
      <w:r>
        <w:rPr>
          <w:spacing w:val="-19"/>
        </w:rPr>
        <w:t> </w:t>
      </w:r>
      <w:r>
        <w:rPr/>
        <w:t>made</w:t>
      </w:r>
      <w:r>
        <w:rPr>
          <w:spacing w:val="-20"/>
        </w:rPr>
        <w:t> </w:t>
      </w:r>
      <w:r>
        <w:rPr/>
        <w:t>by</w:t>
      </w:r>
      <w:r>
        <w:rPr>
          <w:spacing w:val="-20"/>
        </w:rPr>
        <w:t> </w:t>
      </w:r>
      <w:r>
        <w:rPr/>
        <w:t>the Department to GESB extinguishes the </w:t>
      </w:r>
      <w:r>
        <w:rPr>
          <w:spacing w:val="-4"/>
        </w:rPr>
        <w:t>agency’s </w:t>
      </w:r>
      <w:r>
        <w:rPr/>
        <w:t>obligations</w:t>
      </w:r>
      <w:r>
        <w:rPr>
          <w:spacing w:val="-22"/>
        </w:rPr>
        <w:t> </w:t>
      </w:r>
      <w:r>
        <w:rPr/>
        <w:t>to</w:t>
      </w:r>
      <w:r>
        <w:rPr>
          <w:spacing w:val="-21"/>
        </w:rPr>
        <w:t> </w:t>
      </w:r>
      <w:r>
        <w:rPr/>
        <w:t>the</w:t>
      </w:r>
      <w:r>
        <w:rPr>
          <w:spacing w:val="-21"/>
        </w:rPr>
        <w:t> </w:t>
      </w:r>
      <w:r>
        <w:rPr/>
        <w:t>related</w:t>
      </w:r>
      <w:r>
        <w:rPr>
          <w:spacing w:val="-21"/>
        </w:rPr>
        <w:t> </w:t>
      </w:r>
      <w:r>
        <w:rPr/>
        <w:t>superannuation</w:t>
      </w:r>
      <w:r>
        <w:rPr>
          <w:spacing w:val="-22"/>
        </w:rPr>
        <w:t> </w:t>
      </w:r>
      <w:r>
        <w:rPr>
          <w:spacing w:val="-3"/>
        </w:rPr>
        <w:t>liability.</w:t>
      </w:r>
    </w:p>
    <w:p>
      <w:pPr>
        <w:pStyle w:val="BodyText"/>
        <w:spacing w:before="6"/>
        <w:rPr>
          <w:sz w:val="23"/>
        </w:rPr>
      </w:pPr>
    </w:p>
    <w:p>
      <w:pPr>
        <w:pStyle w:val="BodyText"/>
        <w:spacing w:line="249" w:lineRule="auto"/>
        <w:ind w:left="428" w:right="904"/>
      </w:pPr>
      <w:r>
        <w:rPr/>
        <w:t>The Department has no liabilities under the Pension Scheme or the GSS. The liabilities for the</w:t>
      </w:r>
      <w:r>
        <w:rPr>
          <w:spacing w:val="-20"/>
        </w:rPr>
        <w:t> </w:t>
      </w:r>
      <w:r>
        <w:rPr/>
        <w:t>unfunded</w:t>
      </w:r>
      <w:r>
        <w:rPr>
          <w:spacing w:val="-19"/>
        </w:rPr>
        <w:t> </w:t>
      </w:r>
      <w:r>
        <w:rPr/>
        <w:t>Pension</w:t>
      </w:r>
      <w:r>
        <w:rPr>
          <w:spacing w:val="-19"/>
        </w:rPr>
        <w:t> </w:t>
      </w:r>
      <w:r>
        <w:rPr/>
        <w:t>Scheme</w:t>
      </w:r>
      <w:r>
        <w:rPr>
          <w:spacing w:val="-19"/>
        </w:rPr>
        <w:t> </w:t>
      </w:r>
      <w:r>
        <w:rPr/>
        <w:t>and</w:t>
      </w:r>
      <w:r>
        <w:rPr>
          <w:spacing w:val="-20"/>
        </w:rPr>
        <w:t> </w:t>
      </w:r>
      <w:r>
        <w:rPr/>
        <w:t>the</w:t>
      </w:r>
      <w:r>
        <w:rPr>
          <w:spacing w:val="-19"/>
        </w:rPr>
        <w:t> </w:t>
      </w:r>
      <w:r>
        <w:rPr>
          <w:spacing w:val="-3"/>
        </w:rPr>
        <w:t>unfunded </w:t>
      </w:r>
      <w:r>
        <w:rPr/>
        <w:t>GSS transfer benefits attributable to members who transferred from the Pension</w:t>
      </w:r>
      <w:r>
        <w:rPr>
          <w:spacing w:val="-43"/>
        </w:rPr>
        <w:t> </w:t>
      </w:r>
      <w:r>
        <w:rPr/>
        <w:t>Scheme,</w:t>
      </w:r>
    </w:p>
    <w:p>
      <w:pPr>
        <w:pStyle w:val="BodyText"/>
        <w:spacing w:line="249" w:lineRule="auto" w:before="5"/>
        <w:ind w:left="428" w:right="805"/>
      </w:pPr>
      <w:r>
        <w:rPr/>
        <w:t>are assumed by the </w:t>
      </w:r>
      <w:r>
        <w:rPr>
          <w:spacing w:val="-5"/>
        </w:rPr>
        <w:t>Treasurer. </w:t>
      </w:r>
      <w:r>
        <w:rPr/>
        <w:t>All other GSS obligations</w:t>
      </w:r>
      <w:r>
        <w:rPr>
          <w:spacing w:val="-20"/>
        </w:rPr>
        <w:t> </w:t>
      </w:r>
      <w:r>
        <w:rPr/>
        <w:t>are</w:t>
      </w:r>
      <w:r>
        <w:rPr>
          <w:spacing w:val="-20"/>
        </w:rPr>
        <w:t> </w:t>
      </w:r>
      <w:r>
        <w:rPr/>
        <w:t>funded</w:t>
      </w:r>
      <w:r>
        <w:rPr>
          <w:spacing w:val="-20"/>
        </w:rPr>
        <w:t> </w:t>
      </w:r>
      <w:r>
        <w:rPr/>
        <w:t>by</w:t>
      </w:r>
      <w:r>
        <w:rPr>
          <w:spacing w:val="-20"/>
        </w:rPr>
        <w:t> </w:t>
      </w:r>
      <w:r>
        <w:rPr/>
        <w:t>concurrent</w:t>
      </w:r>
      <w:r>
        <w:rPr>
          <w:spacing w:val="-20"/>
        </w:rPr>
        <w:t> </w:t>
      </w:r>
      <w:r>
        <w:rPr>
          <w:spacing w:val="-2"/>
        </w:rPr>
        <w:t>contributions </w:t>
      </w:r>
      <w:r>
        <w:rPr/>
        <w:t>made by the Department to the</w:t>
      </w:r>
      <w:r>
        <w:rPr>
          <w:spacing w:val="-24"/>
        </w:rPr>
        <w:t> </w:t>
      </w:r>
      <w:r>
        <w:rPr/>
        <w:t>GESB.</w:t>
      </w:r>
    </w:p>
    <w:p>
      <w:pPr>
        <w:spacing w:after="0" w:line="249" w:lineRule="auto"/>
        <w:sectPr>
          <w:type w:val="continuous"/>
          <w:pgSz w:w="16840" w:h="11910" w:orient="landscape"/>
          <w:pgMar w:top="1100" w:bottom="280" w:left="0" w:right="0"/>
          <w:cols w:num="3" w:equalWidth="0">
            <w:col w:w="5471" w:space="40"/>
            <w:col w:w="5295" w:space="39"/>
            <w:col w:w="5995"/>
          </w:cols>
        </w:sectPr>
      </w:pPr>
    </w:p>
    <w:p>
      <w:pPr>
        <w:pStyle w:val="BodyText"/>
        <w:spacing w:before="9"/>
        <w:rPr>
          <w:sz w:val="16"/>
        </w:rPr>
      </w:pPr>
    </w:p>
    <w:p>
      <w:pPr>
        <w:tabs>
          <w:tab w:pos="1227" w:val="left" w:leader="none"/>
          <w:tab w:pos="5951" w:val="left" w:leader="none"/>
          <w:tab w:pos="16072"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14056"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14080"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F2770"/>
          <w:sz w:val="20"/>
        </w:rPr>
        <w:t>54</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6" w:id="27"/>
      <w:bookmarkEnd w:id="27"/>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pPr>
      <w:r>
        <w:rPr/>
        <w:pict>
          <v:group style="position:absolute;margin-left:360.811798pt;margin-top:-57.373512pt;width:481.1pt;height:371.15pt;mso-position-horizontal-relative:page;mso-position-vertical-relative:paragraph;z-index:-698224"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434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4368"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439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51"/>
          <w:pgSz w:w="16840" w:h="11910" w:orient="landscape"/>
          <w:pgMar w:footer="0" w:header="0" w:top="0" w:bottom="0" w:left="0" w:right="0"/>
        </w:sectPr>
      </w:pPr>
    </w:p>
    <w:p>
      <w:pPr>
        <w:pStyle w:val="BodyText"/>
        <w:spacing w:before="5"/>
        <w:rPr>
          <w:sz w:val="23"/>
        </w:rPr>
      </w:pPr>
    </w:p>
    <w:p>
      <w:pPr>
        <w:pStyle w:val="BodyText"/>
        <w:spacing w:line="249" w:lineRule="auto"/>
        <w:ind w:left="765" w:right="32"/>
      </w:pPr>
      <w:r>
        <w:rPr/>
        <w:t>The</w:t>
      </w:r>
      <w:r>
        <w:rPr>
          <w:spacing w:val="-19"/>
        </w:rPr>
        <w:t> </w:t>
      </w:r>
      <w:r>
        <w:rPr/>
        <w:t>GESB</w:t>
      </w:r>
      <w:r>
        <w:rPr>
          <w:spacing w:val="-19"/>
        </w:rPr>
        <w:t> </w:t>
      </w:r>
      <w:r>
        <w:rPr/>
        <w:t>makes</w:t>
      </w:r>
      <w:r>
        <w:rPr>
          <w:spacing w:val="-19"/>
        </w:rPr>
        <w:t> </w:t>
      </w:r>
      <w:r>
        <w:rPr/>
        <w:t>all</w:t>
      </w:r>
      <w:r>
        <w:rPr>
          <w:spacing w:val="-18"/>
        </w:rPr>
        <w:t> </w:t>
      </w:r>
      <w:r>
        <w:rPr/>
        <w:t>benefit</w:t>
      </w:r>
      <w:r>
        <w:rPr>
          <w:spacing w:val="-19"/>
        </w:rPr>
        <w:t> </w:t>
      </w:r>
      <w:r>
        <w:rPr/>
        <w:t>payments</w:t>
      </w:r>
      <w:r>
        <w:rPr>
          <w:spacing w:val="-19"/>
        </w:rPr>
        <w:t> </w:t>
      </w:r>
      <w:r>
        <w:rPr/>
        <w:t>in</w:t>
      </w:r>
      <w:r>
        <w:rPr>
          <w:spacing w:val="-18"/>
        </w:rPr>
        <w:t> </w:t>
      </w:r>
      <w:r>
        <w:rPr/>
        <w:t>respect of</w:t>
      </w:r>
      <w:r>
        <w:rPr>
          <w:spacing w:val="-16"/>
        </w:rPr>
        <w:t> </w:t>
      </w:r>
      <w:r>
        <w:rPr/>
        <w:t>the</w:t>
      </w:r>
      <w:r>
        <w:rPr>
          <w:spacing w:val="-15"/>
        </w:rPr>
        <w:t> </w:t>
      </w:r>
      <w:r>
        <w:rPr/>
        <w:t>Pension</w:t>
      </w:r>
      <w:r>
        <w:rPr>
          <w:spacing w:val="-16"/>
        </w:rPr>
        <w:t> </w:t>
      </w:r>
      <w:r>
        <w:rPr/>
        <w:t>Scheme</w:t>
      </w:r>
      <w:r>
        <w:rPr>
          <w:spacing w:val="-15"/>
        </w:rPr>
        <w:t> </w:t>
      </w:r>
      <w:r>
        <w:rPr/>
        <w:t>and</w:t>
      </w:r>
      <w:r>
        <w:rPr>
          <w:spacing w:val="-16"/>
        </w:rPr>
        <w:t> </w:t>
      </w:r>
      <w:r>
        <w:rPr/>
        <w:t>GSS,</w:t>
      </w:r>
      <w:r>
        <w:rPr>
          <w:spacing w:val="-15"/>
        </w:rPr>
        <w:t> </w:t>
      </w:r>
      <w:r>
        <w:rPr/>
        <w:t>and</w:t>
      </w:r>
      <w:r>
        <w:rPr>
          <w:spacing w:val="-16"/>
        </w:rPr>
        <w:t> </w:t>
      </w:r>
      <w:r>
        <w:rPr/>
        <w:t>is</w:t>
      </w:r>
      <w:r>
        <w:rPr>
          <w:spacing w:val="-15"/>
        </w:rPr>
        <w:t> </w:t>
      </w:r>
      <w:r>
        <w:rPr>
          <w:spacing w:val="-4"/>
        </w:rPr>
        <w:t>recouped </w:t>
      </w:r>
      <w:r>
        <w:rPr/>
        <w:t>from the </w:t>
      </w:r>
      <w:r>
        <w:rPr>
          <w:spacing w:val="-4"/>
        </w:rPr>
        <w:t>Treasurer </w:t>
      </w:r>
      <w:r>
        <w:rPr/>
        <w:t>for the </w:t>
      </w:r>
      <w:r>
        <w:rPr>
          <w:spacing w:val="-3"/>
        </w:rPr>
        <w:t>employer’s</w:t>
      </w:r>
      <w:r>
        <w:rPr>
          <w:spacing w:val="-45"/>
        </w:rPr>
        <w:t> </w:t>
      </w:r>
      <w:r>
        <w:rPr/>
        <w:t>share.</w:t>
      </w:r>
    </w:p>
    <w:p>
      <w:pPr>
        <w:pStyle w:val="BodyText"/>
        <w:spacing w:before="2"/>
        <w:rPr>
          <w:sz w:val="23"/>
        </w:rPr>
      </w:pPr>
    </w:p>
    <w:p>
      <w:pPr>
        <w:pStyle w:val="BodyText"/>
        <w:ind w:left="765"/>
      </w:pPr>
      <w:r>
        <w:rPr/>
        <w:t>See also Note 2(u) ‘Superannuation expense’.</w:t>
      </w:r>
    </w:p>
    <w:p>
      <w:pPr>
        <w:pStyle w:val="BodyText"/>
        <w:spacing w:before="11"/>
        <w:rPr>
          <w:sz w:val="23"/>
        </w:rPr>
      </w:pPr>
    </w:p>
    <w:p>
      <w:pPr>
        <w:spacing w:line="249" w:lineRule="auto" w:before="0"/>
        <w:ind w:left="765" w:right="1898" w:firstLine="0"/>
        <w:jc w:val="left"/>
        <w:rPr>
          <w:i/>
          <w:sz w:val="22"/>
        </w:rPr>
      </w:pPr>
      <w:r>
        <w:rPr>
          <w:i/>
          <w:color w:val="6F2770"/>
          <w:sz w:val="22"/>
        </w:rPr>
        <w:t>Provisions - other </w:t>
      </w:r>
      <w:r>
        <w:rPr>
          <w:i/>
          <w:sz w:val="22"/>
        </w:rPr>
        <w:t>Employment on-costs</w:t>
      </w:r>
    </w:p>
    <w:p>
      <w:pPr>
        <w:pStyle w:val="BodyText"/>
        <w:spacing w:line="249" w:lineRule="auto" w:before="1"/>
        <w:ind w:left="765" w:right="-5"/>
      </w:pPr>
      <w:r>
        <w:rPr/>
        <w:t>Employment on-costs, including workers’ compensation insurance, are not employee benefits</w:t>
      </w:r>
      <w:r>
        <w:rPr>
          <w:spacing w:val="-32"/>
        </w:rPr>
        <w:t> </w:t>
      </w:r>
      <w:r>
        <w:rPr/>
        <w:t>and</w:t>
      </w:r>
      <w:r>
        <w:rPr>
          <w:spacing w:val="-32"/>
        </w:rPr>
        <w:t> </w:t>
      </w:r>
      <w:r>
        <w:rPr/>
        <w:t>are</w:t>
      </w:r>
      <w:r>
        <w:rPr>
          <w:spacing w:val="-32"/>
        </w:rPr>
        <w:t> </w:t>
      </w:r>
      <w:r>
        <w:rPr/>
        <w:t>recognised</w:t>
      </w:r>
      <w:r>
        <w:rPr>
          <w:spacing w:val="-31"/>
        </w:rPr>
        <w:t> </w:t>
      </w:r>
      <w:r>
        <w:rPr/>
        <w:t>separately</w:t>
      </w:r>
      <w:r>
        <w:rPr>
          <w:spacing w:val="-32"/>
        </w:rPr>
        <w:t> </w:t>
      </w:r>
      <w:r>
        <w:rPr/>
        <w:t>as</w:t>
      </w:r>
      <w:r>
        <w:rPr>
          <w:spacing w:val="-32"/>
        </w:rPr>
        <w:t> </w:t>
      </w:r>
      <w:r>
        <w:rPr/>
        <w:t>liabilities and</w:t>
      </w:r>
      <w:r>
        <w:rPr>
          <w:spacing w:val="-16"/>
        </w:rPr>
        <w:t> </w:t>
      </w:r>
      <w:r>
        <w:rPr/>
        <w:t>expenses</w:t>
      </w:r>
      <w:r>
        <w:rPr>
          <w:spacing w:val="-16"/>
        </w:rPr>
        <w:t> </w:t>
      </w:r>
      <w:r>
        <w:rPr/>
        <w:t>when</w:t>
      </w:r>
      <w:r>
        <w:rPr>
          <w:spacing w:val="-16"/>
        </w:rPr>
        <w:t> </w:t>
      </w:r>
      <w:r>
        <w:rPr/>
        <w:t>the</w:t>
      </w:r>
      <w:r>
        <w:rPr>
          <w:spacing w:val="-16"/>
        </w:rPr>
        <w:t> </w:t>
      </w:r>
      <w:r>
        <w:rPr/>
        <w:t>employment</w:t>
      </w:r>
      <w:r>
        <w:rPr>
          <w:spacing w:val="-15"/>
        </w:rPr>
        <w:t> </w:t>
      </w:r>
      <w:r>
        <w:rPr/>
        <w:t>to</w:t>
      </w:r>
      <w:r>
        <w:rPr>
          <w:spacing w:val="-16"/>
        </w:rPr>
        <w:t> </w:t>
      </w:r>
      <w:r>
        <w:rPr/>
        <w:t>which</w:t>
      </w:r>
      <w:r>
        <w:rPr>
          <w:spacing w:val="-16"/>
        </w:rPr>
        <w:t> </w:t>
      </w:r>
      <w:r>
        <w:rPr>
          <w:spacing w:val="-5"/>
        </w:rPr>
        <w:t>they </w:t>
      </w:r>
      <w:r>
        <w:rPr/>
        <w:t>relate has occurred. Employment on-costs are included as part of ‘Other expenses’ and are not included as part of the </w:t>
      </w:r>
      <w:r>
        <w:rPr>
          <w:spacing w:val="-3"/>
        </w:rPr>
        <w:t>Department’s </w:t>
      </w:r>
      <w:r>
        <w:rPr/>
        <w:t>‘Employee benefits</w:t>
      </w:r>
      <w:r>
        <w:rPr>
          <w:spacing w:val="-20"/>
        </w:rPr>
        <w:t> </w:t>
      </w:r>
      <w:r>
        <w:rPr/>
        <w:t>expense’.</w:t>
      </w:r>
      <w:r>
        <w:rPr>
          <w:spacing w:val="-19"/>
        </w:rPr>
        <w:t> </w:t>
      </w:r>
      <w:r>
        <w:rPr/>
        <w:t>The</w:t>
      </w:r>
      <w:r>
        <w:rPr>
          <w:spacing w:val="-19"/>
        </w:rPr>
        <w:t> </w:t>
      </w:r>
      <w:r>
        <w:rPr/>
        <w:t>related</w:t>
      </w:r>
      <w:r>
        <w:rPr>
          <w:spacing w:val="-20"/>
        </w:rPr>
        <w:t> </w:t>
      </w:r>
      <w:r>
        <w:rPr/>
        <w:t>liability</w:t>
      </w:r>
      <w:r>
        <w:rPr>
          <w:spacing w:val="-19"/>
        </w:rPr>
        <w:t> </w:t>
      </w:r>
      <w:r>
        <w:rPr/>
        <w:t>is</w:t>
      </w:r>
      <w:r>
        <w:rPr>
          <w:spacing w:val="-19"/>
        </w:rPr>
        <w:t> </w:t>
      </w:r>
      <w:r>
        <w:rPr/>
        <w:t>included</w:t>
      </w:r>
    </w:p>
    <w:p>
      <w:pPr>
        <w:pStyle w:val="BodyText"/>
        <w:spacing w:before="8"/>
        <w:ind w:left="765"/>
      </w:pPr>
      <w:r>
        <w:rPr/>
        <w:t>in ‘Employment on- costs provision’.</w:t>
      </w:r>
    </w:p>
    <w:p>
      <w:pPr>
        <w:pStyle w:val="BodyText"/>
        <w:spacing w:before="10"/>
        <w:rPr>
          <w:sz w:val="23"/>
        </w:rPr>
      </w:pPr>
    </w:p>
    <w:p>
      <w:pPr>
        <w:spacing w:before="0"/>
        <w:ind w:left="765" w:right="0" w:firstLine="0"/>
        <w:jc w:val="left"/>
        <w:rPr>
          <w:i/>
          <w:sz w:val="22"/>
        </w:rPr>
      </w:pPr>
      <w:r>
        <w:rPr>
          <w:i/>
          <w:sz w:val="22"/>
        </w:rPr>
        <w:t>Remediation costs</w:t>
      </w:r>
    </w:p>
    <w:p>
      <w:pPr>
        <w:pStyle w:val="BodyText"/>
        <w:spacing w:line="249" w:lineRule="auto" w:before="11"/>
        <w:ind w:left="765" w:right="101"/>
      </w:pPr>
      <w:r>
        <w:rPr/>
        <w:t>A provision is recognised where the Department has</w:t>
      </w:r>
      <w:r>
        <w:rPr>
          <w:spacing w:val="-22"/>
        </w:rPr>
        <w:t> </w:t>
      </w:r>
      <w:r>
        <w:rPr/>
        <w:t>a</w:t>
      </w:r>
      <w:r>
        <w:rPr>
          <w:spacing w:val="-21"/>
        </w:rPr>
        <w:t> </w:t>
      </w:r>
      <w:r>
        <w:rPr/>
        <w:t>legal</w:t>
      </w:r>
      <w:r>
        <w:rPr>
          <w:spacing w:val="-22"/>
        </w:rPr>
        <w:t> </w:t>
      </w:r>
      <w:r>
        <w:rPr/>
        <w:t>or</w:t>
      </w:r>
      <w:r>
        <w:rPr>
          <w:spacing w:val="-21"/>
        </w:rPr>
        <w:t> </w:t>
      </w:r>
      <w:r>
        <w:rPr/>
        <w:t>constructive</w:t>
      </w:r>
      <w:r>
        <w:rPr>
          <w:spacing w:val="-22"/>
        </w:rPr>
        <w:t> </w:t>
      </w:r>
      <w:r>
        <w:rPr/>
        <w:t>obligation</w:t>
      </w:r>
      <w:r>
        <w:rPr>
          <w:spacing w:val="-21"/>
        </w:rPr>
        <w:t> </w:t>
      </w:r>
      <w:r>
        <w:rPr/>
        <w:t>to</w:t>
      </w:r>
      <w:r>
        <w:rPr>
          <w:spacing w:val="-22"/>
        </w:rPr>
        <w:t> </w:t>
      </w:r>
      <w:r>
        <w:rPr/>
        <w:t>undertake remediation work. Estimates are based on the present</w:t>
      </w:r>
      <w:r>
        <w:rPr>
          <w:spacing w:val="-13"/>
        </w:rPr>
        <w:t> </w:t>
      </w:r>
      <w:r>
        <w:rPr/>
        <w:t>value</w:t>
      </w:r>
      <w:r>
        <w:rPr>
          <w:spacing w:val="-13"/>
        </w:rPr>
        <w:t> </w:t>
      </w:r>
      <w:r>
        <w:rPr/>
        <w:t>of</w:t>
      </w:r>
      <w:r>
        <w:rPr>
          <w:spacing w:val="-13"/>
        </w:rPr>
        <w:t> </w:t>
      </w:r>
      <w:r>
        <w:rPr/>
        <w:t>expected</w:t>
      </w:r>
      <w:r>
        <w:rPr>
          <w:spacing w:val="-14"/>
        </w:rPr>
        <w:t> </w:t>
      </w:r>
      <w:r>
        <w:rPr/>
        <w:t>future</w:t>
      </w:r>
      <w:r>
        <w:rPr>
          <w:spacing w:val="-13"/>
        </w:rPr>
        <w:t> </w:t>
      </w:r>
      <w:r>
        <w:rPr/>
        <w:t>cash</w:t>
      </w:r>
      <w:r>
        <w:rPr>
          <w:spacing w:val="-13"/>
        </w:rPr>
        <w:t> </w:t>
      </w:r>
      <w:r>
        <w:rPr/>
        <w:t>outflows.</w:t>
      </w:r>
    </w:p>
    <w:p>
      <w:pPr>
        <w:pStyle w:val="BodyText"/>
        <w:spacing w:before="3"/>
        <w:rPr>
          <w:sz w:val="23"/>
        </w:rPr>
      </w:pPr>
    </w:p>
    <w:p>
      <w:pPr>
        <w:pStyle w:val="Heading6"/>
        <w:numPr>
          <w:ilvl w:val="0"/>
          <w:numId w:val="7"/>
        </w:numPr>
        <w:tabs>
          <w:tab w:pos="1088" w:val="left" w:leader="none"/>
        </w:tabs>
        <w:spacing w:line="240" w:lineRule="auto" w:before="0" w:after="0"/>
        <w:ind w:left="1087" w:right="0" w:hanging="322"/>
        <w:jc w:val="left"/>
      </w:pPr>
      <w:r>
        <w:rPr/>
        <w:t>Superannuation</w:t>
      </w:r>
      <w:r>
        <w:rPr>
          <w:spacing w:val="-1"/>
        </w:rPr>
        <w:t> </w:t>
      </w:r>
      <w:r>
        <w:rPr/>
        <w:t>expense</w:t>
      </w:r>
    </w:p>
    <w:p>
      <w:pPr>
        <w:pStyle w:val="BodyText"/>
        <w:spacing w:line="249" w:lineRule="auto" w:before="11"/>
        <w:ind w:left="765" w:right="-5"/>
      </w:pPr>
      <w:r>
        <w:rPr/>
        <w:t>Superannuation</w:t>
      </w:r>
      <w:r>
        <w:rPr>
          <w:spacing w:val="-27"/>
        </w:rPr>
        <w:t> </w:t>
      </w:r>
      <w:r>
        <w:rPr/>
        <w:t>expense</w:t>
      </w:r>
      <w:r>
        <w:rPr>
          <w:spacing w:val="-26"/>
        </w:rPr>
        <w:t> </w:t>
      </w:r>
      <w:r>
        <w:rPr/>
        <w:t>is</w:t>
      </w:r>
      <w:r>
        <w:rPr>
          <w:spacing w:val="-26"/>
        </w:rPr>
        <w:t> </w:t>
      </w:r>
      <w:r>
        <w:rPr/>
        <w:t>recognised</w:t>
      </w:r>
      <w:r>
        <w:rPr>
          <w:spacing w:val="-26"/>
        </w:rPr>
        <w:t> </w:t>
      </w:r>
      <w:r>
        <w:rPr/>
        <w:t>in</w:t>
      </w:r>
      <w:r>
        <w:rPr>
          <w:spacing w:val="-27"/>
        </w:rPr>
        <w:t> </w:t>
      </w:r>
      <w:r>
        <w:rPr/>
        <w:t>the</w:t>
      </w:r>
      <w:r>
        <w:rPr>
          <w:spacing w:val="-26"/>
        </w:rPr>
        <w:t> </w:t>
      </w:r>
      <w:r>
        <w:rPr/>
        <w:t>profit or</w:t>
      </w:r>
      <w:r>
        <w:rPr>
          <w:spacing w:val="-20"/>
        </w:rPr>
        <w:t> </w:t>
      </w:r>
      <w:r>
        <w:rPr/>
        <w:t>loss</w:t>
      </w:r>
      <w:r>
        <w:rPr>
          <w:spacing w:val="-19"/>
        </w:rPr>
        <w:t> </w:t>
      </w:r>
      <w:r>
        <w:rPr/>
        <w:t>of</w:t>
      </w:r>
      <w:r>
        <w:rPr>
          <w:spacing w:val="-20"/>
        </w:rPr>
        <w:t> </w:t>
      </w:r>
      <w:r>
        <w:rPr/>
        <w:t>the</w:t>
      </w:r>
      <w:r>
        <w:rPr>
          <w:spacing w:val="-19"/>
        </w:rPr>
        <w:t> </w:t>
      </w:r>
      <w:r>
        <w:rPr/>
        <w:t>Statement</w:t>
      </w:r>
      <w:r>
        <w:rPr>
          <w:spacing w:val="-20"/>
        </w:rPr>
        <w:t> </w:t>
      </w:r>
      <w:r>
        <w:rPr/>
        <w:t>of</w:t>
      </w:r>
      <w:r>
        <w:rPr>
          <w:spacing w:val="-19"/>
        </w:rPr>
        <w:t> </w:t>
      </w:r>
      <w:r>
        <w:rPr/>
        <w:t>Comprehensive</w:t>
      </w:r>
      <w:r>
        <w:rPr>
          <w:spacing w:val="-20"/>
        </w:rPr>
        <w:t> </w:t>
      </w:r>
      <w:r>
        <w:rPr>
          <w:spacing w:val="-3"/>
        </w:rPr>
        <w:t>Income </w:t>
      </w:r>
      <w:r>
        <w:rPr/>
        <w:t>and comprises employer contributions paid to the GSS (concurrent contributions), the</w:t>
      </w:r>
      <w:r>
        <w:rPr>
          <w:spacing w:val="-31"/>
        </w:rPr>
        <w:t> </w:t>
      </w:r>
      <w:r>
        <w:rPr/>
        <w:t>WSS,</w:t>
      </w:r>
    </w:p>
    <w:p>
      <w:pPr>
        <w:pStyle w:val="BodyText"/>
        <w:spacing w:before="4"/>
        <w:ind w:left="765"/>
      </w:pPr>
      <w:r>
        <w:rPr/>
        <w:t>the GESB, or other superannuation funds.</w:t>
      </w:r>
    </w:p>
    <w:p>
      <w:pPr>
        <w:pStyle w:val="BodyText"/>
        <w:spacing w:before="5"/>
        <w:rPr>
          <w:sz w:val="23"/>
        </w:rPr>
      </w:pPr>
      <w:r>
        <w:rPr/>
        <w:br w:type="column"/>
      </w:r>
      <w:r>
        <w:rPr>
          <w:sz w:val="23"/>
        </w:rPr>
      </w:r>
    </w:p>
    <w:p>
      <w:pPr>
        <w:pStyle w:val="BodyText"/>
        <w:spacing w:line="249" w:lineRule="auto"/>
        <w:ind w:left="391" w:right="623"/>
      </w:pPr>
      <w:r>
        <w:rPr/>
        <w:t>The</w:t>
      </w:r>
      <w:r>
        <w:rPr>
          <w:spacing w:val="-19"/>
        </w:rPr>
        <w:t> </w:t>
      </w:r>
      <w:r>
        <w:rPr/>
        <w:t>employer</w:t>
      </w:r>
      <w:r>
        <w:rPr>
          <w:spacing w:val="-18"/>
        </w:rPr>
        <w:t> </w:t>
      </w:r>
      <w:r>
        <w:rPr/>
        <w:t>contribution</w:t>
      </w:r>
      <w:r>
        <w:rPr>
          <w:spacing w:val="-18"/>
        </w:rPr>
        <w:t> </w:t>
      </w:r>
      <w:r>
        <w:rPr/>
        <w:t>paid</w:t>
      </w:r>
      <w:r>
        <w:rPr>
          <w:spacing w:val="-19"/>
        </w:rPr>
        <w:t> </w:t>
      </w:r>
      <w:r>
        <w:rPr/>
        <w:t>to</w:t>
      </w:r>
      <w:r>
        <w:rPr>
          <w:spacing w:val="-18"/>
        </w:rPr>
        <w:t> </w:t>
      </w:r>
      <w:r>
        <w:rPr/>
        <w:t>the</w:t>
      </w:r>
      <w:r>
        <w:rPr>
          <w:spacing w:val="-18"/>
        </w:rPr>
        <w:t> </w:t>
      </w:r>
      <w:r>
        <w:rPr>
          <w:spacing w:val="-5"/>
        </w:rPr>
        <w:t>GESB </w:t>
      </w:r>
      <w:r>
        <w:rPr/>
        <w:t>in respect of the GSS is paid back into the Consolidated Account by the</w:t>
      </w:r>
      <w:r>
        <w:rPr>
          <w:spacing w:val="-21"/>
        </w:rPr>
        <w:t> </w:t>
      </w:r>
      <w:r>
        <w:rPr/>
        <w:t>GESB.</w:t>
      </w:r>
    </w:p>
    <w:p>
      <w:pPr>
        <w:pStyle w:val="BodyText"/>
        <w:spacing w:before="2"/>
        <w:rPr>
          <w:sz w:val="23"/>
        </w:rPr>
      </w:pPr>
    </w:p>
    <w:p>
      <w:pPr>
        <w:pStyle w:val="Heading6"/>
        <w:numPr>
          <w:ilvl w:val="0"/>
          <w:numId w:val="7"/>
        </w:numPr>
        <w:tabs>
          <w:tab w:pos="698" w:val="left" w:leader="none"/>
        </w:tabs>
        <w:spacing w:line="249" w:lineRule="auto" w:before="0" w:after="0"/>
        <w:ind w:left="391" w:right="724" w:firstLine="0"/>
        <w:jc w:val="left"/>
      </w:pPr>
      <w:r>
        <w:rPr/>
        <w:t>Assets and services received free </w:t>
      </w:r>
      <w:r>
        <w:rPr>
          <w:spacing w:val="-9"/>
        </w:rPr>
        <w:t>of </w:t>
      </w:r>
      <w:r>
        <w:rPr/>
        <w:t>charge or for nominal cost</w:t>
      </w:r>
    </w:p>
    <w:p>
      <w:pPr>
        <w:pStyle w:val="BodyText"/>
        <w:spacing w:line="249" w:lineRule="auto" w:before="2"/>
        <w:ind w:left="391" w:right="4"/>
      </w:pPr>
      <w:r>
        <w:rPr/>
        <w:t>Assets or services received free of charge or for nominal</w:t>
      </w:r>
      <w:r>
        <w:rPr>
          <w:spacing w:val="-16"/>
        </w:rPr>
        <w:t> </w:t>
      </w:r>
      <w:r>
        <w:rPr/>
        <w:t>cost</w:t>
      </w:r>
      <w:r>
        <w:rPr>
          <w:spacing w:val="-16"/>
        </w:rPr>
        <w:t> </w:t>
      </w:r>
      <w:r>
        <w:rPr/>
        <w:t>that</w:t>
      </w:r>
      <w:r>
        <w:rPr>
          <w:spacing w:val="-16"/>
        </w:rPr>
        <w:t> </w:t>
      </w:r>
      <w:r>
        <w:rPr/>
        <w:t>the</w:t>
      </w:r>
      <w:r>
        <w:rPr>
          <w:spacing w:val="-16"/>
        </w:rPr>
        <w:t> </w:t>
      </w:r>
      <w:r>
        <w:rPr/>
        <w:t>Department</w:t>
      </w:r>
      <w:r>
        <w:rPr>
          <w:spacing w:val="-16"/>
        </w:rPr>
        <w:t> </w:t>
      </w:r>
      <w:r>
        <w:rPr/>
        <w:t>would</w:t>
      </w:r>
      <w:r>
        <w:rPr>
          <w:spacing w:val="-16"/>
        </w:rPr>
        <w:t> </w:t>
      </w:r>
      <w:r>
        <w:rPr/>
        <w:t>otherwise purchase</w:t>
      </w:r>
      <w:r>
        <w:rPr>
          <w:spacing w:val="-19"/>
        </w:rPr>
        <w:t> </w:t>
      </w:r>
      <w:r>
        <w:rPr/>
        <w:t>if</w:t>
      </w:r>
      <w:r>
        <w:rPr>
          <w:spacing w:val="-18"/>
        </w:rPr>
        <w:t> </w:t>
      </w:r>
      <w:r>
        <w:rPr/>
        <w:t>not</w:t>
      </w:r>
      <w:r>
        <w:rPr>
          <w:spacing w:val="-18"/>
        </w:rPr>
        <w:t> </w:t>
      </w:r>
      <w:r>
        <w:rPr/>
        <w:t>donated,</w:t>
      </w:r>
      <w:r>
        <w:rPr>
          <w:spacing w:val="-19"/>
        </w:rPr>
        <w:t> </w:t>
      </w:r>
      <w:r>
        <w:rPr/>
        <w:t>are</w:t>
      </w:r>
      <w:r>
        <w:rPr>
          <w:spacing w:val="-18"/>
        </w:rPr>
        <w:t> </w:t>
      </w:r>
      <w:r>
        <w:rPr/>
        <w:t>recognised</w:t>
      </w:r>
      <w:r>
        <w:rPr>
          <w:spacing w:val="-18"/>
        </w:rPr>
        <w:t> </w:t>
      </w:r>
      <w:r>
        <w:rPr/>
        <w:t>as</w:t>
      </w:r>
      <w:r>
        <w:rPr>
          <w:spacing w:val="-19"/>
        </w:rPr>
        <w:t> </w:t>
      </w:r>
      <w:r>
        <w:rPr>
          <w:spacing w:val="-3"/>
        </w:rPr>
        <w:t>income </w:t>
      </w:r>
      <w:r>
        <w:rPr/>
        <w:t>at the fair value of the assets or services where they can be reliably measured. A corresponding expense</w:t>
      </w:r>
      <w:r>
        <w:rPr>
          <w:spacing w:val="-11"/>
        </w:rPr>
        <w:t> </w:t>
      </w:r>
      <w:r>
        <w:rPr/>
        <w:t>is</w:t>
      </w:r>
      <w:r>
        <w:rPr>
          <w:spacing w:val="-11"/>
        </w:rPr>
        <w:t> </w:t>
      </w:r>
      <w:r>
        <w:rPr/>
        <w:t>recognised</w:t>
      </w:r>
      <w:r>
        <w:rPr>
          <w:spacing w:val="-11"/>
        </w:rPr>
        <w:t> </w:t>
      </w:r>
      <w:r>
        <w:rPr/>
        <w:t>for</w:t>
      </w:r>
      <w:r>
        <w:rPr>
          <w:spacing w:val="-11"/>
        </w:rPr>
        <w:t> </w:t>
      </w:r>
      <w:r>
        <w:rPr/>
        <w:t>services</w:t>
      </w:r>
      <w:r>
        <w:rPr>
          <w:spacing w:val="-10"/>
        </w:rPr>
        <w:t> </w:t>
      </w:r>
      <w:r>
        <w:rPr/>
        <w:t>received.</w:t>
      </w:r>
    </w:p>
    <w:p>
      <w:pPr>
        <w:pStyle w:val="BodyText"/>
        <w:spacing w:line="249" w:lineRule="auto" w:before="5"/>
        <w:ind w:left="391" w:right="-7"/>
      </w:pPr>
      <w:r>
        <w:rPr/>
        <w:t>Receipts</w:t>
      </w:r>
      <w:r>
        <w:rPr>
          <w:spacing w:val="-21"/>
        </w:rPr>
        <w:t> </w:t>
      </w:r>
      <w:r>
        <w:rPr/>
        <w:t>of</w:t>
      </w:r>
      <w:r>
        <w:rPr>
          <w:spacing w:val="-21"/>
        </w:rPr>
        <w:t> </w:t>
      </w:r>
      <w:r>
        <w:rPr/>
        <w:t>assets</w:t>
      </w:r>
      <w:r>
        <w:rPr>
          <w:spacing w:val="-21"/>
        </w:rPr>
        <w:t> </w:t>
      </w:r>
      <w:r>
        <w:rPr/>
        <w:t>are</w:t>
      </w:r>
      <w:r>
        <w:rPr>
          <w:spacing w:val="-21"/>
        </w:rPr>
        <w:t> </w:t>
      </w:r>
      <w:r>
        <w:rPr/>
        <w:t>recognised</w:t>
      </w:r>
      <w:r>
        <w:rPr>
          <w:spacing w:val="-20"/>
        </w:rPr>
        <w:t> </w:t>
      </w:r>
      <w:r>
        <w:rPr/>
        <w:t>in</w:t>
      </w:r>
      <w:r>
        <w:rPr>
          <w:spacing w:val="-21"/>
        </w:rPr>
        <w:t> </w:t>
      </w:r>
      <w:r>
        <w:rPr/>
        <w:t>the</w:t>
      </w:r>
      <w:r>
        <w:rPr>
          <w:spacing w:val="-21"/>
        </w:rPr>
        <w:t> </w:t>
      </w:r>
      <w:r>
        <w:rPr>
          <w:spacing w:val="-3"/>
        </w:rPr>
        <w:t>Statement </w:t>
      </w:r>
      <w:r>
        <w:rPr/>
        <w:t>of Financial</w:t>
      </w:r>
      <w:r>
        <w:rPr>
          <w:spacing w:val="-4"/>
        </w:rPr>
        <w:t> </w:t>
      </w:r>
      <w:r>
        <w:rPr/>
        <w:t>Position.</w:t>
      </w:r>
    </w:p>
    <w:p>
      <w:pPr>
        <w:pStyle w:val="BodyText"/>
        <w:spacing w:before="2"/>
        <w:rPr>
          <w:sz w:val="23"/>
        </w:rPr>
      </w:pPr>
    </w:p>
    <w:p>
      <w:pPr>
        <w:pStyle w:val="BodyText"/>
        <w:spacing w:line="249" w:lineRule="auto"/>
        <w:ind w:left="391" w:right="4"/>
      </w:pPr>
      <w:r>
        <w:rPr/>
        <w:t>Assets or services received from other State </w:t>
      </w:r>
      <w:r>
        <w:rPr>
          <w:w w:val="95"/>
        </w:rPr>
        <w:t>Government agencies are separately disclosed </w:t>
      </w:r>
      <w:r>
        <w:rPr/>
        <w:t>under Income from State Government in the Statement of Comprehensive Income.</w:t>
      </w:r>
    </w:p>
    <w:p>
      <w:pPr>
        <w:pStyle w:val="BodyText"/>
        <w:spacing w:before="3"/>
        <w:rPr>
          <w:sz w:val="23"/>
        </w:rPr>
      </w:pPr>
    </w:p>
    <w:p>
      <w:pPr>
        <w:pStyle w:val="ListParagraph"/>
        <w:numPr>
          <w:ilvl w:val="0"/>
          <w:numId w:val="7"/>
        </w:numPr>
        <w:tabs>
          <w:tab w:pos="763" w:val="left" w:leader="none"/>
        </w:tabs>
        <w:spacing w:line="249" w:lineRule="auto" w:before="0" w:after="0"/>
        <w:ind w:left="391" w:right="193" w:firstLine="0"/>
        <w:jc w:val="left"/>
        <w:rPr>
          <w:sz w:val="22"/>
        </w:rPr>
      </w:pPr>
      <w:r>
        <w:rPr>
          <w:b/>
          <w:sz w:val="22"/>
        </w:rPr>
        <w:t>Construction work in progress </w:t>
      </w:r>
      <w:r>
        <w:rPr>
          <w:sz w:val="22"/>
        </w:rPr>
        <w:t>Construction work in progress is stated at the aggregate</w:t>
      </w:r>
      <w:r>
        <w:rPr>
          <w:spacing w:val="-12"/>
          <w:sz w:val="22"/>
        </w:rPr>
        <w:t> </w:t>
      </w:r>
      <w:r>
        <w:rPr>
          <w:sz w:val="22"/>
        </w:rPr>
        <w:t>of</w:t>
      </w:r>
      <w:r>
        <w:rPr>
          <w:spacing w:val="-11"/>
          <w:sz w:val="22"/>
        </w:rPr>
        <w:t> </w:t>
      </w:r>
      <w:r>
        <w:rPr>
          <w:sz w:val="22"/>
        </w:rPr>
        <w:t>contract</w:t>
      </w:r>
      <w:r>
        <w:rPr>
          <w:spacing w:val="-12"/>
          <w:sz w:val="22"/>
        </w:rPr>
        <w:t> </w:t>
      </w:r>
      <w:r>
        <w:rPr>
          <w:sz w:val="22"/>
        </w:rPr>
        <w:t>costs</w:t>
      </w:r>
      <w:r>
        <w:rPr>
          <w:spacing w:val="-11"/>
          <w:sz w:val="22"/>
        </w:rPr>
        <w:t> </w:t>
      </w:r>
      <w:r>
        <w:rPr>
          <w:sz w:val="22"/>
        </w:rPr>
        <w:t>incurred</w:t>
      </w:r>
      <w:r>
        <w:rPr>
          <w:spacing w:val="-11"/>
          <w:sz w:val="22"/>
        </w:rPr>
        <w:t> </w:t>
      </w:r>
      <w:r>
        <w:rPr>
          <w:sz w:val="22"/>
        </w:rPr>
        <w:t>to</w:t>
      </w:r>
      <w:r>
        <w:rPr>
          <w:spacing w:val="-12"/>
          <w:sz w:val="22"/>
        </w:rPr>
        <w:t> </w:t>
      </w:r>
      <w:r>
        <w:rPr>
          <w:sz w:val="22"/>
        </w:rPr>
        <w:t>date</w:t>
      </w:r>
      <w:r>
        <w:rPr>
          <w:spacing w:val="-11"/>
          <w:sz w:val="22"/>
        </w:rPr>
        <w:t> </w:t>
      </w:r>
      <w:r>
        <w:rPr>
          <w:spacing w:val="-5"/>
          <w:sz w:val="22"/>
        </w:rPr>
        <w:t>plus </w:t>
      </w:r>
      <w:r>
        <w:rPr>
          <w:sz w:val="22"/>
        </w:rPr>
        <w:t>recognised profits less recognised losses and progress billings. If there are contracts where progress billing exceeds the aggregate costs incurred</w:t>
      </w:r>
      <w:r>
        <w:rPr>
          <w:spacing w:val="-21"/>
          <w:sz w:val="22"/>
        </w:rPr>
        <w:t> </w:t>
      </w:r>
      <w:r>
        <w:rPr>
          <w:sz w:val="22"/>
        </w:rPr>
        <w:t>plus</w:t>
      </w:r>
      <w:r>
        <w:rPr>
          <w:spacing w:val="-20"/>
          <w:sz w:val="22"/>
        </w:rPr>
        <w:t> </w:t>
      </w:r>
      <w:r>
        <w:rPr>
          <w:sz w:val="22"/>
        </w:rPr>
        <w:t>profits</w:t>
      </w:r>
      <w:r>
        <w:rPr>
          <w:spacing w:val="-20"/>
          <w:sz w:val="22"/>
        </w:rPr>
        <w:t> </w:t>
      </w:r>
      <w:r>
        <w:rPr>
          <w:sz w:val="22"/>
        </w:rPr>
        <w:t>less</w:t>
      </w:r>
      <w:r>
        <w:rPr>
          <w:spacing w:val="-20"/>
          <w:sz w:val="22"/>
        </w:rPr>
        <w:t> </w:t>
      </w:r>
      <w:r>
        <w:rPr>
          <w:sz w:val="22"/>
        </w:rPr>
        <w:t>losses,</w:t>
      </w:r>
      <w:r>
        <w:rPr>
          <w:spacing w:val="-20"/>
          <w:sz w:val="22"/>
        </w:rPr>
        <w:t> </w:t>
      </w:r>
      <w:r>
        <w:rPr>
          <w:sz w:val="22"/>
        </w:rPr>
        <w:t>the</w:t>
      </w:r>
      <w:r>
        <w:rPr>
          <w:spacing w:val="-20"/>
          <w:sz w:val="22"/>
        </w:rPr>
        <w:t> </w:t>
      </w:r>
      <w:r>
        <w:rPr>
          <w:sz w:val="22"/>
        </w:rPr>
        <w:t>net</w:t>
      </w:r>
      <w:r>
        <w:rPr>
          <w:spacing w:val="-20"/>
          <w:sz w:val="22"/>
        </w:rPr>
        <w:t> </w:t>
      </w:r>
      <w:r>
        <w:rPr>
          <w:sz w:val="22"/>
        </w:rPr>
        <w:t>amounts are presented under Note 28</w:t>
      </w:r>
      <w:r>
        <w:rPr>
          <w:spacing w:val="-29"/>
          <w:sz w:val="22"/>
        </w:rPr>
        <w:t> </w:t>
      </w:r>
      <w:r>
        <w:rPr>
          <w:sz w:val="22"/>
        </w:rPr>
        <w:t>‘Payables’.</w:t>
      </w:r>
    </w:p>
    <w:p>
      <w:pPr>
        <w:pStyle w:val="BodyText"/>
        <w:spacing w:before="5"/>
        <w:rPr>
          <w:sz w:val="23"/>
        </w:rPr>
      </w:pPr>
      <w:r>
        <w:rPr/>
        <w:br w:type="column"/>
      </w:r>
      <w:r>
        <w:rPr>
          <w:sz w:val="23"/>
        </w:rPr>
      </w:r>
    </w:p>
    <w:p>
      <w:pPr>
        <w:pStyle w:val="BodyText"/>
        <w:spacing w:line="249" w:lineRule="auto"/>
        <w:ind w:left="387" w:right="1182"/>
      </w:pPr>
      <w:r>
        <w:rPr/>
        <w:t>Contract</w:t>
      </w:r>
      <w:r>
        <w:rPr>
          <w:spacing w:val="-18"/>
        </w:rPr>
        <w:t> </w:t>
      </w:r>
      <w:r>
        <w:rPr/>
        <w:t>costs</w:t>
      </w:r>
      <w:r>
        <w:rPr>
          <w:spacing w:val="-18"/>
        </w:rPr>
        <w:t> </w:t>
      </w:r>
      <w:r>
        <w:rPr/>
        <w:t>include</w:t>
      </w:r>
      <w:r>
        <w:rPr>
          <w:spacing w:val="-17"/>
        </w:rPr>
        <w:t> </w:t>
      </w:r>
      <w:r>
        <w:rPr/>
        <w:t>all</w:t>
      </w:r>
      <w:r>
        <w:rPr>
          <w:spacing w:val="-18"/>
        </w:rPr>
        <w:t> </w:t>
      </w:r>
      <w:r>
        <w:rPr/>
        <w:t>costs</w:t>
      </w:r>
      <w:r>
        <w:rPr>
          <w:spacing w:val="-17"/>
        </w:rPr>
        <w:t> </w:t>
      </w:r>
      <w:r>
        <w:rPr/>
        <w:t>directly</w:t>
      </w:r>
      <w:r>
        <w:rPr>
          <w:spacing w:val="-18"/>
        </w:rPr>
        <w:t> </w:t>
      </w:r>
      <w:r>
        <w:rPr>
          <w:spacing w:val="-3"/>
        </w:rPr>
        <w:t>related </w:t>
      </w:r>
      <w:r>
        <w:rPr/>
        <w:t>to</w:t>
      </w:r>
      <w:r>
        <w:rPr>
          <w:spacing w:val="-16"/>
        </w:rPr>
        <w:t> </w:t>
      </w:r>
      <w:r>
        <w:rPr/>
        <w:t>specific</w:t>
      </w:r>
      <w:r>
        <w:rPr>
          <w:spacing w:val="-15"/>
        </w:rPr>
        <w:t> </w:t>
      </w:r>
      <w:r>
        <w:rPr/>
        <w:t>contracts,</w:t>
      </w:r>
      <w:r>
        <w:rPr>
          <w:spacing w:val="-15"/>
        </w:rPr>
        <w:t> </w:t>
      </w:r>
      <w:r>
        <w:rPr/>
        <w:t>costs</w:t>
      </w:r>
      <w:r>
        <w:rPr>
          <w:spacing w:val="-15"/>
        </w:rPr>
        <w:t> </w:t>
      </w:r>
      <w:r>
        <w:rPr/>
        <w:t>that</w:t>
      </w:r>
      <w:r>
        <w:rPr>
          <w:spacing w:val="-15"/>
        </w:rPr>
        <w:t> </w:t>
      </w:r>
      <w:r>
        <w:rPr/>
        <w:t>are</w:t>
      </w:r>
      <w:r>
        <w:rPr>
          <w:spacing w:val="-15"/>
        </w:rPr>
        <w:t> </w:t>
      </w:r>
      <w:r>
        <w:rPr>
          <w:spacing w:val="-2"/>
        </w:rPr>
        <w:t>specifically</w:t>
      </w:r>
    </w:p>
    <w:p>
      <w:pPr>
        <w:pStyle w:val="BodyText"/>
        <w:spacing w:line="249" w:lineRule="auto" w:before="2"/>
        <w:ind w:left="387" w:right="808"/>
      </w:pPr>
      <w:r>
        <w:rPr/>
        <w:t>chargeable</w:t>
      </w:r>
      <w:r>
        <w:rPr>
          <w:spacing w:val="-13"/>
        </w:rPr>
        <w:t> </w:t>
      </w:r>
      <w:r>
        <w:rPr/>
        <w:t>to</w:t>
      </w:r>
      <w:r>
        <w:rPr>
          <w:spacing w:val="-13"/>
        </w:rPr>
        <w:t> </w:t>
      </w:r>
      <w:r>
        <w:rPr/>
        <w:t>the</w:t>
      </w:r>
      <w:r>
        <w:rPr>
          <w:spacing w:val="-13"/>
        </w:rPr>
        <w:t> </w:t>
      </w:r>
      <w:r>
        <w:rPr/>
        <w:t>customer</w:t>
      </w:r>
      <w:r>
        <w:rPr>
          <w:spacing w:val="-13"/>
        </w:rPr>
        <w:t> </w:t>
      </w:r>
      <w:r>
        <w:rPr/>
        <w:t>under</w:t>
      </w:r>
      <w:r>
        <w:rPr>
          <w:spacing w:val="-12"/>
        </w:rPr>
        <w:t> </w:t>
      </w:r>
      <w:r>
        <w:rPr/>
        <w:t>the</w:t>
      </w:r>
      <w:r>
        <w:rPr>
          <w:spacing w:val="-13"/>
        </w:rPr>
        <w:t> </w:t>
      </w:r>
      <w:r>
        <w:rPr/>
        <w:t>terms</w:t>
      </w:r>
      <w:r>
        <w:rPr>
          <w:spacing w:val="-13"/>
        </w:rPr>
        <w:t> </w:t>
      </w:r>
      <w:r>
        <w:rPr/>
        <w:t>of</w:t>
      </w:r>
      <w:r>
        <w:rPr>
          <w:spacing w:val="-13"/>
        </w:rPr>
        <w:t> </w:t>
      </w:r>
      <w:r>
        <w:rPr>
          <w:spacing w:val="-6"/>
        </w:rPr>
        <w:t>the </w:t>
      </w:r>
      <w:r>
        <w:rPr/>
        <w:t>contract and an allocation of overhead expenses incurred in connection with the </w:t>
      </w:r>
      <w:r>
        <w:rPr>
          <w:spacing w:val="-3"/>
        </w:rPr>
        <w:t>Department’s </w:t>
      </w:r>
      <w:r>
        <w:rPr/>
        <w:t>construction activities in</w:t>
      </w:r>
      <w:r>
        <w:rPr>
          <w:spacing w:val="-11"/>
        </w:rPr>
        <w:t> </w:t>
      </w:r>
      <w:r>
        <w:rPr/>
        <w:t>general.</w:t>
      </w:r>
    </w:p>
    <w:p>
      <w:pPr>
        <w:pStyle w:val="BodyText"/>
        <w:spacing w:before="3"/>
        <w:rPr>
          <w:sz w:val="23"/>
        </w:rPr>
      </w:pPr>
    </w:p>
    <w:p>
      <w:pPr>
        <w:pStyle w:val="Heading6"/>
        <w:numPr>
          <w:ilvl w:val="0"/>
          <w:numId w:val="7"/>
        </w:numPr>
        <w:tabs>
          <w:tab w:pos="697" w:val="left" w:leader="none"/>
        </w:tabs>
        <w:spacing w:line="240" w:lineRule="auto" w:before="0" w:after="0"/>
        <w:ind w:left="696" w:right="0" w:hanging="309"/>
        <w:jc w:val="left"/>
      </w:pPr>
      <w:r>
        <w:rPr/>
        <w:t>Lease</w:t>
      </w:r>
      <w:r>
        <w:rPr>
          <w:spacing w:val="-1"/>
        </w:rPr>
        <w:t> </w:t>
      </w:r>
      <w:r>
        <w:rPr/>
        <w:t>incentives</w:t>
      </w:r>
    </w:p>
    <w:p>
      <w:pPr>
        <w:pStyle w:val="BodyText"/>
        <w:spacing w:line="249" w:lineRule="auto" w:before="11"/>
        <w:ind w:left="387" w:right="788"/>
      </w:pPr>
      <w:r>
        <w:rPr/>
        <w:t>In instances where the lessor has provided incentives for the Department to enter into an operating lease, the Department has recognised the</w:t>
      </w:r>
      <w:r>
        <w:rPr>
          <w:spacing w:val="-18"/>
        </w:rPr>
        <w:t> </w:t>
      </w:r>
      <w:r>
        <w:rPr/>
        <w:t>aggregate</w:t>
      </w:r>
      <w:r>
        <w:rPr>
          <w:spacing w:val="-17"/>
        </w:rPr>
        <w:t> </w:t>
      </w:r>
      <w:r>
        <w:rPr/>
        <w:t>benefit</w:t>
      </w:r>
      <w:r>
        <w:rPr>
          <w:spacing w:val="-17"/>
        </w:rPr>
        <w:t> </w:t>
      </w:r>
      <w:r>
        <w:rPr/>
        <w:t>of</w:t>
      </w:r>
      <w:r>
        <w:rPr>
          <w:spacing w:val="-17"/>
        </w:rPr>
        <w:t> </w:t>
      </w:r>
      <w:r>
        <w:rPr/>
        <w:t>incentives</w:t>
      </w:r>
      <w:r>
        <w:rPr>
          <w:spacing w:val="-17"/>
        </w:rPr>
        <w:t> </w:t>
      </w:r>
      <w:r>
        <w:rPr/>
        <w:t>as</w:t>
      </w:r>
      <w:r>
        <w:rPr>
          <w:spacing w:val="-17"/>
        </w:rPr>
        <w:t> </w:t>
      </w:r>
      <w:r>
        <w:rPr/>
        <w:t>a</w:t>
      </w:r>
      <w:r>
        <w:rPr>
          <w:spacing w:val="-17"/>
        </w:rPr>
        <w:t> </w:t>
      </w:r>
      <w:r>
        <w:rPr/>
        <w:t>reduction of</w:t>
      </w:r>
      <w:r>
        <w:rPr>
          <w:spacing w:val="-19"/>
        </w:rPr>
        <w:t> </w:t>
      </w:r>
      <w:r>
        <w:rPr/>
        <w:t>rental</w:t>
      </w:r>
      <w:r>
        <w:rPr>
          <w:spacing w:val="-18"/>
        </w:rPr>
        <w:t> </w:t>
      </w:r>
      <w:r>
        <w:rPr/>
        <w:t>expense</w:t>
      </w:r>
      <w:r>
        <w:rPr>
          <w:spacing w:val="-18"/>
        </w:rPr>
        <w:t> </w:t>
      </w:r>
      <w:r>
        <w:rPr/>
        <w:t>over</w:t>
      </w:r>
      <w:r>
        <w:rPr>
          <w:spacing w:val="-18"/>
        </w:rPr>
        <w:t> </w:t>
      </w:r>
      <w:r>
        <w:rPr/>
        <w:t>the</w:t>
      </w:r>
      <w:r>
        <w:rPr>
          <w:spacing w:val="-18"/>
        </w:rPr>
        <w:t> </w:t>
      </w:r>
      <w:r>
        <w:rPr/>
        <w:t>lease</w:t>
      </w:r>
      <w:r>
        <w:rPr>
          <w:spacing w:val="-18"/>
        </w:rPr>
        <w:t> </w:t>
      </w:r>
      <w:r>
        <w:rPr/>
        <w:t>term,</w:t>
      </w:r>
      <w:r>
        <w:rPr>
          <w:spacing w:val="-18"/>
        </w:rPr>
        <w:t> </w:t>
      </w:r>
      <w:r>
        <w:rPr/>
        <w:t>on</w:t>
      </w:r>
      <w:r>
        <w:rPr>
          <w:spacing w:val="-18"/>
        </w:rPr>
        <w:t> </w:t>
      </w:r>
      <w:r>
        <w:rPr/>
        <w:t>a</w:t>
      </w:r>
      <w:r>
        <w:rPr>
          <w:spacing w:val="-18"/>
        </w:rPr>
        <w:t> </w:t>
      </w:r>
      <w:r>
        <w:rPr>
          <w:spacing w:val="-3"/>
        </w:rPr>
        <w:t>straight </w:t>
      </w:r>
      <w:r>
        <w:rPr/>
        <w:t>line</w:t>
      </w:r>
      <w:r>
        <w:rPr>
          <w:spacing w:val="-18"/>
        </w:rPr>
        <w:t> </w:t>
      </w:r>
      <w:r>
        <w:rPr/>
        <w:t>basis.</w:t>
      </w:r>
      <w:r>
        <w:rPr>
          <w:spacing w:val="-17"/>
        </w:rPr>
        <w:t> </w:t>
      </w:r>
      <w:r>
        <w:rPr/>
        <w:t>Examples</w:t>
      </w:r>
      <w:r>
        <w:rPr>
          <w:spacing w:val="-17"/>
        </w:rPr>
        <w:t> </w:t>
      </w:r>
      <w:r>
        <w:rPr/>
        <w:t>of</w:t>
      </w:r>
      <w:r>
        <w:rPr>
          <w:spacing w:val="-17"/>
        </w:rPr>
        <w:t> </w:t>
      </w:r>
      <w:r>
        <w:rPr/>
        <w:t>lease</w:t>
      </w:r>
      <w:r>
        <w:rPr>
          <w:spacing w:val="-17"/>
        </w:rPr>
        <w:t> </w:t>
      </w:r>
      <w:r>
        <w:rPr/>
        <w:t>incentives</w:t>
      </w:r>
      <w:r>
        <w:rPr>
          <w:spacing w:val="-18"/>
        </w:rPr>
        <w:t> </w:t>
      </w:r>
      <w:r>
        <w:rPr/>
        <w:t>include</w:t>
      </w:r>
    </w:p>
    <w:p>
      <w:pPr>
        <w:pStyle w:val="BodyText"/>
        <w:spacing w:line="249" w:lineRule="auto" w:before="5"/>
        <w:ind w:left="387" w:right="996"/>
      </w:pPr>
      <w:r>
        <w:rPr/>
        <w:t>up-front cash payments or the reimbursement or</w:t>
      </w:r>
      <w:r>
        <w:rPr>
          <w:spacing w:val="-13"/>
        </w:rPr>
        <w:t> </w:t>
      </w:r>
      <w:r>
        <w:rPr/>
        <w:t>assumption</w:t>
      </w:r>
      <w:r>
        <w:rPr>
          <w:spacing w:val="-13"/>
        </w:rPr>
        <w:t> </w:t>
      </w:r>
      <w:r>
        <w:rPr/>
        <w:t>by</w:t>
      </w:r>
      <w:r>
        <w:rPr>
          <w:spacing w:val="-13"/>
        </w:rPr>
        <w:t> </w:t>
      </w:r>
      <w:r>
        <w:rPr/>
        <w:t>the</w:t>
      </w:r>
      <w:r>
        <w:rPr>
          <w:spacing w:val="-13"/>
        </w:rPr>
        <w:t> </w:t>
      </w:r>
      <w:r>
        <w:rPr/>
        <w:t>lessor</w:t>
      </w:r>
      <w:r>
        <w:rPr>
          <w:spacing w:val="-13"/>
        </w:rPr>
        <w:t> </w:t>
      </w:r>
      <w:r>
        <w:rPr/>
        <w:t>of</w:t>
      </w:r>
      <w:r>
        <w:rPr>
          <w:spacing w:val="-13"/>
        </w:rPr>
        <w:t> </w:t>
      </w:r>
      <w:r>
        <w:rPr/>
        <w:t>costs</w:t>
      </w:r>
      <w:r>
        <w:rPr>
          <w:spacing w:val="-13"/>
        </w:rPr>
        <w:t> </w:t>
      </w:r>
      <w:r>
        <w:rPr/>
        <w:t>of</w:t>
      </w:r>
      <w:r>
        <w:rPr>
          <w:spacing w:val="-13"/>
        </w:rPr>
        <w:t> </w:t>
      </w:r>
      <w:r>
        <w:rPr/>
        <w:t>the</w:t>
      </w:r>
      <w:r>
        <w:rPr>
          <w:spacing w:val="-13"/>
        </w:rPr>
        <w:t> </w:t>
      </w:r>
      <w:r>
        <w:rPr>
          <w:spacing w:val="-4"/>
        </w:rPr>
        <w:t>lease </w:t>
      </w:r>
      <w:r>
        <w:rPr/>
        <w:t>such as leasehold</w:t>
      </w:r>
      <w:r>
        <w:rPr>
          <w:spacing w:val="-13"/>
        </w:rPr>
        <w:t> </w:t>
      </w:r>
      <w:r>
        <w:rPr/>
        <w:t>improvements.</w:t>
      </w:r>
    </w:p>
    <w:p>
      <w:pPr>
        <w:pStyle w:val="BodyText"/>
        <w:spacing w:before="5"/>
        <w:rPr>
          <w:sz w:val="23"/>
        </w:rPr>
      </w:pPr>
    </w:p>
    <w:p>
      <w:pPr>
        <w:spacing w:before="0"/>
        <w:ind w:left="387" w:right="0" w:firstLine="0"/>
        <w:jc w:val="left"/>
        <w:rPr>
          <w:sz w:val="32"/>
        </w:rPr>
      </w:pPr>
      <w:r>
        <w:rPr>
          <w:color w:val="6F2770"/>
          <w:sz w:val="32"/>
        </w:rPr>
        <w:t>Note</w:t>
      </w:r>
      <w:r>
        <w:rPr>
          <w:color w:val="6F2770"/>
          <w:spacing w:val="-42"/>
          <w:sz w:val="32"/>
        </w:rPr>
        <w:t> </w:t>
      </w:r>
      <w:r>
        <w:rPr>
          <w:color w:val="6F2770"/>
          <w:sz w:val="32"/>
        </w:rPr>
        <w:t>3.</w:t>
      </w:r>
      <w:r>
        <w:rPr>
          <w:color w:val="6F2770"/>
          <w:spacing w:val="-42"/>
          <w:sz w:val="32"/>
        </w:rPr>
        <w:t> </w:t>
      </w:r>
      <w:r>
        <w:rPr>
          <w:color w:val="6F2770"/>
          <w:sz w:val="32"/>
        </w:rPr>
        <w:t>Comparative</w:t>
      </w:r>
      <w:r>
        <w:rPr>
          <w:color w:val="6F2770"/>
          <w:spacing w:val="-42"/>
          <w:sz w:val="32"/>
        </w:rPr>
        <w:t> </w:t>
      </w:r>
      <w:r>
        <w:rPr>
          <w:color w:val="6F2770"/>
          <w:sz w:val="32"/>
        </w:rPr>
        <w:t>figures</w:t>
      </w:r>
    </w:p>
    <w:p>
      <w:pPr>
        <w:pStyle w:val="BodyText"/>
        <w:spacing w:line="249" w:lineRule="auto" w:before="254"/>
        <w:ind w:left="387" w:right="1310"/>
      </w:pPr>
      <w:r>
        <w:rPr/>
        <w:t>Comparative</w:t>
      </w:r>
      <w:r>
        <w:rPr>
          <w:spacing w:val="-26"/>
        </w:rPr>
        <w:t> </w:t>
      </w:r>
      <w:r>
        <w:rPr/>
        <w:t>figures</w:t>
      </w:r>
      <w:r>
        <w:rPr>
          <w:spacing w:val="-26"/>
        </w:rPr>
        <w:t> </w:t>
      </w:r>
      <w:r>
        <w:rPr/>
        <w:t>are,</w:t>
      </w:r>
      <w:r>
        <w:rPr>
          <w:spacing w:val="-26"/>
        </w:rPr>
        <w:t> </w:t>
      </w:r>
      <w:r>
        <w:rPr/>
        <w:t>where</w:t>
      </w:r>
      <w:r>
        <w:rPr>
          <w:spacing w:val="-26"/>
        </w:rPr>
        <w:t> </w:t>
      </w:r>
      <w:r>
        <w:rPr/>
        <w:t>appropriate, reclassified</w:t>
      </w:r>
      <w:r>
        <w:rPr>
          <w:spacing w:val="-20"/>
        </w:rPr>
        <w:t> </w:t>
      </w:r>
      <w:r>
        <w:rPr/>
        <w:t>to</w:t>
      </w:r>
      <w:r>
        <w:rPr>
          <w:spacing w:val="-20"/>
        </w:rPr>
        <w:t> </w:t>
      </w:r>
      <w:r>
        <w:rPr/>
        <w:t>be</w:t>
      </w:r>
      <w:r>
        <w:rPr>
          <w:spacing w:val="-19"/>
        </w:rPr>
        <w:t> </w:t>
      </w:r>
      <w:r>
        <w:rPr/>
        <w:t>comparable</w:t>
      </w:r>
      <w:r>
        <w:rPr>
          <w:spacing w:val="-20"/>
        </w:rPr>
        <w:t> </w:t>
      </w:r>
      <w:r>
        <w:rPr/>
        <w:t>with</w:t>
      </w:r>
      <w:r>
        <w:rPr>
          <w:spacing w:val="-19"/>
        </w:rPr>
        <w:t> </w:t>
      </w:r>
      <w:r>
        <w:rPr/>
        <w:t>the</w:t>
      </w:r>
      <w:r>
        <w:rPr>
          <w:spacing w:val="-20"/>
        </w:rPr>
        <w:t> </w:t>
      </w:r>
      <w:r>
        <w:rPr>
          <w:spacing w:val="-4"/>
        </w:rPr>
        <w:t>figures </w:t>
      </w:r>
      <w:r>
        <w:rPr/>
        <w:t>presented</w:t>
      </w:r>
      <w:r>
        <w:rPr>
          <w:spacing w:val="-10"/>
        </w:rPr>
        <w:t> </w:t>
      </w:r>
      <w:r>
        <w:rPr/>
        <w:t>in</w:t>
      </w:r>
      <w:r>
        <w:rPr>
          <w:spacing w:val="-9"/>
        </w:rPr>
        <w:t> </w:t>
      </w:r>
      <w:r>
        <w:rPr/>
        <w:t>the</w:t>
      </w:r>
      <w:r>
        <w:rPr>
          <w:spacing w:val="-10"/>
        </w:rPr>
        <w:t> </w:t>
      </w:r>
      <w:r>
        <w:rPr/>
        <w:t>current</w:t>
      </w:r>
      <w:r>
        <w:rPr>
          <w:spacing w:val="-9"/>
        </w:rPr>
        <w:t> </w:t>
      </w:r>
      <w:r>
        <w:rPr/>
        <w:t>reporting</w:t>
      </w:r>
      <w:r>
        <w:rPr>
          <w:spacing w:val="-9"/>
        </w:rPr>
        <w:t> </w:t>
      </w:r>
      <w:r>
        <w:rPr/>
        <w:t>period.</w:t>
      </w:r>
    </w:p>
    <w:p>
      <w:pPr>
        <w:spacing w:after="0" w:line="249" w:lineRule="auto"/>
        <w:sectPr>
          <w:type w:val="continuous"/>
          <w:pgSz w:w="16840" w:h="11910" w:orient="landscape"/>
          <w:pgMar w:top="1100" w:bottom="280" w:left="0" w:right="0"/>
          <w:cols w:num="3" w:equalWidth="0">
            <w:col w:w="5578" w:space="40"/>
            <w:col w:w="5209" w:space="39"/>
            <w:col w:w="5974"/>
          </w:cols>
        </w:sectPr>
      </w:pPr>
    </w:p>
    <w:p>
      <w:pPr>
        <w:pStyle w:val="BodyText"/>
        <w:spacing w:before="6"/>
        <w:rPr>
          <w:sz w:val="17"/>
        </w:rPr>
      </w:pPr>
    </w:p>
    <w:p>
      <w:pPr>
        <w:tabs>
          <w:tab w:pos="10886" w:val="left" w:leader="none"/>
          <w:tab w:pos="11199" w:val="left" w:leader="none"/>
          <w:tab w:pos="15849"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14296"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ffffff" stroked="false">
              <v:path arrowok="t"/>
              <v:fill typ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14320"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55</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7" w:id="28"/>
      <w:bookmarkEnd w:id="28"/>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ind w:left="785"/>
      </w:pPr>
      <w:r>
        <w:rPr/>
        <w:pict>
          <v:shape style="position:absolute;margin-left:601.348999pt;margin-top:-57.37421pt;width:120.3pt;height:42.55pt;mso-position-horizontal-relative:page;mso-position-vertical-relative:paragraph;z-index:1456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458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460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pict>
          <v:group style="position:absolute;margin-left:280.589264pt;margin-top:7.398306pt;width:561.35pt;height:484.55pt;mso-position-horizontal-relative:page;mso-position-vertical-relative:paragraph;z-index:-697984" coordorigin="5612,148" coordsize="11227,9691">
            <v:shape style="position:absolute;left:5611;top:147;width:11227;height:9691" type="#_x0000_t75" stroked="false">
              <v:imagedata r:id="rId40" o:title=""/>
            </v:shape>
            <v:shape style="position:absolute;left:20;top:607;width:1781;height:1762" coordorigin="20,607" coordsize="1781,1762" path="m12004,8442l11676,8113m12197,8524l11594,7921m12336,8553l11565,7782m12454,8560l11557,7664m12557,8553l11564,7561m12651,8537l11581,7467m12737,8513l11605,7381m12816,8481l11637,7302m12888,8443l11674,7229m12956,8401l11717,7161m13019,8353l11765,7099m13076,8300l11817,7041m13129,8243l11875,6989m13177,8180l11937,6941m13220,8113l12005,6898m13258,8040l12078,6860m13289,7961l12157,6829m13314,7875l12242,6804m13331,7782l12347,6799m13338,7679l12458,6799m13332,7562l12568,6799m13304,7424l12694,6814m13223,7233l12885,6895e" filled="false" stroked="true" strokeweight=".25pt" strokecolor="#bbbcbb">
              <v:path arrowok="t"/>
              <v:stroke dashstyle="solid"/>
            </v:shape>
            <v:shape style="position:absolute;left:175;top:1040;width:895;height:895" coordorigin="176,1040" coordsize="895,895" path="m11427,7314l11189,7075m11572,7348l11154,6931m11678,7344l11158,6824m11764,7319l11183,6739m11837,7283l11220,6665m11901,7236l11267,6602m11954,7179l11323,6548m11998,7113l11390,6504m12031,7035l11467,6471m12049,6942l11560,6454m12046,6830l11673,6456m11971,6644l11858,6531e" filled="false" stroked="true" strokeweight=".25pt" strokecolor="#aebd37">
              <v:path arrowok="t"/>
              <v:stroke dashstyle="solid"/>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ffffff" stroked="false">
              <v:path arrowok="t"/>
              <v:fill type="solid"/>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aebd37" stroked="false">
              <v:path arrowok="t"/>
              <v:fill opacity="13107f" type="solid"/>
            </v:shape>
            <v:shape style="position:absolute;left:16571;top:9193;width:93;height:171" coordorigin="16571,9194" coordsize="93,171" path="m16590,9194l16582,9194,16571,9204,16571,9212,16638,9279,16638,9281,16571,9347,16571,9355,16579,9363,16582,9364,16589,9364,16592,9363,16655,9300,16662,9291,16664,9281,16664,9279,16662,9269,16655,9259,16590,9194xe" filled="true" fillcolor="#000000" stroked="false">
              <v:path arrowok="t"/>
              <v:fill type="solid"/>
            </v:shape>
            <w10:wrap type="none"/>
          </v:group>
        </w:pict>
      </w:r>
      <w:r>
        <w:rPr>
          <w:color w:val="6F2770"/>
        </w:rPr>
        <w:t>For the year ended 30 June 2018</w:t>
      </w:r>
    </w:p>
    <w:p>
      <w:pPr>
        <w:pStyle w:val="BodyText"/>
        <w:rPr>
          <w:sz w:val="20"/>
        </w:rPr>
      </w:pPr>
    </w:p>
    <w:p>
      <w:pPr>
        <w:spacing w:after="0"/>
        <w:rPr>
          <w:sz w:val="20"/>
        </w:rPr>
        <w:sectPr>
          <w:footerReference w:type="default" r:id="rId152"/>
          <w:pgSz w:w="16840" w:h="11910" w:orient="landscape"/>
          <w:pgMar w:footer="0" w:header="0" w:top="0" w:bottom="0" w:left="0" w:right="0"/>
        </w:sectPr>
      </w:pPr>
    </w:p>
    <w:p>
      <w:pPr>
        <w:pStyle w:val="Heading5"/>
        <w:spacing w:line="235" w:lineRule="auto" w:before="253"/>
        <w:ind w:right="429"/>
      </w:pPr>
      <w:r>
        <w:rPr>
          <w:color w:val="6F2770"/>
          <w:spacing w:val="-4"/>
        </w:rPr>
        <w:t>Note </w:t>
      </w:r>
      <w:r>
        <w:rPr>
          <w:color w:val="6F2770"/>
          <w:spacing w:val="-6"/>
        </w:rPr>
        <w:t>4. </w:t>
      </w:r>
      <w:r>
        <w:rPr>
          <w:color w:val="6F2770"/>
        </w:rPr>
        <w:t>Judgements made </w:t>
      </w:r>
      <w:r>
        <w:rPr>
          <w:color w:val="6F2770"/>
          <w:spacing w:val="-4"/>
        </w:rPr>
        <w:t>by </w:t>
      </w:r>
      <w:r>
        <w:rPr>
          <w:color w:val="6F2770"/>
        </w:rPr>
        <w:t>management in applying </w:t>
      </w:r>
      <w:r>
        <w:rPr>
          <w:color w:val="6F2770"/>
          <w:spacing w:val="-3"/>
        </w:rPr>
        <w:t>accounting </w:t>
      </w:r>
      <w:r>
        <w:rPr>
          <w:color w:val="6F2770"/>
        </w:rPr>
        <w:t>policies</w:t>
      </w:r>
    </w:p>
    <w:p>
      <w:pPr>
        <w:pStyle w:val="BodyText"/>
        <w:spacing w:line="249" w:lineRule="auto" w:before="254"/>
        <w:ind w:left="765" w:right="84"/>
      </w:pPr>
      <w:r>
        <w:rPr/>
        <w:t>The</w:t>
      </w:r>
      <w:r>
        <w:rPr>
          <w:spacing w:val="-36"/>
        </w:rPr>
        <w:t> </w:t>
      </w:r>
      <w:r>
        <w:rPr/>
        <w:t>preparation</w:t>
      </w:r>
      <w:r>
        <w:rPr>
          <w:spacing w:val="-36"/>
        </w:rPr>
        <w:t> </w:t>
      </w:r>
      <w:r>
        <w:rPr/>
        <w:t>of</w:t>
      </w:r>
      <w:r>
        <w:rPr>
          <w:spacing w:val="-36"/>
        </w:rPr>
        <w:t> </w:t>
      </w:r>
      <w:r>
        <w:rPr/>
        <w:t>financial</w:t>
      </w:r>
      <w:r>
        <w:rPr>
          <w:spacing w:val="-36"/>
        </w:rPr>
        <w:t> </w:t>
      </w:r>
      <w:r>
        <w:rPr/>
        <w:t>statements</w:t>
      </w:r>
      <w:r>
        <w:rPr>
          <w:spacing w:val="-36"/>
        </w:rPr>
        <w:t> </w:t>
      </w:r>
      <w:r>
        <w:rPr/>
        <w:t>requires management </w:t>
      </w:r>
      <w:r>
        <w:rPr>
          <w:spacing w:val="-3"/>
        </w:rPr>
        <w:t>to </w:t>
      </w:r>
      <w:r>
        <w:rPr/>
        <w:t>make judgements about the application of accounting policies that have a significant</w:t>
      </w:r>
      <w:r>
        <w:rPr>
          <w:spacing w:val="-18"/>
        </w:rPr>
        <w:t> </w:t>
      </w:r>
      <w:r>
        <w:rPr/>
        <w:t>effect</w:t>
      </w:r>
      <w:r>
        <w:rPr>
          <w:spacing w:val="-17"/>
        </w:rPr>
        <w:t> </w:t>
      </w:r>
      <w:r>
        <w:rPr/>
        <w:t>on</w:t>
      </w:r>
      <w:r>
        <w:rPr>
          <w:spacing w:val="-17"/>
        </w:rPr>
        <w:t> </w:t>
      </w:r>
      <w:r>
        <w:rPr/>
        <w:t>the</w:t>
      </w:r>
      <w:r>
        <w:rPr>
          <w:spacing w:val="-17"/>
        </w:rPr>
        <w:t> </w:t>
      </w:r>
      <w:r>
        <w:rPr/>
        <w:t>amounts</w:t>
      </w:r>
      <w:r>
        <w:rPr>
          <w:spacing w:val="-17"/>
        </w:rPr>
        <w:t> </w:t>
      </w:r>
      <w:r>
        <w:rPr/>
        <w:t>recognised</w:t>
      </w:r>
      <w:r>
        <w:rPr>
          <w:spacing w:val="-17"/>
        </w:rPr>
        <w:t> </w:t>
      </w:r>
      <w:r>
        <w:rPr/>
        <w:t>in the financial statements. The Department evaluates these judgements</w:t>
      </w:r>
      <w:r>
        <w:rPr>
          <w:spacing w:val="-30"/>
        </w:rPr>
        <w:t> </w:t>
      </w:r>
      <w:r>
        <w:rPr/>
        <w:t>regularly.</w:t>
      </w:r>
    </w:p>
    <w:p>
      <w:pPr>
        <w:pStyle w:val="BodyText"/>
        <w:spacing w:before="5"/>
        <w:rPr>
          <w:sz w:val="23"/>
        </w:rPr>
      </w:pPr>
    </w:p>
    <w:p>
      <w:pPr>
        <w:pStyle w:val="Heading6"/>
      </w:pPr>
      <w:r>
        <w:rPr/>
        <w:t>Operating lease commitments</w:t>
      </w:r>
    </w:p>
    <w:p>
      <w:pPr>
        <w:pStyle w:val="BodyText"/>
        <w:spacing w:line="249" w:lineRule="auto" w:before="11"/>
        <w:ind w:left="765" w:right="471"/>
      </w:pPr>
      <w:r>
        <w:rPr/>
        <w:t>The</w:t>
      </w:r>
      <w:r>
        <w:rPr>
          <w:spacing w:val="-22"/>
        </w:rPr>
        <w:t> </w:t>
      </w:r>
      <w:r>
        <w:rPr/>
        <w:t>Department</w:t>
      </w:r>
      <w:r>
        <w:rPr>
          <w:spacing w:val="-21"/>
        </w:rPr>
        <w:t> </w:t>
      </w:r>
      <w:r>
        <w:rPr/>
        <w:t>has</w:t>
      </w:r>
      <w:r>
        <w:rPr>
          <w:spacing w:val="-21"/>
        </w:rPr>
        <w:t> </w:t>
      </w:r>
      <w:r>
        <w:rPr/>
        <w:t>entered</w:t>
      </w:r>
      <w:r>
        <w:rPr>
          <w:spacing w:val="-21"/>
        </w:rPr>
        <w:t> </w:t>
      </w:r>
      <w:r>
        <w:rPr/>
        <w:t>into</w:t>
      </w:r>
      <w:r>
        <w:rPr>
          <w:spacing w:val="-21"/>
        </w:rPr>
        <w:t> </w:t>
      </w:r>
      <w:r>
        <w:rPr/>
        <w:t>a</w:t>
      </w:r>
      <w:r>
        <w:rPr>
          <w:spacing w:val="-21"/>
        </w:rPr>
        <w:t> </w:t>
      </w:r>
      <w:r>
        <w:rPr/>
        <w:t>number of</w:t>
      </w:r>
      <w:r>
        <w:rPr>
          <w:spacing w:val="-10"/>
        </w:rPr>
        <w:t> </w:t>
      </w:r>
      <w:r>
        <w:rPr/>
        <w:t>leases</w:t>
      </w:r>
      <w:r>
        <w:rPr>
          <w:spacing w:val="-9"/>
        </w:rPr>
        <w:t> </w:t>
      </w:r>
      <w:r>
        <w:rPr/>
        <w:t>for</w:t>
      </w:r>
      <w:r>
        <w:rPr>
          <w:spacing w:val="-9"/>
        </w:rPr>
        <w:t> </w:t>
      </w:r>
      <w:r>
        <w:rPr/>
        <w:t>buildings</w:t>
      </w:r>
      <w:r>
        <w:rPr>
          <w:spacing w:val="-10"/>
        </w:rPr>
        <w:t> </w:t>
      </w:r>
      <w:r>
        <w:rPr/>
        <w:t>for</w:t>
      </w:r>
      <w:r>
        <w:rPr>
          <w:spacing w:val="-9"/>
        </w:rPr>
        <w:t> </w:t>
      </w:r>
      <w:r>
        <w:rPr/>
        <w:t>branch</w:t>
      </w:r>
      <w:r>
        <w:rPr>
          <w:spacing w:val="-9"/>
        </w:rPr>
        <w:t> </w:t>
      </w:r>
      <w:r>
        <w:rPr/>
        <w:t>office</w:t>
      </w:r>
    </w:p>
    <w:p>
      <w:pPr>
        <w:pStyle w:val="BodyText"/>
        <w:spacing w:line="249" w:lineRule="auto" w:before="2"/>
        <w:ind w:left="765" w:right="-9"/>
      </w:pPr>
      <w:r>
        <w:rPr/>
        <w:t>accommodation.</w:t>
      </w:r>
      <w:r>
        <w:rPr>
          <w:spacing w:val="-20"/>
        </w:rPr>
        <w:t> </w:t>
      </w:r>
      <w:r>
        <w:rPr/>
        <w:t>Some</w:t>
      </w:r>
      <w:r>
        <w:rPr>
          <w:spacing w:val="-19"/>
        </w:rPr>
        <w:t> </w:t>
      </w:r>
      <w:r>
        <w:rPr/>
        <w:t>of</w:t>
      </w:r>
      <w:r>
        <w:rPr>
          <w:spacing w:val="-19"/>
        </w:rPr>
        <w:t> </w:t>
      </w:r>
      <w:r>
        <w:rPr/>
        <w:t>these</w:t>
      </w:r>
      <w:r>
        <w:rPr>
          <w:spacing w:val="-20"/>
        </w:rPr>
        <w:t> </w:t>
      </w:r>
      <w:r>
        <w:rPr/>
        <w:t>leases</w:t>
      </w:r>
      <w:r>
        <w:rPr>
          <w:spacing w:val="-19"/>
        </w:rPr>
        <w:t> </w:t>
      </w:r>
      <w:r>
        <w:rPr/>
        <w:t>relate</w:t>
      </w:r>
      <w:r>
        <w:rPr>
          <w:spacing w:val="-19"/>
        </w:rPr>
        <w:t> </w:t>
      </w:r>
      <w:r>
        <w:rPr>
          <w:spacing w:val="-3"/>
        </w:rPr>
        <w:t>to </w:t>
      </w:r>
      <w:r>
        <w:rPr/>
        <w:t>buildings</w:t>
      </w:r>
      <w:r>
        <w:rPr>
          <w:spacing w:val="-14"/>
        </w:rPr>
        <w:t> </w:t>
      </w:r>
      <w:r>
        <w:rPr/>
        <w:t>of</w:t>
      </w:r>
      <w:r>
        <w:rPr>
          <w:spacing w:val="-14"/>
        </w:rPr>
        <w:t> </w:t>
      </w:r>
      <w:r>
        <w:rPr/>
        <w:t>a</w:t>
      </w:r>
      <w:r>
        <w:rPr>
          <w:spacing w:val="-14"/>
        </w:rPr>
        <w:t> </w:t>
      </w:r>
      <w:r>
        <w:rPr/>
        <w:t>temporary</w:t>
      </w:r>
      <w:r>
        <w:rPr>
          <w:spacing w:val="-14"/>
        </w:rPr>
        <w:t> </w:t>
      </w:r>
      <w:r>
        <w:rPr/>
        <w:t>nature</w:t>
      </w:r>
      <w:r>
        <w:rPr>
          <w:spacing w:val="-14"/>
        </w:rPr>
        <w:t> </w:t>
      </w:r>
      <w:r>
        <w:rPr/>
        <w:t>and</w:t>
      </w:r>
      <w:r>
        <w:rPr>
          <w:spacing w:val="-14"/>
        </w:rPr>
        <w:t> </w:t>
      </w:r>
      <w:r>
        <w:rPr/>
        <w:t>it</w:t>
      </w:r>
      <w:r>
        <w:rPr>
          <w:spacing w:val="-14"/>
        </w:rPr>
        <w:t> </w:t>
      </w:r>
      <w:r>
        <w:rPr/>
        <w:t>has</w:t>
      </w:r>
      <w:r>
        <w:rPr>
          <w:spacing w:val="-14"/>
        </w:rPr>
        <w:t> </w:t>
      </w:r>
      <w:r>
        <w:rPr/>
        <w:t>been determined that the lessor retains substantially all</w:t>
      </w:r>
      <w:r>
        <w:rPr>
          <w:spacing w:val="-22"/>
        </w:rPr>
        <w:t> </w:t>
      </w:r>
      <w:r>
        <w:rPr/>
        <w:t>the</w:t>
      </w:r>
      <w:r>
        <w:rPr>
          <w:spacing w:val="-22"/>
        </w:rPr>
        <w:t> </w:t>
      </w:r>
      <w:r>
        <w:rPr/>
        <w:t>risks</w:t>
      </w:r>
      <w:r>
        <w:rPr>
          <w:spacing w:val="-22"/>
        </w:rPr>
        <w:t> </w:t>
      </w:r>
      <w:r>
        <w:rPr/>
        <w:t>and</w:t>
      </w:r>
      <w:r>
        <w:rPr>
          <w:spacing w:val="-22"/>
        </w:rPr>
        <w:t> </w:t>
      </w:r>
      <w:r>
        <w:rPr/>
        <w:t>rewards</w:t>
      </w:r>
      <w:r>
        <w:rPr>
          <w:spacing w:val="-22"/>
        </w:rPr>
        <w:t> </w:t>
      </w:r>
      <w:r>
        <w:rPr/>
        <w:t>incidental</w:t>
      </w:r>
      <w:r>
        <w:rPr>
          <w:spacing w:val="-22"/>
        </w:rPr>
        <w:t> </w:t>
      </w:r>
      <w:r>
        <w:rPr>
          <w:spacing w:val="-3"/>
        </w:rPr>
        <w:t>to</w:t>
      </w:r>
      <w:r>
        <w:rPr>
          <w:spacing w:val="-22"/>
        </w:rPr>
        <w:t> </w:t>
      </w:r>
      <w:r>
        <w:rPr/>
        <w:t>ownership. Accordingly, these leases have been classified as operating</w:t>
      </w:r>
      <w:r>
        <w:rPr>
          <w:spacing w:val="-4"/>
        </w:rPr>
        <w:t> </w:t>
      </w:r>
      <w:r>
        <w:rPr/>
        <w:t>leases.</w:t>
      </w:r>
    </w:p>
    <w:p>
      <w:pPr>
        <w:pStyle w:val="Heading5"/>
        <w:spacing w:line="235" w:lineRule="auto" w:before="253"/>
        <w:ind w:left="620" w:right="210"/>
      </w:pPr>
      <w:r>
        <w:rPr/>
        <w:br w:type="column"/>
      </w:r>
      <w:r>
        <w:rPr>
          <w:color w:val="6F2770"/>
          <w:spacing w:val="-4"/>
        </w:rPr>
        <w:t>Note</w:t>
      </w:r>
      <w:r>
        <w:rPr>
          <w:color w:val="6F2770"/>
          <w:spacing w:val="-25"/>
        </w:rPr>
        <w:t> </w:t>
      </w:r>
      <w:r>
        <w:rPr>
          <w:color w:val="6F2770"/>
          <w:spacing w:val="-5"/>
        </w:rPr>
        <w:t>5.</w:t>
      </w:r>
      <w:r>
        <w:rPr>
          <w:color w:val="6F2770"/>
          <w:spacing w:val="-24"/>
        </w:rPr>
        <w:t> </w:t>
      </w:r>
      <w:r>
        <w:rPr>
          <w:color w:val="6F2770"/>
          <w:spacing w:val="-5"/>
        </w:rPr>
        <w:t>Key</w:t>
      </w:r>
      <w:r>
        <w:rPr>
          <w:color w:val="6F2770"/>
          <w:spacing w:val="-24"/>
        </w:rPr>
        <w:t> </w:t>
      </w:r>
      <w:r>
        <w:rPr>
          <w:color w:val="6F2770"/>
        </w:rPr>
        <w:t>sources</w:t>
      </w:r>
      <w:r>
        <w:rPr>
          <w:color w:val="6F2770"/>
          <w:spacing w:val="-24"/>
        </w:rPr>
        <w:t> </w:t>
      </w:r>
      <w:r>
        <w:rPr>
          <w:color w:val="6F2770"/>
          <w:spacing w:val="-3"/>
        </w:rPr>
        <w:t>of</w:t>
      </w:r>
      <w:r>
        <w:rPr>
          <w:color w:val="6F2770"/>
          <w:spacing w:val="-24"/>
        </w:rPr>
        <w:t> </w:t>
      </w:r>
      <w:r>
        <w:rPr>
          <w:color w:val="6F2770"/>
          <w:spacing w:val="-3"/>
        </w:rPr>
        <w:t>estimation </w:t>
      </w:r>
      <w:r>
        <w:rPr>
          <w:color w:val="6F2770"/>
        </w:rPr>
        <w:t>uncertainty</w:t>
      </w:r>
    </w:p>
    <w:p>
      <w:pPr>
        <w:pStyle w:val="BodyText"/>
        <w:spacing w:line="249" w:lineRule="auto" w:before="255"/>
        <w:ind w:left="620" w:right="318"/>
      </w:pPr>
      <w:r>
        <w:rPr>
          <w:spacing w:val="-2"/>
        </w:rPr>
        <w:t>Key</w:t>
      </w:r>
      <w:r>
        <w:rPr>
          <w:spacing w:val="-26"/>
        </w:rPr>
        <w:t> </w:t>
      </w:r>
      <w:r>
        <w:rPr/>
        <w:t>estimates</w:t>
      </w:r>
      <w:r>
        <w:rPr>
          <w:spacing w:val="-25"/>
        </w:rPr>
        <w:t> </w:t>
      </w:r>
      <w:r>
        <w:rPr/>
        <w:t>and</w:t>
      </w:r>
      <w:r>
        <w:rPr>
          <w:spacing w:val="-25"/>
        </w:rPr>
        <w:t> </w:t>
      </w:r>
      <w:r>
        <w:rPr/>
        <w:t>assumptions</w:t>
      </w:r>
      <w:r>
        <w:rPr>
          <w:spacing w:val="-25"/>
        </w:rPr>
        <w:t> </w:t>
      </w:r>
      <w:r>
        <w:rPr/>
        <w:t>concerning</w:t>
      </w:r>
      <w:r>
        <w:rPr>
          <w:spacing w:val="-25"/>
        </w:rPr>
        <w:t> </w:t>
      </w:r>
      <w:r>
        <w:rPr/>
        <w:t>the future are based on historical experience and various</w:t>
      </w:r>
      <w:r>
        <w:rPr>
          <w:spacing w:val="-22"/>
        </w:rPr>
        <w:t> </w:t>
      </w:r>
      <w:r>
        <w:rPr/>
        <w:t>other</w:t>
      </w:r>
      <w:r>
        <w:rPr>
          <w:spacing w:val="-21"/>
        </w:rPr>
        <w:t> </w:t>
      </w:r>
      <w:r>
        <w:rPr/>
        <w:t>factors</w:t>
      </w:r>
      <w:r>
        <w:rPr>
          <w:spacing w:val="-22"/>
        </w:rPr>
        <w:t> </w:t>
      </w:r>
      <w:r>
        <w:rPr/>
        <w:t>that</w:t>
      </w:r>
      <w:r>
        <w:rPr>
          <w:spacing w:val="-22"/>
        </w:rPr>
        <w:t> </w:t>
      </w:r>
      <w:r>
        <w:rPr/>
        <w:t>have</w:t>
      </w:r>
      <w:r>
        <w:rPr>
          <w:spacing w:val="-21"/>
        </w:rPr>
        <w:t> </w:t>
      </w:r>
      <w:r>
        <w:rPr/>
        <w:t>a</w:t>
      </w:r>
      <w:r>
        <w:rPr>
          <w:spacing w:val="-22"/>
        </w:rPr>
        <w:t> </w:t>
      </w:r>
      <w:r>
        <w:rPr/>
        <w:t>significant</w:t>
      </w:r>
      <w:r>
        <w:rPr>
          <w:spacing w:val="-21"/>
        </w:rPr>
        <w:t> </w:t>
      </w:r>
      <w:r>
        <w:rPr/>
        <w:t>risk of</w:t>
      </w:r>
      <w:r>
        <w:rPr>
          <w:spacing w:val="-20"/>
        </w:rPr>
        <w:t> </w:t>
      </w:r>
      <w:r>
        <w:rPr/>
        <w:t>causing</w:t>
      </w:r>
      <w:r>
        <w:rPr>
          <w:spacing w:val="-20"/>
        </w:rPr>
        <w:t> </w:t>
      </w:r>
      <w:r>
        <w:rPr/>
        <w:t>a</w:t>
      </w:r>
      <w:r>
        <w:rPr>
          <w:spacing w:val="-19"/>
        </w:rPr>
        <w:t> </w:t>
      </w:r>
      <w:r>
        <w:rPr/>
        <w:t>material</w:t>
      </w:r>
      <w:r>
        <w:rPr>
          <w:spacing w:val="-20"/>
        </w:rPr>
        <w:t> </w:t>
      </w:r>
      <w:r>
        <w:rPr/>
        <w:t>adjustment</w:t>
      </w:r>
      <w:r>
        <w:rPr>
          <w:spacing w:val="-19"/>
        </w:rPr>
        <w:t> </w:t>
      </w:r>
      <w:r>
        <w:rPr>
          <w:spacing w:val="-3"/>
        </w:rPr>
        <w:t>to</w:t>
      </w:r>
      <w:r>
        <w:rPr>
          <w:spacing w:val="-20"/>
        </w:rPr>
        <w:t> </w:t>
      </w:r>
      <w:r>
        <w:rPr/>
        <w:t>the</w:t>
      </w:r>
      <w:r>
        <w:rPr>
          <w:spacing w:val="-20"/>
        </w:rPr>
        <w:t> </w:t>
      </w:r>
      <w:r>
        <w:rPr/>
        <w:t>carrying amount of assets and liabilities within the next reporting</w:t>
      </w:r>
      <w:r>
        <w:rPr>
          <w:spacing w:val="-1"/>
        </w:rPr>
        <w:t> </w:t>
      </w:r>
      <w:r>
        <w:rPr/>
        <w:t>period.</w:t>
      </w:r>
    </w:p>
    <w:p>
      <w:pPr>
        <w:pStyle w:val="BodyText"/>
        <w:spacing w:before="4"/>
        <w:rPr>
          <w:sz w:val="23"/>
        </w:rPr>
      </w:pPr>
    </w:p>
    <w:p>
      <w:pPr>
        <w:pStyle w:val="Heading6"/>
        <w:spacing w:before="1"/>
        <w:ind w:left="620"/>
      </w:pPr>
      <w:r>
        <w:rPr/>
        <w:t>Waste disposal site</w:t>
      </w:r>
    </w:p>
    <w:p>
      <w:pPr>
        <w:pStyle w:val="BodyText"/>
        <w:spacing w:line="249" w:lineRule="auto" w:before="11"/>
        <w:ind w:left="620" w:right="-9"/>
      </w:pPr>
      <w:r>
        <w:rPr/>
        <w:t>An</w:t>
      </w:r>
      <w:r>
        <w:rPr>
          <w:spacing w:val="-30"/>
        </w:rPr>
        <w:t> </w:t>
      </w:r>
      <w:r>
        <w:rPr/>
        <w:t>environmental</w:t>
      </w:r>
      <w:r>
        <w:rPr>
          <w:spacing w:val="-30"/>
        </w:rPr>
        <w:t> </w:t>
      </w:r>
      <w:r>
        <w:rPr/>
        <w:t>analysis</w:t>
      </w:r>
      <w:r>
        <w:rPr>
          <w:spacing w:val="-29"/>
        </w:rPr>
        <w:t> </w:t>
      </w:r>
      <w:r>
        <w:rPr>
          <w:spacing w:val="-3"/>
        </w:rPr>
        <w:t>to</w:t>
      </w:r>
      <w:r>
        <w:rPr>
          <w:spacing w:val="-30"/>
        </w:rPr>
        <w:t> </w:t>
      </w:r>
      <w:r>
        <w:rPr/>
        <w:t>provide</w:t>
      </w:r>
      <w:r>
        <w:rPr>
          <w:spacing w:val="-29"/>
        </w:rPr>
        <w:t> </w:t>
      </w:r>
      <w:r>
        <w:rPr/>
        <w:t>a</w:t>
      </w:r>
      <w:r>
        <w:rPr>
          <w:spacing w:val="-30"/>
        </w:rPr>
        <w:t> </w:t>
      </w:r>
      <w:r>
        <w:rPr/>
        <w:t>quantifiable estimate</w:t>
      </w:r>
      <w:r>
        <w:rPr>
          <w:spacing w:val="-19"/>
        </w:rPr>
        <w:t> </w:t>
      </w:r>
      <w:r>
        <w:rPr/>
        <w:t>of</w:t>
      </w:r>
      <w:r>
        <w:rPr>
          <w:spacing w:val="-18"/>
        </w:rPr>
        <w:t> </w:t>
      </w:r>
      <w:r>
        <w:rPr/>
        <w:t>the</w:t>
      </w:r>
      <w:r>
        <w:rPr>
          <w:spacing w:val="-19"/>
        </w:rPr>
        <w:t> </w:t>
      </w:r>
      <w:r>
        <w:rPr/>
        <w:t>amount</w:t>
      </w:r>
      <w:r>
        <w:rPr>
          <w:spacing w:val="-18"/>
        </w:rPr>
        <w:t> </w:t>
      </w:r>
      <w:r>
        <w:rPr/>
        <w:t>required</w:t>
      </w:r>
      <w:r>
        <w:rPr>
          <w:spacing w:val="-18"/>
        </w:rPr>
        <w:t> </w:t>
      </w:r>
      <w:r>
        <w:rPr>
          <w:spacing w:val="-3"/>
        </w:rPr>
        <w:t>to</w:t>
      </w:r>
      <w:r>
        <w:rPr>
          <w:spacing w:val="-19"/>
        </w:rPr>
        <w:t> </w:t>
      </w:r>
      <w:r>
        <w:rPr/>
        <w:t>rehabilitate</w:t>
      </w:r>
      <w:r>
        <w:rPr>
          <w:spacing w:val="-18"/>
        </w:rPr>
        <w:t> </w:t>
      </w:r>
      <w:r>
        <w:rPr/>
        <w:t>the Mt</w:t>
      </w:r>
      <w:r>
        <w:rPr>
          <w:spacing w:val="-22"/>
        </w:rPr>
        <w:t> </w:t>
      </w:r>
      <w:r>
        <w:rPr/>
        <w:t>Walton</w:t>
      </w:r>
      <w:r>
        <w:rPr>
          <w:spacing w:val="-22"/>
        </w:rPr>
        <w:t> </w:t>
      </w:r>
      <w:r>
        <w:rPr/>
        <w:t>East</w:t>
      </w:r>
      <w:r>
        <w:rPr>
          <w:spacing w:val="-21"/>
        </w:rPr>
        <w:t> </w:t>
      </w:r>
      <w:r>
        <w:rPr/>
        <w:t>intractable</w:t>
      </w:r>
      <w:r>
        <w:rPr>
          <w:spacing w:val="-22"/>
        </w:rPr>
        <w:t> </w:t>
      </w:r>
      <w:r>
        <w:rPr/>
        <w:t>waste</w:t>
      </w:r>
      <w:r>
        <w:rPr>
          <w:spacing w:val="-22"/>
        </w:rPr>
        <w:t> </w:t>
      </w:r>
      <w:r>
        <w:rPr/>
        <w:t>disposal</w:t>
      </w:r>
      <w:r>
        <w:rPr>
          <w:spacing w:val="-21"/>
        </w:rPr>
        <w:t> </w:t>
      </w:r>
      <w:r>
        <w:rPr/>
        <w:t>site</w:t>
      </w:r>
      <w:r>
        <w:rPr>
          <w:spacing w:val="-22"/>
        </w:rPr>
        <w:t> </w:t>
      </w:r>
      <w:r>
        <w:rPr/>
        <w:t>was obtained</w:t>
      </w:r>
      <w:r>
        <w:rPr>
          <w:spacing w:val="-26"/>
        </w:rPr>
        <w:t> </w:t>
      </w:r>
      <w:r>
        <w:rPr/>
        <w:t>for</w:t>
      </w:r>
      <w:r>
        <w:rPr>
          <w:spacing w:val="-25"/>
        </w:rPr>
        <w:t> </w:t>
      </w:r>
      <w:r>
        <w:rPr/>
        <w:t>the</w:t>
      </w:r>
      <w:r>
        <w:rPr>
          <w:spacing w:val="-25"/>
        </w:rPr>
        <w:t> </w:t>
      </w:r>
      <w:r>
        <w:rPr>
          <w:spacing w:val="-14"/>
        </w:rPr>
        <w:t>2017-18</w:t>
      </w:r>
      <w:r>
        <w:rPr>
          <w:spacing w:val="-25"/>
        </w:rPr>
        <w:t> </w:t>
      </w:r>
      <w:r>
        <w:rPr/>
        <w:t>financial</w:t>
      </w:r>
      <w:r>
        <w:rPr>
          <w:spacing w:val="-25"/>
        </w:rPr>
        <w:t> </w:t>
      </w:r>
      <w:r>
        <w:rPr>
          <w:spacing w:val="-4"/>
        </w:rPr>
        <w:t>year.</w:t>
      </w:r>
      <w:r>
        <w:rPr>
          <w:spacing w:val="-26"/>
        </w:rPr>
        <w:t> </w:t>
      </w:r>
      <w:r>
        <w:rPr/>
        <w:t>Calculations performed in assessing the restoration costs provision</w:t>
      </w:r>
      <w:r>
        <w:rPr>
          <w:spacing w:val="-16"/>
        </w:rPr>
        <w:t> </w:t>
      </w:r>
      <w:r>
        <w:rPr/>
        <w:t>incorporate</w:t>
      </w:r>
      <w:r>
        <w:rPr>
          <w:spacing w:val="-16"/>
        </w:rPr>
        <w:t> </w:t>
      </w:r>
      <w:r>
        <w:rPr/>
        <w:t>a</w:t>
      </w:r>
      <w:r>
        <w:rPr>
          <w:spacing w:val="-16"/>
        </w:rPr>
        <w:t> </w:t>
      </w:r>
      <w:r>
        <w:rPr/>
        <w:t>number</w:t>
      </w:r>
      <w:r>
        <w:rPr>
          <w:spacing w:val="-16"/>
        </w:rPr>
        <w:t> </w:t>
      </w:r>
      <w:r>
        <w:rPr/>
        <w:t>of</w:t>
      </w:r>
      <w:r>
        <w:rPr>
          <w:spacing w:val="-16"/>
        </w:rPr>
        <w:t> </w:t>
      </w:r>
      <w:r>
        <w:rPr>
          <w:spacing w:val="-3"/>
        </w:rPr>
        <w:t>key</w:t>
      </w:r>
      <w:r>
        <w:rPr>
          <w:spacing w:val="-16"/>
        </w:rPr>
        <w:t> </w:t>
      </w:r>
      <w:r>
        <w:rPr/>
        <w:t>estimates.</w:t>
      </w:r>
    </w:p>
    <w:p>
      <w:pPr>
        <w:pStyle w:val="BodyText"/>
        <w:spacing w:line="249" w:lineRule="auto" w:before="5"/>
        <w:ind w:left="620" w:right="219"/>
      </w:pPr>
      <w:r>
        <w:rPr/>
        <w:t>Calculation of the provision will be conducted annually</w:t>
      </w:r>
      <w:r>
        <w:rPr>
          <w:spacing w:val="-20"/>
        </w:rPr>
        <w:t> </w:t>
      </w:r>
      <w:r>
        <w:rPr/>
        <w:t>and</w:t>
      </w:r>
      <w:r>
        <w:rPr>
          <w:spacing w:val="-20"/>
        </w:rPr>
        <w:t> </w:t>
      </w:r>
      <w:r>
        <w:rPr/>
        <w:t>adjusted</w:t>
      </w:r>
      <w:r>
        <w:rPr>
          <w:spacing w:val="-20"/>
        </w:rPr>
        <w:t> </w:t>
      </w:r>
      <w:r>
        <w:rPr/>
        <w:t>using</w:t>
      </w:r>
      <w:r>
        <w:rPr>
          <w:spacing w:val="-20"/>
        </w:rPr>
        <w:t> </w:t>
      </w:r>
      <w:r>
        <w:rPr/>
        <w:t>the</w:t>
      </w:r>
      <w:r>
        <w:rPr>
          <w:spacing w:val="-20"/>
        </w:rPr>
        <w:t> </w:t>
      </w:r>
      <w:r>
        <w:rPr/>
        <w:t>most</w:t>
      </w:r>
      <w:r>
        <w:rPr>
          <w:spacing w:val="-19"/>
        </w:rPr>
        <w:t> </w:t>
      </w:r>
      <w:r>
        <w:rPr/>
        <w:t>up-to-date information</w:t>
      </w:r>
      <w:r>
        <w:rPr>
          <w:spacing w:val="-3"/>
        </w:rPr>
        <w:t> </w:t>
      </w:r>
      <w:r>
        <w:rPr/>
        <w:t>available.</w:t>
      </w:r>
    </w:p>
    <w:p>
      <w:pPr>
        <w:pStyle w:val="BodyText"/>
        <w:spacing w:before="5"/>
        <w:rPr>
          <w:sz w:val="23"/>
        </w:rPr>
      </w:pPr>
      <w:r>
        <w:rPr/>
        <w:br w:type="column"/>
      </w:r>
      <w:r>
        <w:rPr>
          <w:sz w:val="23"/>
        </w:rPr>
      </w:r>
    </w:p>
    <w:p>
      <w:pPr>
        <w:pStyle w:val="Heading6"/>
        <w:ind w:left="388"/>
      </w:pPr>
      <w:r>
        <w:rPr/>
        <w:t>Long service leave</w:t>
      </w:r>
    </w:p>
    <w:p>
      <w:pPr>
        <w:pStyle w:val="BodyText"/>
        <w:spacing w:line="249" w:lineRule="auto" w:before="11"/>
        <w:ind w:left="388" w:right="1123"/>
      </w:pPr>
      <w:r>
        <w:rPr/>
        <w:t>Several estimations and assumptions used in calculating</w:t>
      </w:r>
      <w:r>
        <w:rPr>
          <w:spacing w:val="-31"/>
        </w:rPr>
        <w:t> </w:t>
      </w:r>
      <w:r>
        <w:rPr/>
        <w:t>the</w:t>
      </w:r>
      <w:r>
        <w:rPr>
          <w:spacing w:val="-31"/>
        </w:rPr>
        <w:t> </w:t>
      </w:r>
      <w:r>
        <w:rPr/>
        <w:t>Department’s</w:t>
      </w:r>
      <w:r>
        <w:rPr>
          <w:spacing w:val="-31"/>
        </w:rPr>
        <w:t> </w:t>
      </w:r>
      <w:r>
        <w:rPr/>
        <w:t>long</w:t>
      </w:r>
      <w:r>
        <w:rPr>
          <w:spacing w:val="-31"/>
        </w:rPr>
        <w:t> </w:t>
      </w:r>
      <w:r>
        <w:rPr/>
        <w:t>service</w:t>
      </w:r>
      <w:r>
        <w:rPr>
          <w:spacing w:val="-30"/>
        </w:rPr>
        <w:t> </w:t>
      </w:r>
      <w:r>
        <w:rPr/>
        <w:t>leave provision</w:t>
      </w:r>
      <w:r>
        <w:rPr>
          <w:spacing w:val="-23"/>
        </w:rPr>
        <w:t> </w:t>
      </w:r>
      <w:r>
        <w:rPr/>
        <w:t>include</w:t>
      </w:r>
      <w:r>
        <w:rPr>
          <w:spacing w:val="-22"/>
        </w:rPr>
        <w:t> </w:t>
      </w:r>
      <w:r>
        <w:rPr/>
        <w:t>expected</w:t>
      </w:r>
      <w:r>
        <w:rPr>
          <w:spacing w:val="-23"/>
        </w:rPr>
        <w:t> </w:t>
      </w:r>
      <w:r>
        <w:rPr/>
        <w:t>future</w:t>
      </w:r>
      <w:r>
        <w:rPr>
          <w:spacing w:val="-22"/>
        </w:rPr>
        <w:t> </w:t>
      </w:r>
      <w:r>
        <w:rPr/>
        <w:t>salary</w:t>
      </w:r>
      <w:r>
        <w:rPr>
          <w:spacing w:val="-23"/>
        </w:rPr>
        <w:t> </w:t>
      </w:r>
      <w:r>
        <w:rPr/>
        <w:t>rates, discount rates, employee retention rates and expected future payments. Changes in these estimations and assumptions may impact on the</w:t>
      </w:r>
      <w:r>
        <w:rPr>
          <w:spacing w:val="-18"/>
        </w:rPr>
        <w:t> </w:t>
      </w:r>
      <w:r>
        <w:rPr/>
        <w:t>carrying</w:t>
      </w:r>
      <w:r>
        <w:rPr>
          <w:spacing w:val="-17"/>
        </w:rPr>
        <w:t> </w:t>
      </w:r>
      <w:r>
        <w:rPr/>
        <w:t>amounts</w:t>
      </w:r>
      <w:r>
        <w:rPr>
          <w:spacing w:val="-17"/>
        </w:rPr>
        <w:t> </w:t>
      </w:r>
      <w:r>
        <w:rPr/>
        <w:t>of</w:t>
      </w:r>
      <w:r>
        <w:rPr>
          <w:spacing w:val="-17"/>
        </w:rPr>
        <w:t> </w:t>
      </w:r>
      <w:r>
        <w:rPr/>
        <w:t>the</w:t>
      </w:r>
      <w:r>
        <w:rPr>
          <w:spacing w:val="-17"/>
        </w:rPr>
        <w:t> </w:t>
      </w:r>
      <w:r>
        <w:rPr/>
        <w:t>long</w:t>
      </w:r>
      <w:r>
        <w:rPr>
          <w:spacing w:val="-17"/>
        </w:rPr>
        <w:t> </w:t>
      </w:r>
      <w:r>
        <w:rPr/>
        <w:t>service</w:t>
      </w:r>
      <w:r>
        <w:rPr>
          <w:spacing w:val="-18"/>
        </w:rPr>
        <w:t> </w:t>
      </w:r>
      <w:r>
        <w:rPr/>
        <w:t>leave provision.</w:t>
      </w:r>
    </w:p>
    <w:p>
      <w:pPr>
        <w:pStyle w:val="BodyText"/>
        <w:spacing w:before="3"/>
        <w:rPr>
          <w:sz w:val="24"/>
        </w:rPr>
      </w:pPr>
    </w:p>
    <w:p>
      <w:pPr>
        <w:pStyle w:val="Heading5"/>
        <w:spacing w:line="235" w:lineRule="auto" w:before="0"/>
        <w:ind w:left="388" w:right="1143"/>
      </w:pPr>
      <w:r>
        <w:rPr>
          <w:color w:val="6F2770"/>
          <w:spacing w:val="-4"/>
        </w:rPr>
        <w:t>Note</w:t>
      </w:r>
      <w:r>
        <w:rPr>
          <w:color w:val="6F2770"/>
          <w:spacing w:val="-31"/>
        </w:rPr>
        <w:t> </w:t>
      </w:r>
      <w:r>
        <w:rPr>
          <w:color w:val="6F2770"/>
          <w:spacing w:val="-3"/>
        </w:rPr>
        <w:t>6.</w:t>
      </w:r>
      <w:r>
        <w:rPr>
          <w:color w:val="6F2770"/>
          <w:spacing w:val="-31"/>
        </w:rPr>
        <w:t> </w:t>
      </w:r>
      <w:r>
        <w:rPr>
          <w:color w:val="6F2770"/>
        </w:rPr>
        <w:t>Disclosure</w:t>
      </w:r>
      <w:r>
        <w:rPr>
          <w:color w:val="6F2770"/>
          <w:spacing w:val="-31"/>
        </w:rPr>
        <w:t> </w:t>
      </w:r>
      <w:r>
        <w:rPr>
          <w:color w:val="6F2770"/>
          <w:spacing w:val="-3"/>
        </w:rPr>
        <w:t>of</w:t>
      </w:r>
      <w:r>
        <w:rPr>
          <w:color w:val="6F2770"/>
          <w:spacing w:val="-31"/>
        </w:rPr>
        <w:t> </w:t>
      </w:r>
      <w:r>
        <w:rPr>
          <w:color w:val="6F2770"/>
        </w:rPr>
        <w:t>changes</w:t>
      </w:r>
      <w:r>
        <w:rPr>
          <w:color w:val="6F2770"/>
          <w:spacing w:val="-31"/>
        </w:rPr>
        <w:t> </w:t>
      </w:r>
      <w:r>
        <w:rPr>
          <w:color w:val="6F2770"/>
        </w:rPr>
        <w:t>in </w:t>
      </w:r>
      <w:r>
        <w:rPr>
          <w:color w:val="6F2770"/>
          <w:spacing w:val="-3"/>
        </w:rPr>
        <w:t>accounting</w:t>
      </w:r>
      <w:r>
        <w:rPr>
          <w:color w:val="6F2770"/>
          <w:spacing w:val="-29"/>
        </w:rPr>
        <w:t> </w:t>
      </w:r>
      <w:r>
        <w:rPr>
          <w:color w:val="6F2770"/>
        </w:rPr>
        <w:t>policy</w:t>
      </w:r>
      <w:r>
        <w:rPr>
          <w:color w:val="6F2770"/>
          <w:spacing w:val="-29"/>
        </w:rPr>
        <w:t> </w:t>
      </w:r>
      <w:r>
        <w:rPr>
          <w:color w:val="6F2770"/>
        </w:rPr>
        <w:t>and</w:t>
      </w:r>
      <w:r>
        <w:rPr>
          <w:color w:val="6F2770"/>
          <w:spacing w:val="-29"/>
        </w:rPr>
        <w:t> </w:t>
      </w:r>
      <w:r>
        <w:rPr>
          <w:color w:val="6F2770"/>
          <w:spacing w:val="-3"/>
        </w:rPr>
        <w:t>estimates</w:t>
      </w:r>
    </w:p>
    <w:p>
      <w:pPr>
        <w:spacing w:line="249" w:lineRule="auto" w:before="255"/>
        <w:ind w:left="388" w:right="1252" w:firstLine="0"/>
        <w:jc w:val="left"/>
        <w:rPr>
          <w:sz w:val="22"/>
        </w:rPr>
      </w:pPr>
      <w:r>
        <w:rPr>
          <w:b/>
          <w:sz w:val="22"/>
        </w:rPr>
        <w:t>Voluntary changes in accounting policy </w:t>
      </w:r>
      <w:r>
        <w:rPr>
          <w:sz w:val="22"/>
        </w:rPr>
        <w:t>There</w:t>
      </w:r>
      <w:r>
        <w:rPr>
          <w:spacing w:val="-25"/>
          <w:sz w:val="22"/>
        </w:rPr>
        <w:t> </w:t>
      </w:r>
      <w:r>
        <w:rPr>
          <w:sz w:val="22"/>
        </w:rPr>
        <w:t>are</w:t>
      </w:r>
      <w:r>
        <w:rPr>
          <w:spacing w:val="-25"/>
          <w:sz w:val="22"/>
        </w:rPr>
        <w:t> </w:t>
      </w:r>
      <w:r>
        <w:rPr>
          <w:sz w:val="22"/>
        </w:rPr>
        <w:t>no</w:t>
      </w:r>
      <w:r>
        <w:rPr>
          <w:spacing w:val="-25"/>
          <w:sz w:val="22"/>
        </w:rPr>
        <w:t> </w:t>
      </w:r>
      <w:r>
        <w:rPr>
          <w:sz w:val="22"/>
        </w:rPr>
        <w:t>voluntary</w:t>
      </w:r>
      <w:r>
        <w:rPr>
          <w:spacing w:val="-25"/>
          <w:sz w:val="22"/>
        </w:rPr>
        <w:t> </w:t>
      </w:r>
      <w:r>
        <w:rPr>
          <w:sz w:val="22"/>
        </w:rPr>
        <w:t>changes</w:t>
      </w:r>
      <w:r>
        <w:rPr>
          <w:spacing w:val="-24"/>
          <w:sz w:val="22"/>
        </w:rPr>
        <w:t> </w:t>
      </w:r>
      <w:r>
        <w:rPr>
          <w:sz w:val="22"/>
        </w:rPr>
        <w:t>in</w:t>
      </w:r>
      <w:r>
        <w:rPr>
          <w:spacing w:val="-25"/>
          <w:sz w:val="22"/>
        </w:rPr>
        <w:t> </w:t>
      </w:r>
      <w:r>
        <w:rPr>
          <w:sz w:val="22"/>
        </w:rPr>
        <w:t>accounting policies during the reporting</w:t>
      </w:r>
      <w:r>
        <w:rPr>
          <w:spacing w:val="-18"/>
          <w:sz w:val="22"/>
        </w:rPr>
        <w:t> </w:t>
      </w:r>
      <w:r>
        <w:rPr>
          <w:sz w:val="22"/>
        </w:rPr>
        <w:t>period.</w:t>
      </w:r>
    </w:p>
    <w:p>
      <w:pPr>
        <w:spacing w:after="0" w:line="249" w:lineRule="auto"/>
        <w:jc w:val="left"/>
        <w:rPr>
          <w:sz w:val="22"/>
        </w:rPr>
        <w:sectPr>
          <w:type w:val="continuous"/>
          <w:pgSz w:w="16840" w:h="11910" w:orient="landscape"/>
          <w:pgMar w:top="1100" w:bottom="280" w:left="0" w:right="0"/>
          <w:cols w:num="3" w:equalWidth="0">
            <w:col w:w="5349" w:space="40"/>
            <w:col w:w="5437" w:space="39"/>
            <w:col w:w="597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tabs>
          <w:tab w:pos="1227" w:val="left" w:leader="none"/>
          <w:tab w:pos="5951" w:val="left" w:leader="none"/>
          <w:tab w:pos="16072" w:val="left" w:leader="none"/>
        </w:tabs>
        <w:spacing w:before="108"/>
        <w:ind w:left="765" w:right="0" w:firstLine="0"/>
        <w:jc w:val="left"/>
        <w:rPr>
          <w:b/>
          <w:sz w:val="20"/>
        </w:rPr>
      </w:pPr>
      <w:r>
        <w:rPr/>
        <w:pict>
          <v:group style="position:absolute;margin-left:0pt;margin-top:-9.455017pt;width:24.1pt;height:41.55pt;mso-position-horizontal-relative:page;mso-position-vertical-relative:paragraph;z-index:1453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56</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b/>
          <w:sz w:val="23"/>
        </w:rPr>
      </w:pPr>
    </w:p>
    <w:p>
      <w:pPr>
        <w:pStyle w:val="Heading1"/>
      </w:pPr>
      <w:r>
        <w:rPr/>
        <w:pict>
          <v:group style="position:absolute;margin-left:481.080994pt;margin-top:-57.498207pt;width:360.85pt;height:126.5pt;mso-position-horizontal-relative:page;mso-position-vertical-relative:paragraph;z-index:-697744" coordorigin="9622,-1150" coordsize="7217,2530">
            <v:shape style="position:absolute;left:2923;top:21008;width:3553;height:2525" coordorigin="2923,21008" coordsize="3553,2525" path="m15959,-1147l16016,-1090m15849,-1147l16079,-917m15738,-1147l16117,-768m15628,-1147l16141,-635m15518,-1147l16152,-513m15407,-1147l16156,-398m15297,-1147l16153,-292m15186,-1147l16144,-190m15076,-1147l16130,-94m14966,-1147l16111,-2m14855,-1147l16089,86m14745,-1147l16063,170m14635,-1147l16033,251m14524,-1147l16001,329m14414,-1147l15965,403m14304,-1147l15926,475m14193,-1147l15885,544m14083,-1147l15842,611m13973,-1147l15795,675m13862,-1147l15746,736m13752,-1147l15695,795m13642,-1147l15641,852m13531,-1147l15585,906m13421,-1147l15526,958m13311,-1147l15465,1007m13200,-1147l15402,1054m13090,-1147l15336,1099m12980,-1147l15267,1140m12869,-1147l15196,1179m12766,-1141l15122,1216m12733,-1063l15045,1249m12703,-983l14965,1279m12676,-900l14881,1306m12653,-812l14794,1329m12633,-721l14703,1348m12618,-626l14608,1363m12609,-525l14507,1373m12604,-419l14401,1378m12606,-307l14289,1375m12616,-187l14168,1365m12637,-56l14037,1345m12672,90l13892,1310m12729,257l13725,1253m12829,467l13514,1153e" filled="false" stroked="true" strokeweight=".25pt" strokecolor="#aebd37">
              <v:path arrowok="t"/>
              <v:stroke dashstyle="solid"/>
            </v:shape>
            <v:shape style="position:absolute;left:20;top:1628;width:1781;height:1660" coordorigin="21,1629" coordsize="1781,1660" path="m11986,394l11657,65m12178,476l11575,-127m12318,505l11546,-266m12435,512l11539,-384m12539,505l11546,-487m12633,489l11563,-581m12719,464l11587,-667m12797,433l11619,-746m12870,395l11656,-819m12938,352l11699,-887m13000,305l11746,-949m13058,252l11799,-1007m13111,195l11856,-1060m13159,132l11919,-1108m13202,65l11989,-1147m13239,-8l12100,-1147m13271,-87l12210,-1147m13295,-173l12321,-1147m13313,-266l12431,-1147m13320,-369l12541,-1147m13313,-486l12652,-1147m13285,-624l12762,-1147m13205,-815l12872,-1147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480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482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484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53"/>
          <w:pgSz w:w="16840" w:h="11910" w:orient="landscape"/>
          <w:pgMar w:footer="0" w:header="0" w:top="0" w:bottom="0" w:left="0" w:right="0"/>
        </w:sectPr>
      </w:pPr>
    </w:p>
    <w:p>
      <w:pPr>
        <w:pStyle w:val="BodyText"/>
        <w:spacing w:before="5"/>
        <w:rPr>
          <w:sz w:val="23"/>
        </w:rPr>
      </w:pPr>
    </w:p>
    <w:p>
      <w:pPr>
        <w:pStyle w:val="Heading6"/>
        <w:spacing w:line="249" w:lineRule="auto"/>
        <w:ind w:right="53"/>
      </w:pPr>
      <w:r>
        <w:rPr/>
        <w:t>Future impact of Australian Accounting Standards not yet operative</w:t>
      </w:r>
    </w:p>
    <w:p>
      <w:pPr>
        <w:spacing w:line="249" w:lineRule="auto" w:before="2"/>
        <w:ind w:left="765" w:right="53" w:firstLine="0"/>
        <w:jc w:val="left"/>
        <w:rPr>
          <w:sz w:val="22"/>
        </w:rPr>
      </w:pPr>
      <w:r>
        <w:rPr>
          <w:sz w:val="22"/>
        </w:rPr>
        <w:t>The</w:t>
      </w:r>
      <w:r>
        <w:rPr>
          <w:spacing w:val="-22"/>
          <w:sz w:val="22"/>
        </w:rPr>
        <w:t> </w:t>
      </w:r>
      <w:r>
        <w:rPr>
          <w:sz w:val="22"/>
        </w:rPr>
        <w:t>Department</w:t>
      </w:r>
      <w:r>
        <w:rPr>
          <w:spacing w:val="-22"/>
          <w:sz w:val="22"/>
        </w:rPr>
        <w:t> </w:t>
      </w:r>
      <w:r>
        <w:rPr>
          <w:sz w:val="22"/>
        </w:rPr>
        <w:t>cannot</w:t>
      </w:r>
      <w:r>
        <w:rPr>
          <w:spacing w:val="-22"/>
          <w:sz w:val="22"/>
        </w:rPr>
        <w:t> </w:t>
      </w:r>
      <w:r>
        <w:rPr>
          <w:sz w:val="22"/>
        </w:rPr>
        <w:t>early</w:t>
      </w:r>
      <w:r>
        <w:rPr>
          <w:spacing w:val="-21"/>
          <w:sz w:val="22"/>
        </w:rPr>
        <w:t> </w:t>
      </w:r>
      <w:r>
        <w:rPr>
          <w:sz w:val="22"/>
        </w:rPr>
        <w:t>adopt</w:t>
      </w:r>
      <w:r>
        <w:rPr>
          <w:spacing w:val="-22"/>
          <w:sz w:val="22"/>
        </w:rPr>
        <w:t> </w:t>
      </w:r>
      <w:r>
        <w:rPr>
          <w:sz w:val="22"/>
        </w:rPr>
        <w:t>an</w:t>
      </w:r>
      <w:r>
        <w:rPr>
          <w:spacing w:val="-22"/>
          <w:sz w:val="22"/>
        </w:rPr>
        <w:t> </w:t>
      </w:r>
      <w:r>
        <w:rPr>
          <w:sz w:val="22"/>
        </w:rPr>
        <w:t>Australian Accounting</w:t>
      </w:r>
      <w:r>
        <w:rPr>
          <w:spacing w:val="-32"/>
          <w:sz w:val="22"/>
        </w:rPr>
        <w:t> </w:t>
      </w:r>
      <w:r>
        <w:rPr>
          <w:sz w:val="22"/>
        </w:rPr>
        <w:t>Standard</w:t>
      </w:r>
      <w:r>
        <w:rPr>
          <w:spacing w:val="-32"/>
          <w:sz w:val="22"/>
        </w:rPr>
        <w:t> </w:t>
      </w:r>
      <w:r>
        <w:rPr>
          <w:sz w:val="22"/>
        </w:rPr>
        <w:t>unless</w:t>
      </w:r>
      <w:r>
        <w:rPr>
          <w:spacing w:val="-31"/>
          <w:sz w:val="22"/>
        </w:rPr>
        <w:t> </w:t>
      </w:r>
      <w:r>
        <w:rPr>
          <w:sz w:val="22"/>
        </w:rPr>
        <w:t>specifically</w:t>
      </w:r>
      <w:r>
        <w:rPr>
          <w:spacing w:val="-32"/>
          <w:sz w:val="22"/>
        </w:rPr>
        <w:t> </w:t>
      </w:r>
      <w:r>
        <w:rPr>
          <w:sz w:val="22"/>
        </w:rPr>
        <w:t>permitted by TI </w:t>
      </w:r>
      <w:r>
        <w:rPr>
          <w:spacing w:val="-13"/>
          <w:sz w:val="22"/>
        </w:rPr>
        <w:t>1101 </w:t>
      </w:r>
      <w:r>
        <w:rPr>
          <w:i/>
          <w:sz w:val="22"/>
        </w:rPr>
        <w:t>Application of Australian Accounting </w:t>
      </w:r>
      <w:r>
        <w:rPr>
          <w:i/>
          <w:sz w:val="22"/>
        </w:rPr>
        <w:t>Standards and Other Pronouncements </w:t>
      </w:r>
      <w:r>
        <w:rPr>
          <w:sz w:val="22"/>
        </w:rPr>
        <w:t>or</w:t>
      </w:r>
      <w:r>
        <w:rPr>
          <w:spacing w:val="-45"/>
          <w:sz w:val="22"/>
        </w:rPr>
        <w:t> </w:t>
      </w:r>
      <w:r>
        <w:rPr>
          <w:sz w:val="22"/>
        </w:rPr>
        <w:t>by</w:t>
      </w:r>
    </w:p>
    <w:p>
      <w:pPr>
        <w:pStyle w:val="BodyText"/>
        <w:spacing w:line="249" w:lineRule="auto" w:before="3"/>
        <w:ind w:left="765" w:right="340"/>
      </w:pPr>
      <w:r>
        <w:rPr/>
        <w:t>an exemption from TI </w:t>
      </w:r>
      <w:r>
        <w:rPr>
          <w:spacing w:val="-14"/>
        </w:rPr>
        <w:t>1101. </w:t>
      </w:r>
      <w:r>
        <w:rPr/>
        <w:t>Where applicable, the</w:t>
      </w:r>
      <w:r>
        <w:rPr>
          <w:spacing w:val="-23"/>
        </w:rPr>
        <w:t> </w:t>
      </w:r>
      <w:r>
        <w:rPr/>
        <w:t>Department</w:t>
      </w:r>
      <w:r>
        <w:rPr>
          <w:spacing w:val="-23"/>
        </w:rPr>
        <w:t> </w:t>
      </w:r>
      <w:r>
        <w:rPr/>
        <w:t>plans</w:t>
      </w:r>
      <w:r>
        <w:rPr>
          <w:spacing w:val="-23"/>
        </w:rPr>
        <w:t> </w:t>
      </w:r>
      <w:r>
        <w:rPr>
          <w:spacing w:val="-3"/>
        </w:rPr>
        <w:t>to</w:t>
      </w:r>
      <w:r>
        <w:rPr>
          <w:spacing w:val="-24"/>
        </w:rPr>
        <w:t> </w:t>
      </w:r>
      <w:r>
        <w:rPr/>
        <w:t>apply</w:t>
      </w:r>
      <w:r>
        <w:rPr>
          <w:spacing w:val="-23"/>
        </w:rPr>
        <w:t> </w:t>
      </w:r>
      <w:r>
        <w:rPr/>
        <w:t>these</w:t>
      </w:r>
      <w:r>
        <w:rPr>
          <w:spacing w:val="-23"/>
        </w:rPr>
        <w:t> </w:t>
      </w:r>
      <w:r>
        <w:rPr/>
        <w:t>Australian</w:t>
      </w:r>
    </w:p>
    <w:p>
      <w:pPr>
        <w:pStyle w:val="BodyText"/>
        <w:spacing w:before="2"/>
        <w:ind w:left="765"/>
      </w:pPr>
      <w:r>
        <w:rPr/>
        <w:t>Accounting</w:t>
      </w:r>
      <w:r>
        <w:rPr>
          <w:spacing w:val="-17"/>
        </w:rPr>
        <w:t> </w:t>
      </w:r>
      <w:r>
        <w:rPr/>
        <w:t>Standards</w:t>
      </w:r>
      <w:r>
        <w:rPr>
          <w:spacing w:val="-17"/>
        </w:rPr>
        <w:t> </w:t>
      </w:r>
      <w:r>
        <w:rPr/>
        <w:t>from</w:t>
      </w:r>
      <w:r>
        <w:rPr>
          <w:spacing w:val="-17"/>
        </w:rPr>
        <w:t> </w:t>
      </w:r>
      <w:r>
        <w:rPr/>
        <w:t>their</w:t>
      </w:r>
      <w:r>
        <w:rPr>
          <w:spacing w:val="-17"/>
        </w:rPr>
        <w:t> </w:t>
      </w:r>
      <w:r>
        <w:rPr/>
        <w:t>application</w:t>
      </w:r>
      <w:r>
        <w:rPr>
          <w:spacing w:val="-17"/>
        </w:rPr>
        <w:t> </w:t>
      </w:r>
      <w:r>
        <w:rPr>
          <w:spacing w:val="-3"/>
        </w:rPr>
        <w:t>date.</w:t>
      </w:r>
    </w:p>
    <w:p>
      <w:pPr>
        <w:pStyle w:val="BodyText"/>
        <w:spacing w:before="10"/>
        <w:rPr>
          <w:sz w:val="23"/>
        </w:rPr>
      </w:pPr>
    </w:p>
    <w:p>
      <w:pPr>
        <w:pStyle w:val="Heading6"/>
        <w:spacing w:line="249" w:lineRule="auto" w:before="1"/>
        <w:ind w:right="53"/>
      </w:pPr>
      <w:r>
        <w:rPr/>
        <w:t>Operative for reporting periods beginning on/after 1 Jan 2018</w:t>
      </w:r>
    </w:p>
    <w:p>
      <w:pPr>
        <w:pStyle w:val="BodyText"/>
        <w:spacing w:before="1"/>
        <w:rPr>
          <w:b/>
          <w:sz w:val="23"/>
        </w:rPr>
      </w:pPr>
    </w:p>
    <w:p>
      <w:pPr>
        <w:spacing w:before="0"/>
        <w:ind w:left="765" w:right="0" w:firstLine="0"/>
        <w:jc w:val="left"/>
        <w:rPr>
          <w:b/>
          <w:sz w:val="22"/>
        </w:rPr>
      </w:pPr>
      <w:r>
        <w:rPr>
          <w:b/>
          <w:color w:val="6F2770"/>
          <w:sz w:val="22"/>
        </w:rPr>
        <w:t>AASB 9</w:t>
      </w:r>
    </w:p>
    <w:p>
      <w:pPr>
        <w:spacing w:before="11"/>
        <w:ind w:left="765" w:right="0" w:firstLine="0"/>
        <w:jc w:val="left"/>
        <w:rPr>
          <w:i/>
          <w:sz w:val="22"/>
        </w:rPr>
      </w:pPr>
      <w:r>
        <w:rPr>
          <w:i/>
          <w:color w:val="6F2770"/>
          <w:sz w:val="22"/>
        </w:rPr>
        <w:t>Financial Instruments</w:t>
      </w:r>
    </w:p>
    <w:p>
      <w:pPr>
        <w:spacing w:line="249" w:lineRule="auto" w:before="11"/>
        <w:ind w:left="765" w:right="203" w:firstLine="0"/>
        <w:jc w:val="left"/>
        <w:rPr>
          <w:sz w:val="22"/>
        </w:rPr>
      </w:pPr>
      <w:r>
        <w:rPr/>
        <w:pict>
          <v:group style="position:absolute;margin-left:0pt;margin-top:8.407541pt;width:97.4pt;height:238.9pt;mso-position-horizontal-relative:page;mso-position-vertical-relative:paragraph;z-index:-697768" coordorigin="0,168" coordsize="1948,4778">
            <v:shape style="position:absolute;left:0;top:168;width:1948;height:4778" type="#_x0000_t75" stroked="false">
              <v:imagedata r:id="rId46" o:title=""/>
            </v:shape>
            <v:shape style="position:absolute;left:0;top:3972;width:482;height:831" coordorigin="0,3972" coordsize="482,831" path="m66,3972l49,3972,33,3974,16,3975,0,3978,0,4797,16,4799,33,4801,49,4802,66,4802,140,4796,211,4777,275,4746,333,4705,383,4655,424,4597,455,4532,474,4462,481,4387,474,4313,455,4242,424,4178,383,4120,333,4070,275,4029,211,3998,140,3979,66,3972xe" filled="true" fillcolor="#ffffff" stroked="false">
              <v:path arrowok="t"/>
              <v:fill type="solid"/>
            </v:shape>
            <v:shape style="position:absolute;left:0;top:3972;width:482;height:831" coordorigin="0,3972" coordsize="482,831" path="m66,3972l49,3972,33,3974,16,3975,0,3978,0,4797,16,4799,33,4801,49,4802,66,4802,140,4796,211,4777,275,4746,333,4705,383,4655,424,4597,455,4532,474,4462,481,4387,474,4313,455,4242,424,4178,383,4120,333,4070,275,4029,211,3998,140,3979,66,3972xe" filled="true" fillcolor="#aebd37" stroked="false">
              <v:path arrowok="t"/>
              <v:fill opacity="13107f" type="solid"/>
            </v:shape>
            <v:shape style="position:absolute;left:174;top:4301;width:93;height:171" coordorigin="174,4301" coordsize="93,171" path="m256,4301l248,4301,182,4367,176,4376,174,4386,174,4388,176,4398,182,4408,245,4471,249,4472,256,4472,259,4471,267,4463,267,4455,200,4388,200,4386,267,4320,267,4312,256,4301xe" filled="true" fillcolor="#000000" stroked="false">
              <v:path arrowok="t"/>
              <v:fill type="solid"/>
            </v:shape>
            <w10:wrap type="none"/>
          </v:group>
        </w:pict>
      </w:r>
      <w:r>
        <w:rPr>
          <w:sz w:val="22"/>
        </w:rPr>
        <w:t>This Standard supersedes AASB </w:t>
      </w:r>
      <w:r>
        <w:rPr>
          <w:spacing w:val="-6"/>
          <w:sz w:val="22"/>
        </w:rPr>
        <w:t>139 </w:t>
      </w:r>
      <w:r>
        <w:rPr>
          <w:i/>
          <w:sz w:val="22"/>
        </w:rPr>
        <w:t>Financial </w:t>
      </w:r>
      <w:r>
        <w:rPr>
          <w:i/>
          <w:sz w:val="22"/>
        </w:rPr>
        <w:t>Instruments: Recognition and Measurement</w:t>
      </w:r>
      <w:r>
        <w:rPr>
          <w:sz w:val="22"/>
        </w:rPr>
        <w:t>, introducing a number of changes </w:t>
      </w:r>
      <w:r>
        <w:rPr>
          <w:spacing w:val="-3"/>
          <w:sz w:val="22"/>
        </w:rPr>
        <w:t>to </w:t>
      </w:r>
      <w:r>
        <w:rPr>
          <w:sz w:val="22"/>
        </w:rPr>
        <w:t>accounting treatments.</w:t>
      </w:r>
    </w:p>
    <w:p>
      <w:pPr>
        <w:pStyle w:val="BodyText"/>
        <w:spacing w:before="3"/>
        <w:rPr>
          <w:sz w:val="23"/>
        </w:rPr>
      </w:pPr>
    </w:p>
    <w:p>
      <w:pPr>
        <w:pStyle w:val="BodyText"/>
        <w:spacing w:line="249" w:lineRule="auto"/>
        <w:ind w:left="765" w:right="-9"/>
      </w:pPr>
      <w:r>
        <w:rPr/>
        <w:t>The</w:t>
      </w:r>
      <w:r>
        <w:rPr>
          <w:spacing w:val="-18"/>
        </w:rPr>
        <w:t> </w:t>
      </w:r>
      <w:r>
        <w:rPr/>
        <w:t>Department</w:t>
      </w:r>
      <w:r>
        <w:rPr>
          <w:spacing w:val="-18"/>
        </w:rPr>
        <w:t> </w:t>
      </w:r>
      <w:r>
        <w:rPr/>
        <w:t>has</w:t>
      </w:r>
      <w:r>
        <w:rPr>
          <w:spacing w:val="-18"/>
        </w:rPr>
        <w:t> </w:t>
      </w:r>
      <w:r>
        <w:rPr/>
        <w:t>assessed</w:t>
      </w:r>
      <w:r>
        <w:rPr>
          <w:spacing w:val="-17"/>
        </w:rPr>
        <w:t> </w:t>
      </w:r>
      <w:r>
        <w:rPr/>
        <w:t>that</w:t>
      </w:r>
      <w:r>
        <w:rPr>
          <w:spacing w:val="-18"/>
        </w:rPr>
        <w:t> </w:t>
      </w:r>
      <w:r>
        <w:rPr/>
        <w:t>recognition</w:t>
      </w:r>
      <w:r>
        <w:rPr>
          <w:spacing w:val="-18"/>
        </w:rPr>
        <w:t> </w:t>
      </w:r>
      <w:r>
        <w:rPr/>
        <w:t>of expected</w:t>
      </w:r>
      <w:r>
        <w:rPr>
          <w:spacing w:val="-18"/>
        </w:rPr>
        <w:t> </w:t>
      </w:r>
      <w:r>
        <w:rPr/>
        <w:t>credit</w:t>
      </w:r>
      <w:r>
        <w:rPr>
          <w:spacing w:val="-17"/>
        </w:rPr>
        <w:t> </w:t>
      </w:r>
      <w:r>
        <w:rPr/>
        <w:t>losses</w:t>
      </w:r>
      <w:r>
        <w:rPr>
          <w:spacing w:val="-18"/>
        </w:rPr>
        <w:t> </w:t>
      </w:r>
      <w:r>
        <w:rPr/>
        <w:t>will</w:t>
      </w:r>
      <w:r>
        <w:rPr>
          <w:spacing w:val="-17"/>
        </w:rPr>
        <w:t> </w:t>
      </w:r>
      <w:r>
        <w:rPr/>
        <w:t>increase</w:t>
      </w:r>
      <w:r>
        <w:rPr>
          <w:spacing w:val="-18"/>
        </w:rPr>
        <w:t> </w:t>
      </w:r>
      <w:r>
        <w:rPr/>
        <w:t>the</w:t>
      </w:r>
      <w:r>
        <w:rPr>
          <w:spacing w:val="-17"/>
        </w:rPr>
        <w:t> </w:t>
      </w:r>
      <w:r>
        <w:rPr/>
        <w:t>amount</w:t>
      </w:r>
      <w:r>
        <w:rPr>
          <w:spacing w:val="-17"/>
        </w:rPr>
        <w:t> </w:t>
      </w:r>
      <w:r>
        <w:rPr/>
        <w:t>of impairment</w:t>
      </w:r>
      <w:r>
        <w:rPr>
          <w:spacing w:val="-28"/>
        </w:rPr>
        <w:t> </w:t>
      </w:r>
      <w:r>
        <w:rPr/>
        <w:t>losses</w:t>
      </w:r>
      <w:r>
        <w:rPr>
          <w:spacing w:val="-28"/>
        </w:rPr>
        <w:t> </w:t>
      </w:r>
      <w:r>
        <w:rPr/>
        <w:t>recognised</w:t>
      </w:r>
      <w:r>
        <w:rPr>
          <w:spacing w:val="-27"/>
        </w:rPr>
        <w:t> </w:t>
      </w:r>
      <w:r>
        <w:rPr/>
        <w:t>as</w:t>
      </w:r>
      <w:r>
        <w:rPr>
          <w:spacing w:val="-28"/>
        </w:rPr>
        <w:t> </w:t>
      </w:r>
      <w:r>
        <w:rPr/>
        <w:t>‘Other</w:t>
      </w:r>
      <w:r>
        <w:rPr>
          <w:spacing w:val="-27"/>
        </w:rPr>
        <w:t> </w:t>
      </w:r>
      <w:r>
        <w:rPr/>
        <w:t>expenses’ in</w:t>
      </w:r>
      <w:r>
        <w:rPr>
          <w:spacing w:val="-12"/>
        </w:rPr>
        <w:t> </w:t>
      </w:r>
      <w:r>
        <w:rPr/>
        <w:t>the</w:t>
      </w:r>
      <w:r>
        <w:rPr>
          <w:spacing w:val="-12"/>
        </w:rPr>
        <w:t> </w:t>
      </w:r>
      <w:r>
        <w:rPr/>
        <w:t>Statement</w:t>
      </w:r>
      <w:r>
        <w:rPr>
          <w:spacing w:val="-12"/>
        </w:rPr>
        <w:t> </w:t>
      </w:r>
      <w:r>
        <w:rPr/>
        <w:t>of</w:t>
      </w:r>
      <w:r>
        <w:rPr>
          <w:spacing w:val="-12"/>
        </w:rPr>
        <w:t> </w:t>
      </w:r>
      <w:r>
        <w:rPr/>
        <w:t>Comprehensive</w:t>
      </w:r>
      <w:r>
        <w:rPr>
          <w:spacing w:val="-12"/>
        </w:rPr>
        <w:t> </w:t>
      </w:r>
      <w:r>
        <w:rPr/>
        <w:t>Income</w:t>
      </w:r>
      <w:r>
        <w:rPr>
          <w:spacing w:val="-12"/>
        </w:rPr>
        <w:t> </w:t>
      </w:r>
      <w:r>
        <w:rPr/>
        <w:t>by</w:t>
      </w:r>
    </w:p>
    <w:p>
      <w:pPr>
        <w:pStyle w:val="BodyText"/>
        <w:spacing w:line="249" w:lineRule="auto" w:before="4"/>
        <w:ind w:left="765" w:right="376"/>
      </w:pPr>
      <w:r>
        <w:rPr>
          <w:spacing w:val="-7"/>
        </w:rPr>
        <w:t>$13,970, </w:t>
      </w:r>
      <w:r>
        <w:rPr/>
        <w:t>and thus does not have an adverse impact</w:t>
      </w:r>
      <w:r>
        <w:rPr>
          <w:spacing w:val="-24"/>
        </w:rPr>
        <w:t> </w:t>
      </w:r>
      <w:r>
        <w:rPr/>
        <w:t>on</w:t>
      </w:r>
      <w:r>
        <w:rPr>
          <w:spacing w:val="-24"/>
        </w:rPr>
        <w:t> </w:t>
      </w:r>
      <w:r>
        <w:rPr/>
        <w:t>the</w:t>
      </w:r>
      <w:r>
        <w:rPr>
          <w:spacing w:val="-24"/>
        </w:rPr>
        <w:t> </w:t>
      </w:r>
      <w:r>
        <w:rPr>
          <w:spacing w:val="-3"/>
        </w:rPr>
        <w:t>agency’s</w:t>
      </w:r>
      <w:r>
        <w:rPr>
          <w:spacing w:val="-24"/>
        </w:rPr>
        <w:t> </w:t>
      </w:r>
      <w:r>
        <w:rPr/>
        <w:t>Surplus/(Deficit)</w:t>
      </w:r>
      <w:r>
        <w:rPr>
          <w:spacing w:val="-24"/>
        </w:rPr>
        <w:t> </w:t>
      </w:r>
      <w:r>
        <w:rPr/>
        <w:t>for</w:t>
      </w:r>
      <w:r>
        <w:rPr>
          <w:spacing w:val="-24"/>
        </w:rPr>
        <w:t> </w:t>
      </w:r>
      <w:r>
        <w:rPr/>
        <w:t>the period.</w:t>
      </w:r>
    </w:p>
    <w:p>
      <w:pPr>
        <w:pStyle w:val="BodyText"/>
        <w:spacing w:before="5"/>
        <w:rPr>
          <w:sz w:val="23"/>
        </w:rPr>
      </w:pPr>
      <w:r>
        <w:rPr/>
        <w:br w:type="column"/>
      </w:r>
      <w:r>
        <w:rPr>
          <w:sz w:val="23"/>
        </w:rPr>
      </w:r>
    </w:p>
    <w:p>
      <w:pPr>
        <w:spacing w:before="0"/>
        <w:ind w:left="416" w:right="0" w:firstLine="0"/>
        <w:jc w:val="left"/>
        <w:rPr>
          <w:b/>
          <w:sz w:val="22"/>
        </w:rPr>
      </w:pPr>
      <w:r>
        <w:rPr>
          <w:b/>
          <w:color w:val="6F2770"/>
          <w:sz w:val="22"/>
        </w:rPr>
        <w:t>AASB 2010-7</w:t>
      </w:r>
    </w:p>
    <w:p>
      <w:pPr>
        <w:spacing w:line="249" w:lineRule="auto" w:before="11"/>
        <w:ind w:left="416" w:right="138" w:firstLine="0"/>
        <w:jc w:val="left"/>
        <w:rPr>
          <w:i/>
          <w:sz w:val="22"/>
        </w:rPr>
      </w:pPr>
      <w:r>
        <w:rPr>
          <w:i/>
          <w:color w:val="6F2770"/>
          <w:sz w:val="22"/>
        </w:rPr>
        <w:t>Amendments</w:t>
      </w:r>
      <w:r>
        <w:rPr>
          <w:i/>
          <w:color w:val="6F2770"/>
          <w:spacing w:val="-32"/>
          <w:sz w:val="22"/>
        </w:rPr>
        <w:t> </w:t>
      </w:r>
      <w:r>
        <w:rPr>
          <w:i/>
          <w:color w:val="6F2770"/>
          <w:spacing w:val="-3"/>
          <w:sz w:val="22"/>
        </w:rPr>
        <w:t>to</w:t>
      </w:r>
      <w:r>
        <w:rPr>
          <w:i/>
          <w:color w:val="6F2770"/>
          <w:spacing w:val="-32"/>
          <w:sz w:val="22"/>
        </w:rPr>
        <w:t> </w:t>
      </w:r>
      <w:r>
        <w:rPr>
          <w:i/>
          <w:color w:val="6F2770"/>
          <w:sz w:val="22"/>
        </w:rPr>
        <w:t>Australian</w:t>
      </w:r>
      <w:r>
        <w:rPr>
          <w:i/>
          <w:color w:val="6F2770"/>
          <w:spacing w:val="-31"/>
          <w:sz w:val="22"/>
        </w:rPr>
        <w:t> </w:t>
      </w:r>
      <w:r>
        <w:rPr>
          <w:i/>
          <w:color w:val="6F2770"/>
          <w:sz w:val="22"/>
        </w:rPr>
        <w:t>Accounting</w:t>
      </w:r>
      <w:r>
        <w:rPr>
          <w:i/>
          <w:color w:val="6F2770"/>
          <w:spacing w:val="-32"/>
          <w:sz w:val="22"/>
        </w:rPr>
        <w:t> </w:t>
      </w:r>
      <w:r>
        <w:rPr>
          <w:i/>
          <w:color w:val="6F2770"/>
          <w:sz w:val="22"/>
        </w:rPr>
        <w:t>Standards </w:t>
      </w:r>
      <w:r>
        <w:rPr>
          <w:i/>
          <w:color w:val="6F2770"/>
          <w:sz w:val="22"/>
        </w:rPr>
        <w:t>arising from AASB 9 (December</w:t>
      </w:r>
      <w:r>
        <w:rPr>
          <w:i/>
          <w:color w:val="6F2770"/>
          <w:spacing w:val="-28"/>
          <w:sz w:val="22"/>
        </w:rPr>
        <w:t> </w:t>
      </w:r>
      <w:r>
        <w:rPr>
          <w:i/>
          <w:color w:val="6F2770"/>
          <w:spacing w:val="-7"/>
          <w:sz w:val="22"/>
        </w:rPr>
        <w:t>2010)</w:t>
      </w:r>
    </w:p>
    <w:p>
      <w:pPr>
        <w:spacing w:before="2"/>
        <w:ind w:left="416" w:right="0" w:firstLine="0"/>
        <w:jc w:val="left"/>
        <w:rPr>
          <w:i/>
          <w:sz w:val="22"/>
        </w:rPr>
      </w:pPr>
      <w:r>
        <w:rPr>
          <w:i/>
          <w:color w:val="6F2770"/>
          <w:sz w:val="22"/>
        </w:rPr>
        <w:t>[AASB 1, 3, 4, 5. 7. 101, 102, 108, 112, 118, 120,</w:t>
      </w:r>
    </w:p>
    <w:p>
      <w:pPr>
        <w:spacing w:before="11"/>
        <w:ind w:left="416" w:right="0" w:firstLine="0"/>
        <w:jc w:val="left"/>
        <w:rPr>
          <w:i/>
          <w:sz w:val="22"/>
        </w:rPr>
      </w:pPr>
      <w:r>
        <w:rPr>
          <w:i/>
          <w:color w:val="6F2770"/>
          <w:spacing w:val="-12"/>
          <w:sz w:val="22"/>
        </w:rPr>
        <w:t>121, </w:t>
      </w:r>
      <w:r>
        <w:rPr>
          <w:i/>
          <w:color w:val="6F2770"/>
          <w:spacing w:val="-15"/>
          <w:sz w:val="22"/>
        </w:rPr>
        <w:t>127, </w:t>
      </w:r>
      <w:r>
        <w:rPr>
          <w:i/>
          <w:color w:val="6F2770"/>
          <w:spacing w:val="-7"/>
          <w:sz w:val="22"/>
        </w:rPr>
        <w:t>128, </w:t>
      </w:r>
      <w:r>
        <w:rPr>
          <w:i/>
          <w:color w:val="6F2770"/>
          <w:spacing w:val="-12"/>
          <w:sz w:val="22"/>
        </w:rPr>
        <w:t>131, </w:t>
      </w:r>
      <w:r>
        <w:rPr>
          <w:i/>
          <w:color w:val="6F2770"/>
          <w:spacing w:val="-8"/>
          <w:sz w:val="22"/>
        </w:rPr>
        <w:t>132, </w:t>
      </w:r>
      <w:r>
        <w:rPr>
          <w:i/>
          <w:color w:val="6F2770"/>
          <w:spacing w:val="-5"/>
          <w:sz w:val="22"/>
        </w:rPr>
        <w:t>136, </w:t>
      </w:r>
      <w:r>
        <w:rPr>
          <w:i/>
          <w:color w:val="6F2770"/>
          <w:spacing w:val="-14"/>
          <w:sz w:val="22"/>
        </w:rPr>
        <w:t>137, </w:t>
      </w:r>
      <w:r>
        <w:rPr>
          <w:i/>
          <w:color w:val="6F2770"/>
          <w:spacing w:val="-6"/>
          <w:sz w:val="22"/>
        </w:rPr>
        <w:t>139, 1023 </w:t>
      </w:r>
      <w:r>
        <w:rPr>
          <w:i/>
          <w:color w:val="6F2770"/>
          <w:sz w:val="22"/>
        </w:rPr>
        <w:t>&amp; </w:t>
      </w:r>
      <w:r>
        <w:rPr>
          <w:i/>
          <w:color w:val="6F2770"/>
          <w:spacing w:val="-5"/>
          <w:sz w:val="22"/>
        </w:rPr>
        <w:t>1038</w:t>
      </w:r>
    </w:p>
    <w:p>
      <w:pPr>
        <w:spacing w:before="11"/>
        <w:ind w:left="416" w:right="0" w:firstLine="0"/>
        <w:jc w:val="left"/>
        <w:rPr>
          <w:i/>
          <w:sz w:val="22"/>
        </w:rPr>
      </w:pPr>
      <w:r>
        <w:rPr>
          <w:i/>
          <w:color w:val="6F2770"/>
          <w:sz w:val="22"/>
        </w:rPr>
        <w:t>and Int 2, 5, 10, 12, 19 &amp; 127]</w:t>
      </w:r>
    </w:p>
    <w:p>
      <w:pPr>
        <w:pStyle w:val="BodyText"/>
        <w:spacing w:line="249" w:lineRule="auto" w:before="11"/>
        <w:ind w:left="416" w:right="107"/>
      </w:pPr>
      <w:r>
        <w:rPr/>
        <w:t>This</w:t>
      </w:r>
      <w:r>
        <w:rPr>
          <w:spacing w:val="-35"/>
        </w:rPr>
        <w:t> </w:t>
      </w:r>
      <w:r>
        <w:rPr/>
        <w:t>Standard</w:t>
      </w:r>
      <w:r>
        <w:rPr>
          <w:spacing w:val="-35"/>
        </w:rPr>
        <w:t> </w:t>
      </w:r>
      <w:r>
        <w:rPr/>
        <w:t>makes</w:t>
      </w:r>
      <w:r>
        <w:rPr>
          <w:spacing w:val="-34"/>
        </w:rPr>
        <w:t> </w:t>
      </w:r>
      <w:r>
        <w:rPr/>
        <w:t>consequential</w:t>
      </w:r>
      <w:r>
        <w:rPr>
          <w:spacing w:val="-35"/>
        </w:rPr>
        <w:t> </w:t>
      </w:r>
      <w:r>
        <w:rPr/>
        <w:t>amendments </w:t>
      </w:r>
      <w:r>
        <w:rPr>
          <w:spacing w:val="-3"/>
        </w:rPr>
        <w:t>to </w:t>
      </w:r>
      <w:r>
        <w:rPr/>
        <w:t>other Australian Accounting Standards and Interpretations as a result of issuing AASB 9 in December</w:t>
      </w:r>
      <w:r>
        <w:rPr>
          <w:spacing w:val="-1"/>
        </w:rPr>
        <w:t> </w:t>
      </w:r>
      <w:r>
        <w:rPr>
          <w:spacing w:val="-7"/>
        </w:rPr>
        <w:t>2010.</w:t>
      </w:r>
    </w:p>
    <w:p>
      <w:pPr>
        <w:pStyle w:val="BodyText"/>
        <w:spacing w:before="3"/>
        <w:rPr>
          <w:sz w:val="23"/>
        </w:rPr>
      </w:pPr>
    </w:p>
    <w:p>
      <w:pPr>
        <w:pStyle w:val="BodyText"/>
        <w:spacing w:line="249" w:lineRule="auto"/>
        <w:ind w:left="416" w:right="246"/>
      </w:pPr>
      <w:r>
        <w:rPr/>
        <w:t>The</w:t>
      </w:r>
      <w:r>
        <w:rPr>
          <w:spacing w:val="-22"/>
        </w:rPr>
        <w:t> </w:t>
      </w:r>
      <w:r>
        <w:rPr/>
        <w:t>mandatory</w:t>
      </w:r>
      <w:r>
        <w:rPr>
          <w:spacing w:val="-22"/>
        </w:rPr>
        <w:t> </w:t>
      </w:r>
      <w:r>
        <w:rPr/>
        <w:t>application</w:t>
      </w:r>
      <w:r>
        <w:rPr>
          <w:spacing w:val="-22"/>
        </w:rPr>
        <w:t> </w:t>
      </w:r>
      <w:r>
        <w:rPr/>
        <w:t>date</w:t>
      </w:r>
      <w:r>
        <w:rPr>
          <w:spacing w:val="-22"/>
        </w:rPr>
        <w:t> </w:t>
      </w:r>
      <w:r>
        <w:rPr/>
        <w:t>of</w:t>
      </w:r>
      <w:r>
        <w:rPr>
          <w:spacing w:val="-22"/>
        </w:rPr>
        <w:t> </w:t>
      </w:r>
      <w:r>
        <w:rPr/>
        <w:t>this</w:t>
      </w:r>
      <w:r>
        <w:rPr>
          <w:spacing w:val="-22"/>
        </w:rPr>
        <w:t> </w:t>
      </w:r>
      <w:r>
        <w:rPr/>
        <w:t>Standard has been amended by AASB </w:t>
      </w:r>
      <w:r>
        <w:rPr>
          <w:spacing w:val="-7"/>
        </w:rPr>
        <w:t>2012-6</w:t>
      </w:r>
      <w:r>
        <w:rPr>
          <w:spacing w:val="-25"/>
        </w:rPr>
        <w:t> </w:t>
      </w:r>
      <w:r>
        <w:rPr/>
        <w:t>and</w:t>
      </w:r>
    </w:p>
    <w:p>
      <w:pPr>
        <w:spacing w:line="249" w:lineRule="auto" w:before="2"/>
        <w:ind w:left="416" w:right="417" w:firstLine="0"/>
        <w:jc w:val="left"/>
        <w:rPr>
          <w:i/>
          <w:sz w:val="22"/>
        </w:rPr>
      </w:pPr>
      <w:r>
        <w:rPr>
          <w:sz w:val="22"/>
        </w:rPr>
        <w:t>AASB</w:t>
      </w:r>
      <w:r>
        <w:rPr>
          <w:spacing w:val="-10"/>
          <w:sz w:val="22"/>
        </w:rPr>
        <w:t> 2014-1 </w:t>
      </w:r>
      <w:r>
        <w:rPr>
          <w:spacing w:val="-3"/>
          <w:sz w:val="22"/>
        </w:rPr>
        <w:t>to </w:t>
      </w:r>
      <w:r>
        <w:rPr>
          <w:sz w:val="22"/>
        </w:rPr>
        <w:t>1 January </w:t>
      </w:r>
      <w:r>
        <w:rPr>
          <w:spacing w:val="-7"/>
          <w:sz w:val="22"/>
        </w:rPr>
        <w:t>2018. </w:t>
      </w:r>
      <w:r>
        <w:rPr>
          <w:i/>
          <w:sz w:val="22"/>
        </w:rPr>
        <w:t>[Other than </w:t>
      </w:r>
      <w:r>
        <w:rPr>
          <w:i/>
          <w:sz w:val="22"/>
        </w:rPr>
        <w:t>the exposures </w:t>
      </w:r>
      <w:r>
        <w:rPr>
          <w:i/>
          <w:spacing w:val="-3"/>
          <w:sz w:val="22"/>
        </w:rPr>
        <w:t>to </w:t>
      </w:r>
      <w:r>
        <w:rPr>
          <w:i/>
          <w:sz w:val="22"/>
        </w:rPr>
        <w:t>AASB 9 noted above,</w:t>
      </w:r>
    </w:p>
    <w:p>
      <w:pPr>
        <w:spacing w:line="249" w:lineRule="auto" w:before="2"/>
        <w:ind w:left="416" w:right="417" w:firstLine="0"/>
        <w:jc w:val="left"/>
        <w:rPr>
          <w:i/>
          <w:sz w:val="22"/>
        </w:rPr>
      </w:pPr>
      <w:r>
        <w:rPr>
          <w:i/>
          <w:sz w:val="22"/>
        </w:rPr>
        <w:t>the</w:t>
      </w:r>
      <w:r>
        <w:rPr>
          <w:i/>
          <w:spacing w:val="-29"/>
          <w:sz w:val="22"/>
        </w:rPr>
        <w:t> </w:t>
      </w:r>
      <w:r>
        <w:rPr>
          <w:i/>
          <w:sz w:val="22"/>
        </w:rPr>
        <w:t>Department</w:t>
      </w:r>
      <w:r>
        <w:rPr>
          <w:i/>
          <w:spacing w:val="-29"/>
          <w:sz w:val="22"/>
        </w:rPr>
        <w:t> </w:t>
      </w:r>
      <w:r>
        <w:rPr>
          <w:i/>
          <w:sz w:val="22"/>
        </w:rPr>
        <w:t>is</w:t>
      </w:r>
      <w:r>
        <w:rPr>
          <w:i/>
          <w:spacing w:val="-28"/>
          <w:sz w:val="22"/>
        </w:rPr>
        <w:t> </w:t>
      </w:r>
      <w:r>
        <w:rPr>
          <w:i/>
          <w:sz w:val="22"/>
        </w:rPr>
        <w:t>only</w:t>
      </w:r>
      <w:r>
        <w:rPr>
          <w:i/>
          <w:spacing w:val="-29"/>
          <w:sz w:val="22"/>
        </w:rPr>
        <w:t> </w:t>
      </w:r>
      <w:r>
        <w:rPr>
          <w:i/>
          <w:sz w:val="22"/>
        </w:rPr>
        <w:t>insignificantly</w:t>
      </w:r>
      <w:r>
        <w:rPr>
          <w:i/>
          <w:spacing w:val="-28"/>
          <w:sz w:val="22"/>
        </w:rPr>
        <w:t> </w:t>
      </w:r>
      <w:r>
        <w:rPr>
          <w:i/>
          <w:sz w:val="22"/>
        </w:rPr>
        <w:t>impacted </w:t>
      </w:r>
      <w:r>
        <w:rPr>
          <w:i/>
          <w:spacing w:val="-3"/>
          <w:sz w:val="22"/>
        </w:rPr>
        <w:t>by </w:t>
      </w:r>
      <w:r>
        <w:rPr>
          <w:i/>
          <w:sz w:val="22"/>
        </w:rPr>
        <w:t>the application of the</w:t>
      </w:r>
      <w:r>
        <w:rPr>
          <w:i/>
          <w:spacing w:val="-15"/>
          <w:sz w:val="22"/>
        </w:rPr>
        <w:t> </w:t>
      </w:r>
      <w:r>
        <w:rPr>
          <w:i/>
          <w:spacing w:val="-3"/>
          <w:sz w:val="22"/>
        </w:rPr>
        <w:t>Standard.]</w:t>
      </w:r>
    </w:p>
    <w:p>
      <w:pPr>
        <w:pStyle w:val="BodyText"/>
        <w:spacing w:before="1"/>
        <w:rPr>
          <w:i/>
          <w:sz w:val="23"/>
        </w:rPr>
      </w:pPr>
    </w:p>
    <w:p>
      <w:pPr>
        <w:spacing w:before="0"/>
        <w:ind w:left="416" w:right="0" w:firstLine="0"/>
        <w:jc w:val="left"/>
        <w:rPr>
          <w:b/>
          <w:sz w:val="22"/>
        </w:rPr>
      </w:pPr>
      <w:r>
        <w:rPr>
          <w:b/>
          <w:color w:val="6F2770"/>
          <w:sz w:val="22"/>
        </w:rPr>
        <w:t>AASB 2014-1</w:t>
      </w:r>
    </w:p>
    <w:p>
      <w:pPr>
        <w:spacing w:before="11"/>
        <w:ind w:left="416" w:right="0" w:firstLine="0"/>
        <w:jc w:val="left"/>
        <w:rPr>
          <w:i/>
          <w:sz w:val="22"/>
        </w:rPr>
      </w:pPr>
      <w:r>
        <w:rPr>
          <w:i/>
          <w:color w:val="6F2770"/>
          <w:sz w:val="22"/>
        </w:rPr>
        <w:t>Amendments to Australian Accounting Standards</w:t>
      </w:r>
    </w:p>
    <w:p>
      <w:pPr>
        <w:pStyle w:val="BodyText"/>
        <w:spacing w:line="249" w:lineRule="auto" w:before="11"/>
        <w:ind w:left="416" w:right="386"/>
      </w:pPr>
      <w:r>
        <w:rPr/>
        <w:t>Part E of this Standard makes amendments </w:t>
      </w:r>
      <w:r>
        <w:rPr>
          <w:spacing w:val="-3"/>
        </w:rPr>
        <w:t>to </w:t>
      </w:r>
      <w:r>
        <w:rPr/>
        <w:t>AASB 9 and consequential amendments </w:t>
      </w:r>
      <w:r>
        <w:rPr>
          <w:spacing w:val="-3"/>
        </w:rPr>
        <w:t>to</w:t>
      </w:r>
    </w:p>
    <w:p>
      <w:pPr>
        <w:spacing w:line="249" w:lineRule="auto" w:before="2"/>
        <w:ind w:left="416" w:right="140" w:firstLine="0"/>
        <w:jc w:val="left"/>
        <w:rPr>
          <w:i/>
          <w:sz w:val="22"/>
        </w:rPr>
      </w:pPr>
      <w:r>
        <w:rPr>
          <w:sz w:val="22"/>
        </w:rPr>
        <w:t>other</w:t>
      </w:r>
      <w:r>
        <w:rPr>
          <w:spacing w:val="-25"/>
          <w:sz w:val="22"/>
        </w:rPr>
        <w:t> </w:t>
      </w:r>
      <w:r>
        <w:rPr>
          <w:sz w:val="22"/>
        </w:rPr>
        <w:t>Standards.</w:t>
      </w:r>
      <w:r>
        <w:rPr>
          <w:spacing w:val="-25"/>
          <w:sz w:val="22"/>
        </w:rPr>
        <w:t> </w:t>
      </w:r>
      <w:r>
        <w:rPr>
          <w:i/>
          <w:sz w:val="22"/>
        </w:rPr>
        <w:t>[These</w:t>
      </w:r>
      <w:r>
        <w:rPr>
          <w:i/>
          <w:spacing w:val="-24"/>
          <w:sz w:val="22"/>
        </w:rPr>
        <w:t> </w:t>
      </w:r>
      <w:r>
        <w:rPr>
          <w:i/>
          <w:sz w:val="22"/>
        </w:rPr>
        <w:t>changes</w:t>
      </w:r>
      <w:r>
        <w:rPr>
          <w:i/>
          <w:spacing w:val="-25"/>
          <w:sz w:val="22"/>
        </w:rPr>
        <w:t> </w:t>
      </w:r>
      <w:r>
        <w:rPr>
          <w:i/>
          <w:sz w:val="22"/>
        </w:rPr>
        <w:t>have</w:t>
      </w:r>
      <w:r>
        <w:rPr>
          <w:i/>
          <w:spacing w:val="-24"/>
          <w:sz w:val="22"/>
        </w:rPr>
        <w:t> </w:t>
      </w:r>
      <w:r>
        <w:rPr>
          <w:i/>
          <w:sz w:val="22"/>
        </w:rPr>
        <w:t>no</w:t>
      </w:r>
      <w:r>
        <w:rPr>
          <w:i/>
          <w:spacing w:val="-25"/>
          <w:sz w:val="22"/>
        </w:rPr>
        <w:t> </w:t>
      </w:r>
      <w:r>
        <w:rPr>
          <w:i/>
          <w:sz w:val="22"/>
        </w:rPr>
        <w:t>impact </w:t>
      </w:r>
      <w:r>
        <w:rPr>
          <w:i/>
          <w:sz w:val="22"/>
        </w:rPr>
        <w:t>as Appendix E has been superseded and the Department </w:t>
      </w:r>
      <w:r>
        <w:rPr>
          <w:i/>
          <w:spacing w:val="-2"/>
          <w:sz w:val="22"/>
        </w:rPr>
        <w:t>was </w:t>
      </w:r>
      <w:r>
        <w:rPr>
          <w:i/>
          <w:sz w:val="22"/>
        </w:rPr>
        <w:t>not permitted </w:t>
      </w:r>
      <w:r>
        <w:rPr>
          <w:i/>
          <w:spacing w:val="-3"/>
          <w:sz w:val="22"/>
        </w:rPr>
        <w:t>to </w:t>
      </w:r>
      <w:r>
        <w:rPr>
          <w:i/>
          <w:sz w:val="22"/>
        </w:rPr>
        <w:t>early adopt AASB</w:t>
      </w:r>
      <w:r>
        <w:rPr>
          <w:i/>
          <w:spacing w:val="-1"/>
          <w:sz w:val="22"/>
        </w:rPr>
        <w:t> </w:t>
      </w:r>
      <w:r>
        <w:rPr>
          <w:i/>
          <w:spacing w:val="-13"/>
          <w:sz w:val="22"/>
        </w:rPr>
        <w:t>9.]</w:t>
      </w:r>
    </w:p>
    <w:p>
      <w:pPr>
        <w:pStyle w:val="BodyText"/>
        <w:spacing w:before="5"/>
        <w:rPr>
          <w:i/>
          <w:sz w:val="23"/>
        </w:rPr>
      </w:pPr>
      <w:r>
        <w:rPr/>
        <w:br w:type="column"/>
      </w:r>
      <w:r>
        <w:rPr>
          <w:i/>
          <w:sz w:val="23"/>
        </w:rPr>
      </w:r>
    </w:p>
    <w:p>
      <w:pPr>
        <w:spacing w:before="0"/>
        <w:ind w:left="385" w:right="0" w:firstLine="0"/>
        <w:jc w:val="left"/>
        <w:rPr>
          <w:b/>
          <w:sz w:val="22"/>
        </w:rPr>
      </w:pPr>
      <w:r>
        <w:rPr>
          <w:b/>
          <w:color w:val="6F2770"/>
          <w:sz w:val="22"/>
        </w:rPr>
        <w:t>AASB 2014-5</w:t>
      </w:r>
    </w:p>
    <w:p>
      <w:pPr>
        <w:spacing w:line="249" w:lineRule="auto" w:before="11"/>
        <w:ind w:left="385" w:right="905" w:firstLine="0"/>
        <w:jc w:val="left"/>
        <w:rPr>
          <w:i/>
          <w:sz w:val="22"/>
        </w:rPr>
      </w:pPr>
      <w:r>
        <w:rPr>
          <w:i/>
          <w:color w:val="6F2770"/>
          <w:sz w:val="22"/>
        </w:rPr>
        <w:t>Amendments</w:t>
      </w:r>
      <w:r>
        <w:rPr>
          <w:i/>
          <w:color w:val="6F2770"/>
          <w:spacing w:val="-32"/>
          <w:sz w:val="22"/>
        </w:rPr>
        <w:t> </w:t>
      </w:r>
      <w:r>
        <w:rPr>
          <w:i/>
          <w:color w:val="6F2770"/>
          <w:spacing w:val="-3"/>
          <w:sz w:val="22"/>
        </w:rPr>
        <w:t>to</w:t>
      </w:r>
      <w:r>
        <w:rPr>
          <w:i/>
          <w:color w:val="6F2770"/>
          <w:spacing w:val="-31"/>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arising from AASB</w:t>
      </w:r>
      <w:r>
        <w:rPr>
          <w:i/>
          <w:color w:val="6F2770"/>
          <w:spacing w:val="-5"/>
          <w:sz w:val="22"/>
        </w:rPr>
        <w:t> </w:t>
      </w:r>
      <w:r>
        <w:rPr>
          <w:i/>
          <w:color w:val="6F2770"/>
          <w:spacing w:val="-9"/>
          <w:sz w:val="22"/>
        </w:rPr>
        <w:t>15</w:t>
      </w:r>
    </w:p>
    <w:p>
      <w:pPr>
        <w:pStyle w:val="BodyText"/>
        <w:spacing w:line="249" w:lineRule="auto" w:before="2"/>
        <w:ind w:left="385" w:right="797"/>
      </w:pPr>
      <w:r>
        <w:rPr/>
        <w:t>This Standard gives effect to the consequential amendments to Australian Accounting Standards </w:t>
      </w:r>
      <w:r>
        <w:rPr>
          <w:w w:val="95"/>
        </w:rPr>
        <w:t>(including Interpretations) arising from the issuance </w:t>
      </w:r>
      <w:r>
        <w:rPr/>
        <w:t>of AASB 15. The mandatory application date</w:t>
      </w:r>
    </w:p>
    <w:p>
      <w:pPr>
        <w:spacing w:line="249" w:lineRule="auto" w:before="3"/>
        <w:ind w:left="385" w:right="885" w:firstLine="0"/>
        <w:jc w:val="left"/>
        <w:rPr>
          <w:i/>
          <w:sz w:val="22"/>
        </w:rPr>
      </w:pPr>
      <w:r>
        <w:rPr>
          <w:sz w:val="22"/>
        </w:rPr>
        <w:t>of this Standard has been amended by AASB </w:t>
      </w:r>
      <w:r>
        <w:rPr>
          <w:spacing w:val="-5"/>
          <w:sz w:val="22"/>
        </w:rPr>
        <w:t>2015-8 </w:t>
      </w:r>
      <w:r>
        <w:rPr>
          <w:spacing w:val="-3"/>
          <w:sz w:val="22"/>
        </w:rPr>
        <w:t>to </w:t>
      </w:r>
      <w:r>
        <w:rPr>
          <w:sz w:val="22"/>
        </w:rPr>
        <w:t>1 January </w:t>
      </w:r>
      <w:r>
        <w:rPr>
          <w:spacing w:val="-7"/>
          <w:sz w:val="22"/>
        </w:rPr>
        <w:t>2018. </w:t>
      </w:r>
      <w:r>
        <w:rPr>
          <w:i/>
          <w:sz w:val="22"/>
        </w:rPr>
        <w:t>[The Department has </w:t>
      </w:r>
      <w:r>
        <w:rPr>
          <w:i/>
          <w:sz w:val="22"/>
        </w:rPr>
        <w:t>not</w:t>
      </w:r>
      <w:r>
        <w:rPr>
          <w:i/>
          <w:spacing w:val="-20"/>
          <w:sz w:val="22"/>
        </w:rPr>
        <w:t> </w:t>
      </w:r>
      <w:r>
        <w:rPr>
          <w:i/>
          <w:sz w:val="22"/>
        </w:rPr>
        <w:t>yet</w:t>
      </w:r>
      <w:r>
        <w:rPr>
          <w:i/>
          <w:spacing w:val="-19"/>
          <w:sz w:val="22"/>
        </w:rPr>
        <w:t> </w:t>
      </w:r>
      <w:r>
        <w:rPr>
          <w:i/>
          <w:sz w:val="22"/>
        </w:rPr>
        <w:t>determined</w:t>
      </w:r>
      <w:r>
        <w:rPr>
          <w:i/>
          <w:spacing w:val="-19"/>
          <w:sz w:val="22"/>
        </w:rPr>
        <w:t> </w:t>
      </w:r>
      <w:r>
        <w:rPr>
          <w:i/>
          <w:sz w:val="22"/>
        </w:rPr>
        <w:t>the</w:t>
      </w:r>
      <w:r>
        <w:rPr>
          <w:i/>
          <w:spacing w:val="-19"/>
          <w:sz w:val="22"/>
        </w:rPr>
        <w:t> </w:t>
      </w:r>
      <w:r>
        <w:rPr>
          <w:i/>
          <w:sz w:val="22"/>
        </w:rPr>
        <w:t>application</w:t>
      </w:r>
      <w:r>
        <w:rPr>
          <w:i/>
          <w:spacing w:val="-19"/>
          <w:sz w:val="22"/>
        </w:rPr>
        <w:t> </w:t>
      </w:r>
      <w:r>
        <w:rPr>
          <w:i/>
          <w:sz w:val="22"/>
        </w:rPr>
        <w:t>or</w:t>
      </w:r>
      <w:r>
        <w:rPr>
          <w:i/>
          <w:spacing w:val="-19"/>
          <w:sz w:val="22"/>
        </w:rPr>
        <w:t> </w:t>
      </w:r>
      <w:r>
        <w:rPr>
          <w:i/>
          <w:sz w:val="22"/>
        </w:rPr>
        <w:t>the</w:t>
      </w:r>
      <w:r>
        <w:rPr>
          <w:i/>
          <w:spacing w:val="-19"/>
          <w:sz w:val="22"/>
        </w:rPr>
        <w:t> </w:t>
      </w:r>
      <w:r>
        <w:rPr>
          <w:i/>
          <w:sz w:val="22"/>
        </w:rPr>
        <w:t>potential impact of the</w:t>
      </w:r>
      <w:r>
        <w:rPr>
          <w:i/>
          <w:spacing w:val="-4"/>
          <w:sz w:val="22"/>
        </w:rPr>
        <w:t> </w:t>
      </w:r>
      <w:r>
        <w:rPr>
          <w:i/>
          <w:spacing w:val="-3"/>
          <w:sz w:val="22"/>
        </w:rPr>
        <w:t>Standard.]</w:t>
      </w:r>
    </w:p>
    <w:p>
      <w:pPr>
        <w:pStyle w:val="BodyText"/>
        <w:spacing w:before="3"/>
        <w:rPr>
          <w:i/>
          <w:sz w:val="23"/>
        </w:rPr>
      </w:pPr>
    </w:p>
    <w:p>
      <w:pPr>
        <w:spacing w:before="0"/>
        <w:ind w:left="385" w:right="0" w:firstLine="0"/>
        <w:jc w:val="left"/>
        <w:rPr>
          <w:b/>
          <w:sz w:val="22"/>
        </w:rPr>
      </w:pPr>
      <w:r>
        <w:rPr>
          <w:b/>
          <w:color w:val="6F2770"/>
          <w:sz w:val="22"/>
        </w:rPr>
        <w:t>AASB 2014-7</w:t>
      </w:r>
    </w:p>
    <w:p>
      <w:pPr>
        <w:spacing w:line="249" w:lineRule="auto" w:before="12"/>
        <w:ind w:left="385" w:right="905" w:firstLine="0"/>
        <w:jc w:val="left"/>
        <w:rPr>
          <w:i/>
          <w:sz w:val="22"/>
        </w:rPr>
      </w:pPr>
      <w:r>
        <w:rPr>
          <w:i/>
          <w:color w:val="6F2770"/>
          <w:sz w:val="22"/>
        </w:rPr>
        <w:t>Amendments</w:t>
      </w:r>
      <w:r>
        <w:rPr>
          <w:i/>
          <w:color w:val="6F2770"/>
          <w:spacing w:val="-32"/>
          <w:sz w:val="22"/>
        </w:rPr>
        <w:t> </w:t>
      </w:r>
      <w:r>
        <w:rPr>
          <w:i/>
          <w:color w:val="6F2770"/>
          <w:spacing w:val="-3"/>
          <w:sz w:val="22"/>
        </w:rPr>
        <w:t>to</w:t>
      </w:r>
      <w:r>
        <w:rPr>
          <w:i/>
          <w:color w:val="6F2770"/>
          <w:spacing w:val="-31"/>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arising from AASB 9 (December</w:t>
      </w:r>
      <w:r>
        <w:rPr>
          <w:i/>
          <w:color w:val="6F2770"/>
          <w:spacing w:val="-28"/>
          <w:sz w:val="22"/>
        </w:rPr>
        <w:t> </w:t>
      </w:r>
      <w:r>
        <w:rPr>
          <w:i/>
          <w:color w:val="6F2770"/>
          <w:spacing w:val="-9"/>
          <w:sz w:val="22"/>
        </w:rPr>
        <w:t>2014)</w:t>
      </w:r>
    </w:p>
    <w:p>
      <w:pPr>
        <w:spacing w:line="249" w:lineRule="auto" w:before="1"/>
        <w:ind w:left="385" w:right="787" w:firstLine="0"/>
        <w:jc w:val="left"/>
        <w:rPr>
          <w:i/>
          <w:sz w:val="22"/>
        </w:rPr>
      </w:pPr>
      <w:r>
        <w:rPr>
          <w:sz w:val="22"/>
        </w:rPr>
        <w:t>This Standard gives effect </w:t>
      </w:r>
      <w:r>
        <w:rPr>
          <w:spacing w:val="-3"/>
          <w:sz w:val="22"/>
        </w:rPr>
        <w:t>to </w:t>
      </w:r>
      <w:r>
        <w:rPr>
          <w:sz w:val="22"/>
        </w:rPr>
        <w:t>the consequential amendments </w:t>
      </w:r>
      <w:r>
        <w:rPr>
          <w:spacing w:val="-3"/>
          <w:sz w:val="22"/>
        </w:rPr>
        <w:t>to </w:t>
      </w:r>
      <w:r>
        <w:rPr>
          <w:sz w:val="22"/>
        </w:rPr>
        <w:t>Australian Accounting Standards </w:t>
      </w:r>
      <w:r>
        <w:rPr>
          <w:w w:val="95"/>
          <w:sz w:val="22"/>
        </w:rPr>
        <w:t>(including Interpretations) arising from the issuance </w:t>
      </w:r>
      <w:r>
        <w:rPr>
          <w:sz w:val="22"/>
        </w:rPr>
        <w:t>of</w:t>
      </w:r>
      <w:r>
        <w:rPr>
          <w:spacing w:val="-21"/>
          <w:sz w:val="22"/>
        </w:rPr>
        <w:t> </w:t>
      </w:r>
      <w:r>
        <w:rPr>
          <w:sz w:val="22"/>
        </w:rPr>
        <w:t>AASB</w:t>
      </w:r>
      <w:r>
        <w:rPr>
          <w:spacing w:val="-20"/>
          <w:sz w:val="22"/>
        </w:rPr>
        <w:t> </w:t>
      </w:r>
      <w:r>
        <w:rPr>
          <w:sz w:val="22"/>
        </w:rPr>
        <w:t>9</w:t>
      </w:r>
      <w:r>
        <w:rPr>
          <w:spacing w:val="-20"/>
          <w:sz w:val="22"/>
        </w:rPr>
        <w:t> </w:t>
      </w:r>
      <w:r>
        <w:rPr>
          <w:sz w:val="22"/>
        </w:rPr>
        <w:t>(December</w:t>
      </w:r>
      <w:r>
        <w:rPr>
          <w:spacing w:val="-21"/>
          <w:sz w:val="22"/>
        </w:rPr>
        <w:t> </w:t>
      </w:r>
      <w:r>
        <w:rPr>
          <w:spacing w:val="-9"/>
          <w:sz w:val="22"/>
        </w:rPr>
        <w:t>2014).</w:t>
      </w:r>
      <w:r>
        <w:rPr>
          <w:spacing w:val="-20"/>
          <w:sz w:val="22"/>
        </w:rPr>
        <w:t> </w:t>
      </w:r>
      <w:r>
        <w:rPr>
          <w:i/>
          <w:sz w:val="22"/>
        </w:rPr>
        <w:t>[The</w:t>
      </w:r>
      <w:r>
        <w:rPr>
          <w:i/>
          <w:spacing w:val="-20"/>
          <w:sz w:val="22"/>
        </w:rPr>
        <w:t> </w:t>
      </w:r>
      <w:r>
        <w:rPr>
          <w:i/>
          <w:sz w:val="22"/>
        </w:rPr>
        <w:t>Department</w:t>
      </w:r>
      <w:r>
        <w:rPr>
          <w:i/>
          <w:spacing w:val="-21"/>
          <w:sz w:val="22"/>
        </w:rPr>
        <w:t> </w:t>
      </w:r>
      <w:r>
        <w:rPr>
          <w:i/>
          <w:sz w:val="22"/>
        </w:rPr>
        <w:t>has </w:t>
      </w:r>
      <w:r>
        <w:rPr>
          <w:i/>
          <w:sz w:val="22"/>
        </w:rPr>
        <w:t>not</w:t>
      </w:r>
      <w:r>
        <w:rPr>
          <w:i/>
          <w:spacing w:val="-16"/>
          <w:sz w:val="22"/>
        </w:rPr>
        <w:t> </w:t>
      </w:r>
      <w:r>
        <w:rPr>
          <w:i/>
          <w:sz w:val="22"/>
        </w:rPr>
        <w:t>yet</w:t>
      </w:r>
      <w:r>
        <w:rPr>
          <w:i/>
          <w:spacing w:val="-16"/>
          <w:sz w:val="22"/>
        </w:rPr>
        <w:t> </w:t>
      </w:r>
      <w:r>
        <w:rPr>
          <w:i/>
          <w:sz w:val="22"/>
        </w:rPr>
        <w:t>determined</w:t>
      </w:r>
      <w:r>
        <w:rPr>
          <w:i/>
          <w:spacing w:val="-16"/>
          <w:sz w:val="22"/>
        </w:rPr>
        <w:t> </w:t>
      </w:r>
      <w:r>
        <w:rPr>
          <w:i/>
          <w:sz w:val="22"/>
        </w:rPr>
        <w:t>the</w:t>
      </w:r>
      <w:r>
        <w:rPr>
          <w:i/>
          <w:spacing w:val="-15"/>
          <w:sz w:val="22"/>
        </w:rPr>
        <w:t> </w:t>
      </w:r>
      <w:r>
        <w:rPr>
          <w:i/>
          <w:sz w:val="22"/>
        </w:rPr>
        <w:t>application</w:t>
      </w:r>
      <w:r>
        <w:rPr>
          <w:i/>
          <w:spacing w:val="-16"/>
          <w:sz w:val="22"/>
        </w:rPr>
        <w:t> </w:t>
      </w:r>
      <w:r>
        <w:rPr>
          <w:i/>
          <w:sz w:val="22"/>
        </w:rPr>
        <w:t>or</w:t>
      </w:r>
      <w:r>
        <w:rPr>
          <w:i/>
          <w:spacing w:val="-16"/>
          <w:sz w:val="22"/>
        </w:rPr>
        <w:t> </w:t>
      </w:r>
      <w:r>
        <w:rPr>
          <w:i/>
          <w:sz w:val="22"/>
        </w:rPr>
        <w:t>the</w:t>
      </w:r>
      <w:r>
        <w:rPr>
          <w:i/>
          <w:spacing w:val="-16"/>
          <w:sz w:val="22"/>
        </w:rPr>
        <w:t> </w:t>
      </w:r>
      <w:r>
        <w:rPr>
          <w:i/>
          <w:sz w:val="22"/>
        </w:rPr>
        <w:t>potential impact of the</w:t>
      </w:r>
      <w:r>
        <w:rPr>
          <w:i/>
          <w:spacing w:val="-4"/>
          <w:sz w:val="22"/>
        </w:rPr>
        <w:t> </w:t>
      </w:r>
      <w:r>
        <w:rPr>
          <w:i/>
          <w:spacing w:val="-3"/>
          <w:sz w:val="22"/>
        </w:rPr>
        <w:t>Standard.]</w:t>
      </w:r>
    </w:p>
    <w:p>
      <w:pPr>
        <w:spacing w:after="0" w:line="249" w:lineRule="auto"/>
        <w:jc w:val="left"/>
        <w:rPr>
          <w:sz w:val="22"/>
        </w:rPr>
        <w:sectPr>
          <w:type w:val="continuous"/>
          <w:pgSz w:w="16840" w:h="11910" w:orient="landscape"/>
          <w:pgMar w:top="1100" w:bottom="280" w:left="0" w:right="0"/>
          <w:cols w:num="3" w:equalWidth="0">
            <w:col w:w="5554" w:space="40"/>
            <w:col w:w="5235" w:space="39"/>
            <w:col w:w="5972"/>
          </w:cols>
        </w:sectPr>
      </w:pPr>
    </w:p>
    <w:p>
      <w:pPr>
        <w:pStyle w:val="BodyText"/>
        <w:rPr>
          <w:i/>
          <w:sz w:val="20"/>
        </w:rPr>
      </w:pPr>
    </w:p>
    <w:p>
      <w:pPr>
        <w:pStyle w:val="BodyText"/>
        <w:rPr>
          <w:i/>
          <w:sz w:val="20"/>
        </w:rPr>
      </w:pPr>
    </w:p>
    <w:p>
      <w:pPr>
        <w:pStyle w:val="BodyText"/>
        <w:rPr>
          <w:i/>
          <w:sz w:val="20"/>
        </w:rPr>
      </w:pPr>
    </w:p>
    <w:p>
      <w:pPr>
        <w:pStyle w:val="BodyText"/>
        <w:spacing w:before="8"/>
        <w:rPr>
          <w:i/>
          <w:sz w:val="25"/>
        </w:rPr>
      </w:pPr>
    </w:p>
    <w:p>
      <w:pPr>
        <w:tabs>
          <w:tab w:pos="10886" w:val="left" w:leader="none"/>
          <w:tab w:pos="11199" w:val="left" w:leader="none"/>
          <w:tab w:pos="15849"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14776"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ffffff" stroked="false">
              <v:path arrowok="t"/>
              <v:fill type="solid"/>
            </v:shape>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57</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ind w:left="785"/>
      </w:pPr>
      <w:r>
        <w:rPr/>
        <w:pict>
          <v:shape style="position:absolute;margin-left:601.348999pt;margin-top:-57.37421pt;width:120.3pt;height:42.55pt;mso-position-horizontal-relative:page;mso-position-vertical-relative:paragraph;z-index:15016"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5040"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5064"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pict>
          <v:group style="position:absolute;margin-left:280.589264pt;margin-top:7.398306pt;width:561.35pt;height:484.55pt;mso-position-horizontal-relative:page;mso-position-vertical-relative:paragraph;z-index:-697528" coordorigin="5612,148" coordsize="11227,9691">
            <v:shape style="position:absolute;left:5611;top:147;width:11227;height:9691" type="#_x0000_t75" stroked="false">
              <v:imagedata r:id="rId40" o:title=""/>
            </v:shape>
            <v:shape style="position:absolute;left:-1663;top:17950;width:962;height:962" coordorigin="-1662,17951" coordsize="962,962" path="m12375,5724l12668,6017m12239,5698l12694,6153m12133,5703l12689,6259m12047,5727l12665,6345m11972,5762l12630,6420m11907,5808l12584,6485m11852,5862l12530,6540m11805,5926l12466,6587m11768,5999l12393,6624m11742,6084l12308,6650m11733,6185l12207,6659m11753,6316l12076,6639e" filled="false" stroked="true" strokeweight=".25pt" strokecolor="#aebd37">
              <v:path arrowok="t"/>
              <v:stroke dashstyle="solid"/>
            </v:shape>
            <v:shape style="position:absolute;left:-4488;top:-1503;width:1796;height:1796" coordorigin="-4488,-1502" coordsize="1796,1796" path="m12598,6386l12268,6055m12792,6469l12185,5862m12931,6498l12156,5723m13049,6506l12148,5605m13153,6499l12155,5501m13247,6483l12171,5407m13334,6459l12195,5320m13413,6428l12226,5241m13486,6391l12263,5168m13554,6349l12305,5100m13617,6301l12353,5037m13675,6249l12405,4979m13729,6192l12462,4925m13777,6130l12524,4877m13820,6063l12591,4834m13858,5991l12663,4796m13891,5913l12741,4763m13917,5829l12825,4737m13935,5737l12917,4719m13944,5635l13019,4710m13940,5521l13133,4714m13918,5388l13266,4736m13853,5213l13441,4801e" filled="false" stroked="true" strokeweight=".25pt" strokecolor="#6f2770">
              <v:path arrowok="t"/>
              <v:stroke dashstyle="solid"/>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ffffff" stroked="false">
              <v:path arrowok="t"/>
              <v:fill type="solid"/>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aebd37" stroked="false">
              <v:path arrowok="t"/>
              <v:fill opacity="13107f" type="solid"/>
            </v:shape>
            <v:shape style="position:absolute;left:16571;top:9193;width:93;height:171" coordorigin="16571,9194" coordsize="93,171" path="m16590,9194l16582,9194,16571,9204,16571,9212,16638,9279,16638,9281,16571,9347,16571,9355,16579,9363,16582,9364,16589,9364,16592,9363,16655,9300,16662,9291,16664,9281,16664,9279,16662,9269,16655,9259,16590,9194xe" filled="true" fillcolor="#000000" stroked="false">
              <v:path arrowok="t"/>
              <v:fill type="solid"/>
            </v:shape>
            <w10:wrap type="none"/>
          </v:group>
        </w:pict>
      </w:r>
      <w:r>
        <w:rPr>
          <w:color w:val="6F2770"/>
        </w:rPr>
        <w:t>For the year ended 30 June 2018</w:t>
      </w:r>
    </w:p>
    <w:p>
      <w:pPr>
        <w:pStyle w:val="BodyText"/>
        <w:rPr>
          <w:sz w:val="20"/>
        </w:rPr>
      </w:pPr>
    </w:p>
    <w:p>
      <w:pPr>
        <w:spacing w:after="0"/>
        <w:rPr>
          <w:sz w:val="20"/>
        </w:rPr>
        <w:sectPr>
          <w:footerReference w:type="default" r:id="rId154"/>
          <w:pgSz w:w="16840" w:h="11910" w:orient="landscape"/>
          <w:pgMar w:footer="0" w:header="0" w:top="0" w:bottom="0" w:left="0" w:right="0"/>
        </w:sectPr>
      </w:pPr>
    </w:p>
    <w:p>
      <w:pPr>
        <w:pStyle w:val="BodyText"/>
        <w:spacing w:before="5"/>
        <w:rPr>
          <w:sz w:val="23"/>
        </w:rPr>
      </w:pPr>
    </w:p>
    <w:p>
      <w:pPr>
        <w:spacing w:before="0"/>
        <w:ind w:left="785" w:right="0" w:firstLine="0"/>
        <w:jc w:val="left"/>
        <w:rPr>
          <w:b/>
          <w:sz w:val="22"/>
        </w:rPr>
      </w:pPr>
      <w:r>
        <w:rPr>
          <w:b/>
          <w:color w:val="6F2770"/>
          <w:sz w:val="22"/>
        </w:rPr>
        <w:t>AASB 2015-8</w:t>
      </w:r>
    </w:p>
    <w:p>
      <w:pPr>
        <w:spacing w:before="11"/>
        <w:ind w:left="785" w:right="0" w:firstLine="0"/>
        <w:jc w:val="left"/>
        <w:rPr>
          <w:i/>
          <w:sz w:val="22"/>
        </w:rPr>
      </w:pPr>
      <w:r>
        <w:rPr>
          <w:i/>
          <w:color w:val="6F2770"/>
          <w:sz w:val="22"/>
        </w:rPr>
        <w:t>Amendments</w:t>
      </w:r>
      <w:r>
        <w:rPr>
          <w:i/>
          <w:color w:val="6F2770"/>
          <w:spacing w:val="-23"/>
          <w:sz w:val="22"/>
        </w:rPr>
        <w:t> </w:t>
      </w:r>
      <w:r>
        <w:rPr>
          <w:i/>
          <w:color w:val="6F2770"/>
          <w:spacing w:val="-3"/>
          <w:sz w:val="22"/>
        </w:rPr>
        <w:t>to</w:t>
      </w:r>
      <w:r>
        <w:rPr>
          <w:i/>
          <w:color w:val="6F2770"/>
          <w:spacing w:val="-23"/>
          <w:sz w:val="22"/>
        </w:rPr>
        <w:t> </w:t>
      </w:r>
      <w:r>
        <w:rPr>
          <w:i/>
          <w:color w:val="6F2770"/>
          <w:sz w:val="22"/>
        </w:rPr>
        <w:t>Australian</w:t>
      </w:r>
      <w:r>
        <w:rPr>
          <w:i/>
          <w:color w:val="6F2770"/>
          <w:spacing w:val="-23"/>
          <w:sz w:val="22"/>
        </w:rPr>
        <w:t> </w:t>
      </w:r>
      <w:r>
        <w:rPr>
          <w:i/>
          <w:color w:val="6F2770"/>
          <w:sz w:val="22"/>
        </w:rPr>
        <w:t>Accounting</w:t>
      </w:r>
      <w:r>
        <w:rPr>
          <w:i/>
          <w:color w:val="6F2770"/>
          <w:spacing w:val="-23"/>
          <w:sz w:val="22"/>
        </w:rPr>
        <w:t> </w:t>
      </w:r>
      <w:r>
        <w:rPr>
          <w:i/>
          <w:color w:val="6F2770"/>
          <w:sz w:val="22"/>
        </w:rPr>
        <w:t>Standards</w:t>
      </w:r>
    </w:p>
    <w:p>
      <w:pPr>
        <w:spacing w:before="11"/>
        <w:ind w:left="785" w:right="0" w:firstLine="0"/>
        <w:jc w:val="left"/>
        <w:rPr>
          <w:i/>
          <w:sz w:val="22"/>
        </w:rPr>
      </w:pPr>
      <w:r>
        <w:rPr>
          <w:i/>
          <w:color w:val="6F2770"/>
          <w:sz w:val="22"/>
        </w:rPr>
        <w:t>– Effective Date of AASB 15</w:t>
      </w:r>
    </w:p>
    <w:p>
      <w:pPr>
        <w:pStyle w:val="BodyText"/>
        <w:spacing w:line="249" w:lineRule="auto" w:before="11"/>
        <w:ind w:left="785" w:right="123"/>
      </w:pPr>
      <w:r>
        <w:rPr/>
        <w:t>The</w:t>
      </w:r>
      <w:r>
        <w:rPr>
          <w:spacing w:val="-25"/>
        </w:rPr>
        <w:t> </w:t>
      </w:r>
      <w:r>
        <w:rPr/>
        <w:t>Standard</w:t>
      </w:r>
      <w:r>
        <w:rPr>
          <w:spacing w:val="-25"/>
        </w:rPr>
        <w:t> </w:t>
      </w:r>
      <w:r>
        <w:rPr/>
        <w:t>amends</w:t>
      </w:r>
      <w:r>
        <w:rPr>
          <w:spacing w:val="-24"/>
        </w:rPr>
        <w:t> </w:t>
      </w:r>
      <w:r>
        <w:rPr/>
        <w:t>the</w:t>
      </w:r>
      <w:r>
        <w:rPr>
          <w:spacing w:val="-25"/>
        </w:rPr>
        <w:t> </w:t>
      </w:r>
      <w:r>
        <w:rPr/>
        <w:t>mandatory</w:t>
      </w:r>
      <w:r>
        <w:rPr>
          <w:spacing w:val="-24"/>
        </w:rPr>
        <w:t> </w:t>
      </w:r>
      <w:r>
        <w:rPr/>
        <w:t>application date</w:t>
      </w:r>
      <w:r>
        <w:rPr>
          <w:spacing w:val="-10"/>
        </w:rPr>
        <w:t> </w:t>
      </w:r>
      <w:r>
        <w:rPr/>
        <w:t>of</w:t>
      </w:r>
      <w:r>
        <w:rPr>
          <w:spacing w:val="-9"/>
        </w:rPr>
        <w:t> </w:t>
      </w:r>
      <w:r>
        <w:rPr/>
        <w:t>AASB</w:t>
      </w:r>
      <w:r>
        <w:rPr>
          <w:spacing w:val="-9"/>
        </w:rPr>
        <w:t> </w:t>
      </w:r>
      <w:r>
        <w:rPr>
          <w:spacing w:val="-8"/>
        </w:rPr>
        <w:t>15</w:t>
      </w:r>
      <w:r>
        <w:rPr>
          <w:spacing w:val="-9"/>
        </w:rPr>
        <w:t> </w:t>
      </w:r>
      <w:r>
        <w:rPr>
          <w:spacing w:val="-3"/>
        </w:rPr>
        <w:t>to</w:t>
      </w:r>
      <w:r>
        <w:rPr>
          <w:spacing w:val="-9"/>
        </w:rPr>
        <w:t> </w:t>
      </w:r>
      <w:r>
        <w:rPr/>
        <w:t>1</w:t>
      </w:r>
      <w:r>
        <w:rPr>
          <w:spacing w:val="-9"/>
        </w:rPr>
        <w:t> </w:t>
      </w:r>
      <w:r>
        <w:rPr/>
        <w:t>January</w:t>
      </w:r>
      <w:r>
        <w:rPr>
          <w:spacing w:val="-9"/>
        </w:rPr>
        <w:t> </w:t>
      </w:r>
      <w:r>
        <w:rPr>
          <w:spacing w:val="-7"/>
        </w:rPr>
        <w:t>2018</w:t>
      </w:r>
      <w:r>
        <w:rPr>
          <w:spacing w:val="-10"/>
        </w:rPr>
        <w:t> </w:t>
      </w:r>
      <w:r>
        <w:rPr/>
        <w:t>(instead</w:t>
      </w:r>
      <w:r>
        <w:rPr>
          <w:spacing w:val="-9"/>
        </w:rPr>
        <w:t> </w:t>
      </w:r>
      <w:r>
        <w:rPr/>
        <w:t>of</w:t>
      </w:r>
    </w:p>
    <w:p>
      <w:pPr>
        <w:pStyle w:val="BodyText"/>
        <w:spacing w:line="249" w:lineRule="auto" w:before="2"/>
        <w:ind w:left="785" w:right="145"/>
      </w:pPr>
      <w:r>
        <w:rPr/>
        <w:t>1</w:t>
      </w:r>
      <w:r>
        <w:rPr>
          <w:spacing w:val="-20"/>
        </w:rPr>
        <w:t> </w:t>
      </w:r>
      <w:r>
        <w:rPr/>
        <w:t>January</w:t>
      </w:r>
      <w:r>
        <w:rPr>
          <w:spacing w:val="-19"/>
        </w:rPr>
        <w:t> </w:t>
      </w:r>
      <w:r>
        <w:rPr>
          <w:spacing w:val="-8"/>
        </w:rPr>
        <w:t>2017).</w:t>
      </w:r>
      <w:r>
        <w:rPr>
          <w:spacing w:val="-19"/>
        </w:rPr>
        <w:t> </w:t>
      </w:r>
      <w:r>
        <w:rPr/>
        <w:t>It</w:t>
      </w:r>
      <w:r>
        <w:rPr>
          <w:spacing w:val="-19"/>
        </w:rPr>
        <w:t> </w:t>
      </w:r>
      <w:r>
        <w:rPr/>
        <w:t>also</w:t>
      </w:r>
      <w:r>
        <w:rPr>
          <w:spacing w:val="-19"/>
        </w:rPr>
        <w:t> </w:t>
      </w:r>
      <w:r>
        <w:rPr/>
        <w:t>defers</w:t>
      </w:r>
      <w:r>
        <w:rPr>
          <w:spacing w:val="-19"/>
        </w:rPr>
        <w:t> </w:t>
      </w:r>
      <w:r>
        <w:rPr/>
        <w:t>the</w:t>
      </w:r>
      <w:r>
        <w:rPr>
          <w:spacing w:val="-19"/>
        </w:rPr>
        <w:t> </w:t>
      </w:r>
      <w:r>
        <w:rPr/>
        <w:t>consequential amendments</w:t>
      </w:r>
      <w:r>
        <w:rPr>
          <w:spacing w:val="-22"/>
        </w:rPr>
        <w:t> </w:t>
      </w:r>
      <w:r>
        <w:rPr/>
        <w:t>that</w:t>
      </w:r>
      <w:r>
        <w:rPr>
          <w:spacing w:val="-21"/>
        </w:rPr>
        <w:t> </w:t>
      </w:r>
      <w:r>
        <w:rPr/>
        <w:t>were</w:t>
      </w:r>
      <w:r>
        <w:rPr>
          <w:spacing w:val="-21"/>
        </w:rPr>
        <w:t> </w:t>
      </w:r>
      <w:r>
        <w:rPr/>
        <w:t>originally</w:t>
      </w:r>
      <w:r>
        <w:rPr>
          <w:spacing w:val="-21"/>
        </w:rPr>
        <w:t> </w:t>
      </w:r>
      <w:r>
        <w:rPr/>
        <w:t>set</w:t>
      </w:r>
      <w:r>
        <w:rPr>
          <w:spacing w:val="-21"/>
        </w:rPr>
        <w:t> </w:t>
      </w:r>
      <w:r>
        <w:rPr/>
        <w:t>out</w:t>
      </w:r>
      <w:r>
        <w:rPr>
          <w:spacing w:val="-21"/>
        </w:rPr>
        <w:t> </w:t>
      </w:r>
      <w:r>
        <w:rPr/>
        <w:t>in</w:t>
      </w:r>
      <w:r>
        <w:rPr>
          <w:spacing w:val="-22"/>
        </w:rPr>
        <w:t> </w:t>
      </w:r>
      <w:r>
        <w:rPr/>
        <w:t>AASB </w:t>
      </w:r>
      <w:r>
        <w:rPr>
          <w:spacing w:val="-6"/>
        </w:rPr>
        <w:t>2014-5.</w:t>
      </w:r>
      <w:r>
        <w:rPr>
          <w:spacing w:val="-16"/>
        </w:rPr>
        <w:t> </w:t>
      </w:r>
      <w:r>
        <w:rPr/>
        <w:t>There</w:t>
      </w:r>
      <w:r>
        <w:rPr>
          <w:spacing w:val="-16"/>
        </w:rPr>
        <w:t> </w:t>
      </w:r>
      <w:r>
        <w:rPr/>
        <w:t>is</w:t>
      </w:r>
      <w:r>
        <w:rPr>
          <w:spacing w:val="-16"/>
        </w:rPr>
        <w:t> </w:t>
      </w:r>
      <w:r>
        <w:rPr/>
        <w:t>no</w:t>
      </w:r>
      <w:r>
        <w:rPr>
          <w:spacing w:val="-15"/>
        </w:rPr>
        <w:t> </w:t>
      </w:r>
      <w:r>
        <w:rPr/>
        <w:t>financial</w:t>
      </w:r>
      <w:r>
        <w:rPr>
          <w:spacing w:val="-16"/>
        </w:rPr>
        <w:t> </w:t>
      </w:r>
      <w:r>
        <w:rPr/>
        <w:t>impact</w:t>
      </w:r>
      <w:r>
        <w:rPr>
          <w:spacing w:val="-16"/>
        </w:rPr>
        <w:t> </w:t>
      </w:r>
      <w:r>
        <w:rPr/>
        <w:t>arising</w:t>
      </w:r>
      <w:r>
        <w:rPr>
          <w:spacing w:val="-15"/>
        </w:rPr>
        <w:t> </w:t>
      </w:r>
      <w:r>
        <w:rPr/>
        <w:t>from this</w:t>
      </w:r>
      <w:r>
        <w:rPr>
          <w:spacing w:val="-1"/>
        </w:rPr>
        <w:t> </w:t>
      </w:r>
      <w:r>
        <w:rPr/>
        <w:t>Standard.</w:t>
      </w:r>
    </w:p>
    <w:p>
      <w:pPr>
        <w:pStyle w:val="BodyText"/>
        <w:spacing w:before="3"/>
        <w:rPr>
          <w:sz w:val="23"/>
        </w:rPr>
      </w:pPr>
    </w:p>
    <w:p>
      <w:pPr>
        <w:spacing w:before="0"/>
        <w:ind w:left="785" w:right="0" w:firstLine="0"/>
        <w:jc w:val="left"/>
        <w:rPr>
          <w:b/>
          <w:sz w:val="22"/>
        </w:rPr>
      </w:pPr>
      <w:r>
        <w:rPr>
          <w:b/>
          <w:color w:val="6F2770"/>
          <w:sz w:val="22"/>
        </w:rPr>
        <w:t>AASB 2016-3</w:t>
      </w:r>
    </w:p>
    <w:p>
      <w:pPr>
        <w:spacing w:line="249" w:lineRule="auto" w:before="11"/>
        <w:ind w:left="785" w:right="1134" w:firstLine="0"/>
        <w:jc w:val="left"/>
        <w:rPr>
          <w:i/>
          <w:sz w:val="22"/>
        </w:rPr>
      </w:pPr>
      <w:r>
        <w:rPr>
          <w:i/>
          <w:color w:val="6F2770"/>
          <w:sz w:val="22"/>
        </w:rPr>
        <w:t>Amendments</w:t>
      </w:r>
      <w:r>
        <w:rPr>
          <w:i/>
          <w:color w:val="6F2770"/>
          <w:spacing w:val="-34"/>
          <w:sz w:val="22"/>
        </w:rPr>
        <w:t> </w:t>
      </w:r>
      <w:r>
        <w:rPr>
          <w:i/>
          <w:color w:val="6F2770"/>
          <w:spacing w:val="-3"/>
          <w:sz w:val="22"/>
        </w:rPr>
        <w:t>to</w:t>
      </w:r>
      <w:r>
        <w:rPr>
          <w:i/>
          <w:color w:val="6F2770"/>
          <w:spacing w:val="-33"/>
          <w:sz w:val="22"/>
        </w:rPr>
        <w:t> </w:t>
      </w:r>
      <w:r>
        <w:rPr>
          <w:i/>
          <w:color w:val="6F2770"/>
          <w:sz w:val="22"/>
        </w:rPr>
        <w:t>Australian</w:t>
      </w:r>
      <w:r>
        <w:rPr>
          <w:i/>
          <w:color w:val="6F2770"/>
          <w:spacing w:val="-33"/>
          <w:sz w:val="22"/>
        </w:rPr>
        <w:t> </w:t>
      </w:r>
      <w:r>
        <w:rPr>
          <w:i/>
          <w:color w:val="6F2770"/>
          <w:sz w:val="22"/>
        </w:rPr>
        <w:t>Accounting </w:t>
      </w:r>
      <w:r>
        <w:rPr>
          <w:i/>
          <w:color w:val="6F2770"/>
          <w:sz w:val="22"/>
        </w:rPr>
        <w:t>Standards</w:t>
      </w:r>
      <w:r>
        <w:rPr>
          <w:i/>
          <w:color w:val="6F2770"/>
          <w:spacing w:val="-20"/>
          <w:sz w:val="22"/>
        </w:rPr>
        <w:t> </w:t>
      </w:r>
      <w:r>
        <w:rPr>
          <w:i/>
          <w:color w:val="6F2770"/>
          <w:sz w:val="22"/>
        </w:rPr>
        <w:t>–</w:t>
      </w:r>
      <w:r>
        <w:rPr>
          <w:i/>
          <w:color w:val="6F2770"/>
          <w:spacing w:val="-20"/>
          <w:sz w:val="22"/>
        </w:rPr>
        <w:t> </w:t>
      </w:r>
      <w:r>
        <w:rPr>
          <w:i/>
          <w:color w:val="6F2770"/>
          <w:sz w:val="22"/>
        </w:rPr>
        <w:t>Clarifications</w:t>
      </w:r>
      <w:r>
        <w:rPr>
          <w:i/>
          <w:color w:val="6F2770"/>
          <w:spacing w:val="-19"/>
          <w:sz w:val="22"/>
        </w:rPr>
        <w:t> </w:t>
      </w:r>
      <w:r>
        <w:rPr>
          <w:i/>
          <w:color w:val="6F2770"/>
          <w:spacing w:val="-3"/>
          <w:sz w:val="22"/>
        </w:rPr>
        <w:t>to</w:t>
      </w:r>
      <w:r>
        <w:rPr>
          <w:i/>
          <w:color w:val="6F2770"/>
          <w:spacing w:val="-20"/>
          <w:sz w:val="22"/>
        </w:rPr>
        <w:t> </w:t>
      </w:r>
      <w:r>
        <w:rPr>
          <w:i/>
          <w:color w:val="6F2770"/>
          <w:sz w:val="22"/>
        </w:rPr>
        <w:t>AASB</w:t>
      </w:r>
      <w:r>
        <w:rPr>
          <w:i/>
          <w:color w:val="6F2770"/>
          <w:spacing w:val="-19"/>
          <w:sz w:val="22"/>
        </w:rPr>
        <w:t> </w:t>
      </w:r>
      <w:r>
        <w:rPr>
          <w:i/>
          <w:color w:val="6F2770"/>
          <w:spacing w:val="-9"/>
          <w:sz w:val="22"/>
        </w:rPr>
        <w:t>15</w:t>
      </w:r>
    </w:p>
    <w:p>
      <w:pPr>
        <w:spacing w:line="249" w:lineRule="auto" w:before="2"/>
        <w:ind w:left="785" w:right="-11" w:firstLine="0"/>
        <w:jc w:val="left"/>
        <w:rPr>
          <w:i/>
          <w:sz w:val="22"/>
        </w:rPr>
      </w:pPr>
      <w:r>
        <w:rPr>
          <w:sz w:val="22"/>
        </w:rPr>
        <w:t>This Standard clarifies identifying performance obligations,</w:t>
      </w:r>
      <w:r>
        <w:rPr>
          <w:spacing w:val="-32"/>
          <w:sz w:val="22"/>
        </w:rPr>
        <w:t> </w:t>
      </w:r>
      <w:r>
        <w:rPr>
          <w:sz w:val="22"/>
        </w:rPr>
        <w:t>principal</w:t>
      </w:r>
      <w:r>
        <w:rPr>
          <w:spacing w:val="-31"/>
          <w:sz w:val="22"/>
        </w:rPr>
        <w:t> </w:t>
      </w:r>
      <w:r>
        <w:rPr>
          <w:sz w:val="22"/>
        </w:rPr>
        <w:t>versus</w:t>
      </w:r>
      <w:r>
        <w:rPr>
          <w:spacing w:val="-31"/>
          <w:sz w:val="22"/>
        </w:rPr>
        <w:t> </w:t>
      </w:r>
      <w:r>
        <w:rPr>
          <w:sz w:val="22"/>
        </w:rPr>
        <w:t>agent</w:t>
      </w:r>
      <w:r>
        <w:rPr>
          <w:spacing w:val="-31"/>
          <w:sz w:val="22"/>
        </w:rPr>
        <w:t> </w:t>
      </w:r>
      <w:r>
        <w:rPr>
          <w:sz w:val="22"/>
        </w:rPr>
        <w:t>considerations, timing of recognising revenue from granting a licence,</w:t>
      </w:r>
      <w:r>
        <w:rPr>
          <w:spacing w:val="-35"/>
          <w:sz w:val="22"/>
        </w:rPr>
        <w:t> </w:t>
      </w:r>
      <w:r>
        <w:rPr>
          <w:sz w:val="22"/>
        </w:rPr>
        <w:t>and</w:t>
      </w:r>
      <w:r>
        <w:rPr>
          <w:spacing w:val="-34"/>
          <w:sz w:val="22"/>
        </w:rPr>
        <w:t> </w:t>
      </w:r>
      <w:r>
        <w:rPr>
          <w:sz w:val="22"/>
        </w:rPr>
        <w:t>provides</w:t>
      </w:r>
      <w:r>
        <w:rPr>
          <w:spacing w:val="-34"/>
          <w:sz w:val="22"/>
        </w:rPr>
        <w:t> </w:t>
      </w:r>
      <w:r>
        <w:rPr>
          <w:sz w:val="22"/>
        </w:rPr>
        <w:t>further</w:t>
      </w:r>
      <w:r>
        <w:rPr>
          <w:spacing w:val="-35"/>
          <w:sz w:val="22"/>
        </w:rPr>
        <w:t> </w:t>
      </w:r>
      <w:r>
        <w:rPr>
          <w:sz w:val="22"/>
        </w:rPr>
        <w:t>transitional</w:t>
      </w:r>
      <w:r>
        <w:rPr>
          <w:spacing w:val="-34"/>
          <w:sz w:val="22"/>
        </w:rPr>
        <w:t> </w:t>
      </w:r>
      <w:r>
        <w:rPr>
          <w:sz w:val="22"/>
        </w:rPr>
        <w:t>provisions </w:t>
      </w:r>
      <w:r>
        <w:rPr>
          <w:spacing w:val="-3"/>
          <w:sz w:val="22"/>
        </w:rPr>
        <w:t>to </w:t>
      </w:r>
      <w:r>
        <w:rPr>
          <w:sz w:val="22"/>
        </w:rPr>
        <w:t>AASB </w:t>
      </w:r>
      <w:r>
        <w:rPr>
          <w:spacing w:val="-7"/>
          <w:sz w:val="22"/>
        </w:rPr>
        <w:t>15. </w:t>
      </w:r>
      <w:r>
        <w:rPr>
          <w:i/>
          <w:sz w:val="22"/>
        </w:rPr>
        <w:t>[The Department has not yet </w:t>
      </w:r>
      <w:r>
        <w:rPr>
          <w:i/>
          <w:sz w:val="22"/>
        </w:rPr>
        <w:t>determined</w:t>
      </w:r>
      <w:r>
        <w:rPr>
          <w:i/>
          <w:spacing w:val="-17"/>
          <w:sz w:val="22"/>
        </w:rPr>
        <w:t> </w:t>
      </w:r>
      <w:r>
        <w:rPr>
          <w:i/>
          <w:sz w:val="22"/>
        </w:rPr>
        <w:t>the</w:t>
      </w:r>
      <w:r>
        <w:rPr>
          <w:i/>
          <w:spacing w:val="-17"/>
          <w:sz w:val="22"/>
        </w:rPr>
        <w:t> </w:t>
      </w:r>
      <w:r>
        <w:rPr>
          <w:i/>
          <w:sz w:val="22"/>
        </w:rPr>
        <w:t>application</w:t>
      </w:r>
      <w:r>
        <w:rPr>
          <w:i/>
          <w:spacing w:val="-17"/>
          <w:sz w:val="22"/>
        </w:rPr>
        <w:t> </w:t>
      </w:r>
      <w:r>
        <w:rPr>
          <w:i/>
          <w:sz w:val="22"/>
        </w:rPr>
        <w:t>or</w:t>
      </w:r>
      <w:r>
        <w:rPr>
          <w:i/>
          <w:spacing w:val="-17"/>
          <w:sz w:val="22"/>
        </w:rPr>
        <w:t> </w:t>
      </w:r>
      <w:r>
        <w:rPr>
          <w:i/>
          <w:sz w:val="22"/>
        </w:rPr>
        <w:t>the</w:t>
      </w:r>
      <w:r>
        <w:rPr>
          <w:i/>
          <w:spacing w:val="-17"/>
          <w:sz w:val="22"/>
        </w:rPr>
        <w:t> </w:t>
      </w:r>
      <w:r>
        <w:rPr>
          <w:i/>
          <w:sz w:val="22"/>
        </w:rPr>
        <w:t>potential</w:t>
      </w:r>
      <w:r>
        <w:rPr>
          <w:i/>
          <w:spacing w:val="-17"/>
          <w:sz w:val="22"/>
        </w:rPr>
        <w:t> </w:t>
      </w:r>
      <w:r>
        <w:rPr>
          <w:i/>
          <w:sz w:val="22"/>
        </w:rPr>
        <w:t>impact when the deferred AASB </w:t>
      </w:r>
      <w:r>
        <w:rPr>
          <w:i/>
          <w:spacing w:val="-9"/>
          <w:sz w:val="22"/>
        </w:rPr>
        <w:t>15 </w:t>
      </w:r>
      <w:r>
        <w:rPr>
          <w:i/>
          <w:sz w:val="22"/>
        </w:rPr>
        <w:t>becomes effective from 1 January</w:t>
      </w:r>
      <w:r>
        <w:rPr>
          <w:i/>
          <w:spacing w:val="-3"/>
          <w:sz w:val="22"/>
        </w:rPr>
        <w:t> </w:t>
      </w:r>
      <w:r>
        <w:rPr>
          <w:i/>
          <w:spacing w:val="-9"/>
          <w:sz w:val="22"/>
        </w:rPr>
        <w:t>2019.]</w:t>
      </w:r>
    </w:p>
    <w:p>
      <w:pPr>
        <w:pStyle w:val="BodyText"/>
        <w:spacing w:before="5"/>
        <w:rPr>
          <w:i/>
          <w:sz w:val="23"/>
        </w:rPr>
      </w:pPr>
      <w:r>
        <w:rPr/>
        <w:br w:type="column"/>
      </w:r>
      <w:r>
        <w:rPr>
          <w:i/>
          <w:sz w:val="23"/>
        </w:rPr>
      </w:r>
    </w:p>
    <w:p>
      <w:pPr>
        <w:spacing w:before="0"/>
        <w:ind w:left="427" w:right="0" w:firstLine="0"/>
        <w:jc w:val="left"/>
        <w:rPr>
          <w:b/>
          <w:sz w:val="22"/>
        </w:rPr>
      </w:pPr>
      <w:r>
        <w:rPr>
          <w:b/>
          <w:color w:val="6F2770"/>
          <w:sz w:val="22"/>
        </w:rPr>
        <w:t>AASB 2016-7</w:t>
      </w:r>
    </w:p>
    <w:p>
      <w:pPr>
        <w:spacing w:line="249" w:lineRule="auto" w:before="11"/>
        <w:ind w:left="427" w:right="1173" w:firstLine="0"/>
        <w:jc w:val="left"/>
        <w:rPr>
          <w:i/>
          <w:sz w:val="22"/>
        </w:rPr>
      </w:pPr>
      <w:r>
        <w:rPr>
          <w:i/>
          <w:color w:val="6F2770"/>
          <w:sz w:val="22"/>
        </w:rPr>
        <w:t>Amendments</w:t>
      </w:r>
      <w:r>
        <w:rPr>
          <w:i/>
          <w:color w:val="6F2770"/>
          <w:spacing w:val="-34"/>
          <w:sz w:val="22"/>
        </w:rPr>
        <w:t> </w:t>
      </w:r>
      <w:r>
        <w:rPr>
          <w:i/>
          <w:color w:val="6F2770"/>
          <w:spacing w:val="-3"/>
          <w:sz w:val="22"/>
        </w:rPr>
        <w:t>to</w:t>
      </w:r>
      <w:r>
        <w:rPr>
          <w:i/>
          <w:color w:val="6F2770"/>
          <w:spacing w:val="-33"/>
          <w:sz w:val="22"/>
        </w:rPr>
        <w:t> </w:t>
      </w:r>
      <w:r>
        <w:rPr>
          <w:i/>
          <w:color w:val="6F2770"/>
          <w:sz w:val="22"/>
        </w:rPr>
        <w:t>Australian</w:t>
      </w:r>
      <w:r>
        <w:rPr>
          <w:i/>
          <w:color w:val="6F2770"/>
          <w:spacing w:val="-33"/>
          <w:sz w:val="22"/>
        </w:rPr>
        <w:t> </w:t>
      </w:r>
      <w:r>
        <w:rPr>
          <w:i/>
          <w:color w:val="6F2770"/>
          <w:sz w:val="22"/>
        </w:rPr>
        <w:t>Accounting </w:t>
      </w:r>
      <w:r>
        <w:rPr>
          <w:i/>
          <w:color w:val="6F2770"/>
          <w:sz w:val="22"/>
        </w:rPr>
        <w:t>Standards – Deferral of AASB </w:t>
      </w:r>
      <w:r>
        <w:rPr>
          <w:i/>
          <w:color w:val="6F2770"/>
          <w:spacing w:val="-9"/>
          <w:sz w:val="22"/>
        </w:rPr>
        <w:t>15 </w:t>
      </w:r>
      <w:r>
        <w:rPr>
          <w:i/>
          <w:color w:val="6F2770"/>
          <w:sz w:val="22"/>
        </w:rPr>
        <w:t>for </w:t>
      </w:r>
      <w:r>
        <w:rPr>
          <w:i/>
          <w:color w:val="6F2770"/>
          <w:spacing w:val="-3"/>
          <w:sz w:val="22"/>
        </w:rPr>
        <w:t>Not-for-Profit </w:t>
      </w:r>
      <w:r>
        <w:rPr>
          <w:i/>
          <w:color w:val="6F2770"/>
          <w:sz w:val="22"/>
        </w:rPr>
        <w:t>Entities</w:t>
      </w:r>
    </w:p>
    <w:p>
      <w:pPr>
        <w:pStyle w:val="BodyText"/>
        <w:spacing w:line="249" w:lineRule="auto" w:before="3"/>
        <w:ind w:left="427" w:right="452"/>
      </w:pPr>
      <w:r>
        <w:rPr/>
        <w:t>This</w:t>
      </w:r>
      <w:r>
        <w:rPr>
          <w:spacing w:val="-22"/>
        </w:rPr>
        <w:t> </w:t>
      </w:r>
      <w:r>
        <w:rPr/>
        <w:t>Standard</w:t>
      </w:r>
      <w:r>
        <w:rPr>
          <w:spacing w:val="-22"/>
        </w:rPr>
        <w:t> </w:t>
      </w:r>
      <w:r>
        <w:rPr/>
        <w:t>defers,</w:t>
      </w:r>
      <w:r>
        <w:rPr>
          <w:spacing w:val="-22"/>
        </w:rPr>
        <w:t> </w:t>
      </w:r>
      <w:r>
        <w:rPr/>
        <w:t>for</w:t>
      </w:r>
      <w:r>
        <w:rPr>
          <w:spacing w:val="-22"/>
        </w:rPr>
        <w:t> </w:t>
      </w:r>
      <w:r>
        <w:rPr>
          <w:spacing w:val="-4"/>
        </w:rPr>
        <w:t>not-for-profit</w:t>
      </w:r>
      <w:r>
        <w:rPr>
          <w:spacing w:val="-22"/>
        </w:rPr>
        <w:t> </w:t>
      </w:r>
      <w:r>
        <w:rPr/>
        <w:t>entities, the</w:t>
      </w:r>
      <w:r>
        <w:rPr>
          <w:spacing w:val="-15"/>
        </w:rPr>
        <w:t> </w:t>
      </w:r>
      <w:r>
        <w:rPr/>
        <w:t>mandatory</w:t>
      </w:r>
      <w:r>
        <w:rPr>
          <w:spacing w:val="-14"/>
        </w:rPr>
        <w:t> </w:t>
      </w:r>
      <w:r>
        <w:rPr/>
        <w:t>application</w:t>
      </w:r>
      <w:r>
        <w:rPr>
          <w:spacing w:val="-14"/>
        </w:rPr>
        <w:t> </w:t>
      </w:r>
      <w:r>
        <w:rPr/>
        <w:t>date</w:t>
      </w:r>
      <w:r>
        <w:rPr>
          <w:spacing w:val="-14"/>
        </w:rPr>
        <w:t> </w:t>
      </w:r>
      <w:r>
        <w:rPr/>
        <w:t>of</w:t>
      </w:r>
      <w:r>
        <w:rPr>
          <w:spacing w:val="-14"/>
        </w:rPr>
        <w:t> </w:t>
      </w:r>
      <w:r>
        <w:rPr/>
        <w:t>AASB</w:t>
      </w:r>
      <w:r>
        <w:rPr>
          <w:spacing w:val="-14"/>
        </w:rPr>
        <w:t> </w:t>
      </w:r>
      <w:r>
        <w:rPr>
          <w:spacing w:val="-8"/>
        </w:rPr>
        <w:t>15</w:t>
      </w:r>
      <w:r>
        <w:rPr>
          <w:spacing w:val="-14"/>
        </w:rPr>
        <w:t> </w:t>
      </w:r>
      <w:r>
        <w:rPr>
          <w:spacing w:val="-3"/>
        </w:rPr>
        <w:t>to </w:t>
      </w:r>
      <w:r>
        <w:rPr/>
        <w:t>1 January </w:t>
      </w:r>
      <w:r>
        <w:rPr>
          <w:spacing w:val="-7"/>
        </w:rPr>
        <w:t>2019, </w:t>
      </w:r>
      <w:r>
        <w:rPr/>
        <w:t>and the consequential amendments that were originally set out in AASB </w:t>
      </w:r>
      <w:r>
        <w:rPr>
          <w:spacing w:val="-6"/>
        </w:rPr>
        <w:t>2014-5. </w:t>
      </w:r>
      <w:r>
        <w:rPr/>
        <w:t>There is no financial impact arising from this</w:t>
      </w:r>
      <w:r>
        <w:rPr>
          <w:spacing w:val="-8"/>
        </w:rPr>
        <w:t> </w:t>
      </w:r>
      <w:r>
        <w:rPr/>
        <w:t>standard.</w:t>
      </w:r>
    </w:p>
    <w:p>
      <w:pPr>
        <w:pStyle w:val="BodyText"/>
        <w:spacing w:before="4"/>
        <w:rPr>
          <w:sz w:val="23"/>
        </w:rPr>
      </w:pPr>
    </w:p>
    <w:p>
      <w:pPr>
        <w:pStyle w:val="Heading6"/>
        <w:spacing w:line="249" w:lineRule="auto" w:before="1"/>
        <w:ind w:left="427"/>
      </w:pPr>
      <w:r>
        <w:rPr/>
        <w:t>Operative for reporting periods beginning on/after 1 Jan 2019</w:t>
      </w:r>
    </w:p>
    <w:p>
      <w:pPr>
        <w:pStyle w:val="BodyText"/>
        <w:spacing w:before="1"/>
        <w:rPr>
          <w:b/>
          <w:sz w:val="23"/>
        </w:rPr>
      </w:pPr>
    </w:p>
    <w:p>
      <w:pPr>
        <w:spacing w:before="0"/>
        <w:ind w:left="427" w:right="0" w:firstLine="0"/>
        <w:jc w:val="left"/>
        <w:rPr>
          <w:b/>
          <w:sz w:val="22"/>
        </w:rPr>
      </w:pPr>
      <w:r>
        <w:rPr>
          <w:b/>
          <w:color w:val="6F2770"/>
          <w:sz w:val="22"/>
        </w:rPr>
        <w:t>AASB 15</w:t>
      </w:r>
    </w:p>
    <w:p>
      <w:pPr>
        <w:spacing w:before="11"/>
        <w:ind w:left="427" w:right="0" w:firstLine="0"/>
        <w:jc w:val="left"/>
        <w:rPr>
          <w:i/>
          <w:sz w:val="22"/>
        </w:rPr>
      </w:pPr>
      <w:r>
        <w:rPr>
          <w:i/>
          <w:color w:val="6F2770"/>
          <w:sz w:val="22"/>
        </w:rPr>
        <w:t>Revenue from Contracts with Customers</w:t>
      </w:r>
    </w:p>
    <w:p>
      <w:pPr>
        <w:pStyle w:val="BodyText"/>
        <w:spacing w:line="249" w:lineRule="auto" w:before="11"/>
        <w:ind w:left="427" w:right="-7"/>
      </w:pPr>
      <w:r>
        <w:rPr/>
        <w:t>This Standard establishes the principles that the Department</w:t>
      </w:r>
      <w:r>
        <w:rPr>
          <w:spacing w:val="-23"/>
        </w:rPr>
        <w:t> </w:t>
      </w:r>
      <w:r>
        <w:rPr/>
        <w:t>shall</w:t>
      </w:r>
      <w:r>
        <w:rPr>
          <w:spacing w:val="-23"/>
        </w:rPr>
        <w:t> </w:t>
      </w:r>
      <w:r>
        <w:rPr/>
        <w:t>apply</w:t>
      </w:r>
      <w:r>
        <w:rPr>
          <w:spacing w:val="-22"/>
        </w:rPr>
        <w:t> </w:t>
      </w:r>
      <w:r>
        <w:rPr>
          <w:spacing w:val="-3"/>
        </w:rPr>
        <w:t>to</w:t>
      </w:r>
      <w:r>
        <w:rPr>
          <w:spacing w:val="-23"/>
        </w:rPr>
        <w:t> </w:t>
      </w:r>
      <w:r>
        <w:rPr/>
        <w:t>report</w:t>
      </w:r>
      <w:r>
        <w:rPr>
          <w:spacing w:val="-22"/>
        </w:rPr>
        <w:t> </w:t>
      </w:r>
      <w:r>
        <w:rPr/>
        <w:t>useful</w:t>
      </w:r>
      <w:r>
        <w:rPr>
          <w:spacing w:val="-23"/>
        </w:rPr>
        <w:t> </w:t>
      </w:r>
      <w:r>
        <w:rPr/>
        <w:t>information </w:t>
      </w:r>
      <w:r>
        <w:rPr>
          <w:spacing w:val="-3"/>
        </w:rPr>
        <w:t>to </w:t>
      </w:r>
      <w:r>
        <w:rPr/>
        <w:t>users of financial statements about the nature, amount, timing and uncertainty of revenue and cash</w:t>
      </w:r>
      <w:r>
        <w:rPr>
          <w:spacing w:val="-14"/>
        </w:rPr>
        <w:t> </w:t>
      </w:r>
      <w:r>
        <w:rPr/>
        <w:t>flows</w:t>
      </w:r>
      <w:r>
        <w:rPr>
          <w:spacing w:val="-13"/>
        </w:rPr>
        <w:t> </w:t>
      </w:r>
      <w:r>
        <w:rPr/>
        <w:t>arising</w:t>
      </w:r>
      <w:r>
        <w:rPr>
          <w:spacing w:val="-14"/>
        </w:rPr>
        <w:t> </w:t>
      </w:r>
      <w:r>
        <w:rPr/>
        <w:t>from</w:t>
      </w:r>
      <w:r>
        <w:rPr>
          <w:spacing w:val="-13"/>
        </w:rPr>
        <w:t> </w:t>
      </w:r>
      <w:r>
        <w:rPr/>
        <w:t>a</w:t>
      </w:r>
      <w:r>
        <w:rPr>
          <w:spacing w:val="-14"/>
        </w:rPr>
        <w:t> </w:t>
      </w:r>
      <w:r>
        <w:rPr/>
        <w:t>contract</w:t>
      </w:r>
      <w:r>
        <w:rPr>
          <w:spacing w:val="-13"/>
        </w:rPr>
        <w:t> </w:t>
      </w:r>
      <w:r>
        <w:rPr/>
        <w:t>with</w:t>
      </w:r>
      <w:r>
        <w:rPr>
          <w:spacing w:val="-14"/>
        </w:rPr>
        <w:t> </w:t>
      </w:r>
      <w:r>
        <w:rPr/>
        <w:t>a</w:t>
      </w:r>
      <w:r>
        <w:rPr>
          <w:spacing w:val="-13"/>
        </w:rPr>
        <w:t> </w:t>
      </w:r>
      <w:r>
        <w:rPr>
          <w:spacing w:val="-3"/>
        </w:rPr>
        <w:t>customer. </w:t>
      </w:r>
      <w:r>
        <w:rPr/>
        <w:t>The</w:t>
      </w:r>
      <w:r>
        <w:rPr>
          <w:spacing w:val="-20"/>
        </w:rPr>
        <w:t> </w:t>
      </w:r>
      <w:r>
        <w:rPr/>
        <w:t>mandatory</w:t>
      </w:r>
      <w:r>
        <w:rPr>
          <w:spacing w:val="-19"/>
        </w:rPr>
        <w:t> </w:t>
      </w:r>
      <w:r>
        <w:rPr/>
        <w:t>application</w:t>
      </w:r>
      <w:r>
        <w:rPr>
          <w:spacing w:val="-19"/>
        </w:rPr>
        <w:t> </w:t>
      </w:r>
      <w:r>
        <w:rPr/>
        <w:t>date</w:t>
      </w:r>
      <w:r>
        <w:rPr>
          <w:spacing w:val="-19"/>
        </w:rPr>
        <w:t> </w:t>
      </w:r>
      <w:r>
        <w:rPr/>
        <w:t>of</w:t>
      </w:r>
      <w:r>
        <w:rPr>
          <w:spacing w:val="-19"/>
        </w:rPr>
        <w:t> </w:t>
      </w:r>
      <w:r>
        <w:rPr/>
        <w:t>this</w:t>
      </w:r>
      <w:r>
        <w:rPr>
          <w:spacing w:val="-19"/>
        </w:rPr>
        <w:t> </w:t>
      </w:r>
      <w:r>
        <w:rPr/>
        <w:t>Standard</w:t>
      </w:r>
      <w:r>
        <w:rPr>
          <w:spacing w:val="-20"/>
        </w:rPr>
        <w:t> </w:t>
      </w:r>
      <w:r>
        <w:rPr/>
        <w:t>is currently 1 January </w:t>
      </w:r>
      <w:r>
        <w:rPr>
          <w:spacing w:val="-7"/>
        </w:rPr>
        <w:t>2019 </w:t>
      </w:r>
      <w:r>
        <w:rPr/>
        <w:t>after being amended by AASB</w:t>
      </w:r>
      <w:r>
        <w:rPr>
          <w:spacing w:val="-1"/>
        </w:rPr>
        <w:t> </w:t>
      </w:r>
      <w:r>
        <w:rPr>
          <w:spacing w:val="-10"/>
        </w:rPr>
        <w:t>2016-7.</w:t>
      </w:r>
    </w:p>
    <w:p>
      <w:pPr>
        <w:pStyle w:val="BodyText"/>
        <w:spacing w:before="5"/>
        <w:rPr>
          <w:sz w:val="23"/>
        </w:rPr>
      </w:pPr>
      <w:r>
        <w:rPr/>
        <w:br w:type="column"/>
      </w:r>
      <w:r>
        <w:rPr>
          <w:sz w:val="23"/>
        </w:rPr>
      </w:r>
    </w:p>
    <w:p>
      <w:pPr>
        <w:spacing w:line="249" w:lineRule="auto" w:before="0"/>
        <w:ind w:left="398" w:right="818" w:firstLine="0"/>
        <w:jc w:val="left"/>
        <w:rPr>
          <w:i/>
          <w:sz w:val="22"/>
        </w:rPr>
      </w:pPr>
      <w:r>
        <w:rPr>
          <w:i/>
          <w:sz w:val="22"/>
        </w:rPr>
        <w:t>[The Department’s income is principally derived </w:t>
      </w:r>
      <w:r>
        <w:rPr>
          <w:i/>
          <w:sz w:val="22"/>
        </w:rPr>
        <w:t>from</w:t>
      </w:r>
      <w:r>
        <w:rPr>
          <w:i/>
          <w:spacing w:val="-21"/>
          <w:sz w:val="22"/>
        </w:rPr>
        <w:t> </w:t>
      </w:r>
      <w:r>
        <w:rPr>
          <w:i/>
          <w:sz w:val="22"/>
        </w:rPr>
        <w:t>appropriations</w:t>
      </w:r>
      <w:r>
        <w:rPr>
          <w:i/>
          <w:spacing w:val="-21"/>
          <w:sz w:val="22"/>
        </w:rPr>
        <w:t> </w:t>
      </w:r>
      <w:r>
        <w:rPr>
          <w:i/>
          <w:sz w:val="22"/>
        </w:rPr>
        <w:t>which</w:t>
      </w:r>
      <w:r>
        <w:rPr>
          <w:i/>
          <w:spacing w:val="-21"/>
          <w:sz w:val="22"/>
        </w:rPr>
        <w:t> </w:t>
      </w:r>
      <w:r>
        <w:rPr>
          <w:i/>
          <w:sz w:val="22"/>
        </w:rPr>
        <w:t>will</w:t>
      </w:r>
      <w:r>
        <w:rPr>
          <w:i/>
          <w:spacing w:val="-21"/>
          <w:sz w:val="22"/>
        </w:rPr>
        <w:t> </w:t>
      </w:r>
      <w:r>
        <w:rPr>
          <w:i/>
          <w:sz w:val="22"/>
        </w:rPr>
        <w:t>be</w:t>
      </w:r>
      <w:r>
        <w:rPr>
          <w:i/>
          <w:spacing w:val="-21"/>
          <w:sz w:val="22"/>
        </w:rPr>
        <w:t> </w:t>
      </w:r>
      <w:r>
        <w:rPr>
          <w:i/>
          <w:sz w:val="22"/>
        </w:rPr>
        <w:t>measured</w:t>
      </w:r>
      <w:r>
        <w:rPr>
          <w:i/>
          <w:spacing w:val="-21"/>
          <w:sz w:val="22"/>
        </w:rPr>
        <w:t> </w:t>
      </w:r>
      <w:r>
        <w:rPr>
          <w:i/>
          <w:sz w:val="22"/>
        </w:rPr>
        <w:t>under AASB</w:t>
      </w:r>
      <w:r>
        <w:rPr>
          <w:i/>
          <w:spacing w:val="-15"/>
          <w:sz w:val="22"/>
        </w:rPr>
        <w:t> </w:t>
      </w:r>
      <w:r>
        <w:rPr>
          <w:i/>
          <w:spacing w:val="-5"/>
          <w:sz w:val="22"/>
        </w:rPr>
        <w:t>1058</w:t>
      </w:r>
      <w:r>
        <w:rPr>
          <w:i/>
          <w:spacing w:val="-15"/>
          <w:sz w:val="22"/>
        </w:rPr>
        <w:t> </w:t>
      </w:r>
      <w:r>
        <w:rPr>
          <w:i/>
          <w:sz w:val="22"/>
        </w:rPr>
        <w:t>and</w:t>
      </w:r>
      <w:r>
        <w:rPr>
          <w:i/>
          <w:spacing w:val="-15"/>
          <w:sz w:val="22"/>
        </w:rPr>
        <w:t> </w:t>
      </w:r>
      <w:r>
        <w:rPr>
          <w:i/>
          <w:sz w:val="22"/>
        </w:rPr>
        <w:t>will</w:t>
      </w:r>
      <w:r>
        <w:rPr>
          <w:i/>
          <w:spacing w:val="-14"/>
          <w:sz w:val="22"/>
        </w:rPr>
        <w:t> </w:t>
      </w:r>
      <w:r>
        <w:rPr>
          <w:i/>
          <w:sz w:val="22"/>
        </w:rPr>
        <w:t>be</w:t>
      </w:r>
      <w:r>
        <w:rPr>
          <w:i/>
          <w:spacing w:val="-15"/>
          <w:sz w:val="22"/>
        </w:rPr>
        <w:t> </w:t>
      </w:r>
      <w:r>
        <w:rPr>
          <w:i/>
          <w:sz w:val="22"/>
        </w:rPr>
        <w:t>unaffected</w:t>
      </w:r>
      <w:r>
        <w:rPr>
          <w:i/>
          <w:spacing w:val="-15"/>
          <w:sz w:val="22"/>
        </w:rPr>
        <w:t> </w:t>
      </w:r>
      <w:r>
        <w:rPr>
          <w:i/>
          <w:spacing w:val="-3"/>
          <w:sz w:val="22"/>
        </w:rPr>
        <w:t>by</w:t>
      </w:r>
      <w:r>
        <w:rPr>
          <w:i/>
          <w:spacing w:val="-15"/>
          <w:sz w:val="22"/>
        </w:rPr>
        <w:t> </w:t>
      </w:r>
      <w:r>
        <w:rPr>
          <w:i/>
          <w:sz w:val="22"/>
        </w:rPr>
        <w:t>this</w:t>
      </w:r>
      <w:r>
        <w:rPr>
          <w:i/>
          <w:spacing w:val="-14"/>
          <w:sz w:val="22"/>
        </w:rPr>
        <w:t> </w:t>
      </w:r>
      <w:r>
        <w:rPr>
          <w:i/>
          <w:sz w:val="22"/>
        </w:rPr>
        <w:t>change. </w:t>
      </w:r>
      <w:r>
        <w:rPr>
          <w:i/>
          <w:spacing w:val="-4"/>
          <w:sz w:val="22"/>
        </w:rPr>
        <w:t>However, </w:t>
      </w:r>
      <w:r>
        <w:rPr>
          <w:i/>
          <w:sz w:val="22"/>
        </w:rPr>
        <w:t>the agency has not yet determined the potential</w:t>
      </w:r>
      <w:r>
        <w:rPr>
          <w:i/>
          <w:spacing w:val="-16"/>
          <w:sz w:val="22"/>
        </w:rPr>
        <w:t> </w:t>
      </w:r>
      <w:r>
        <w:rPr>
          <w:i/>
          <w:sz w:val="22"/>
        </w:rPr>
        <w:t>impact</w:t>
      </w:r>
      <w:r>
        <w:rPr>
          <w:i/>
          <w:spacing w:val="-16"/>
          <w:sz w:val="22"/>
        </w:rPr>
        <w:t> </w:t>
      </w:r>
      <w:r>
        <w:rPr>
          <w:i/>
          <w:sz w:val="22"/>
        </w:rPr>
        <w:t>of</w:t>
      </w:r>
      <w:r>
        <w:rPr>
          <w:i/>
          <w:spacing w:val="-16"/>
          <w:sz w:val="22"/>
        </w:rPr>
        <w:t> </w:t>
      </w:r>
      <w:r>
        <w:rPr>
          <w:i/>
          <w:sz w:val="22"/>
        </w:rPr>
        <w:t>the</w:t>
      </w:r>
      <w:r>
        <w:rPr>
          <w:i/>
          <w:spacing w:val="-15"/>
          <w:sz w:val="22"/>
        </w:rPr>
        <w:t> </w:t>
      </w:r>
      <w:r>
        <w:rPr>
          <w:i/>
          <w:sz w:val="22"/>
        </w:rPr>
        <w:t>Standard</w:t>
      </w:r>
      <w:r>
        <w:rPr>
          <w:i/>
          <w:spacing w:val="-16"/>
          <w:sz w:val="22"/>
        </w:rPr>
        <w:t> </w:t>
      </w:r>
      <w:r>
        <w:rPr>
          <w:i/>
          <w:sz w:val="22"/>
        </w:rPr>
        <w:t>on</w:t>
      </w:r>
      <w:r>
        <w:rPr>
          <w:i/>
          <w:spacing w:val="-16"/>
          <w:sz w:val="22"/>
        </w:rPr>
        <w:t> </w:t>
      </w:r>
      <w:r>
        <w:rPr>
          <w:i/>
          <w:sz w:val="22"/>
        </w:rPr>
        <w:t>‘User</w:t>
      </w:r>
      <w:r>
        <w:rPr>
          <w:i/>
          <w:spacing w:val="-16"/>
          <w:sz w:val="22"/>
        </w:rPr>
        <w:t> </w:t>
      </w:r>
      <w:r>
        <w:rPr>
          <w:i/>
          <w:sz w:val="22"/>
        </w:rPr>
        <w:t>charges and</w:t>
      </w:r>
      <w:r>
        <w:rPr>
          <w:i/>
          <w:spacing w:val="-12"/>
          <w:sz w:val="22"/>
        </w:rPr>
        <w:t> </w:t>
      </w:r>
      <w:r>
        <w:rPr>
          <w:i/>
          <w:sz w:val="22"/>
        </w:rPr>
        <w:t>fees’</w:t>
      </w:r>
      <w:r>
        <w:rPr>
          <w:i/>
          <w:spacing w:val="-11"/>
          <w:sz w:val="22"/>
        </w:rPr>
        <w:t> </w:t>
      </w:r>
      <w:r>
        <w:rPr>
          <w:i/>
          <w:sz w:val="22"/>
        </w:rPr>
        <w:t>and</w:t>
      </w:r>
      <w:r>
        <w:rPr>
          <w:i/>
          <w:spacing w:val="-11"/>
          <w:sz w:val="22"/>
        </w:rPr>
        <w:t> </w:t>
      </w:r>
      <w:r>
        <w:rPr>
          <w:i/>
          <w:sz w:val="22"/>
        </w:rPr>
        <w:t>‘Sales’</w:t>
      </w:r>
      <w:r>
        <w:rPr>
          <w:i/>
          <w:spacing w:val="-11"/>
          <w:sz w:val="22"/>
        </w:rPr>
        <w:t> </w:t>
      </w:r>
      <w:r>
        <w:rPr>
          <w:i/>
          <w:sz w:val="22"/>
        </w:rPr>
        <w:t>revenue.</w:t>
      </w:r>
      <w:r>
        <w:rPr>
          <w:i/>
          <w:spacing w:val="-11"/>
          <w:sz w:val="22"/>
        </w:rPr>
        <w:t> </w:t>
      </w:r>
      <w:r>
        <w:rPr>
          <w:i/>
          <w:sz w:val="22"/>
        </w:rPr>
        <w:t>In</w:t>
      </w:r>
      <w:r>
        <w:rPr>
          <w:i/>
          <w:spacing w:val="-11"/>
          <w:sz w:val="22"/>
        </w:rPr>
        <w:t> </w:t>
      </w:r>
      <w:r>
        <w:rPr>
          <w:i/>
          <w:sz w:val="22"/>
        </w:rPr>
        <w:t>broad</w:t>
      </w:r>
      <w:r>
        <w:rPr>
          <w:i/>
          <w:spacing w:val="-11"/>
          <w:sz w:val="22"/>
        </w:rPr>
        <w:t> </w:t>
      </w:r>
      <w:r>
        <w:rPr>
          <w:i/>
          <w:sz w:val="22"/>
        </w:rPr>
        <w:t>terms,</w:t>
      </w:r>
    </w:p>
    <w:p>
      <w:pPr>
        <w:spacing w:line="249" w:lineRule="auto" w:before="5"/>
        <w:ind w:left="398" w:right="1167" w:firstLine="0"/>
        <w:jc w:val="left"/>
        <w:rPr>
          <w:i/>
          <w:sz w:val="22"/>
        </w:rPr>
      </w:pPr>
      <w:r>
        <w:rPr>
          <w:i/>
          <w:sz w:val="22"/>
        </w:rPr>
        <w:t>it is anticipated that the terms and conditions </w:t>
      </w:r>
      <w:r>
        <w:rPr>
          <w:i/>
          <w:sz w:val="22"/>
        </w:rPr>
        <w:t>attached</w:t>
      </w:r>
      <w:r>
        <w:rPr>
          <w:i/>
          <w:spacing w:val="-22"/>
          <w:sz w:val="22"/>
        </w:rPr>
        <w:t> </w:t>
      </w:r>
      <w:r>
        <w:rPr>
          <w:i/>
          <w:spacing w:val="-3"/>
          <w:sz w:val="22"/>
        </w:rPr>
        <w:t>to</w:t>
      </w:r>
      <w:r>
        <w:rPr>
          <w:i/>
          <w:spacing w:val="-21"/>
          <w:sz w:val="22"/>
        </w:rPr>
        <w:t> </w:t>
      </w:r>
      <w:r>
        <w:rPr>
          <w:i/>
          <w:sz w:val="22"/>
        </w:rPr>
        <w:t>these</w:t>
      </w:r>
      <w:r>
        <w:rPr>
          <w:i/>
          <w:spacing w:val="-22"/>
          <w:sz w:val="22"/>
        </w:rPr>
        <w:t> </w:t>
      </w:r>
      <w:r>
        <w:rPr>
          <w:i/>
          <w:sz w:val="22"/>
        </w:rPr>
        <w:t>revenues</w:t>
      </w:r>
      <w:r>
        <w:rPr>
          <w:i/>
          <w:spacing w:val="-21"/>
          <w:sz w:val="22"/>
        </w:rPr>
        <w:t> </w:t>
      </w:r>
      <w:r>
        <w:rPr>
          <w:i/>
          <w:sz w:val="22"/>
        </w:rPr>
        <w:t>will</w:t>
      </w:r>
      <w:r>
        <w:rPr>
          <w:i/>
          <w:spacing w:val="-22"/>
          <w:sz w:val="22"/>
        </w:rPr>
        <w:t> </w:t>
      </w:r>
      <w:r>
        <w:rPr>
          <w:i/>
          <w:sz w:val="22"/>
        </w:rPr>
        <w:t>defer</w:t>
      </w:r>
      <w:r>
        <w:rPr>
          <w:i/>
          <w:spacing w:val="-21"/>
          <w:sz w:val="22"/>
        </w:rPr>
        <w:t> </w:t>
      </w:r>
      <w:r>
        <w:rPr>
          <w:i/>
          <w:sz w:val="22"/>
        </w:rPr>
        <w:t>revenue recognition</w:t>
      </w:r>
      <w:r>
        <w:rPr>
          <w:i/>
          <w:spacing w:val="-23"/>
          <w:sz w:val="22"/>
        </w:rPr>
        <w:t> </w:t>
      </w:r>
      <w:r>
        <w:rPr>
          <w:i/>
          <w:sz w:val="22"/>
        </w:rPr>
        <w:t>until</w:t>
      </w:r>
      <w:r>
        <w:rPr>
          <w:i/>
          <w:spacing w:val="-22"/>
          <w:sz w:val="22"/>
        </w:rPr>
        <w:t> </w:t>
      </w:r>
      <w:r>
        <w:rPr>
          <w:i/>
          <w:sz w:val="22"/>
        </w:rPr>
        <w:t>the</w:t>
      </w:r>
      <w:r>
        <w:rPr>
          <w:i/>
          <w:spacing w:val="-22"/>
          <w:sz w:val="22"/>
        </w:rPr>
        <w:t> </w:t>
      </w:r>
      <w:r>
        <w:rPr>
          <w:i/>
          <w:sz w:val="22"/>
        </w:rPr>
        <w:t>agency</w:t>
      </w:r>
      <w:r>
        <w:rPr>
          <w:i/>
          <w:spacing w:val="-22"/>
          <w:sz w:val="22"/>
        </w:rPr>
        <w:t> </w:t>
      </w:r>
      <w:r>
        <w:rPr>
          <w:i/>
          <w:sz w:val="22"/>
        </w:rPr>
        <w:t>has</w:t>
      </w:r>
      <w:r>
        <w:rPr>
          <w:i/>
          <w:spacing w:val="-22"/>
          <w:sz w:val="22"/>
        </w:rPr>
        <w:t> </w:t>
      </w:r>
      <w:r>
        <w:rPr>
          <w:i/>
          <w:sz w:val="22"/>
        </w:rPr>
        <w:t>discharged</w:t>
      </w:r>
      <w:r>
        <w:rPr>
          <w:i/>
          <w:spacing w:val="-22"/>
          <w:sz w:val="22"/>
        </w:rPr>
        <w:t> </w:t>
      </w:r>
      <w:r>
        <w:rPr>
          <w:i/>
          <w:sz w:val="22"/>
        </w:rPr>
        <w:t>its performance</w:t>
      </w:r>
      <w:r>
        <w:rPr>
          <w:i/>
          <w:spacing w:val="-3"/>
          <w:sz w:val="22"/>
        </w:rPr>
        <w:t> </w:t>
      </w:r>
      <w:r>
        <w:rPr>
          <w:i/>
          <w:sz w:val="22"/>
        </w:rPr>
        <w:t>obligations.]</w:t>
      </w:r>
    </w:p>
    <w:p>
      <w:pPr>
        <w:spacing w:after="0" w:line="249" w:lineRule="auto"/>
        <w:jc w:val="left"/>
        <w:rPr>
          <w:sz w:val="22"/>
        </w:rPr>
        <w:sectPr>
          <w:type w:val="continuous"/>
          <w:pgSz w:w="16840" w:h="11910" w:orient="landscape"/>
          <w:pgMar w:top="1100" w:bottom="280" w:left="0" w:right="0"/>
          <w:cols w:num="3" w:equalWidth="0">
            <w:col w:w="5563" w:space="40"/>
            <w:col w:w="5233" w:space="39"/>
            <w:col w:w="5965"/>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4"/>
        </w:rPr>
      </w:pPr>
    </w:p>
    <w:p>
      <w:pPr>
        <w:tabs>
          <w:tab w:pos="1227" w:val="left" w:leader="none"/>
          <w:tab w:pos="5951" w:val="left" w:leader="none"/>
          <w:tab w:pos="16072" w:val="left" w:leader="none"/>
        </w:tabs>
        <w:spacing w:before="1"/>
        <w:ind w:left="765" w:right="0" w:firstLine="0"/>
        <w:jc w:val="left"/>
        <w:rPr>
          <w:b/>
          <w:sz w:val="20"/>
        </w:rPr>
      </w:pPr>
      <w:r>
        <w:rPr/>
        <w:pict>
          <v:group style="position:absolute;margin-left:0pt;margin-top:-14.805017pt;width:24.1pt;height:41.55pt;mso-position-horizontal-relative:page;mso-position-vertical-relative:paragraph;z-index:14992" coordorigin="0,-296" coordsize="482,831">
            <v:shape style="position:absolute;left:0;top:-297;width:482;height:831" coordorigin="0,-296" coordsize="482,831" path="m66,-296l49,-296,33,-295,16,-293,0,-290,0,529,16,531,33,533,49,534,66,534,140,528,211,508,275,478,333,437,383,387,424,329,455,264,474,194,481,119,474,44,455,-26,424,-90,383,-148,333,-198,275,-239,211,-270,140,-289,66,-296xe" filled="true" fillcolor="#ffffff" stroked="false">
              <v:path arrowok="t"/>
              <v:fill type="solid"/>
            </v:shape>
            <v:shape style="position:absolute;left:0;top:-297;width:482;height:831" coordorigin="0,-296" coordsize="482,831" path="m66,-296l49,-296,33,-295,16,-293,0,-290,0,529,16,531,33,533,49,534,66,534,140,528,211,508,275,478,333,437,383,387,424,329,455,264,474,194,481,119,474,44,455,-26,424,-90,383,-148,333,-198,275,-239,211,-270,140,-289,66,-296xe" filled="true" fillcolor="#aebd37" stroked="false">
              <v:path arrowok="t"/>
              <v:fill opacity="13107f" type="solid"/>
            </v:shape>
            <v:shape style="position:absolute;left:174;top:33;width:93;height:171" coordorigin="174,33" coordsize="93,171" path="m256,33l248,33,182,99,176,108,174,118,174,120,176,130,182,139,245,203,249,204,256,204,259,203,267,195,267,187,200,120,200,118,267,52,267,43,256,33xe" filled="true" fillcolor="#000000" stroked="false">
              <v:path arrowok="t"/>
              <v:fill type="solid"/>
            </v:shape>
            <w10:wrap type="none"/>
          </v:group>
        </w:pict>
      </w:r>
      <w:r>
        <w:rPr>
          <w:b/>
          <w:color w:val="6F2770"/>
          <w:sz w:val="20"/>
        </w:rPr>
        <w:t>58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pPr>
      <w:r>
        <w:rPr/>
        <w:pict>
          <v:shape style="position:absolute;margin-left:202.310532pt;margin-top:1069.236694pt;width:49.5pt;height:49.5pt;mso-position-horizontal-relative:page;mso-position-vertical-relative:paragraph;z-index:15232" coordorigin="4046,21385" coordsize="990,990" path="m12283,231l12608,556m12151,209l12630,688m12048,217l12622,791m11962,240l12598,877m11887,276l12563,952m11821,321l12518,1018m11765,375l12464,1074m11717,437l12402,1122m11679,510l12329,1160m11652,593l12246,1186m11640,691l12148,1199m11652,814l12025,1187e" filled="false" stroked="true" strokeweight=".25pt" strokecolor="#bbbcbb">
            <v:path arrowok="t"/>
            <v:stroke dashstyle="solid"/>
            <w10:wrap type="none"/>
          </v:shape>
        </w:pict>
      </w:r>
      <w:r>
        <w:rPr/>
        <w:pict>
          <v:shape style="position:absolute;margin-left:601.348999pt;margin-top:-57.37421pt;width:120.3pt;height:42.55pt;mso-position-horizontal-relative:page;mso-position-vertical-relative:paragraph;z-index:1528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530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532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20"/>
        </w:rPr>
      </w:pPr>
    </w:p>
    <w:p>
      <w:pPr>
        <w:spacing w:after="0"/>
        <w:rPr>
          <w:sz w:val="20"/>
        </w:rPr>
        <w:sectPr>
          <w:footerReference w:type="default" r:id="rId155"/>
          <w:pgSz w:w="16840" w:h="11910" w:orient="landscape"/>
          <w:pgMar w:footer="0" w:header="0" w:top="0" w:bottom="0" w:left="0" w:right="0"/>
        </w:sectPr>
      </w:pPr>
    </w:p>
    <w:p>
      <w:pPr>
        <w:pStyle w:val="BodyText"/>
        <w:spacing w:before="5"/>
        <w:rPr>
          <w:sz w:val="23"/>
        </w:rPr>
      </w:pPr>
    </w:p>
    <w:p>
      <w:pPr>
        <w:spacing w:before="0"/>
        <w:ind w:left="765" w:right="0" w:firstLine="0"/>
        <w:jc w:val="left"/>
        <w:rPr>
          <w:b/>
          <w:sz w:val="22"/>
        </w:rPr>
      </w:pPr>
      <w:r>
        <w:rPr>
          <w:b/>
          <w:color w:val="6F2770"/>
          <w:sz w:val="22"/>
        </w:rPr>
        <w:t>AASB 16</w:t>
      </w:r>
    </w:p>
    <w:p>
      <w:pPr>
        <w:spacing w:before="11"/>
        <w:ind w:left="765" w:right="0" w:firstLine="0"/>
        <w:jc w:val="left"/>
        <w:rPr>
          <w:i/>
          <w:sz w:val="22"/>
        </w:rPr>
      </w:pPr>
      <w:r>
        <w:rPr>
          <w:i/>
          <w:color w:val="6F2770"/>
          <w:sz w:val="22"/>
        </w:rPr>
        <w:t>Leases</w:t>
      </w:r>
    </w:p>
    <w:p>
      <w:pPr>
        <w:pStyle w:val="BodyText"/>
        <w:spacing w:line="249" w:lineRule="auto" w:before="11"/>
        <w:ind w:left="765" w:right="729"/>
      </w:pPr>
      <w:r>
        <w:rPr/>
        <w:t>This Standard introduces a single lessee accounting</w:t>
      </w:r>
      <w:r>
        <w:rPr>
          <w:spacing w:val="-17"/>
        </w:rPr>
        <w:t> </w:t>
      </w:r>
      <w:r>
        <w:rPr/>
        <w:t>model</w:t>
      </w:r>
      <w:r>
        <w:rPr>
          <w:spacing w:val="-17"/>
        </w:rPr>
        <w:t> </w:t>
      </w:r>
      <w:r>
        <w:rPr/>
        <w:t>and</w:t>
      </w:r>
      <w:r>
        <w:rPr>
          <w:spacing w:val="-17"/>
        </w:rPr>
        <w:t> </w:t>
      </w:r>
      <w:r>
        <w:rPr/>
        <w:t>requires</w:t>
      </w:r>
      <w:r>
        <w:rPr>
          <w:spacing w:val="-17"/>
        </w:rPr>
        <w:t> </w:t>
      </w:r>
      <w:r>
        <w:rPr/>
        <w:t>a</w:t>
      </w:r>
      <w:r>
        <w:rPr>
          <w:spacing w:val="-17"/>
        </w:rPr>
        <w:t> </w:t>
      </w:r>
      <w:r>
        <w:rPr/>
        <w:t>lessee</w:t>
      </w:r>
      <w:r>
        <w:rPr>
          <w:spacing w:val="-17"/>
        </w:rPr>
        <w:t> </w:t>
      </w:r>
      <w:r>
        <w:rPr>
          <w:spacing w:val="-3"/>
        </w:rPr>
        <w:t>to </w:t>
      </w:r>
      <w:r>
        <w:rPr/>
        <w:t>recognise</w:t>
      </w:r>
      <w:r>
        <w:rPr>
          <w:spacing w:val="-33"/>
        </w:rPr>
        <w:t> </w:t>
      </w:r>
      <w:r>
        <w:rPr/>
        <w:t>assets</w:t>
      </w:r>
      <w:r>
        <w:rPr>
          <w:spacing w:val="-33"/>
        </w:rPr>
        <w:t> </w:t>
      </w:r>
      <w:r>
        <w:rPr/>
        <w:t>and</w:t>
      </w:r>
      <w:r>
        <w:rPr>
          <w:spacing w:val="-33"/>
        </w:rPr>
        <w:t> </w:t>
      </w:r>
      <w:r>
        <w:rPr/>
        <w:t>liabilities</w:t>
      </w:r>
      <w:r>
        <w:rPr>
          <w:spacing w:val="-33"/>
        </w:rPr>
        <w:t> </w:t>
      </w:r>
      <w:r>
        <w:rPr/>
        <w:t>for</w:t>
      </w:r>
      <w:r>
        <w:rPr>
          <w:spacing w:val="-33"/>
        </w:rPr>
        <w:t> </w:t>
      </w:r>
      <w:r>
        <w:rPr/>
        <w:t>all</w:t>
      </w:r>
      <w:r>
        <w:rPr>
          <w:spacing w:val="-33"/>
        </w:rPr>
        <w:t> </w:t>
      </w:r>
      <w:r>
        <w:rPr/>
        <w:t>leases with a term of more than </w:t>
      </w:r>
      <w:r>
        <w:rPr>
          <w:spacing w:val="-9"/>
        </w:rPr>
        <w:t>12 </w:t>
      </w:r>
      <w:r>
        <w:rPr/>
        <w:t>months, unless</w:t>
      </w:r>
      <w:r>
        <w:rPr>
          <w:spacing w:val="-8"/>
        </w:rPr>
        <w:t> </w:t>
      </w:r>
      <w:r>
        <w:rPr/>
        <w:t>the</w:t>
      </w:r>
      <w:r>
        <w:rPr>
          <w:spacing w:val="-8"/>
        </w:rPr>
        <w:t> </w:t>
      </w:r>
      <w:r>
        <w:rPr/>
        <w:t>underlying</w:t>
      </w:r>
      <w:r>
        <w:rPr>
          <w:spacing w:val="-7"/>
        </w:rPr>
        <w:t> </w:t>
      </w:r>
      <w:r>
        <w:rPr/>
        <w:t>asset</w:t>
      </w:r>
      <w:r>
        <w:rPr>
          <w:spacing w:val="-8"/>
        </w:rPr>
        <w:t> </w:t>
      </w:r>
      <w:r>
        <w:rPr/>
        <w:t>is</w:t>
      </w:r>
      <w:r>
        <w:rPr>
          <w:spacing w:val="-7"/>
        </w:rPr>
        <w:t> </w:t>
      </w:r>
      <w:r>
        <w:rPr/>
        <w:t>of</w:t>
      </w:r>
      <w:r>
        <w:rPr>
          <w:spacing w:val="-8"/>
        </w:rPr>
        <w:t> </w:t>
      </w:r>
      <w:r>
        <w:rPr/>
        <w:t>low</w:t>
      </w:r>
    </w:p>
    <w:p>
      <w:pPr>
        <w:pStyle w:val="BodyText"/>
        <w:spacing w:before="4"/>
        <w:ind w:left="765"/>
      </w:pPr>
      <w:r>
        <w:rPr/>
        <w:t>value.</w:t>
      </w:r>
    </w:p>
    <w:p>
      <w:pPr>
        <w:pStyle w:val="BodyText"/>
        <w:spacing w:before="11"/>
        <w:rPr>
          <w:sz w:val="23"/>
        </w:rPr>
      </w:pPr>
    </w:p>
    <w:p>
      <w:pPr>
        <w:spacing w:line="249" w:lineRule="auto" w:before="0"/>
        <w:ind w:left="765" w:right="462" w:firstLine="0"/>
        <w:jc w:val="left"/>
        <w:rPr>
          <w:i/>
          <w:sz w:val="22"/>
        </w:rPr>
      </w:pPr>
      <w:r>
        <w:rPr>
          <w:i/>
          <w:sz w:val="22"/>
        </w:rPr>
        <w:t>[Whilst the impact of AASB </w:t>
      </w:r>
      <w:r>
        <w:rPr>
          <w:i/>
          <w:spacing w:val="-8"/>
          <w:sz w:val="22"/>
        </w:rPr>
        <w:t>16 </w:t>
      </w:r>
      <w:r>
        <w:rPr>
          <w:i/>
          <w:sz w:val="22"/>
        </w:rPr>
        <w:t>has not yet </w:t>
      </w:r>
      <w:r>
        <w:rPr>
          <w:i/>
          <w:sz w:val="22"/>
        </w:rPr>
        <w:t>been</w:t>
      </w:r>
      <w:r>
        <w:rPr>
          <w:i/>
          <w:spacing w:val="-26"/>
          <w:sz w:val="22"/>
        </w:rPr>
        <w:t> </w:t>
      </w:r>
      <w:r>
        <w:rPr>
          <w:i/>
          <w:sz w:val="22"/>
        </w:rPr>
        <w:t>quantified,</w:t>
      </w:r>
      <w:r>
        <w:rPr>
          <w:i/>
          <w:spacing w:val="-25"/>
          <w:sz w:val="22"/>
        </w:rPr>
        <w:t> </w:t>
      </w:r>
      <w:r>
        <w:rPr>
          <w:i/>
          <w:sz w:val="22"/>
        </w:rPr>
        <w:t>the</w:t>
      </w:r>
      <w:r>
        <w:rPr>
          <w:i/>
          <w:spacing w:val="-25"/>
          <w:sz w:val="22"/>
        </w:rPr>
        <w:t> </w:t>
      </w:r>
      <w:r>
        <w:rPr>
          <w:i/>
          <w:sz w:val="22"/>
        </w:rPr>
        <w:t>Department</w:t>
      </w:r>
      <w:r>
        <w:rPr>
          <w:i/>
          <w:spacing w:val="-25"/>
          <w:sz w:val="22"/>
        </w:rPr>
        <w:t> </w:t>
      </w:r>
      <w:r>
        <w:rPr>
          <w:i/>
          <w:sz w:val="22"/>
        </w:rPr>
        <w:t>currently</w:t>
      </w:r>
      <w:r>
        <w:rPr>
          <w:i/>
          <w:spacing w:val="-26"/>
          <w:sz w:val="22"/>
        </w:rPr>
        <w:t> </w:t>
      </w:r>
      <w:r>
        <w:rPr>
          <w:i/>
          <w:sz w:val="22"/>
        </w:rPr>
        <w:t>has commitments for </w:t>
      </w:r>
      <w:r>
        <w:rPr>
          <w:i/>
          <w:spacing w:val="-4"/>
          <w:sz w:val="22"/>
        </w:rPr>
        <w:t>$88,231,000 </w:t>
      </w:r>
      <w:r>
        <w:rPr>
          <w:i/>
          <w:sz w:val="22"/>
        </w:rPr>
        <w:t>worth</w:t>
      </w:r>
      <w:r>
        <w:rPr>
          <w:i/>
          <w:spacing w:val="-5"/>
          <w:sz w:val="22"/>
        </w:rPr>
        <w:t> </w:t>
      </w:r>
      <w:r>
        <w:rPr>
          <w:i/>
          <w:sz w:val="22"/>
        </w:rPr>
        <w:t>of</w:t>
      </w:r>
    </w:p>
    <w:p>
      <w:pPr>
        <w:spacing w:line="249" w:lineRule="auto" w:before="3"/>
        <w:ind w:left="765" w:right="592" w:firstLine="0"/>
        <w:jc w:val="left"/>
        <w:rPr>
          <w:i/>
          <w:sz w:val="22"/>
        </w:rPr>
      </w:pPr>
      <w:r>
        <w:rPr/>
        <w:pict>
          <v:group style="position:absolute;margin-left:0pt;margin-top:47.607548pt;width:97.4pt;height:238.9pt;mso-position-horizontal-relative:page;mso-position-vertical-relative:paragraph;z-index:-697312" coordorigin="0,952" coordsize="1948,4778">
            <v:shape style="position:absolute;left:0;top:952;width:1948;height:4778" type="#_x0000_t75" stroked="false">
              <v:imagedata r:id="rId46" o:title=""/>
            </v:shape>
            <v:shape style="position:absolute;left:0;top:4756;width:482;height:831" coordorigin="0,4756" coordsize="482,831" path="m66,4756l49,4756,33,4758,16,4759,0,4762,0,5581,16,5583,33,5585,49,5586,66,5586,140,5580,211,5561,275,5530,333,5489,383,5439,424,5381,455,5316,474,5246,481,5171,474,5097,455,5026,424,4962,383,4904,333,4854,275,4813,211,4782,140,4763,66,4756xe" filled="true" fillcolor="#ffffff" stroked="false">
              <v:path arrowok="t"/>
              <v:fill type="solid"/>
            </v:shape>
            <v:shape style="position:absolute;left:0;top:4756;width:482;height:831" coordorigin="0,4756" coordsize="482,831" path="m66,4756l49,4756,33,4758,16,4759,0,4762,0,5581,16,5583,33,5585,49,5586,66,5586,140,5580,211,5561,275,5530,333,5489,383,5439,424,5381,455,5316,474,5246,481,5171,474,5097,455,5026,424,4962,383,4904,333,4854,275,4813,211,4782,140,4763,66,4756xe" filled="true" fillcolor="#aebd37" stroked="false">
              <v:path arrowok="t"/>
              <v:fill opacity="13107f" type="solid"/>
            </v:shape>
            <v:shape style="position:absolute;left:174;top:5085;width:93;height:171" coordorigin="174,5085" coordsize="93,171" path="m256,5085l248,5085,182,5151,176,5160,174,5170,174,5172,176,5182,182,5192,245,5255,249,5256,256,5256,259,5255,267,5247,267,5239,200,5172,200,5170,267,5104,267,5096,256,5085xe" filled="true" fillcolor="#000000" stroked="false">
              <v:path arrowok="t"/>
              <v:fill type="solid"/>
            </v:shape>
            <w10:wrap type="none"/>
          </v:group>
        </w:pict>
      </w:r>
      <w:r>
        <w:rPr>
          <w:i/>
          <w:sz w:val="22"/>
        </w:rPr>
        <w:t>non-cancellable operating leases which will </w:t>
      </w:r>
      <w:r>
        <w:rPr>
          <w:i/>
          <w:sz w:val="22"/>
        </w:rPr>
        <w:t>mostly be brought onto the Statement of Financial</w:t>
      </w:r>
      <w:r>
        <w:rPr>
          <w:i/>
          <w:spacing w:val="-31"/>
          <w:sz w:val="22"/>
        </w:rPr>
        <w:t> </w:t>
      </w:r>
      <w:r>
        <w:rPr>
          <w:i/>
          <w:sz w:val="22"/>
        </w:rPr>
        <w:t>Position.</w:t>
      </w:r>
      <w:r>
        <w:rPr>
          <w:i/>
          <w:spacing w:val="-30"/>
          <w:sz w:val="22"/>
        </w:rPr>
        <w:t> </w:t>
      </w:r>
      <w:r>
        <w:rPr>
          <w:i/>
          <w:sz w:val="22"/>
        </w:rPr>
        <w:t>Interest</w:t>
      </w:r>
      <w:r>
        <w:rPr>
          <w:i/>
          <w:spacing w:val="-30"/>
          <w:sz w:val="22"/>
        </w:rPr>
        <w:t> </w:t>
      </w:r>
      <w:r>
        <w:rPr>
          <w:i/>
          <w:sz w:val="22"/>
        </w:rPr>
        <w:t>and</w:t>
      </w:r>
      <w:r>
        <w:rPr>
          <w:i/>
          <w:spacing w:val="-30"/>
          <w:sz w:val="22"/>
        </w:rPr>
        <w:t> </w:t>
      </w:r>
      <w:r>
        <w:rPr>
          <w:i/>
          <w:sz w:val="22"/>
        </w:rPr>
        <w:t>amortisation expense</w:t>
      </w:r>
      <w:r>
        <w:rPr>
          <w:i/>
          <w:spacing w:val="-32"/>
          <w:sz w:val="22"/>
        </w:rPr>
        <w:t> </w:t>
      </w:r>
      <w:r>
        <w:rPr>
          <w:i/>
          <w:sz w:val="22"/>
        </w:rPr>
        <w:t>will</w:t>
      </w:r>
      <w:r>
        <w:rPr>
          <w:i/>
          <w:spacing w:val="-32"/>
          <w:sz w:val="22"/>
        </w:rPr>
        <w:t> </w:t>
      </w:r>
      <w:r>
        <w:rPr>
          <w:i/>
          <w:sz w:val="22"/>
        </w:rPr>
        <w:t>increase</w:t>
      </w:r>
      <w:r>
        <w:rPr>
          <w:i/>
          <w:spacing w:val="-32"/>
          <w:sz w:val="22"/>
        </w:rPr>
        <w:t> </w:t>
      </w:r>
      <w:r>
        <w:rPr>
          <w:i/>
          <w:sz w:val="22"/>
        </w:rPr>
        <w:t>and</w:t>
      </w:r>
      <w:r>
        <w:rPr>
          <w:i/>
          <w:spacing w:val="-32"/>
          <w:sz w:val="22"/>
        </w:rPr>
        <w:t> </w:t>
      </w:r>
      <w:r>
        <w:rPr>
          <w:i/>
          <w:sz w:val="22"/>
        </w:rPr>
        <w:t>rental</w:t>
      </w:r>
      <w:r>
        <w:rPr>
          <w:i/>
          <w:spacing w:val="-31"/>
          <w:sz w:val="22"/>
        </w:rPr>
        <w:t> </w:t>
      </w:r>
      <w:r>
        <w:rPr>
          <w:i/>
          <w:sz w:val="22"/>
        </w:rPr>
        <w:t>expense</w:t>
      </w:r>
      <w:r>
        <w:rPr>
          <w:i/>
          <w:spacing w:val="-32"/>
          <w:sz w:val="22"/>
        </w:rPr>
        <w:t> </w:t>
      </w:r>
      <w:r>
        <w:rPr>
          <w:i/>
          <w:sz w:val="22"/>
        </w:rPr>
        <w:t>will </w:t>
      </w:r>
      <w:r>
        <w:rPr>
          <w:i/>
          <w:spacing w:val="-4"/>
          <w:sz w:val="22"/>
        </w:rPr>
        <w:t>decrease.]</w:t>
      </w:r>
    </w:p>
    <w:p>
      <w:pPr>
        <w:pStyle w:val="BodyText"/>
        <w:spacing w:before="4"/>
        <w:rPr>
          <w:i/>
          <w:sz w:val="23"/>
        </w:rPr>
      </w:pPr>
    </w:p>
    <w:p>
      <w:pPr>
        <w:spacing w:before="0"/>
        <w:ind w:left="765" w:right="0" w:firstLine="0"/>
        <w:jc w:val="left"/>
        <w:rPr>
          <w:b/>
          <w:sz w:val="22"/>
        </w:rPr>
      </w:pPr>
      <w:r>
        <w:rPr>
          <w:b/>
          <w:color w:val="6F2770"/>
          <w:sz w:val="22"/>
        </w:rPr>
        <w:t>AASB 1058</w:t>
      </w:r>
    </w:p>
    <w:p>
      <w:pPr>
        <w:spacing w:before="11"/>
        <w:ind w:left="765" w:right="0" w:firstLine="0"/>
        <w:jc w:val="left"/>
        <w:rPr>
          <w:i/>
          <w:sz w:val="22"/>
        </w:rPr>
      </w:pPr>
      <w:r>
        <w:rPr>
          <w:i/>
          <w:color w:val="6F2770"/>
          <w:sz w:val="22"/>
        </w:rPr>
        <w:t>Income of Not-for-Profit Entities</w:t>
      </w:r>
    </w:p>
    <w:p>
      <w:pPr>
        <w:pStyle w:val="BodyText"/>
        <w:spacing w:line="249" w:lineRule="auto" w:before="11"/>
        <w:ind w:left="765" w:right="-11"/>
      </w:pPr>
      <w:r>
        <w:rPr/>
        <w:t>This Standard clarifies and simplifies the income recognition</w:t>
      </w:r>
      <w:r>
        <w:rPr>
          <w:spacing w:val="-17"/>
        </w:rPr>
        <w:t> </w:t>
      </w:r>
      <w:r>
        <w:rPr/>
        <w:t>requirements</w:t>
      </w:r>
      <w:r>
        <w:rPr>
          <w:spacing w:val="-16"/>
        </w:rPr>
        <w:t> </w:t>
      </w:r>
      <w:r>
        <w:rPr/>
        <w:t>that</w:t>
      </w:r>
      <w:r>
        <w:rPr>
          <w:spacing w:val="-17"/>
        </w:rPr>
        <w:t> </w:t>
      </w:r>
      <w:r>
        <w:rPr/>
        <w:t>apply</w:t>
      </w:r>
      <w:r>
        <w:rPr>
          <w:spacing w:val="-16"/>
        </w:rPr>
        <w:t> </w:t>
      </w:r>
      <w:r>
        <w:rPr>
          <w:spacing w:val="-3"/>
        </w:rPr>
        <w:t>to</w:t>
      </w:r>
      <w:r>
        <w:rPr>
          <w:spacing w:val="-17"/>
        </w:rPr>
        <w:t> </w:t>
      </w:r>
      <w:r>
        <w:rPr>
          <w:spacing w:val="-4"/>
        </w:rPr>
        <w:t>not-for-profit </w:t>
      </w:r>
      <w:r>
        <w:rPr/>
        <w:t>(NFP)</w:t>
      </w:r>
      <w:r>
        <w:rPr>
          <w:spacing w:val="-36"/>
        </w:rPr>
        <w:t> </w:t>
      </w:r>
      <w:r>
        <w:rPr/>
        <w:t>entities,</w:t>
      </w:r>
      <w:r>
        <w:rPr>
          <w:spacing w:val="-36"/>
        </w:rPr>
        <w:t> </w:t>
      </w:r>
      <w:r>
        <w:rPr/>
        <w:t>more</w:t>
      </w:r>
      <w:r>
        <w:rPr>
          <w:spacing w:val="-36"/>
        </w:rPr>
        <w:t> </w:t>
      </w:r>
      <w:r>
        <w:rPr/>
        <w:t>closely</w:t>
      </w:r>
      <w:r>
        <w:rPr>
          <w:spacing w:val="-36"/>
        </w:rPr>
        <w:t> </w:t>
      </w:r>
      <w:r>
        <w:rPr/>
        <w:t>reflecting</w:t>
      </w:r>
      <w:r>
        <w:rPr>
          <w:spacing w:val="-36"/>
        </w:rPr>
        <w:t> </w:t>
      </w:r>
      <w:r>
        <w:rPr/>
        <w:t>the</w:t>
      </w:r>
      <w:r>
        <w:rPr>
          <w:spacing w:val="-36"/>
        </w:rPr>
        <w:t> </w:t>
      </w:r>
      <w:r>
        <w:rPr/>
        <w:t>economic reality of NFP entity transactions that are not contracts with</w:t>
      </w:r>
      <w:r>
        <w:rPr>
          <w:spacing w:val="-3"/>
        </w:rPr>
        <w:t> </w:t>
      </w:r>
      <w:r>
        <w:rPr/>
        <w:t>customers.</w:t>
      </w:r>
    </w:p>
    <w:p>
      <w:pPr>
        <w:pStyle w:val="BodyText"/>
        <w:spacing w:before="5"/>
        <w:rPr>
          <w:sz w:val="23"/>
        </w:rPr>
      </w:pPr>
      <w:r>
        <w:rPr/>
        <w:br w:type="column"/>
      </w:r>
      <w:r>
        <w:rPr>
          <w:sz w:val="23"/>
        </w:rPr>
      </w:r>
    </w:p>
    <w:p>
      <w:pPr>
        <w:pStyle w:val="BodyText"/>
        <w:spacing w:line="249" w:lineRule="auto"/>
        <w:ind w:left="385" w:right="70"/>
      </w:pPr>
      <w:r>
        <w:rPr/>
        <w:t>Timing of income recognition is dependent on whether</w:t>
      </w:r>
      <w:r>
        <w:rPr>
          <w:spacing w:val="-22"/>
        </w:rPr>
        <w:t> </w:t>
      </w:r>
      <w:r>
        <w:rPr/>
        <w:t>such</w:t>
      </w:r>
      <w:r>
        <w:rPr>
          <w:spacing w:val="-21"/>
        </w:rPr>
        <w:t> </w:t>
      </w:r>
      <w:r>
        <w:rPr/>
        <w:t>a</w:t>
      </w:r>
      <w:r>
        <w:rPr>
          <w:spacing w:val="-21"/>
        </w:rPr>
        <w:t> </w:t>
      </w:r>
      <w:r>
        <w:rPr/>
        <w:t>transaction</w:t>
      </w:r>
      <w:r>
        <w:rPr>
          <w:spacing w:val="-22"/>
        </w:rPr>
        <w:t> </w:t>
      </w:r>
      <w:r>
        <w:rPr/>
        <w:t>gives</w:t>
      </w:r>
      <w:r>
        <w:rPr>
          <w:spacing w:val="-21"/>
        </w:rPr>
        <w:t> </w:t>
      </w:r>
      <w:r>
        <w:rPr/>
        <w:t>rise</w:t>
      </w:r>
      <w:r>
        <w:rPr>
          <w:spacing w:val="-21"/>
        </w:rPr>
        <w:t> </w:t>
      </w:r>
      <w:r>
        <w:rPr>
          <w:spacing w:val="-3"/>
        </w:rPr>
        <w:t>to</w:t>
      </w:r>
      <w:r>
        <w:rPr>
          <w:spacing w:val="-22"/>
        </w:rPr>
        <w:t> </w:t>
      </w:r>
      <w:r>
        <w:rPr/>
        <w:t>a</w:t>
      </w:r>
      <w:r>
        <w:rPr>
          <w:spacing w:val="-21"/>
        </w:rPr>
        <w:t> </w:t>
      </w:r>
      <w:r>
        <w:rPr/>
        <w:t>liability or other performance obligation </w:t>
      </w:r>
      <w:r>
        <w:rPr>
          <w:spacing w:val="-3"/>
        </w:rPr>
        <w:t>(a</w:t>
      </w:r>
      <w:r>
        <w:rPr>
          <w:spacing w:val="-45"/>
        </w:rPr>
        <w:t> </w:t>
      </w:r>
      <w:r>
        <w:rPr/>
        <w:t>promise</w:t>
      </w:r>
    </w:p>
    <w:p>
      <w:pPr>
        <w:pStyle w:val="BodyText"/>
        <w:spacing w:line="249" w:lineRule="auto" w:before="3"/>
        <w:ind w:left="385" w:right="288"/>
      </w:pPr>
      <w:r>
        <w:rPr>
          <w:spacing w:val="-3"/>
        </w:rPr>
        <w:t>to</w:t>
      </w:r>
      <w:r>
        <w:rPr>
          <w:spacing w:val="-17"/>
        </w:rPr>
        <w:t> </w:t>
      </w:r>
      <w:r>
        <w:rPr/>
        <w:t>transfer</w:t>
      </w:r>
      <w:r>
        <w:rPr>
          <w:spacing w:val="-17"/>
        </w:rPr>
        <w:t> </w:t>
      </w:r>
      <w:r>
        <w:rPr/>
        <w:t>a</w:t>
      </w:r>
      <w:r>
        <w:rPr>
          <w:spacing w:val="-16"/>
        </w:rPr>
        <w:t> </w:t>
      </w:r>
      <w:r>
        <w:rPr/>
        <w:t>good</w:t>
      </w:r>
      <w:r>
        <w:rPr>
          <w:spacing w:val="-17"/>
        </w:rPr>
        <w:t> </w:t>
      </w:r>
      <w:r>
        <w:rPr/>
        <w:t>or</w:t>
      </w:r>
      <w:r>
        <w:rPr>
          <w:spacing w:val="-16"/>
        </w:rPr>
        <w:t> </w:t>
      </w:r>
      <w:r>
        <w:rPr/>
        <w:t>service),</w:t>
      </w:r>
      <w:r>
        <w:rPr>
          <w:spacing w:val="-17"/>
        </w:rPr>
        <w:t> </w:t>
      </w:r>
      <w:r>
        <w:rPr/>
        <w:t>or</w:t>
      </w:r>
      <w:r>
        <w:rPr>
          <w:spacing w:val="-17"/>
        </w:rPr>
        <w:t> </w:t>
      </w:r>
      <w:r>
        <w:rPr/>
        <w:t>a</w:t>
      </w:r>
      <w:r>
        <w:rPr>
          <w:spacing w:val="-16"/>
        </w:rPr>
        <w:t> </w:t>
      </w:r>
      <w:r>
        <w:rPr/>
        <w:t>contribution by owners, related </w:t>
      </w:r>
      <w:r>
        <w:rPr>
          <w:spacing w:val="-3"/>
        </w:rPr>
        <w:t>to </w:t>
      </w:r>
      <w:r>
        <w:rPr/>
        <w:t>an asset (such as cash or</w:t>
      </w:r>
      <w:r>
        <w:rPr>
          <w:spacing w:val="-11"/>
        </w:rPr>
        <w:t> </w:t>
      </w:r>
      <w:r>
        <w:rPr/>
        <w:t>another</w:t>
      </w:r>
      <w:r>
        <w:rPr>
          <w:spacing w:val="-10"/>
        </w:rPr>
        <w:t> </w:t>
      </w:r>
      <w:r>
        <w:rPr/>
        <w:t>asset)</w:t>
      </w:r>
      <w:r>
        <w:rPr>
          <w:spacing w:val="-10"/>
        </w:rPr>
        <w:t> </w:t>
      </w:r>
      <w:r>
        <w:rPr/>
        <w:t>received</w:t>
      </w:r>
      <w:r>
        <w:rPr>
          <w:spacing w:val="-10"/>
        </w:rPr>
        <w:t> </w:t>
      </w:r>
      <w:r>
        <w:rPr/>
        <w:t>by</w:t>
      </w:r>
      <w:r>
        <w:rPr>
          <w:spacing w:val="-10"/>
        </w:rPr>
        <w:t> </w:t>
      </w:r>
      <w:r>
        <w:rPr/>
        <w:t>an</w:t>
      </w:r>
      <w:r>
        <w:rPr>
          <w:spacing w:val="-10"/>
        </w:rPr>
        <w:t> </w:t>
      </w:r>
      <w:r>
        <w:rPr>
          <w:spacing w:val="-3"/>
        </w:rPr>
        <w:t>agency.</w:t>
      </w:r>
    </w:p>
    <w:p>
      <w:pPr>
        <w:spacing w:line="249" w:lineRule="auto" w:before="2"/>
        <w:ind w:left="385" w:right="120" w:firstLine="0"/>
        <w:jc w:val="left"/>
        <w:rPr>
          <w:i/>
          <w:sz w:val="22"/>
        </w:rPr>
      </w:pPr>
      <w:r>
        <w:rPr>
          <w:i/>
          <w:sz w:val="22"/>
        </w:rPr>
        <w:t>[The</w:t>
      </w:r>
      <w:r>
        <w:rPr>
          <w:i/>
          <w:spacing w:val="-26"/>
          <w:sz w:val="22"/>
        </w:rPr>
        <w:t> </w:t>
      </w:r>
      <w:r>
        <w:rPr>
          <w:i/>
          <w:sz w:val="22"/>
        </w:rPr>
        <w:t>Department</w:t>
      </w:r>
      <w:r>
        <w:rPr>
          <w:i/>
          <w:spacing w:val="-26"/>
          <w:sz w:val="22"/>
        </w:rPr>
        <w:t> </w:t>
      </w:r>
      <w:r>
        <w:rPr>
          <w:i/>
          <w:sz w:val="22"/>
        </w:rPr>
        <w:t>anticipates</w:t>
      </w:r>
      <w:r>
        <w:rPr>
          <w:i/>
          <w:spacing w:val="-26"/>
          <w:sz w:val="22"/>
        </w:rPr>
        <w:t> </w:t>
      </w:r>
      <w:r>
        <w:rPr>
          <w:i/>
          <w:sz w:val="22"/>
        </w:rPr>
        <w:t>that</w:t>
      </w:r>
      <w:r>
        <w:rPr>
          <w:i/>
          <w:spacing w:val="-26"/>
          <w:sz w:val="22"/>
        </w:rPr>
        <w:t> </w:t>
      </w:r>
      <w:r>
        <w:rPr>
          <w:i/>
          <w:sz w:val="22"/>
        </w:rPr>
        <w:t>the</w:t>
      </w:r>
      <w:r>
        <w:rPr>
          <w:i/>
          <w:spacing w:val="-26"/>
          <w:sz w:val="22"/>
        </w:rPr>
        <w:t> </w:t>
      </w:r>
      <w:r>
        <w:rPr>
          <w:i/>
          <w:sz w:val="22"/>
        </w:rPr>
        <w:t>application </w:t>
      </w:r>
      <w:r>
        <w:rPr>
          <w:i/>
          <w:sz w:val="22"/>
        </w:rPr>
        <w:t>will not materially impact appropriation</w:t>
      </w:r>
      <w:r>
        <w:rPr>
          <w:i/>
          <w:spacing w:val="-41"/>
          <w:sz w:val="22"/>
        </w:rPr>
        <w:t> </w:t>
      </w:r>
      <w:r>
        <w:rPr>
          <w:i/>
          <w:sz w:val="22"/>
        </w:rPr>
        <w:t>or</w:t>
      </w:r>
    </w:p>
    <w:p>
      <w:pPr>
        <w:spacing w:before="2"/>
        <w:ind w:left="385" w:right="0" w:firstLine="0"/>
        <w:jc w:val="left"/>
        <w:rPr>
          <w:i/>
          <w:sz w:val="22"/>
        </w:rPr>
      </w:pPr>
      <w:r>
        <w:rPr>
          <w:i/>
          <w:sz w:val="22"/>
        </w:rPr>
        <w:t>untied grant revenues.]</w:t>
      </w:r>
    </w:p>
    <w:p>
      <w:pPr>
        <w:pStyle w:val="BodyText"/>
        <w:spacing w:before="10"/>
        <w:rPr>
          <w:i/>
          <w:sz w:val="23"/>
        </w:rPr>
      </w:pPr>
    </w:p>
    <w:p>
      <w:pPr>
        <w:spacing w:before="1"/>
        <w:ind w:left="385" w:right="0" w:firstLine="0"/>
        <w:jc w:val="left"/>
        <w:rPr>
          <w:b/>
          <w:sz w:val="22"/>
        </w:rPr>
      </w:pPr>
      <w:r>
        <w:rPr>
          <w:b/>
          <w:color w:val="6F2770"/>
          <w:sz w:val="22"/>
        </w:rPr>
        <w:t>AASB 1059</w:t>
      </w:r>
    </w:p>
    <w:p>
      <w:pPr>
        <w:pStyle w:val="BodyText"/>
        <w:spacing w:line="249" w:lineRule="auto" w:before="11"/>
        <w:ind w:left="385" w:right="19"/>
      </w:pPr>
      <w:r>
        <w:rPr>
          <w:i/>
          <w:color w:val="6F2770"/>
        </w:rPr>
        <w:t>Service Concession Arrangements: Grantors</w:t>
      </w:r>
      <w:r>
        <w:rPr>
          <w:i/>
        </w:rPr>
        <w:t> </w:t>
      </w:r>
      <w:r>
        <w:rPr/>
        <w:t>This Standard addresses the accounting for a service</w:t>
      </w:r>
      <w:r>
        <w:rPr>
          <w:spacing w:val="-23"/>
        </w:rPr>
        <w:t> </w:t>
      </w:r>
      <w:r>
        <w:rPr/>
        <w:t>concession</w:t>
      </w:r>
      <w:r>
        <w:rPr>
          <w:spacing w:val="-22"/>
        </w:rPr>
        <w:t> </w:t>
      </w:r>
      <w:r>
        <w:rPr/>
        <w:t>arrangement</w:t>
      </w:r>
      <w:r>
        <w:rPr>
          <w:spacing w:val="-22"/>
        </w:rPr>
        <w:t> </w:t>
      </w:r>
      <w:r>
        <w:rPr>
          <w:spacing w:val="-3"/>
        </w:rPr>
        <w:t>(a</w:t>
      </w:r>
      <w:r>
        <w:rPr>
          <w:spacing w:val="-22"/>
        </w:rPr>
        <w:t> </w:t>
      </w:r>
      <w:r>
        <w:rPr/>
        <w:t>type</w:t>
      </w:r>
      <w:r>
        <w:rPr>
          <w:spacing w:val="-22"/>
        </w:rPr>
        <w:t> </w:t>
      </w:r>
      <w:r>
        <w:rPr/>
        <w:t>of</w:t>
      </w:r>
      <w:r>
        <w:rPr>
          <w:spacing w:val="-22"/>
        </w:rPr>
        <w:t> </w:t>
      </w:r>
      <w:r>
        <w:rPr/>
        <w:t>public private partnership) by a grantor that is a public sector agency by prescribing the accounting for the arrangement from the </w:t>
      </w:r>
      <w:r>
        <w:rPr>
          <w:spacing w:val="-3"/>
        </w:rPr>
        <w:t>grantor’s </w:t>
      </w:r>
      <w:r>
        <w:rPr/>
        <w:t>perspective. Timing</w:t>
      </w:r>
      <w:r>
        <w:rPr>
          <w:spacing w:val="-19"/>
        </w:rPr>
        <w:t> </w:t>
      </w:r>
      <w:r>
        <w:rPr/>
        <w:t>and</w:t>
      </w:r>
      <w:r>
        <w:rPr>
          <w:spacing w:val="-19"/>
        </w:rPr>
        <w:t> </w:t>
      </w:r>
      <w:r>
        <w:rPr/>
        <w:t>measurement</w:t>
      </w:r>
      <w:r>
        <w:rPr>
          <w:spacing w:val="-19"/>
        </w:rPr>
        <w:t> </w:t>
      </w:r>
      <w:r>
        <w:rPr/>
        <w:t>for</w:t>
      </w:r>
      <w:r>
        <w:rPr>
          <w:spacing w:val="-19"/>
        </w:rPr>
        <w:t> </w:t>
      </w:r>
      <w:r>
        <w:rPr/>
        <w:t>the</w:t>
      </w:r>
      <w:r>
        <w:rPr>
          <w:spacing w:val="-19"/>
        </w:rPr>
        <w:t> </w:t>
      </w:r>
      <w:r>
        <w:rPr/>
        <w:t>recognition</w:t>
      </w:r>
      <w:r>
        <w:rPr>
          <w:spacing w:val="-19"/>
        </w:rPr>
        <w:t> </w:t>
      </w:r>
      <w:r>
        <w:rPr/>
        <w:t>of</w:t>
      </w:r>
      <w:r>
        <w:rPr>
          <w:spacing w:val="-19"/>
        </w:rPr>
        <w:t> </w:t>
      </w:r>
      <w:r>
        <w:rPr/>
        <w:t>a specific asset class occurs on commencement of the arrangement and the accounting for associated liabilities is determined by whether the</w:t>
      </w:r>
      <w:r>
        <w:rPr>
          <w:spacing w:val="-13"/>
        </w:rPr>
        <w:t> </w:t>
      </w:r>
      <w:r>
        <w:rPr/>
        <w:t>grantee</w:t>
      </w:r>
      <w:r>
        <w:rPr>
          <w:spacing w:val="-13"/>
        </w:rPr>
        <w:t> </w:t>
      </w:r>
      <w:r>
        <w:rPr/>
        <w:t>is</w:t>
      </w:r>
      <w:r>
        <w:rPr>
          <w:spacing w:val="-13"/>
        </w:rPr>
        <w:t> </w:t>
      </w:r>
      <w:r>
        <w:rPr/>
        <w:t>paid</w:t>
      </w:r>
      <w:r>
        <w:rPr>
          <w:spacing w:val="-13"/>
        </w:rPr>
        <w:t> </w:t>
      </w:r>
      <w:r>
        <w:rPr/>
        <w:t>by</w:t>
      </w:r>
      <w:r>
        <w:rPr>
          <w:spacing w:val="-13"/>
        </w:rPr>
        <w:t> </w:t>
      </w:r>
      <w:r>
        <w:rPr/>
        <w:t>the</w:t>
      </w:r>
      <w:r>
        <w:rPr>
          <w:spacing w:val="-13"/>
        </w:rPr>
        <w:t> </w:t>
      </w:r>
      <w:r>
        <w:rPr/>
        <w:t>grantor</w:t>
      </w:r>
      <w:r>
        <w:rPr>
          <w:spacing w:val="-13"/>
        </w:rPr>
        <w:t> </w:t>
      </w:r>
      <w:r>
        <w:rPr/>
        <w:t>or</w:t>
      </w:r>
      <w:r>
        <w:rPr>
          <w:spacing w:val="-13"/>
        </w:rPr>
        <w:t> </w:t>
      </w:r>
      <w:r>
        <w:rPr/>
        <w:t>users</w:t>
      </w:r>
      <w:r>
        <w:rPr>
          <w:spacing w:val="-13"/>
        </w:rPr>
        <w:t> </w:t>
      </w:r>
      <w:r>
        <w:rPr/>
        <w:t>of</w:t>
      </w:r>
      <w:r>
        <w:rPr>
          <w:spacing w:val="-13"/>
        </w:rPr>
        <w:t> </w:t>
      </w:r>
      <w:r>
        <w:rPr/>
        <w:t>the</w:t>
      </w:r>
    </w:p>
    <w:p>
      <w:pPr>
        <w:spacing w:line="249" w:lineRule="auto" w:before="10"/>
        <w:ind w:left="385" w:right="-8" w:firstLine="0"/>
        <w:jc w:val="left"/>
        <w:rPr>
          <w:i/>
          <w:sz w:val="22"/>
        </w:rPr>
      </w:pPr>
      <w:r>
        <w:rPr>
          <w:sz w:val="22"/>
        </w:rPr>
        <w:t>public</w:t>
      </w:r>
      <w:r>
        <w:rPr>
          <w:spacing w:val="-21"/>
          <w:sz w:val="22"/>
        </w:rPr>
        <w:t> </w:t>
      </w:r>
      <w:r>
        <w:rPr>
          <w:sz w:val="22"/>
        </w:rPr>
        <w:t>service</w:t>
      </w:r>
      <w:r>
        <w:rPr>
          <w:spacing w:val="-21"/>
          <w:sz w:val="22"/>
        </w:rPr>
        <w:t> </w:t>
      </w:r>
      <w:r>
        <w:rPr>
          <w:sz w:val="22"/>
        </w:rPr>
        <w:t>provided.</w:t>
      </w:r>
      <w:r>
        <w:rPr>
          <w:spacing w:val="-20"/>
          <w:sz w:val="22"/>
        </w:rPr>
        <w:t> </w:t>
      </w:r>
      <w:r>
        <w:rPr>
          <w:i/>
          <w:sz w:val="22"/>
        </w:rPr>
        <w:t>[The</w:t>
      </w:r>
      <w:r>
        <w:rPr>
          <w:i/>
          <w:spacing w:val="-21"/>
          <w:sz w:val="22"/>
        </w:rPr>
        <w:t> </w:t>
      </w:r>
      <w:r>
        <w:rPr>
          <w:i/>
          <w:sz w:val="22"/>
        </w:rPr>
        <w:t>Department</w:t>
      </w:r>
      <w:r>
        <w:rPr>
          <w:i/>
          <w:spacing w:val="-21"/>
          <w:sz w:val="22"/>
        </w:rPr>
        <w:t> </w:t>
      </w:r>
      <w:r>
        <w:rPr>
          <w:i/>
          <w:sz w:val="22"/>
        </w:rPr>
        <w:t>has</w:t>
      </w:r>
      <w:r>
        <w:rPr>
          <w:i/>
          <w:spacing w:val="-20"/>
          <w:sz w:val="22"/>
        </w:rPr>
        <w:t> </w:t>
      </w:r>
      <w:r>
        <w:rPr>
          <w:i/>
          <w:sz w:val="22"/>
        </w:rPr>
        <w:t>not </w:t>
      </w:r>
      <w:r>
        <w:rPr>
          <w:i/>
          <w:sz w:val="22"/>
        </w:rPr>
        <w:t>identified any public private partnerships within scope of the</w:t>
      </w:r>
      <w:r>
        <w:rPr>
          <w:i/>
          <w:spacing w:val="-3"/>
          <w:sz w:val="22"/>
        </w:rPr>
        <w:t> Standard.]</w:t>
      </w:r>
    </w:p>
    <w:p>
      <w:pPr>
        <w:pStyle w:val="BodyText"/>
        <w:spacing w:before="5"/>
        <w:rPr>
          <w:i/>
          <w:sz w:val="23"/>
        </w:rPr>
      </w:pPr>
      <w:r>
        <w:rPr/>
        <w:br w:type="column"/>
      </w:r>
      <w:r>
        <w:rPr>
          <w:i/>
          <w:sz w:val="23"/>
        </w:rPr>
      </w:r>
    </w:p>
    <w:p>
      <w:pPr>
        <w:spacing w:before="0"/>
        <w:ind w:left="523" w:right="0" w:firstLine="0"/>
        <w:jc w:val="left"/>
        <w:rPr>
          <w:b/>
          <w:sz w:val="22"/>
        </w:rPr>
      </w:pPr>
      <w:r>
        <w:rPr>
          <w:b/>
          <w:color w:val="6F2770"/>
          <w:sz w:val="22"/>
        </w:rPr>
        <w:t>AASB 2016-8</w:t>
      </w:r>
    </w:p>
    <w:p>
      <w:pPr>
        <w:spacing w:line="249" w:lineRule="auto" w:before="11"/>
        <w:ind w:left="523" w:right="924" w:firstLine="0"/>
        <w:jc w:val="left"/>
        <w:rPr>
          <w:i/>
          <w:sz w:val="22"/>
        </w:rPr>
      </w:pPr>
      <w:r>
        <w:rPr>
          <w:i/>
          <w:color w:val="6F2770"/>
          <w:sz w:val="22"/>
        </w:rPr>
        <w:t>Amendments to Australian Accounting </w:t>
      </w:r>
      <w:r>
        <w:rPr>
          <w:i/>
          <w:color w:val="6F2770"/>
          <w:w w:val="95"/>
          <w:sz w:val="22"/>
        </w:rPr>
        <w:t>Standards – Australian Implementation Guidance </w:t>
      </w:r>
      <w:r>
        <w:rPr>
          <w:i/>
          <w:color w:val="6F2770"/>
          <w:sz w:val="22"/>
        </w:rPr>
        <w:t>for Not-for-Profit Entities</w:t>
      </w:r>
    </w:p>
    <w:p>
      <w:pPr>
        <w:pStyle w:val="BodyText"/>
        <w:spacing w:line="249" w:lineRule="auto" w:before="3"/>
        <w:ind w:left="523" w:right="1010"/>
      </w:pPr>
      <w:r>
        <w:rPr/>
        <w:t>This Standard inserts Australian requirements and authoritative implementation guidance for </w:t>
      </w:r>
      <w:r>
        <w:rPr>
          <w:spacing w:val="-4"/>
        </w:rPr>
        <w:t>not-for-profit </w:t>
      </w:r>
      <w:r>
        <w:rPr/>
        <w:t>entities into AASB 9 and AASB </w:t>
      </w:r>
      <w:r>
        <w:rPr>
          <w:spacing w:val="-7"/>
        </w:rPr>
        <w:t>15.</w:t>
      </w:r>
    </w:p>
    <w:p>
      <w:pPr>
        <w:pStyle w:val="BodyText"/>
        <w:spacing w:line="249" w:lineRule="auto" w:before="2"/>
        <w:ind w:left="523" w:right="757"/>
      </w:pPr>
      <w:r>
        <w:rPr/>
        <w:t>This guidance assists </w:t>
      </w:r>
      <w:r>
        <w:rPr>
          <w:spacing w:val="-4"/>
        </w:rPr>
        <w:t>not-for-profit </w:t>
      </w:r>
      <w:r>
        <w:rPr/>
        <w:t>entities in applying</w:t>
      </w:r>
      <w:r>
        <w:rPr>
          <w:spacing w:val="-25"/>
        </w:rPr>
        <w:t> </w:t>
      </w:r>
      <w:r>
        <w:rPr/>
        <w:t>those</w:t>
      </w:r>
      <w:r>
        <w:rPr>
          <w:spacing w:val="-25"/>
        </w:rPr>
        <w:t> </w:t>
      </w:r>
      <w:r>
        <w:rPr/>
        <w:t>Standards</w:t>
      </w:r>
      <w:r>
        <w:rPr>
          <w:spacing w:val="-25"/>
        </w:rPr>
        <w:t> </w:t>
      </w:r>
      <w:r>
        <w:rPr>
          <w:spacing w:val="-3"/>
        </w:rPr>
        <w:t>to</w:t>
      </w:r>
      <w:r>
        <w:rPr>
          <w:spacing w:val="-25"/>
        </w:rPr>
        <w:t> </w:t>
      </w:r>
      <w:r>
        <w:rPr/>
        <w:t>particular</w:t>
      </w:r>
      <w:r>
        <w:rPr>
          <w:spacing w:val="-25"/>
        </w:rPr>
        <w:t> </w:t>
      </w:r>
      <w:r>
        <w:rPr/>
        <w:t>transactions and</w:t>
      </w:r>
      <w:r>
        <w:rPr>
          <w:spacing w:val="-12"/>
        </w:rPr>
        <w:t> </w:t>
      </w:r>
      <w:r>
        <w:rPr/>
        <w:t>other</w:t>
      </w:r>
      <w:r>
        <w:rPr>
          <w:spacing w:val="-12"/>
        </w:rPr>
        <w:t> </w:t>
      </w:r>
      <w:r>
        <w:rPr/>
        <w:t>events.</w:t>
      </w:r>
      <w:r>
        <w:rPr>
          <w:spacing w:val="-11"/>
        </w:rPr>
        <w:t> </w:t>
      </w:r>
      <w:r>
        <w:rPr/>
        <w:t>There</w:t>
      </w:r>
      <w:r>
        <w:rPr>
          <w:spacing w:val="-12"/>
        </w:rPr>
        <w:t> </w:t>
      </w:r>
      <w:r>
        <w:rPr/>
        <w:t>is</w:t>
      </w:r>
      <w:r>
        <w:rPr>
          <w:spacing w:val="-12"/>
        </w:rPr>
        <w:t> </w:t>
      </w:r>
      <w:r>
        <w:rPr/>
        <w:t>no</w:t>
      </w:r>
      <w:r>
        <w:rPr>
          <w:spacing w:val="-11"/>
        </w:rPr>
        <w:t> </w:t>
      </w:r>
      <w:r>
        <w:rPr/>
        <w:t>financial</w:t>
      </w:r>
      <w:r>
        <w:rPr>
          <w:spacing w:val="-12"/>
        </w:rPr>
        <w:t> </w:t>
      </w:r>
      <w:r>
        <w:rPr/>
        <w:t>impact.</w:t>
      </w:r>
    </w:p>
    <w:p>
      <w:pPr>
        <w:pStyle w:val="BodyText"/>
        <w:spacing w:before="2"/>
        <w:rPr>
          <w:sz w:val="23"/>
        </w:rPr>
      </w:pPr>
    </w:p>
    <w:p>
      <w:pPr>
        <w:pStyle w:val="Heading6"/>
        <w:spacing w:before="1"/>
        <w:ind w:left="523"/>
      </w:pPr>
      <w:r>
        <w:rPr/>
        <w:t>Changes in accounting estimates</w:t>
      </w:r>
    </w:p>
    <w:p>
      <w:pPr>
        <w:pStyle w:val="BodyText"/>
        <w:spacing w:before="10"/>
        <w:rPr>
          <w:b/>
          <w:sz w:val="23"/>
        </w:rPr>
      </w:pPr>
    </w:p>
    <w:p>
      <w:pPr>
        <w:pStyle w:val="BodyText"/>
        <w:spacing w:line="249" w:lineRule="auto"/>
        <w:ind w:left="523" w:right="1486"/>
      </w:pPr>
      <w:r>
        <w:rPr/>
        <w:pict>
          <v:group style="position:absolute;margin-left:604.106018pt;margin-top:50.784386pt;width:198.75pt;height:162.65pt;mso-position-horizontal-relative:page;mso-position-vertical-relative:paragraph;z-index:15208" coordorigin="12082,1016" coordsize="3975,3253">
            <v:shape style="position:absolute;left:2973;top:14786;width:3248;height:3248" coordorigin="2973,14787" coordsize="3248,3248" path="m14660,1326l15024,1690m14393,1169l15181,1958m14211,1097l15253,2140m14059,1056l15294,2291m13925,1032l15318,2425m13803,1021l15330,2547m13690,1018l15332,2660m13585,1023l15328,2766m13484,1033l15317,2866m13390,1049l15301,2960m13300,1070l15281,3050m13215,1094l15256,3136m13133,1123l15228,3218m13054,1155l15196,3296m12980,1190l15160,3371m12908,1229l15122,3443m12839,1270l15080,3512m12773,1315l15036,3578m12709,1362l14989,3641m12649,1411l14939,3702m12591,1464l14887,3760m12535,1518l14832,3815m12483,1576l14774,3868m12433,1637l14714,3918m12386,1700l14651,3965m12341,1766l14585,4009m12299,1834l14516,4051m12260,1906l14445,4090m12225,1980l14370,4126m12192,2058l14292,4158m12163,2140l14211,4187m12138,2225l14125,4212m12117,2314l14036,4233m12101,2408l13942,4250m12090,2507l13843,4261m12085,2613l13738,4266m12086,2724l13626,4264m12097,2846l13505,4253m12119,2978l13372,4231m12158,3128l13223,4192m12225,3305l13045,4125m12365,3555l12795,3985e" filled="false" stroked="true" strokeweight=".25pt" strokecolor="#aebd37">
              <v:path arrowok="t"/>
              <v:stroke dashstyle="solid"/>
            </v:shape>
            <v:shape style="position:absolute;left:153;top:-3769;width:1647;height:1629" coordorigin="154,-3768" coordsize="1647,1629" path="m14818,3362l14517,3061m15008,3442l14436,2870m15144,3468l14411,2734m15258,3471l14407,2620m15359,3462l14417,2520m15450,3443l14436,2428m15533,3415l14463,2346m15609,3380l14498,2270m15678,3340l14539,2200m15742,3294l14585,2136m15801,3242l14636,2077m15855,3185l14693,2024m15903,3123l14755,1975m15946,3056l14822,1932m15984,2983l14896,1895m16014,2904l14975,1864m16037,2816l15064,1843m16051,2719l15174,1843m16054,2612l15285,1843m16039,2486l15395,1843m15990,2327l15551,1888e" filled="false" stroked="true" strokeweight=".25pt" strokecolor="#6f2770">
              <v:path arrowok="t"/>
              <v:stroke dashstyle="solid"/>
            </v:shape>
            <w10:wrap type="none"/>
          </v:group>
        </w:pict>
      </w:r>
      <w:r>
        <w:rPr/>
        <w:t>There</w:t>
      </w:r>
      <w:r>
        <w:rPr>
          <w:spacing w:val="-24"/>
        </w:rPr>
        <w:t> </w:t>
      </w:r>
      <w:r>
        <w:rPr/>
        <w:t>have</w:t>
      </w:r>
      <w:r>
        <w:rPr>
          <w:spacing w:val="-23"/>
        </w:rPr>
        <w:t> </w:t>
      </w:r>
      <w:r>
        <w:rPr/>
        <w:t>been</w:t>
      </w:r>
      <w:r>
        <w:rPr>
          <w:spacing w:val="-23"/>
        </w:rPr>
        <w:t> </w:t>
      </w:r>
      <w:r>
        <w:rPr/>
        <w:t>no</w:t>
      </w:r>
      <w:r>
        <w:rPr>
          <w:spacing w:val="-23"/>
        </w:rPr>
        <w:t> </w:t>
      </w:r>
      <w:r>
        <w:rPr/>
        <w:t>changes</w:t>
      </w:r>
      <w:r>
        <w:rPr>
          <w:spacing w:val="-23"/>
        </w:rPr>
        <w:t> </w:t>
      </w:r>
      <w:r>
        <w:rPr/>
        <w:t>in</w:t>
      </w:r>
      <w:r>
        <w:rPr>
          <w:spacing w:val="-23"/>
        </w:rPr>
        <w:t> </w:t>
      </w:r>
      <w:r>
        <w:rPr/>
        <w:t>accounting estimates during the</w:t>
      </w:r>
      <w:r>
        <w:rPr>
          <w:spacing w:val="-10"/>
        </w:rPr>
        <w:t> </w:t>
      </w:r>
      <w:r>
        <w:rPr>
          <w:spacing w:val="-4"/>
        </w:rPr>
        <w:t>year.</w:t>
      </w:r>
    </w:p>
    <w:p>
      <w:pPr>
        <w:spacing w:after="0" w:line="249" w:lineRule="auto"/>
        <w:sectPr>
          <w:type w:val="continuous"/>
          <w:pgSz w:w="16840" w:h="11910" w:orient="landscape"/>
          <w:pgMar w:top="1100" w:bottom="280" w:left="0" w:right="0"/>
          <w:cols w:num="3" w:equalWidth="0">
            <w:col w:w="5584" w:space="40"/>
            <w:col w:w="5067" w:space="39"/>
            <w:col w:w="61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tabs>
          <w:tab w:pos="10886" w:val="left" w:leader="none"/>
          <w:tab w:pos="11199" w:val="left" w:leader="none"/>
          <w:tab w:pos="15849" w:val="left" w:leader="none"/>
        </w:tabs>
        <w:spacing w:before="1"/>
        <w:ind w:left="765" w:right="0" w:firstLine="0"/>
        <w:jc w:val="left"/>
        <w:rPr>
          <w:b/>
          <w:sz w:val="20"/>
        </w:rPr>
      </w:pPr>
      <w:r>
        <w:rPr/>
        <w:pict>
          <v:group style="position:absolute;margin-left:817.839111pt;margin-top:-14.805017pt;width:24.1pt;height:41.55pt;mso-position-horizontal-relative:page;mso-position-vertical-relative:paragraph;z-index:15256" coordorigin="16357,-296" coordsize="482,831">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ffffff" stroked="false">
              <v:path arrowok="t"/>
              <v:fill type="solid"/>
            </v:shape>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aebd37" stroked="false">
              <v:path arrowok="t"/>
              <v:fill opacity="13107f" type="solid"/>
            </v:shape>
            <v:shape style="position:absolute;left:16571;top:33;width:93;height:171" coordorigin="16571,33" coordsize="93,171" path="m16590,33l16582,33,16571,43,16571,52,16638,118,16638,120,16571,187,16571,195,16579,203,16582,204,16589,204,16592,203,16655,139,16662,130,16664,120,16664,118,16662,108,16655,99,16590,33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59</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8" w:id="29"/>
      <w:bookmarkEnd w:id="29"/>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ind w:left="785"/>
      </w:pPr>
      <w:r>
        <w:rPr/>
        <w:pict>
          <v:shape style="position:absolute;margin-left:601.348999pt;margin-top:-57.37421pt;width:120.3pt;height:42.55pt;mso-position-horizontal-relative:page;mso-position-vertical-relative:paragraph;z-index:1552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554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556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4"/>
        <w:rPr>
          <w:sz w:val="15"/>
        </w:rPr>
      </w:pPr>
    </w:p>
    <w:p>
      <w:pPr>
        <w:spacing w:after="0"/>
        <w:rPr>
          <w:sz w:val="15"/>
        </w:rPr>
        <w:sectPr>
          <w:footerReference w:type="default" r:id="rId156"/>
          <w:pgSz w:w="16840" w:h="11910" w:orient="landscape"/>
          <w:pgMar w:footer="0" w:header="0" w:top="0" w:bottom="0" w:left="0" w:right="0"/>
        </w:sectPr>
      </w:pPr>
    </w:p>
    <w:p>
      <w:pPr>
        <w:pStyle w:val="Heading5"/>
      </w:pPr>
      <w:r>
        <w:rPr>
          <w:color w:val="6F2770"/>
          <w:spacing w:val="-3"/>
        </w:rPr>
        <w:t>Note</w:t>
      </w:r>
      <w:r>
        <w:rPr>
          <w:color w:val="6F2770"/>
          <w:spacing w:val="-45"/>
        </w:rPr>
        <w:t> </w:t>
      </w:r>
      <w:r>
        <w:rPr>
          <w:color w:val="6F2770"/>
        </w:rPr>
        <w:t>7.</w:t>
      </w:r>
      <w:r>
        <w:rPr>
          <w:color w:val="6F2770"/>
          <w:spacing w:val="-44"/>
        </w:rPr>
        <w:t> </w:t>
      </w:r>
      <w:r>
        <w:rPr>
          <w:color w:val="6F2770"/>
          <w:spacing w:val="-4"/>
        </w:rPr>
        <w:t>Employee</w:t>
      </w:r>
      <w:r>
        <w:rPr>
          <w:color w:val="6F2770"/>
          <w:spacing w:val="-44"/>
        </w:rPr>
        <w:t> </w:t>
      </w:r>
      <w:r>
        <w:rPr>
          <w:color w:val="6F2770"/>
          <w:spacing w:val="-4"/>
        </w:rPr>
        <w:t>benefits</w:t>
      </w:r>
      <w:r>
        <w:rPr>
          <w:color w:val="6F2770"/>
          <w:spacing w:val="-44"/>
        </w:rPr>
        <w:t> </w:t>
      </w:r>
      <w:r>
        <w:rPr>
          <w:color w:val="6F2770"/>
          <w:spacing w:val="-4"/>
        </w:rPr>
        <w:t>expense</w:t>
      </w:r>
    </w:p>
    <w:p>
      <w:pPr>
        <w:pStyle w:val="BodyText"/>
        <w:spacing w:before="1"/>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Wages and salaries</w:t>
            </w:r>
          </w:p>
        </w:tc>
        <w:tc>
          <w:tcPr>
            <w:tcW w:w="964" w:type="dxa"/>
            <w:vMerge w:val="restart"/>
            <w:tcBorders>
              <w:bottom w:val="single" w:sz="4" w:space="0" w:color="000000"/>
            </w:tcBorders>
            <w:shd w:val="clear" w:color="auto" w:fill="E1E4BB"/>
          </w:tcPr>
          <w:p>
            <w:pPr>
              <w:pStyle w:val="TableParagraph"/>
              <w:spacing w:before="49"/>
              <w:ind w:left="361"/>
              <w:rPr>
                <w:sz w:val="16"/>
              </w:rPr>
            </w:pPr>
            <w:r>
              <w:rPr>
                <w:sz w:val="16"/>
              </w:rPr>
              <w:t>79,211</w:t>
            </w:r>
          </w:p>
          <w:p>
            <w:pPr>
              <w:pStyle w:val="TableParagraph"/>
              <w:spacing w:before="100"/>
              <w:ind w:left="361"/>
              <w:rPr>
                <w:sz w:val="16"/>
              </w:rPr>
            </w:pPr>
            <w:r>
              <w:rPr>
                <w:sz w:val="16"/>
              </w:rPr>
              <w:t>10,525</w:t>
            </w:r>
          </w:p>
          <w:p>
            <w:pPr>
              <w:pStyle w:val="TableParagraph"/>
              <w:spacing w:before="101"/>
              <w:ind w:left="450"/>
              <w:rPr>
                <w:sz w:val="16"/>
              </w:rPr>
            </w:pPr>
            <w:r>
              <w:rPr>
                <w:sz w:val="16"/>
              </w:rPr>
              <w:t>3,226</w:t>
            </w:r>
          </w:p>
          <w:p>
            <w:pPr>
              <w:pStyle w:val="TableParagraph"/>
              <w:spacing w:before="100"/>
              <w:ind w:left="361"/>
              <w:rPr>
                <w:sz w:val="16"/>
              </w:rPr>
            </w:pPr>
            <w:r>
              <w:rPr>
                <w:sz w:val="16"/>
              </w:rPr>
              <w:t>13,885</w:t>
            </w:r>
          </w:p>
          <w:p>
            <w:pPr>
              <w:pStyle w:val="TableParagraph"/>
              <w:spacing w:before="100"/>
              <w:ind w:left="450"/>
              <w:rPr>
                <w:sz w:val="16"/>
              </w:rPr>
            </w:pPr>
            <w:r>
              <w:rPr>
                <w:sz w:val="16"/>
              </w:rPr>
              <w:t>6,708</w:t>
            </w:r>
          </w:p>
          <w:p>
            <w:pPr>
              <w:pStyle w:val="TableParagraph"/>
              <w:spacing w:before="101"/>
              <w:ind w:left="450"/>
              <w:rPr>
                <w:sz w:val="16"/>
              </w:rPr>
            </w:pPr>
            <w:r>
              <w:rPr>
                <w:sz w:val="16"/>
              </w:rPr>
              <w:t>1,817</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82,671</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Superannuation</w:t>
            </w:r>
            <w:r>
              <w:rPr>
                <w:position w:val="6"/>
                <w:sz w:val="10"/>
              </w:rPr>
              <w:t>(a)</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10,684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Long service leave</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3,714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9"/>
              </w:rPr>
            </w:pPr>
            <w:r>
              <w:rPr>
                <w:sz w:val="16"/>
              </w:rPr>
              <w:t>Annual leave</w:t>
            </w:r>
            <w:r>
              <w:rPr>
                <w:position w:val="5"/>
                <w:sz w:val="9"/>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14,875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Severance payments</w:t>
            </w:r>
            <w:r>
              <w:rPr>
                <w:position w:val="6"/>
                <w:sz w:val="10"/>
              </w:rPr>
              <w:t>(c)</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513</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Other related expenses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2,042</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272"/>
              <w:rPr>
                <w:b/>
                <w:sz w:val="16"/>
              </w:rPr>
            </w:pPr>
            <w:r>
              <w:rPr>
                <w:b/>
                <w:sz w:val="16"/>
              </w:rPr>
              <w:t>115,372</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114,499</w:t>
            </w:r>
          </w:p>
        </w:tc>
      </w:tr>
    </w:tbl>
    <w:p>
      <w:pPr>
        <w:pStyle w:val="ListParagraph"/>
        <w:numPr>
          <w:ilvl w:val="0"/>
          <w:numId w:val="9"/>
        </w:numPr>
        <w:tabs>
          <w:tab w:pos="919" w:val="left" w:leader="none"/>
        </w:tabs>
        <w:spacing w:line="240" w:lineRule="auto" w:before="58" w:after="0"/>
        <w:ind w:left="918" w:right="0" w:hanging="153"/>
        <w:jc w:val="left"/>
        <w:rPr>
          <w:sz w:val="12"/>
        </w:rPr>
      </w:pPr>
      <w:r>
        <w:rPr>
          <w:sz w:val="12"/>
        </w:rPr>
        <w:t>Includes West State, Gold State, GESB and other eligible</w:t>
      </w:r>
      <w:r>
        <w:rPr>
          <w:spacing w:val="-22"/>
          <w:sz w:val="12"/>
        </w:rPr>
        <w:t> </w:t>
      </w:r>
      <w:r>
        <w:rPr>
          <w:sz w:val="12"/>
        </w:rPr>
        <w:t>funds.</w:t>
      </w:r>
    </w:p>
    <w:p>
      <w:pPr>
        <w:pStyle w:val="ListParagraph"/>
        <w:numPr>
          <w:ilvl w:val="0"/>
          <w:numId w:val="9"/>
        </w:numPr>
        <w:tabs>
          <w:tab w:pos="926" w:val="left" w:leader="none"/>
        </w:tabs>
        <w:spacing w:line="240" w:lineRule="auto" w:before="22" w:after="0"/>
        <w:ind w:left="925" w:right="0" w:hanging="160"/>
        <w:jc w:val="left"/>
        <w:rPr>
          <w:sz w:val="12"/>
        </w:rPr>
      </w:pPr>
      <w:r>
        <w:rPr>
          <w:sz w:val="12"/>
        </w:rPr>
        <w:t>Includes a superannuation contribution</w:t>
      </w:r>
      <w:r>
        <w:rPr>
          <w:spacing w:val="-5"/>
          <w:sz w:val="12"/>
        </w:rPr>
        <w:t> </w:t>
      </w:r>
      <w:r>
        <w:rPr>
          <w:sz w:val="12"/>
        </w:rPr>
        <w:t>component.</w:t>
      </w:r>
    </w:p>
    <w:p>
      <w:pPr>
        <w:pStyle w:val="ListParagraph"/>
        <w:numPr>
          <w:ilvl w:val="0"/>
          <w:numId w:val="9"/>
        </w:numPr>
        <w:tabs>
          <w:tab w:pos="919" w:val="left" w:leader="none"/>
        </w:tabs>
        <w:spacing w:line="278" w:lineRule="auto" w:before="22" w:after="0"/>
        <w:ind w:left="917" w:right="146" w:hanging="152"/>
        <w:jc w:val="left"/>
        <w:rPr>
          <w:sz w:val="12"/>
        </w:rPr>
      </w:pPr>
      <w:r>
        <w:rPr>
          <w:sz w:val="12"/>
        </w:rPr>
        <w:t>The</w:t>
      </w:r>
      <w:r>
        <w:rPr>
          <w:spacing w:val="-7"/>
          <w:sz w:val="12"/>
        </w:rPr>
        <w:t> </w:t>
      </w:r>
      <w:r>
        <w:rPr>
          <w:sz w:val="12"/>
        </w:rPr>
        <w:t>total</w:t>
      </w:r>
      <w:r>
        <w:rPr>
          <w:spacing w:val="-7"/>
          <w:sz w:val="12"/>
        </w:rPr>
        <w:t> </w:t>
      </w:r>
      <w:r>
        <w:rPr>
          <w:sz w:val="12"/>
        </w:rPr>
        <w:t>severance</w:t>
      </w:r>
      <w:r>
        <w:rPr>
          <w:spacing w:val="-7"/>
          <w:sz w:val="12"/>
        </w:rPr>
        <w:t> </w:t>
      </w:r>
      <w:r>
        <w:rPr>
          <w:sz w:val="12"/>
        </w:rPr>
        <w:t>gross</w:t>
      </w:r>
      <w:r>
        <w:rPr>
          <w:spacing w:val="-7"/>
          <w:sz w:val="12"/>
        </w:rPr>
        <w:t> </w:t>
      </w:r>
      <w:r>
        <w:rPr>
          <w:sz w:val="12"/>
        </w:rPr>
        <w:t>payout</w:t>
      </w:r>
      <w:r>
        <w:rPr>
          <w:spacing w:val="-7"/>
          <w:sz w:val="12"/>
        </w:rPr>
        <w:t> </w:t>
      </w:r>
      <w:r>
        <w:rPr>
          <w:sz w:val="12"/>
        </w:rPr>
        <w:t>for</w:t>
      </w:r>
      <w:r>
        <w:rPr>
          <w:spacing w:val="-7"/>
          <w:sz w:val="12"/>
        </w:rPr>
        <w:t> </w:t>
      </w:r>
      <w:r>
        <w:rPr>
          <w:sz w:val="12"/>
        </w:rPr>
        <w:t>2018</w:t>
      </w:r>
      <w:r>
        <w:rPr>
          <w:spacing w:val="-7"/>
          <w:sz w:val="12"/>
        </w:rPr>
        <w:t> </w:t>
      </w:r>
      <w:r>
        <w:rPr>
          <w:sz w:val="12"/>
        </w:rPr>
        <w:t>was</w:t>
      </w:r>
      <w:r>
        <w:rPr>
          <w:spacing w:val="-7"/>
          <w:sz w:val="12"/>
        </w:rPr>
        <w:t> </w:t>
      </w:r>
      <w:r>
        <w:rPr>
          <w:sz w:val="12"/>
        </w:rPr>
        <w:t>$8,603,722,</w:t>
      </w:r>
      <w:r>
        <w:rPr>
          <w:spacing w:val="-7"/>
          <w:sz w:val="12"/>
        </w:rPr>
        <w:t> </w:t>
      </w:r>
      <w:r>
        <w:rPr>
          <w:sz w:val="12"/>
        </w:rPr>
        <w:t>with</w:t>
      </w:r>
      <w:r>
        <w:rPr>
          <w:spacing w:val="-7"/>
          <w:sz w:val="12"/>
        </w:rPr>
        <w:t> </w:t>
      </w:r>
      <w:r>
        <w:rPr>
          <w:sz w:val="12"/>
        </w:rPr>
        <w:t>$1,895,713</w:t>
      </w:r>
      <w:r>
        <w:rPr>
          <w:spacing w:val="-7"/>
          <w:sz w:val="12"/>
        </w:rPr>
        <w:t> </w:t>
      </w:r>
      <w:r>
        <w:rPr>
          <w:sz w:val="12"/>
        </w:rPr>
        <w:t>related</w:t>
      </w:r>
      <w:r>
        <w:rPr>
          <w:spacing w:val="-7"/>
          <w:sz w:val="12"/>
        </w:rPr>
        <w:t> </w:t>
      </w:r>
      <w:r>
        <w:rPr>
          <w:spacing w:val="-8"/>
          <w:sz w:val="12"/>
        </w:rPr>
        <w:t>to </w:t>
      </w:r>
      <w:r>
        <w:rPr>
          <w:sz w:val="12"/>
        </w:rPr>
        <w:t>leave entitlements (Refer to Note</w:t>
      </w:r>
      <w:r>
        <w:rPr>
          <w:spacing w:val="-6"/>
          <w:sz w:val="12"/>
        </w:rPr>
        <w:t> </w:t>
      </w:r>
      <w:r>
        <w:rPr>
          <w:sz w:val="12"/>
        </w:rPr>
        <w:t>30).</w:t>
      </w:r>
    </w:p>
    <w:p>
      <w:pPr>
        <w:spacing w:line="138" w:lineRule="exact" w:before="0"/>
        <w:ind w:left="765" w:right="0" w:firstLine="0"/>
        <w:jc w:val="left"/>
        <w:rPr>
          <w:sz w:val="12"/>
        </w:rPr>
      </w:pPr>
      <w:r>
        <w:rPr>
          <w:sz w:val="12"/>
        </w:rPr>
        <w:t>The employment on-costs liability is included at Note 30 ‘Provisions’.</w:t>
      </w:r>
    </w:p>
    <w:p>
      <w:pPr>
        <w:pStyle w:val="BodyText"/>
        <w:spacing w:before="10"/>
        <w:rPr>
          <w:sz w:val="16"/>
        </w:rPr>
      </w:pPr>
    </w:p>
    <w:p>
      <w:pPr>
        <w:pStyle w:val="Heading5"/>
        <w:spacing w:before="1"/>
      </w:pPr>
      <w:r>
        <w:rPr>
          <w:color w:val="6F2770"/>
        </w:rPr>
        <w:t>Note 8. Supplies and services</w:t>
      </w:r>
    </w:p>
    <w:p>
      <w:pPr>
        <w:pStyle w:val="BodyText"/>
        <w:spacing w:before="8"/>
        <w:rPr>
          <w:sz w:val="5"/>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2018</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2017</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Managed contracts</w:t>
            </w:r>
          </w:p>
        </w:tc>
        <w:tc>
          <w:tcPr>
            <w:tcW w:w="964" w:type="dxa"/>
            <w:shd w:val="clear" w:color="auto" w:fill="E1E4BB"/>
          </w:tcPr>
          <w:p>
            <w:pPr>
              <w:pStyle w:val="TableParagraph"/>
              <w:spacing w:before="49"/>
              <w:ind w:right="113"/>
              <w:jc w:val="right"/>
              <w:rPr>
                <w:sz w:val="16"/>
              </w:rPr>
            </w:pPr>
            <w:r>
              <w:rPr>
                <w:w w:val="95"/>
                <w:sz w:val="16"/>
              </w:rPr>
              <w:t>1,051,904</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915,823</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Communications</w:t>
            </w:r>
          </w:p>
        </w:tc>
        <w:tc>
          <w:tcPr>
            <w:tcW w:w="964" w:type="dxa"/>
            <w:shd w:val="clear" w:color="auto" w:fill="E1E4BB"/>
          </w:tcPr>
          <w:p>
            <w:pPr>
              <w:pStyle w:val="TableParagraph"/>
              <w:spacing w:before="39"/>
              <w:ind w:right="111"/>
              <w:jc w:val="right"/>
              <w:rPr>
                <w:sz w:val="16"/>
              </w:rPr>
            </w:pPr>
            <w:r>
              <w:rPr>
                <w:w w:val="95"/>
                <w:sz w:val="16"/>
              </w:rPr>
              <w:t>2,406</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2,575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Consultants and contractors</w:t>
            </w:r>
          </w:p>
        </w:tc>
        <w:tc>
          <w:tcPr>
            <w:tcW w:w="964" w:type="dxa"/>
            <w:shd w:val="clear" w:color="auto" w:fill="E1E4BB"/>
          </w:tcPr>
          <w:p>
            <w:pPr>
              <w:pStyle w:val="TableParagraph"/>
              <w:spacing w:before="39"/>
              <w:ind w:right="111"/>
              <w:jc w:val="right"/>
              <w:rPr>
                <w:sz w:val="16"/>
              </w:rPr>
            </w:pPr>
            <w:r>
              <w:rPr>
                <w:w w:val="95"/>
                <w:sz w:val="16"/>
              </w:rPr>
              <w:t>44,630</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44,156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Consumables</w:t>
            </w:r>
          </w:p>
        </w:tc>
        <w:tc>
          <w:tcPr>
            <w:tcW w:w="964" w:type="dxa"/>
            <w:shd w:val="clear" w:color="auto" w:fill="E1E4BB"/>
          </w:tcPr>
          <w:p>
            <w:pPr>
              <w:pStyle w:val="TableParagraph"/>
              <w:spacing w:before="39"/>
              <w:ind w:right="111"/>
              <w:jc w:val="right"/>
              <w:rPr>
                <w:sz w:val="16"/>
              </w:rPr>
            </w:pPr>
            <w:r>
              <w:rPr>
                <w:w w:val="95"/>
                <w:sz w:val="16"/>
              </w:rPr>
              <w:t>469</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480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Repairs and maintenance</w:t>
            </w:r>
          </w:p>
        </w:tc>
        <w:tc>
          <w:tcPr>
            <w:tcW w:w="964" w:type="dxa"/>
            <w:shd w:val="clear" w:color="auto" w:fill="E1E4BB"/>
          </w:tcPr>
          <w:p>
            <w:pPr>
              <w:pStyle w:val="TableParagraph"/>
              <w:spacing w:before="39"/>
              <w:ind w:right="111"/>
              <w:jc w:val="right"/>
              <w:rPr>
                <w:sz w:val="16"/>
              </w:rPr>
            </w:pPr>
            <w:r>
              <w:rPr>
                <w:w w:val="95"/>
                <w:sz w:val="16"/>
              </w:rPr>
              <w:t>1,164</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860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Travel</w:t>
            </w:r>
          </w:p>
        </w:tc>
        <w:tc>
          <w:tcPr>
            <w:tcW w:w="964" w:type="dxa"/>
            <w:shd w:val="clear" w:color="auto" w:fill="E1E4BB"/>
          </w:tcPr>
          <w:p>
            <w:pPr>
              <w:pStyle w:val="TableParagraph"/>
              <w:spacing w:before="39"/>
              <w:ind w:right="111"/>
              <w:jc w:val="right"/>
              <w:rPr>
                <w:sz w:val="16"/>
              </w:rPr>
            </w:pPr>
            <w:r>
              <w:rPr>
                <w:w w:val="95"/>
                <w:sz w:val="16"/>
              </w:rPr>
              <w:t>324</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364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Legal costs</w:t>
            </w:r>
          </w:p>
        </w:tc>
        <w:tc>
          <w:tcPr>
            <w:tcW w:w="964" w:type="dxa"/>
            <w:shd w:val="clear" w:color="auto" w:fill="E1E4BB"/>
          </w:tcPr>
          <w:p>
            <w:pPr>
              <w:pStyle w:val="TableParagraph"/>
              <w:spacing w:before="39"/>
              <w:ind w:right="111"/>
              <w:jc w:val="right"/>
              <w:rPr>
                <w:sz w:val="16"/>
              </w:rPr>
            </w:pPr>
            <w:r>
              <w:rPr>
                <w:w w:val="95"/>
                <w:sz w:val="16"/>
              </w:rPr>
              <w:t>1,369</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1,809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Other</w:t>
            </w:r>
            <w:r>
              <w:rPr>
                <w:position w:val="6"/>
                <w:sz w:val="10"/>
              </w:rPr>
              <w:t>(a)</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5,543</w:t>
            </w: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5,263</w:t>
            </w:r>
          </w:p>
        </w:tc>
      </w:tr>
      <w:tr>
        <w:trPr>
          <w:trHeight w:val="24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before="39"/>
              <w:ind w:right="113"/>
              <w:jc w:val="right"/>
              <w:rPr>
                <w:b/>
                <w:sz w:val="16"/>
              </w:rPr>
            </w:pPr>
            <w:r>
              <w:rPr>
                <w:b/>
                <w:w w:val="95"/>
                <w:sz w:val="16"/>
              </w:rPr>
              <w:t>1,107,809</w:t>
            </w:r>
          </w:p>
        </w:tc>
        <w:tc>
          <w:tcPr>
            <w:tcW w:w="964" w:type="dxa"/>
            <w:tcBorders>
              <w:top w:val="single" w:sz="4" w:space="0" w:color="000000"/>
              <w:bottom w:val="single" w:sz="24" w:space="0" w:color="FFFFFF"/>
            </w:tcBorders>
            <w:shd w:val="clear" w:color="auto" w:fill="F4F4F4"/>
          </w:tcPr>
          <w:p>
            <w:pPr>
              <w:pStyle w:val="TableParagraph"/>
              <w:spacing w:before="39"/>
              <w:ind w:right="111"/>
              <w:jc w:val="right"/>
              <w:rPr>
                <w:b/>
                <w:sz w:val="16"/>
              </w:rPr>
            </w:pPr>
            <w:r>
              <w:rPr>
                <w:b/>
                <w:w w:val="95"/>
                <w:sz w:val="16"/>
              </w:rPr>
              <w:t>971,330</w:t>
            </w:r>
          </w:p>
        </w:tc>
      </w:tr>
    </w:tbl>
    <w:p>
      <w:pPr>
        <w:spacing w:line="278" w:lineRule="auto" w:before="69"/>
        <w:ind w:left="917" w:right="49" w:hanging="153"/>
        <w:jc w:val="left"/>
        <w:rPr>
          <w:sz w:val="12"/>
        </w:rPr>
      </w:pPr>
      <w:r>
        <w:rPr>
          <w:sz w:val="12"/>
        </w:rPr>
        <w:t>(a)</w:t>
      </w:r>
      <w:r>
        <w:rPr>
          <w:spacing w:val="-10"/>
          <w:sz w:val="12"/>
        </w:rPr>
        <w:t> </w:t>
      </w:r>
      <w:r>
        <w:rPr>
          <w:sz w:val="12"/>
        </w:rPr>
        <w:t>During</w:t>
      </w:r>
      <w:r>
        <w:rPr>
          <w:spacing w:val="-9"/>
          <w:sz w:val="12"/>
        </w:rPr>
        <w:t> </w:t>
      </w:r>
      <w:r>
        <w:rPr>
          <w:sz w:val="12"/>
        </w:rPr>
        <w:t>the</w:t>
      </w:r>
      <w:r>
        <w:rPr>
          <w:spacing w:val="-10"/>
          <w:sz w:val="12"/>
        </w:rPr>
        <w:t> </w:t>
      </w:r>
      <w:r>
        <w:rPr>
          <w:sz w:val="12"/>
        </w:rPr>
        <w:t>period</w:t>
      </w:r>
      <w:r>
        <w:rPr>
          <w:spacing w:val="-9"/>
          <w:sz w:val="12"/>
        </w:rPr>
        <w:t> </w:t>
      </w:r>
      <w:r>
        <w:rPr>
          <w:sz w:val="12"/>
        </w:rPr>
        <w:t>the</w:t>
      </w:r>
      <w:r>
        <w:rPr>
          <w:spacing w:val="-10"/>
          <w:sz w:val="12"/>
        </w:rPr>
        <w:t> </w:t>
      </w:r>
      <w:r>
        <w:rPr>
          <w:sz w:val="12"/>
        </w:rPr>
        <w:t>Department</w:t>
      </w:r>
      <w:r>
        <w:rPr>
          <w:spacing w:val="-9"/>
          <w:sz w:val="12"/>
        </w:rPr>
        <w:t> </w:t>
      </w:r>
      <w:r>
        <w:rPr>
          <w:sz w:val="12"/>
        </w:rPr>
        <w:t>paid</w:t>
      </w:r>
      <w:r>
        <w:rPr>
          <w:spacing w:val="-10"/>
          <w:sz w:val="12"/>
        </w:rPr>
        <w:t> </w:t>
      </w:r>
      <w:r>
        <w:rPr>
          <w:sz w:val="12"/>
        </w:rPr>
        <w:t>$852,692</w:t>
      </w:r>
      <w:r>
        <w:rPr>
          <w:spacing w:val="-9"/>
          <w:sz w:val="12"/>
        </w:rPr>
        <w:t> </w:t>
      </w:r>
      <w:r>
        <w:rPr>
          <w:sz w:val="12"/>
        </w:rPr>
        <w:t>(2017:</w:t>
      </w:r>
      <w:r>
        <w:rPr>
          <w:spacing w:val="-9"/>
          <w:sz w:val="12"/>
        </w:rPr>
        <w:t> </w:t>
      </w:r>
      <w:r>
        <w:rPr>
          <w:sz w:val="12"/>
        </w:rPr>
        <w:t>$1,609,557)</w:t>
      </w:r>
      <w:r>
        <w:rPr>
          <w:spacing w:val="-10"/>
          <w:sz w:val="12"/>
        </w:rPr>
        <w:t> </w:t>
      </w:r>
      <w:r>
        <w:rPr>
          <w:sz w:val="12"/>
        </w:rPr>
        <w:t>for</w:t>
      </w:r>
      <w:r>
        <w:rPr>
          <w:spacing w:val="-9"/>
          <w:sz w:val="12"/>
        </w:rPr>
        <w:t> </w:t>
      </w:r>
      <w:r>
        <w:rPr>
          <w:sz w:val="12"/>
        </w:rPr>
        <w:t>insurance</w:t>
      </w:r>
      <w:r>
        <w:rPr>
          <w:spacing w:val="-10"/>
          <w:sz w:val="12"/>
        </w:rPr>
        <w:t> </w:t>
      </w:r>
      <w:r>
        <w:rPr>
          <w:sz w:val="12"/>
        </w:rPr>
        <w:t>to</w:t>
      </w:r>
      <w:r>
        <w:rPr>
          <w:spacing w:val="-9"/>
          <w:sz w:val="12"/>
        </w:rPr>
        <w:t> </w:t>
      </w:r>
      <w:r>
        <w:rPr>
          <w:spacing w:val="-6"/>
          <w:sz w:val="12"/>
        </w:rPr>
        <w:t>the </w:t>
      </w:r>
      <w:r>
        <w:rPr>
          <w:sz w:val="12"/>
        </w:rPr>
        <w:t>Insurance Commission of Western</w:t>
      </w:r>
      <w:r>
        <w:rPr>
          <w:spacing w:val="-5"/>
          <w:sz w:val="12"/>
        </w:rPr>
        <w:t> </w:t>
      </w:r>
      <w:r>
        <w:rPr>
          <w:sz w:val="12"/>
        </w:rPr>
        <w:t>Australia.</w:t>
      </w:r>
    </w:p>
    <w:p>
      <w:pPr>
        <w:pStyle w:val="Heading5"/>
        <w:spacing w:line="235" w:lineRule="auto" w:before="117"/>
        <w:ind w:left="413" w:right="1250"/>
      </w:pPr>
      <w:r>
        <w:rPr/>
        <w:br w:type="column"/>
      </w:r>
      <w:r>
        <w:rPr>
          <w:color w:val="6F2770"/>
        </w:rPr>
        <w:t>Note 9. Depreciation </w:t>
      </w:r>
      <w:r>
        <w:rPr>
          <w:color w:val="6F2770"/>
          <w:spacing w:val="-6"/>
        </w:rPr>
        <w:t>and </w:t>
      </w:r>
      <w:r>
        <w:rPr>
          <w:color w:val="6F2770"/>
        </w:rPr>
        <w:t>amortisation expense</w:t>
      </w:r>
    </w:p>
    <w:p>
      <w:pPr>
        <w:pStyle w:val="BodyText"/>
        <w:spacing w:before="6"/>
        <w:rPr>
          <w:sz w:val="2"/>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2018</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2017</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Depreciation</w:t>
            </w:r>
          </w:p>
        </w:tc>
        <w:tc>
          <w:tcPr>
            <w:tcW w:w="964" w:type="dxa"/>
            <w:shd w:val="clear" w:color="auto" w:fill="E1E4BB"/>
          </w:tcPr>
          <w:p>
            <w:pPr>
              <w:pStyle w:val="TableParagraph"/>
              <w:spacing w:before="0"/>
              <w:rPr>
                <w:rFonts w:ascii="Times New Roman"/>
                <w:sz w:val="16"/>
              </w:rPr>
            </w:pP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Office fitout</w:t>
            </w:r>
          </w:p>
        </w:tc>
        <w:tc>
          <w:tcPr>
            <w:tcW w:w="964" w:type="dxa"/>
            <w:shd w:val="clear" w:color="auto" w:fill="E1E4BB"/>
          </w:tcPr>
          <w:p>
            <w:pPr>
              <w:pStyle w:val="TableParagraph"/>
              <w:spacing w:before="39"/>
              <w:ind w:right="111"/>
              <w:jc w:val="right"/>
              <w:rPr>
                <w:sz w:val="16"/>
              </w:rPr>
            </w:pPr>
            <w:r>
              <w:rPr>
                <w:w w:val="95"/>
                <w:sz w:val="16"/>
              </w:rPr>
              <w:t>11,774</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12,540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Computer equipment</w:t>
            </w:r>
          </w:p>
        </w:tc>
        <w:tc>
          <w:tcPr>
            <w:tcW w:w="964" w:type="dxa"/>
            <w:shd w:val="clear" w:color="auto" w:fill="E1E4BB"/>
          </w:tcPr>
          <w:p>
            <w:pPr>
              <w:pStyle w:val="TableParagraph"/>
              <w:spacing w:before="39"/>
              <w:ind w:right="111"/>
              <w:jc w:val="right"/>
              <w:rPr>
                <w:sz w:val="16"/>
              </w:rPr>
            </w:pPr>
            <w:r>
              <w:rPr>
                <w:w w:val="95"/>
                <w:sz w:val="16"/>
              </w:rPr>
              <w:t>366</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498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Vehicles</w:t>
            </w:r>
          </w:p>
        </w:tc>
        <w:tc>
          <w:tcPr>
            <w:tcW w:w="964" w:type="dxa"/>
            <w:shd w:val="clear" w:color="auto" w:fill="E1E4BB"/>
          </w:tcPr>
          <w:p>
            <w:pPr>
              <w:pStyle w:val="TableParagraph"/>
              <w:spacing w:before="39"/>
              <w:ind w:right="111"/>
              <w:jc w:val="right"/>
              <w:rPr>
                <w:sz w:val="16"/>
              </w:rPr>
            </w:pPr>
            <w:r>
              <w:rPr>
                <w:w w:val="95"/>
                <w:sz w:val="16"/>
              </w:rPr>
              <w:t>38,159</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41,622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Buildings</w:t>
            </w:r>
          </w:p>
        </w:tc>
        <w:tc>
          <w:tcPr>
            <w:tcW w:w="964" w:type="dxa"/>
            <w:shd w:val="clear" w:color="auto" w:fill="E1E4BB"/>
          </w:tcPr>
          <w:p>
            <w:pPr>
              <w:pStyle w:val="TableParagraph"/>
              <w:spacing w:before="39"/>
              <w:ind w:right="111"/>
              <w:jc w:val="right"/>
              <w:rPr>
                <w:sz w:val="16"/>
              </w:rPr>
            </w:pPr>
            <w:r>
              <w:rPr>
                <w:w w:val="95"/>
                <w:sz w:val="16"/>
              </w:rPr>
              <w:t>3,342</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3,747</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Leasehold improvements</w:t>
            </w:r>
          </w:p>
        </w:tc>
        <w:tc>
          <w:tcPr>
            <w:tcW w:w="964" w:type="dxa"/>
            <w:shd w:val="clear" w:color="auto" w:fill="E1E4BB"/>
          </w:tcPr>
          <w:p>
            <w:pPr>
              <w:pStyle w:val="TableParagraph"/>
              <w:spacing w:before="39"/>
              <w:ind w:right="111"/>
              <w:jc w:val="right"/>
              <w:rPr>
                <w:sz w:val="16"/>
              </w:rPr>
            </w:pPr>
            <w:r>
              <w:rPr>
                <w:w w:val="95"/>
                <w:sz w:val="16"/>
              </w:rPr>
              <w:t>7,940</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8,065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Office equipment</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59</w:t>
            </w: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54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depreciation</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61,640</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95"/>
                <w:sz w:val="16"/>
              </w:rPr>
              <w:t>66,526</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Amortisation</w:t>
            </w:r>
          </w:p>
        </w:tc>
        <w:tc>
          <w:tcPr>
            <w:tcW w:w="964" w:type="dxa"/>
            <w:tcBorders>
              <w:top w:val="single" w:sz="4" w:space="0" w:color="000000"/>
            </w:tcBorders>
            <w:shd w:val="clear" w:color="auto" w:fill="E1E4BB"/>
          </w:tcPr>
          <w:p>
            <w:pPr>
              <w:pStyle w:val="TableParagraph"/>
              <w:spacing w:before="0"/>
              <w:rPr>
                <w:rFonts w:ascii="Times New Roman"/>
                <w:sz w:val="16"/>
              </w:rPr>
            </w:pP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Computer software</w:t>
            </w:r>
          </w:p>
        </w:tc>
        <w:tc>
          <w:tcPr>
            <w:tcW w:w="964" w:type="dxa"/>
            <w:shd w:val="clear" w:color="auto" w:fill="E1E4BB"/>
          </w:tcPr>
          <w:p>
            <w:pPr>
              <w:pStyle w:val="TableParagraph"/>
              <w:spacing w:before="39"/>
              <w:ind w:right="111"/>
              <w:jc w:val="right"/>
              <w:rPr>
                <w:sz w:val="16"/>
              </w:rPr>
            </w:pPr>
            <w:r>
              <w:rPr>
                <w:w w:val="95"/>
                <w:sz w:val="16"/>
              </w:rPr>
              <w:t>4,367</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4,261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Licence</w:t>
            </w:r>
          </w:p>
        </w:tc>
        <w:tc>
          <w:tcPr>
            <w:tcW w:w="964" w:type="dxa"/>
            <w:tcBorders>
              <w:bottom w:val="single" w:sz="4" w:space="0" w:color="58595B"/>
            </w:tcBorders>
            <w:shd w:val="clear" w:color="auto" w:fill="E1E4BB"/>
          </w:tcPr>
          <w:p>
            <w:pPr>
              <w:pStyle w:val="TableParagraph"/>
              <w:spacing w:before="39"/>
              <w:ind w:right="111"/>
              <w:jc w:val="right"/>
              <w:rPr>
                <w:sz w:val="16"/>
              </w:rPr>
            </w:pPr>
            <w:r>
              <w:rPr>
                <w:w w:val="111"/>
                <w:sz w:val="16"/>
              </w:rPr>
              <w:t>-</w:t>
            </w:r>
          </w:p>
        </w:tc>
        <w:tc>
          <w:tcPr>
            <w:tcW w:w="964" w:type="dxa"/>
            <w:tcBorders>
              <w:top w:val="single" w:sz="8" w:space="0" w:color="FFFFFF"/>
              <w:bottom w:val="single" w:sz="4" w:space="0" w:color="58595B"/>
            </w:tcBorders>
            <w:shd w:val="clear" w:color="auto" w:fill="F4F4F4"/>
          </w:tcPr>
          <w:p>
            <w:pPr>
              <w:pStyle w:val="TableParagraph"/>
              <w:spacing w:before="39"/>
              <w:ind w:right="111"/>
              <w:jc w:val="right"/>
              <w:rPr>
                <w:sz w:val="16"/>
              </w:rPr>
            </w:pPr>
            <w:r>
              <w:rPr>
                <w:w w:val="95"/>
                <w:sz w:val="16"/>
              </w:rPr>
              <w:t>726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amortisation</w:t>
            </w:r>
          </w:p>
        </w:tc>
        <w:tc>
          <w:tcPr>
            <w:tcW w:w="964" w:type="dxa"/>
            <w:tcBorders>
              <w:top w:val="single" w:sz="4" w:space="0" w:color="58595B"/>
              <w:bottom w:val="single" w:sz="4" w:space="0" w:color="000000"/>
            </w:tcBorders>
            <w:shd w:val="clear" w:color="auto" w:fill="E1E4BB"/>
          </w:tcPr>
          <w:p>
            <w:pPr>
              <w:pStyle w:val="TableParagraph"/>
              <w:spacing w:before="39"/>
              <w:ind w:right="111"/>
              <w:jc w:val="right"/>
              <w:rPr>
                <w:b/>
                <w:sz w:val="16"/>
              </w:rPr>
            </w:pPr>
            <w:r>
              <w:rPr>
                <w:b/>
                <w:w w:val="95"/>
                <w:sz w:val="16"/>
              </w:rPr>
              <w:t>4,367</w:t>
            </w:r>
          </w:p>
        </w:tc>
        <w:tc>
          <w:tcPr>
            <w:tcW w:w="964" w:type="dxa"/>
            <w:tcBorders>
              <w:top w:val="single" w:sz="4" w:space="0" w:color="58595B"/>
              <w:bottom w:val="single" w:sz="4" w:space="0" w:color="000000"/>
            </w:tcBorders>
            <w:shd w:val="clear" w:color="auto" w:fill="FAF9F9"/>
          </w:tcPr>
          <w:p>
            <w:pPr>
              <w:pStyle w:val="TableParagraph"/>
              <w:spacing w:before="39"/>
              <w:ind w:right="111"/>
              <w:jc w:val="right"/>
              <w:rPr>
                <w:b/>
                <w:sz w:val="16"/>
              </w:rPr>
            </w:pPr>
            <w:r>
              <w:rPr>
                <w:b/>
                <w:w w:val="95"/>
                <w:sz w:val="16"/>
              </w:rPr>
              <w:t>4,987</w:t>
            </w:r>
          </w:p>
        </w:tc>
      </w:tr>
      <w:tr>
        <w:trPr>
          <w:trHeight w:val="434" w:hRule="atLeast"/>
        </w:trPr>
        <w:tc>
          <w:tcPr>
            <w:tcW w:w="2863" w:type="dxa"/>
            <w:tcBorders>
              <w:top w:val="single" w:sz="8" w:space="0" w:color="FFFFFF"/>
              <w:bottom w:val="single" w:sz="8" w:space="0" w:color="FFFFFF"/>
            </w:tcBorders>
            <w:shd w:val="clear" w:color="auto" w:fill="F4F4F4"/>
          </w:tcPr>
          <w:p>
            <w:pPr>
              <w:pStyle w:val="TableParagraph"/>
              <w:spacing w:line="200" w:lineRule="atLeast" w:before="23"/>
              <w:ind w:left="113" w:right="604"/>
              <w:rPr>
                <w:b/>
                <w:sz w:val="16"/>
              </w:rPr>
            </w:pPr>
            <w:r>
              <w:rPr>
                <w:b/>
                <w:sz w:val="16"/>
              </w:rPr>
              <w:t>Total depreciation and amortisation</w:t>
            </w:r>
          </w:p>
        </w:tc>
        <w:tc>
          <w:tcPr>
            <w:tcW w:w="964" w:type="dxa"/>
            <w:tcBorders>
              <w:top w:val="single" w:sz="4" w:space="0" w:color="000000"/>
              <w:bottom w:val="single" w:sz="24" w:space="0" w:color="FFFFFF"/>
            </w:tcBorders>
            <w:shd w:val="clear" w:color="auto" w:fill="DFE1B8"/>
          </w:tcPr>
          <w:p>
            <w:pPr>
              <w:pStyle w:val="TableParagraph"/>
              <w:spacing w:before="39"/>
              <w:ind w:right="111"/>
              <w:jc w:val="right"/>
              <w:rPr>
                <w:b/>
                <w:sz w:val="16"/>
              </w:rPr>
            </w:pPr>
            <w:r>
              <w:rPr>
                <w:b/>
                <w:w w:val="95"/>
                <w:sz w:val="16"/>
              </w:rPr>
              <w:t>66,007</w:t>
            </w:r>
          </w:p>
        </w:tc>
        <w:tc>
          <w:tcPr>
            <w:tcW w:w="964" w:type="dxa"/>
            <w:tcBorders>
              <w:top w:val="single" w:sz="4" w:space="0" w:color="000000"/>
              <w:bottom w:val="single" w:sz="24" w:space="0" w:color="FFFFFF"/>
            </w:tcBorders>
            <w:shd w:val="clear" w:color="auto" w:fill="F4F4F4"/>
          </w:tcPr>
          <w:p>
            <w:pPr>
              <w:pStyle w:val="TableParagraph"/>
              <w:spacing w:before="39"/>
              <w:ind w:right="111"/>
              <w:jc w:val="right"/>
              <w:rPr>
                <w:b/>
                <w:sz w:val="16"/>
              </w:rPr>
            </w:pPr>
            <w:r>
              <w:rPr>
                <w:b/>
                <w:w w:val="95"/>
                <w:sz w:val="16"/>
              </w:rPr>
              <w:t>71,513</w:t>
            </w:r>
          </w:p>
        </w:tc>
      </w:tr>
    </w:tbl>
    <w:p>
      <w:pPr>
        <w:spacing w:before="259"/>
        <w:ind w:left="413" w:right="0" w:firstLine="0"/>
        <w:jc w:val="left"/>
        <w:rPr>
          <w:sz w:val="32"/>
        </w:rPr>
      </w:pPr>
      <w:r>
        <w:rPr>
          <w:color w:val="6F2770"/>
          <w:sz w:val="32"/>
        </w:rPr>
        <w:t>Note 10. Finance costs</w:t>
      </w: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2018</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2017</w:t>
            </w:r>
          </w:p>
          <w:p>
            <w:pPr>
              <w:pStyle w:val="TableParagraph"/>
              <w:spacing w:before="8"/>
              <w:ind w:left="494"/>
              <w:rPr>
                <w:b/>
                <w:sz w:val="16"/>
              </w:rPr>
            </w:pPr>
            <w:r>
              <w:rPr>
                <w:b/>
                <w:color w:val="FFFFFF"/>
                <w:sz w:val="16"/>
              </w:rPr>
              <w:t>$000</w:t>
            </w:r>
          </w:p>
        </w:tc>
      </w:tr>
      <w:tr>
        <w:trPr>
          <w:trHeight w:val="239" w:hRule="atLeast"/>
        </w:trPr>
        <w:tc>
          <w:tcPr>
            <w:tcW w:w="2863" w:type="dxa"/>
            <w:shd w:val="clear" w:color="auto" w:fill="F4F4F4"/>
          </w:tcPr>
          <w:p>
            <w:pPr>
              <w:pStyle w:val="TableParagraph"/>
              <w:spacing w:line="170" w:lineRule="exact" w:before="49"/>
              <w:ind w:left="113"/>
              <w:rPr>
                <w:sz w:val="16"/>
              </w:rPr>
            </w:pPr>
            <w:r>
              <w:rPr>
                <w:sz w:val="16"/>
              </w:rPr>
              <w:t>Western Australian Treasury</w:t>
            </w:r>
          </w:p>
        </w:tc>
        <w:tc>
          <w:tcPr>
            <w:tcW w:w="964" w:type="dxa"/>
            <w:shd w:val="clear" w:color="auto" w:fill="E1E4BB"/>
          </w:tcPr>
          <w:p>
            <w:pPr>
              <w:pStyle w:val="TableParagraph"/>
              <w:spacing w:line="170" w:lineRule="exact" w:before="49"/>
              <w:ind w:right="111"/>
              <w:jc w:val="right"/>
              <w:rPr>
                <w:sz w:val="16"/>
              </w:rPr>
            </w:pPr>
            <w:r>
              <w:rPr>
                <w:w w:val="95"/>
                <w:sz w:val="16"/>
              </w:rPr>
              <w:t>938</w:t>
            </w:r>
          </w:p>
        </w:tc>
        <w:tc>
          <w:tcPr>
            <w:tcW w:w="964" w:type="dxa"/>
            <w:shd w:val="clear" w:color="auto" w:fill="F4F4F4"/>
          </w:tcPr>
          <w:p>
            <w:pPr>
              <w:pStyle w:val="TableParagraph"/>
              <w:spacing w:line="170" w:lineRule="exact" w:before="49"/>
              <w:ind w:right="111"/>
              <w:jc w:val="right"/>
              <w:rPr>
                <w:sz w:val="16"/>
              </w:rPr>
            </w:pPr>
            <w:r>
              <w:rPr>
                <w:w w:val="95"/>
                <w:sz w:val="16"/>
              </w:rPr>
              <w:t>1,928</w:t>
            </w:r>
          </w:p>
        </w:tc>
      </w:tr>
      <w:tr>
        <w:trPr>
          <w:trHeight w:val="235" w:hRule="atLeast"/>
        </w:trPr>
        <w:tc>
          <w:tcPr>
            <w:tcW w:w="2863" w:type="dxa"/>
            <w:tcBorders>
              <w:bottom w:val="single" w:sz="8" w:space="0" w:color="FFFFFF"/>
            </w:tcBorders>
            <w:shd w:val="clear" w:color="auto" w:fill="F4F4F4"/>
          </w:tcPr>
          <w:p>
            <w:pPr>
              <w:pStyle w:val="TableParagraph"/>
              <w:spacing w:before="10"/>
              <w:ind w:left="113"/>
              <w:rPr>
                <w:sz w:val="16"/>
              </w:rPr>
            </w:pPr>
            <w:r>
              <w:rPr>
                <w:sz w:val="16"/>
              </w:rPr>
              <w:t>Corporation - interest on borrowings</w:t>
            </w:r>
          </w:p>
        </w:tc>
        <w:tc>
          <w:tcPr>
            <w:tcW w:w="964" w:type="dxa"/>
            <w:shd w:val="clear" w:color="auto" w:fill="E1E4BB"/>
          </w:tcPr>
          <w:p>
            <w:pPr>
              <w:pStyle w:val="TableParagraph"/>
              <w:spacing w:before="0"/>
              <w:rPr>
                <w:rFonts w:ascii="Times New Roman"/>
                <w:sz w:val="16"/>
              </w:rPr>
            </w:pP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29" w:hRule="atLeast"/>
        </w:trPr>
        <w:tc>
          <w:tcPr>
            <w:tcW w:w="2863" w:type="dxa"/>
            <w:tcBorders>
              <w:top w:val="single" w:sz="8" w:space="0" w:color="FFFFFF"/>
            </w:tcBorders>
            <w:shd w:val="clear" w:color="auto" w:fill="FAF9F9"/>
          </w:tcPr>
          <w:p>
            <w:pPr>
              <w:pStyle w:val="TableParagraph"/>
              <w:spacing w:line="170" w:lineRule="exact" w:before="39"/>
              <w:ind w:left="113"/>
              <w:rPr>
                <w:sz w:val="16"/>
              </w:rPr>
            </w:pPr>
            <w:r>
              <w:rPr>
                <w:sz w:val="16"/>
              </w:rPr>
              <w:t>Interest on Heritage Maintenance</w:t>
            </w:r>
          </w:p>
        </w:tc>
        <w:tc>
          <w:tcPr>
            <w:tcW w:w="964" w:type="dxa"/>
            <w:shd w:val="clear" w:color="auto" w:fill="E1E4BB"/>
          </w:tcPr>
          <w:p>
            <w:pPr>
              <w:pStyle w:val="TableParagraph"/>
              <w:spacing w:line="170" w:lineRule="exact" w:before="39"/>
              <w:ind w:right="111"/>
              <w:jc w:val="right"/>
              <w:rPr>
                <w:sz w:val="16"/>
              </w:rPr>
            </w:pPr>
            <w:r>
              <w:rPr>
                <w:w w:val="95"/>
                <w:sz w:val="16"/>
              </w:rPr>
              <w:t>6,842</w:t>
            </w:r>
          </w:p>
        </w:tc>
        <w:tc>
          <w:tcPr>
            <w:tcW w:w="964" w:type="dxa"/>
            <w:tcBorders>
              <w:top w:val="single" w:sz="8" w:space="0" w:color="FFFFFF"/>
            </w:tcBorders>
            <w:shd w:val="clear" w:color="auto" w:fill="FAF9F9"/>
          </w:tcPr>
          <w:p>
            <w:pPr>
              <w:pStyle w:val="TableParagraph"/>
              <w:spacing w:line="170" w:lineRule="exact" w:before="39"/>
              <w:ind w:right="111"/>
              <w:jc w:val="right"/>
              <w:rPr>
                <w:sz w:val="16"/>
              </w:rPr>
            </w:pPr>
            <w:r>
              <w:rPr>
                <w:w w:val="95"/>
                <w:sz w:val="16"/>
              </w:rPr>
              <w:t>6,687</w:t>
            </w:r>
          </w:p>
        </w:tc>
      </w:tr>
      <w:tr>
        <w:trPr>
          <w:trHeight w:val="235" w:hRule="atLeast"/>
        </w:trPr>
        <w:tc>
          <w:tcPr>
            <w:tcW w:w="2863" w:type="dxa"/>
            <w:tcBorders>
              <w:bottom w:val="single" w:sz="8" w:space="0" w:color="FFFFFF"/>
            </w:tcBorders>
            <w:shd w:val="clear" w:color="auto" w:fill="FAF9F9"/>
          </w:tcPr>
          <w:p>
            <w:pPr>
              <w:pStyle w:val="TableParagraph"/>
              <w:spacing w:before="10"/>
              <w:ind w:left="113"/>
              <w:rPr>
                <w:sz w:val="16"/>
              </w:rPr>
            </w:pPr>
            <w:r>
              <w:rPr>
                <w:sz w:val="16"/>
              </w:rPr>
              <w:t>payments</w:t>
            </w:r>
          </w:p>
        </w:tc>
        <w:tc>
          <w:tcPr>
            <w:tcW w:w="964" w:type="dxa"/>
            <w:tcBorders>
              <w:bottom w:val="single" w:sz="4" w:space="0" w:color="000000"/>
            </w:tcBorders>
            <w:shd w:val="clear" w:color="auto" w:fill="E1E4BB"/>
          </w:tcPr>
          <w:p>
            <w:pPr>
              <w:pStyle w:val="TableParagraph"/>
              <w:spacing w:before="0"/>
              <w:rPr>
                <w:rFonts w:ascii="Times New Roman"/>
                <w:sz w:val="16"/>
              </w:rPr>
            </w:pPr>
          </w:p>
        </w:tc>
        <w:tc>
          <w:tcPr>
            <w:tcW w:w="964" w:type="dxa"/>
            <w:tcBorders>
              <w:bottom w:val="single" w:sz="4" w:space="0" w:color="000000"/>
            </w:tcBorders>
            <w:shd w:val="clear" w:color="auto" w:fill="FAF9F9"/>
          </w:tcPr>
          <w:p>
            <w:pPr>
              <w:pStyle w:val="TableParagraph"/>
              <w:spacing w:before="0"/>
              <w:rPr>
                <w:rFonts w:ascii="Times New Roman"/>
                <w:sz w:val="16"/>
              </w:rPr>
            </w:pP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7,780</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8,615</w:t>
            </w:r>
          </w:p>
        </w:tc>
      </w:tr>
    </w:tbl>
    <w:p>
      <w:pPr>
        <w:pStyle w:val="BodyText"/>
        <w:spacing w:line="20" w:lineRule="exact"/>
        <w:ind w:left="3271" w:right="-72"/>
        <w:rPr>
          <w:sz w:val="2"/>
        </w:rPr>
      </w:pPr>
      <w:r>
        <w:rPr>
          <w:sz w:val="2"/>
        </w:rPr>
        <w:pict>
          <v:group style="width:96.4pt;height:.550pt;mso-position-horizontal-relative:char;mso-position-vertical-relative:line" coordorigin="0,0" coordsize="1928,11">
            <v:line style="position:absolute" from="0,5" to="964,5" stroked="true" strokeweight=".501pt" strokecolor="#000000">
              <v:stroke dashstyle="solid"/>
            </v:line>
            <v:line style="position:absolute" from="964,5" to="1928,5" stroked="true" strokeweight=".501pt" strokecolor="#000000">
              <v:stroke dashstyle="solid"/>
            </v:line>
          </v:group>
        </w:pict>
      </w:r>
      <w:r>
        <w:rPr>
          <w:sz w:val="2"/>
        </w:rPr>
      </w:r>
    </w:p>
    <w:p>
      <w:pPr>
        <w:spacing w:line="278" w:lineRule="auto" w:before="73"/>
        <w:ind w:left="413" w:right="489" w:firstLine="0"/>
        <w:jc w:val="left"/>
        <w:rPr>
          <w:sz w:val="12"/>
        </w:rPr>
      </w:pPr>
      <w:r>
        <w:rPr>
          <w:sz w:val="12"/>
        </w:rPr>
        <w:t>‘Finance</w:t>
      </w:r>
      <w:r>
        <w:rPr>
          <w:spacing w:val="-14"/>
          <w:sz w:val="12"/>
        </w:rPr>
        <w:t> </w:t>
      </w:r>
      <w:r>
        <w:rPr>
          <w:sz w:val="12"/>
        </w:rPr>
        <w:t>costs’</w:t>
      </w:r>
      <w:r>
        <w:rPr>
          <w:spacing w:val="-13"/>
          <w:sz w:val="12"/>
        </w:rPr>
        <w:t> </w:t>
      </w:r>
      <w:r>
        <w:rPr>
          <w:sz w:val="12"/>
        </w:rPr>
        <w:t>include</w:t>
      </w:r>
      <w:r>
        <w:rPr>
          <w:spacing w:val="-13"/>
          <w:sz w:val="12"/>
        </w:rPr>
        <w:t> </w:t>
      </w:r>
      <w:r>
        <w:rPr>
          <w:sz w:val="12"/>
        </w:rPr>
        <w:t>interest</w:t>
      </w:r>
      <w:r>
        <w:rPr>
          <w:spacing w:val="-14"/>
          <w:sz w:val="12"/>
        </w:rPr>
        <w:t> </w:t>
      </w:r>
      <w:r>
        <w:rPr>
          <w:sz w:val="12"/>
        </w:rPr>
        <w:t>on</w:t>
      </w:r>
      <w:r>
        <w:rPr>
          <w:spacing w:val="-13"/>
          <w:sz w:val="12"/>
        </w:rPr>
        <w:t> </w:t>
      </w:r>
      <w:r>
        <w:rPr>
          <w:sz w:val="12"/>
        </w:rPr>
        <w:t>borrowings</w:t>
      </w:r>
      <w:r>
        <w:rPr>
          <w:spacing w:val="-13"/>
          <w:sz w:val="12"/>
        </w:rPr>
        <w:t> </w:t>
      </w:r>
      <w:r>
        <w:rPr>
          <w:sz w:val="12"/>
        </w:rPr>
        <w:t>from</w:t>
      </w:r>
      <w:r>
        <w:rPr>
          <w:spacing w:val="-14"/>
          <w:sz w:val="12"/>
        </w:rPr>
        <w:t> </w:t>
      </w:r>
      <w:r>
        <w:rPr>
          <w:sz w:val="12"/>
        </w:rPr>
        <w:t>the</w:t>
      </w:r>
      <w:r>
        <w:rPr>
          <w:spacing w:val="-13"/>
          <w:sz w:val="12"/>
        </w:rPr>
        <w:t> </w:t>
      </w:r>
      <w:r>
        <w:rPr>
          <w:sz w:val="12"/>
        </w:rPr>
        <w:t>Western</w:t>
      </w:r>
      <w:r>
        <w:rPr>
          <w:spacing w:val="-13"/>
          <w:sz w:val="12"/>
        </w:rPr>
        <w:t> </w:t>
      </w:r>
      <w:r>
        <w:rPr>
          <w:sz w:val="12"/>
        </w:rPr>
        <w:t>Australian</w:t>
      </w:r>
      <w:r>
        <w:rPr>
          <w:spacing w:val="-14"/>
          <w:sz w:val="12"/>
        </w:rPr>
        <w:t> </w:t>
      </w:r>
      <w:r>
        <w:rPr>
          <w:spacing w:val="-4"/>
          <w:sz w:val="12"/>
        </w:rPr>
        <w:t>Treasury </w:t>
      </w:r>
      <w:r>
        <w:rPr>
          <w:sz w:val="12"/>
        </w:rPr>
        <w:t>Corporation and interest on long term</w:t>
      </w:r>
      <w:r>
        <w:rPr>
          <w:spacing w:val="-7"/>
          <w:sz w:val="12"/>
        </w:rPr>
        <w:t> </w:t>
      </w:r>
      <w:r>
        <w:rPr>
          <w:sz w:val="12"/>
        </w:rPr>
        <w:t>borrowings.</w:t>
      </w:r>
    </w:p>
    <w:p>
      <w:pPr>
        <w:pStyle w:val="Heading5"/>
        <w:spacing w:before="111"/>
        <w:ind w:left="413"/>
      </w:pPr>
      <w:r>
        <w:rPr/>
        <w:br w:type="column"/>
      </w:r>
      <w:r>
        <w:rPr>
          <w:color w:val="6F2770"/>
        </w:rPr>
        <w:t>Note 11. Accommodation expenses</w:t>
      </w:r>
    </w:p>
    <w:p>
      <w:pPr>
        <w:pStyle w:val="BodyText"/>
        <w:spacing w:before="11"/>
        <w:rPr>
          <w:sz w:val="5"/>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Repairs and maintenance buildings</w:t>
            </w:r>
          </w:p>
        </w:tc>
        <w:tc>
          <w:tcPr>
            <w:tcW w:w="964" w:type="dxa"/>
            <w:vMerge w:val="restart"/>
            <w:tcBorders>
              <w:bottom w:val="single" w:sz="4" w:space="0" w:color="000000"/>
            </w:tcBorders>
            <w:shd w:val="clear" w:color="auto" w:fill="E1E4BB"/>
          </w:tcPr>
          <w:p>
            <w:pPr>
              <w:pStyle w:val="TableParagraph"/>
              <w:spacing w:before="49"/>
              <w:ind w:left="361"/>
              <w:rPr>
                <w:sz w:val="16"/>
              </w:rPr>
            </w:pPr>
            <w:r>
              <w:rPr>
                <w:sz w:val="16"/>
              </w:rPr>
              <w:t>28,693</w:t>
            </w:r>
          </w:p>
          <w:p>
            <w:pPr>
              <w:pStyle w:val="TableParagraph"/>
              <w:spacing w:before="100"/>
              <w:ind w:left="450"/>
              <w:rPr>
                <w:sz w:val="16"/>
              </w:rPr>
            </w:pPr>
            <w:r>
              <w:rPr>
                <w:sz w:val="16"/>
              </w:rPr>
              <w:t>2,753</w:t>
            </w:r>
          </w:p>
          <w:p>
            <w:pPr>
              <w:pStyle w:val="TableParagraph"/>
              <w:spacing w:before="101"/>
              <w:ind w:left="450"/>
              <w:rPr>
                <w:sz w:val="16"/>
              </w:rPr>
            </w:pPr>
            <w:r>
              <w:rPr>
                <w:sz w:val="16"/>
              </w:rPr>
              <w:t>9,116</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29,130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Cleaning and security</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3,011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Lease rentals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10,095</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line="175" w:lineRule="exact" w:before="39"/>
              <w:ind w:left="361"/>
              <w:rPr>
                <w:b/>
                <w:sz w:val="16"/>
              </w:rPr>
            </w:pPr>
            <w:r>
              <w:rPr>
                <w:b/>
                <w:sz w:val="16"/>
              </w:rPr>
              <w:t>40,562</w:t>
            </w:r>
          </w:p>
        </w:tc>
        <w:tc>
          <w:tcPr>
            <w:tcW w:w="964" w:type="dxa"/>
            <w:tcBorders>
              <w:top w:val="single" w:sz="4" w:space="0" w:color="000000"/>
              <w:bottom w:val="single" w:sz="24" w:space="0" w:color="FFFFFF"/>
            </w:tcBorders>
            <w:shd w:val="clear" w:color="auto" w:fill="FAF9F9"/>
          </w:tcPr>
          <w:p>
            <w:pPr>
              <w:pStyle w:val="TableParagraph"/>
              <w:spacing w:line="175" w:lineRule="exact" w:before="39"/>
              <w:ind w:right="111"/>
              <w:jc w:val="right"/>
              <w:rPr>
                <w:b/>
                <w:sz w:val="16"/>
              </w:rPr>
            </w:pPr>
            <w:r>
              <w:rPr>
                <w:b/>
                <w:w w:val="95"/>
                <w:sz w:val="16"/>
              </w:rPr>
              <w:t>42,236</w:t>
            </w:r>
          </w:p>
        </w:tc>
      </w:tr>
    </w:tbl>
    <w:p>
      <w:pPr>
        <w:spacing w:before="252"/>
        <w:ind w:left="413" w:right="0" w:firstLine="0"/>
        <w:jc w:val="left"/>
        <w:rPr>
          <w:sz w:val="32"/>
        </w:rPr>
      </w:pPr>
      <w:r>
        <w:rPr>
          <w:color w:val="6F2770"/>
          <w:sz w:val="32"/>
        </w:rPr>
        <w:t>Note 12. Grants and subsidies</w:t>
      </w:r>
    </w:p>
    <w:p>
      <w:pPr>
        <w:pStyle w:val="BodyText"/>
        <w:spacing w:before="7"/>
        <w:rPr>
          <w:sz w:val="8"/>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Grants - recurrent</w:t>
            </w:r>
          </w:p>
        </w:tc>
        <w:tc>
          <w:tcPr>
            <w:tcW w:w="964" w:type="dxa"/>
            <w:vMerge w:val="restart"/>
            <w:tcBorders>
              <w:bottom w:val="single" w:sz="4" w:space="0" w:color="000000"/>
            </w:tcBorders>
            <w:shd w:val="clear" w:color="auto" w:fill="E1E4BB"/>
          </w:tcPr>
          <w:p>
            <w:pPr>
              <w:pStyle w:val="TableParagraph"/>
              <w:spacing w:before="49"/>
              <w:ind w:right="111"/>
              <w:jc w:val="right"/>
              <w:rPr>
                <w:sz w:val="16"/>
              </w:rPr>
            </w:pPr>
            <w:r>
              <w:rPr>
                <w:w w:val="95"/>
                <w:sz w:val="16"/>
              </w:rPr>
              <w:t>578</w:t>
            </w:r>
          </w:p>
          <w:p>
            <w:pPr>
              <w:pStyle w:val="TableParagraph"/>
              <w:spacing w:before="100"/>
              <w:ind w:right="111"/>
              <w:jc w:val="right"/>
              <w:rPr>
                <w:sz w:val="16"/>
              </w:rPr>
            </w:pPr>
            <w:r>
              <w:rPr>
                <w:w w:val="111"/>
                <w:sz w:val="16"/>
              </w:rPr>
              <w:t>-</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754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Grants - capital</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111"/>
                <w:sz w:val="16"/>
              </w:rPr>
              <w:t>-</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583"/>
              <w:rPr>
                <w:b/>
                <w:sz w:val="16"/>
              </w:rPr>
            </w:pPr>
            <w:r>
              <w:rPr>
                <w:b/>
                <w:sz w:val="16"/>
              </w:rPr>
              <w:t>578</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754</w:t>
            </w:r>
          </w:p>
        </w:tc>
      </w:tr>
    </w:tbl>
    <w:p>
      <w:pPr>
        <w:spacing w:before="257"/>
        <w:ind w:left="413" w:right="0" w:firstLine="0"/>
        <w:jc w:val="left"/>
        <w:rPr>
          <w:sz w:val="32"/>
        </w:rPr>
      </w:pPr>
      <w:r>
        <w:rPr>
          <w:color w:val="6F2770"/>
          <w:sz w:val="32"/>
        </w:rPr>
        <w:t>Note 13. Other expenses</w:t>
      </w:r>
    </w:p>
    <w:p>
      <w:pPr>
        <w:pStyle w:val="BodyText"/>
        <w:spacing w:before="6"/>
        <w:rPr>
          <w:sz w:val="8"/>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Minor equipment</w:t>
            </w:r>
          </w:p>
        </w:tc>
        <w:tc>
          <w:tcPr>
            <w:tcW w:w="964" w:type="dxa"/>
            <w:vMerge w:val="restart"/>
            <w:tcBorders>
              <w:bottom w:val="single" w:sz="4" w:space="0" w:color="58595B"/>
            </w:tcBorders>
            <w:shd w:val="clear" w:color="auto" w:fill="DFE1B8"/>
          </w:tcPr>
          <w:p>
            <w:pPr>
              <w:pStyle w:val="TableParagraph"/>
              <w:spacing w:before="49"/>
              <w:ind w:left="583"/>
              <w:rPr>
                <w:sz w:val="16"/>
              </w:rPr>
            </w:pPr>
            <w:r>
              <w:rPr>
                <w:sz w:val="16"/>
              </w:rPr>
              <w:t>587</w:t>
            </w:r>
          </w:p>
          <w:p>
            <w:pPr>
              <w:pStyle w:val="TableParagraph"/>
              <w:spacing w:before="100"/>
              <w:ind w:right="111"/>
              <w:jc w:val="right"/>
              <w:rPr>
                <w:sz w:val="16"/>
              </w:rPr>
            </w:pPr>
            <w:r>
              <w:rPr>
                <w:w w:val="95"/>
                <w:sz w:val="16"/>
              </w:rPr>
              <w:t>18</w:t>
            </w:r>
          </w:p>
          <w:p>
            <w:pPr>
              <w:pStyle w:val="TableParagraph"/>
              <w:spacing w:before="101"/>
              <w:ind w:left="583"/>
              <w:rPr>
                <w:sz w:val="16"/>
              </w:rPr>
            </w:pPr>
            <w:r>
              <w:rPr>
                <w:sz w:val="16"/>
              </w:rPr>
              <w:t>378</w:t>
            </w:r>
          </w:p>
          <w:p>
            <w:pPr>
              <w:pStyle w:val="TableParagraph"/>
              <w:spacing w:before="100"/>
              <w:ind w:right="111"/>
              <w:jc w:val="right"/>
              <w:rPr>
                <w:sz w:val="16"/>
              </w:rPr>
            </w:pPr>
            <w:r>
              <w:rPr>
                <w:spacing w:val="-1"/>
                <w:sz w:val="16"/>
              </w:rPr>
              <w:t>38,465</w:t>
            </w:r>
          </w:p>
          <w:p>
            <w:pPr>
              <w:pStyle w:val="TableParagraph"/>
              <w:spacing w:before="100"/>
              <w:ind w:left="583"/>
              <w:rPr>
                <w:sz w:val="16"/>
              </w:rPr>
            </w:pPr>
            <w:r>
              <w:rPr>
                <w:sz w:val="16"/>
              </w:rPr>
              <w:t>259</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1,325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Employment on-costs</w:t>
            </w:r>
            <w:r>
              <w:rPr>
                <w:position w:val="6"/>
                <w:sz w:val="10"/>
              </w:rPr>
              <w:t>(a)</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127</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Audit fees</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395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Revaluation decrements</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32,024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4" w:space="0" w:color="58595B"/>
            </w:tcBorders>
            <w:shd w:val="clear" w:color="auto" w:fill="F4F4F4"/>
          </w:tcPr>
          <w:p>
            <w:pPr>
              <w:pStyle w:val="TableParagraph"/>
              <w:spacing w:before="39"/>
              <w:ind w:right="111"/>
              <w:jc w:val="right"/>
              <w:rPr>
                <w:sz w:val="16"/>
              </w:rPr>
            </w:pPr>
            <w:r>
              <w:rPr>
                <w:w w:val="95"/>
                <w:sz w:val="16"/>
              </w:rPr>
              <w:t>150</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58595B"/>
              <w:bottom w:val="single" w:sz="24" w:space="0" w:color="FFFFFF"/>
            </w:tcBorders>
            <w:shd w:val="clear" w:color="auto" w:fill="E1E4BB"/>
          </w:tcPr>
          <w:p>
            <w:pPr>
              <w:pStyle w:val="TableParagraph"/>
              <w:spacing w:line="175" w:lineRule="exact" w:before="39"/>
              <w:ind w:left="361"/>
              <w:rPr>
                <w:b/>
                <w:sz w:val="16"/>
              </w:rPr>
            </w:pPr>
            <w:r>
              <w:rPr>
                <w:b/>
                <w:sz w:val="16"/>
              </w:rPr>
              <w:t>39,707</w:t>
            </w:r>
          </w:p>
        </w:tc>
        <w:tc>
          <w:tcPr>
            <w:tcW w:w="964" w:type="dxa"/>
            <w:tcBorders>
              <w:top w:val="single" w:sz="4" w:space="0" w:color="58595B"/>
              <w:bottom w:val="single" w:sz="24" w:space="0" w:color="FFFFFF"/>
            </w:tcBorders>
            <w:shd w:val="clear" w:color="auto" w:fill="FAF9F9"/>
          </w:tcPr>
          <w:p>
            <w:pPr>
              <w:pStyle w:val="TableParagraph"/>
              <w:spacing w:line="175" w:lineRule="exact" w:before="39"/>
              <w:ind w:right="111"/>
              <w:jc w:val="right"/>
              <w:rPr>
                <w:b/>
                <w:sz w:val="16"/>
              </w:rPr>
            </w:pPr>
            <w:r>
              <w:rPr>
                <w:b/>
                <w:w w:val="95"/>
                <w:sz w:val="16"/>
              </w:rPr>
              <w:t>34,021</w:t>
            </w:r>
          </w:p>
        </w:tc>
      </w:tr>
    </w:tbl>
    <w:p>
      <w:pPr>
        <w:spacing w:line="278" w:lineRule="auto" w:before="72"/>
        <w:ind w:left="566" w:right="990" w:hanging="153"/>
        <w:jc w:val="left"/>
        <w:rPr>
          <w:sz w:val="12"/>
        </w:rPr>
      </w:pPr>
      <w:r>
        <w:rPr>
          <w:sz w:val="12"/>
        </w:rPr>
        <w:t>(a)</w:t>
      </w:r>
      <w:r>
        <w:rPr>
          <w:spacing w:val="-12"/>
          <w:sz w:val="12"/>
        </w:rPr>
        <w:t> </w:t>
      </w:r>
      <w:r>
        <w:rPr>
          <w:sz w:val="12"/>
        </w:rPr>
        <w:t>Includes</w:t>
      </w:r>
      <w:r>
        <w:rPr>
          <w:spacing w:val="-11"/>
          <w:sz w:val="12"/>
        </w:rPr>
        <w:t> </w:t>
      </w:r>
      <w:r>
        <w:rPr>
          <w:sz w:val="12"/>
        </w:rPr>
        <w:t>workers’</w:t>
      </w:r>
      <w:r>
        <w:rPr>
          <w:spacing w:val="-12"/>
          <w:sz w:val="12"/>
        </w:rPr>
        <w:t> </w:t>
      </w:r>
      <w:r>
        <w:rPr>
          <w:sz w:val="12"/>
        </w:rPr>
        <w:t>compensation</w:t>
      </w:r>
      <w:r>
        <w:rPr>
          <w:spacing w:val="-11"/>
          <w:sz w:val="12"/>
        </w:rPr>
        <w:t> </w:t>
      </w:r>
      <w:r>
        <w:rPr>
          <w:sz w:val="12"/>
        </w:rPr>
        <w:t>insurance.</w:t>
      </w:r>
      <w:r>
        <w:rPr>
          <w:spacing w:val="-11"/>
          <w:sz w:val="12"/>
        </w:rPr>
        <w:t> </w:t>
      </w:r>
      <w:r>
        <w:rPr>
          <w:sz w:val="12"/>
        </w:rPr>
        <w:t>The</w:t>
      </w:r>
      <w:r>
        <w:rPr>
          <w:spacing w:val="-12"/>
          <w:sz w:val="12"/>
        </w:rPr>
        <w:t> </w:t>
      </w:r>
      <w:r>
        <w:rPr>
          <w:sz w:val="12"/>
        </w:rPr>
        <w:t>on-costs</w:t>
      </w:r>
      <w:r>
        <w:rPr>
          <w:spacing w:val="-11"/>
          <w:sz w:val="12"/>
        </w:rPr>
        <w:t> </w:t>
      </w:r>
      <w:r>
        <w:rPr>
          <w:sz w:val="12"/>
        </w:rPr>
        <w:t>liability</w:t>
      </w:r>
      <w:r>
        <w:rPr>
          <w:spacing w:val="-11"/>
          <w:sz w:val="12"/>
        </w:rPr>
        <w:t> </w:t>
      </w:r>
      <w:r>
        <w:rPr>
          <w:sz w:val="12"/>
        </w:rPr>
        <w:t>associated</w:t>
      </w:r>
      <w:r>
        <w:rPr>
          <w:spacing w:val="-12"/>
          <w:sz w:val="12"/>
        </w:rPr>
        <w:t> </w:t>
      </w:r>
      <w:r>
        <w:rPr>
          <w:sz w:val="12"/>
        </w:rPr>
        <w:t>with</w:t>
      </w:r>
      <w:r>
        <w:rPr>
          <w:spacing w:val="-11"/>
          <w:sz w:val="12"/>
        </w:rPr>
        <w:t> </w:t>
      </w:r>
      <w:r>
        <w:rPr>
          <w:sz w:val="12"/>
        </w:rPr>
        <w:t>the recognition</w:t>
      </w:r>
      <w:r>
        <w:rPr>
          <w:spacing w:val="-11"/>
          <w:sz w:val="12"/>
        </w:rPr>
        <w:t> </w:t>
      </w:r>
      <w:r>
        <w:rPr>
          <w:sz w:val="12"/>
        </w:rPr>
        <w:t>of</w:t>
      </w:r>
      <w:r>
        <w:rPr>
          <w:spacing w:val="-10"/>
          <w:sz w:val="12"/>
        </w:rPr>
        <w:t> </w:t>
      </w:r>
      <w:r>
        <w:rPr>
          <w:sz w:val="12"/>
        </w:rPr>
        <w:t>annual</w:t>
      </w:r>
      <w:r>
        <w:rPr>
          <w:spacing w:val="-10"/>
          <w:sz w:val="12"/>
        </w:rPr>
        <w:t> </w:t>
      </w:r>
      <w:r>
        <w:rPr>
          <w:sz w:val="12"/>
        </w:rPr>
        <w:t>and</w:t>
      </w:r>
      <w:r>
        <w:rPr>
          <w:spacing w:val="-10"/>
          <w:sz w:val="12"/>
        </w:rPr>
        <w:t> </w:t>
      </w:r>
      <w:r>
        <w:rPr>
          <w:sz w:val="12"/>
        </w:rPr>
        <w:t>long</w:t>
      </w:r>
      <w:r>
        <w:rPr>
          <w:spacing w:val="-10"/>
          <w:sz w:val="12"/>
        </w:rPr>
        <w:t> </w:t>
      </w:r>
      <w:r>
        <w:rPr>
          <w:sz w:val="12"/>
        </w:rPr>
        <w:t>service</w:t>
      </w:r>
      <w:r>
        <w:rPr>
          <w:spacing w:val="-11"/>
          <w:sz w:val="12"/>
        </w:rPr>
        <w:t> </w:t>
      </w:r>
      <w:r>
        <w:rPr>
          <w:sz w:val="12"/>
        </w:rPr>
        <w:t>leave</w:t>
      </w:r>
      <w:r>
        <w:rPr>
          <w:spacing w:val="-10"/>
          <w:sz w:val="12"/>
        </w:rPr>
        <w:t> </w:t>
      </w:r>
      <w:r>
        <w:rPr>
          <w:sz w:val="12"/>
        </w:rPr>
        <w:t>liability</w:t>
      </w:r>
      <w:r>
        <w:rPr>
          <w:spacing w:val="-10"/>
          <w:sz w:val="12"/>
        </w:rPr>
        <w:t> </w:t>
      </w:r>
      <w:r>
        <w:rPr>
          <w:sz w:val="12"/>
        </w:rPr>
        <w:t>is</w:t>
      </w:r>
      <w:r>
        <w:rPr>
          <w:spacing w:val="-10"/>
          <w:sz w:val="12"/>
        </w:rPr>
        <w:t> </w:t>
      </w:r>
      <w:r>
        <w:rPr>
          <w:sz w:val="12"/>
        </w:rPr>
        <w:t>included</w:t>
      </w:r>
      <w:r>
        <w:rPr>
          <w:spacing w:val="-10"/>
          <w:sz w:val="12"/>
        </w:rPr>
        <w:t> </w:t>
      </w:r>
      <w:r>
        <w:rPr>
          <w:sz w:val="12"/>
        </w:rPr>
        <w:t>at</w:t>
      </w:r>
      <w:r>
        <w:rPr>
          <w:spacing w:val="-11"/>
          <w:sz w:val="12"/>
        </w:rPr>
        <w:t> </w:t>
      </w:r>
      <w:r>
        <w:rPr>
          <w:sz w:val="12"/>
        </w:rPr>
        <w:t>Note</w:t>
      </w:r>
      <w:r>
        <w:rPr>
          <w:spacing w:val="-10"/>
          <w:sz w:val="12"/>
        </w:rPr>
        <w:t> </w:t>
      </w:r>
      <w:r>
        <w:rPr>
          <w:sz w:val="12"/>
        </w:rPr>
        <w:t>30</w:t>
      </w:r>
      <w:r>
        <w:rPr>
          <w:spacing w:val="-10"/>
          <w:sz w:val="12"/>
        </w:rPr>
        <w:t> </w:t>
      </w:r>
      <w:r>
        <w:rPr>
          <w:spacing w:val="-3"/>
          <w:sz w:val="12"/>
        </w:rPr>
        <w:t>‘Provisions’. </w:t>
      </w:r>
      <w:r>
        <w:rPr>
          <w:sz w:val="12"/>
        </w:rPr>
        <w:t>Superannuation</w:t>
      </w:r>
      <w:r>
        <w:rPr>
          <w:spacing w:val="-12"/>
          <w:sz w:val="12"/>
        </w:rPr>
        <w:t> </w:t>
      </w:r>
      <w:r>
        <w:rPr>
          <w:sz w:val="12"/>
        </w:rPr>
        <w:t>contributions</w:t>
      </w:r>
      <w:r>
        <w:rPr>
          <w:spacing w:val="-11"/>
          <w:sz w:val="12"/>
        </w:rPr>
        <w:t> </w:t>
      </w:r>
      <w:r>
        <w:rPr>
          <w:sz w:val="12"/>
        </w:rPr>
        <w:t>accrued</w:t>
      </w:r>
      <w:r>
        <w:rPr>
          <w:spacing w:val="-12"/>
          <w:sz w:val="12"/>
        </w:rPr>
        <w:t> </w:t>
      </w:r>
      <w:r>
        <w:rPr>
          <w:sz w:val="12"/>
        </w:rPr>
        <w:t>as</w:t>
      </w:r>
      <w:r>
        <w:rPr>
          <w:spacing w:val="-11"/>
          <w:sz w:val="12"/>
        </w:rPr>
        <w:t> </w:t>
      </w:r>
      <w:r>
        <w:rPr>
          <w:sz w:val="12"/>
        </w:rPr>
        <w:t>part</w:t>
      </w:r>
      <w:r>
        <w:rPr>
          <w:spacing w:val="-12"/>
          <w:sz w:val="12"/>
        </w:rPr>
        <w:t> </w:t>
      </w:r>
      <w:r>
        <w:rPr>
          <w:sz w:val="12"/>
        </w:rPr>
        <w:t>of</w:t>
      </w:r>
      <w:r>
        <w:rPr>
          <w:spacing w:val="-11"/>
          <w:sz w:val="12"/>
        </w:rPr>
        <w:t> </w:t>
      </w:r>
      <w:r>
        <w:rPr>
          <w:sz w:val="12"/>
        </w:rPr>
        <w:t>the</w:t>
      </w:r>
      <w:r>
        <w:rPr>
          <w:spacing w:val="-11"/>
          <w:sz w:val="12"/>
        </w:rPr>
        <w:t> </w:t>
      </w:r>
      <w:r>
        <w:rPr>
          <w:sz w:val="12"/>
        </w:rPr>
        <w:t>provision</w:t>
      </w:r>
      <w:r>
        <w:rPr>
          <w:spacing w:val="-12"/>
          <w:sz w:val="12"/>
        </w:rPr>
        <w:t> </w:t>
      </w:r>
      <w:r>
        <w:rPr>
          <w:sz w:val="12"/>
        </w:rPr>
        <w:t>for</w:t>
      </w:r>
      <w:r>
        <w:rPr>
          <w:spacing w:val="-11"/>
          <w:sz w:val="12"/>
        </w:rPr>
        <w:t> </w:t>
      </w:r>
      <w:r>
        <w:rPr>
          <w:sz w:val="12"/>
        </w:rPr>
        <w:t>leave</w:t>
      </w:r>
      <w:r>
        <w:rPr>
          <w:spacing w:val="-12"/>
          <w:sz w:val="12"/>
        </w:rPr>
        <w:t> </w:t>
      </w:r>
      <w:r>
        <w:rPr>
          <w:sz w:val="12"/>
        </w:rPr>
        <w:t>are</w:t>
      </w:r>
      <w:r>
        <w:rPr>
          <w:spacing w:val="-11"/>
          <w:sz w:val="12"/>
        </w:rPr>
        <w:t> </w:t>
      </w:r>
      <w:r>
        <w:rPr>
          <w:sz w:val="12"/>
        </w:rPr>
        <w:t>employee benefits and are not included in employment on-costs. See also Note 7 ‘Employee benefits</w:t>
      </w:r>
      <w:r>
        <w:rPr>
          <w:spacing w:val="-1"/>
          <w:sz w:val="12"/>
        </w:rPr>
        <w:t> </w:t>
      </w:r>
      <w:r>
        <w:rPr>
          <w:sz w:val="12"/>
        </w:rPr>
        <w:t>expense’.</w:t>
      </w:r>
    </w:p>
    <w:p>
      <w:pPr>
        <w:spacing w:after="0" w:line="278" w:lineRule="auto"/>
        <w:jc w:val="left"/>
        <w:rPr>
          <w:sz w:val="12"/>
        </w:rPr>
        <w:sectPr>
          <w:type w:val="continuous"/>
          <w:pgSz w:w="16840" w:h="11910" w:orient="landscape"/>
          <w:pgMar w:top="1100" w:bottom="280" w:left="0" w:right="0"/>
          <w:cols w:num="3" w:equalWidth="0">
            <w:col w:w="5556" w:space="40"/>
            <w:col w:w="5205" w:space="39"/>
            <w:col w:w="6000"/>
          </w:cols>
        </w:sectPr>
      </w:pPr>
    </w:p>
    <w:p>
      <w:pPr>
        <w:pStyle w:val="BodyText"/>
        <w:rPr>
          <w:sz w:val="20"/>
        </w:rPr>
      </w:pPr>
    </w:p>
    <w:p>
      <w:pPr>
        <w:pStyle w:val="BodyText"/>
        <w:spacing w:before="8"/>
        <w:rPr>
          <w:sz w:val="21"/>
        </w:rPr>
      </w:pPr>
    </w:p>
    <w:p>
      <w:pPr>
        <w:tabs>
          <w:tab w:pos="1227" w:val="left" w:leader="none"/>
          <w:tab w:pos="5951" w:val="left" w:leader="none"/>
          <w:tab w:pos="16072"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15472"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pict>
          <v:group style="position:absolute;margin-left:0pt;margin-top:-14.855018pt;width:24.1pt;height:41.55pt;mso-position-horizontal-relative:page;mso-position-vertical-relative:paragraph;z-index:15496"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b/>
          <w:color w:val="6F2770"/>
          <w:sz w:val="20"/>
        </w:rPr>
        <w:t>60</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29" w:id="30"/>
      <w:bookmarkEnd w:id="30"/>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spacing w:after="0"/>
        <w:rPr>
          <w:sz w:val="23"/>
        </w:rPr>
        <w:sectPr>
          <w:footerReference w:type="default" r:id="rId157"/>
          <w:pgSz w:w="16840" w:h="11910" w:orient="landscape"/>
          <w:pgMar w:footer="0" w:header="0" w:top="0" w:bottom="0" w:left="0" w:right="0"/>
        </w:sectPr>
      </w:pPr>
    </w:p>
    <w:p>
      <w:pPr>
        <w:pStyle w:val="Heading1"/>
      </w:pPr>
      <w:r>
        <w:rPr/>
        <w:pict>
          <v:shape style="position:absolute;margin-left:601.348999pt;margin-top:-57.37421pt;width:120.3pt;height:42.55pt;mso-position-horizontal-relative:page;mso-position-vertical-relative:paragraph;z-index:15760"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578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580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spacing w:val="-12"/>
          <w:w w:val="95"/>
        </w:rPr>
        <w:t>Notes </w:t>
      </w:r>
      <w:r>
        <w:rPr>
          <w:color w:val="6F2770"/>
          <w:spacing w:val="-14"/>
          <w:w w:val="95"/>
        </w:rPr>
        <w:t>to </w:t>
      </w:r>
      <w:r>
        <w:rPr>
          <w:color w:val="6F2770"/>
          <w:spacing w:val="-5"/>
          <w:w w:val="95"/>
        </w:rPr>
        <w:t>the </w:t>
      </w:r>
      <w:r>
        <w:rPr>
          <w:color w:val="6F2770"/>
          <w:spacing w:val="-7"/>
          <w:w w:val="95"/>
        </w:rPr>
        <w:t>Financial</w:t>
      </w:r>
      <w:r>
        <w:rPr>
          <w:color w:val="6F2770"/>
          <w:spacing w:val="-106"/>
          <w:w w:val="95"/>
        </w:rPr>
        <w:t> </w:t>
      </w:r>
      <w:r>
        <w:rPr>
          <w:color w:val="6F2770"/>
          <w:spacing w:val="-10"/>
          <w:w w:val="95"/>
        </w:rPr>
        <w:t>Statements</w:t>
      </w:r>
    </w:p>
    <w:p>
      <w:pPr>
        <w:pStyle w:val="Heading4"/>
      </w:pPr>
      <w:r>
        <w:rPr>
          <w:color w:val="6F2770"/>
        </w:rPr>
        <w:t>For the year ended 30 June 2018</w:t>
      </w:r>
    </w:p>
    <w:p>
      <w:pPr>
        <w:pStyle w:val="Heading5"/>
        <w:tabs>
          <w:tab w:pos="6009" w:val="left" w:leader="none"/>
        </w:tabs>
        <w:spacing w:line="235" w:lineRule="auto" w:before="291" w:after="32"/>
        <w:ind w:left="6009" w:right="336" w:hanging="5245"/>
      </w:pPr>
      <w:r>
        <w:rPr/>
        <w:pict>
          <v:shape style="position:absolute;margin-left:38.266998pt;margin-top:36.16925pt;width:240.05pt;height:335.2pt;mso-position-horizontal-relative:page;mso-position-vertical-relative:paragraph;z-index:158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7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2018</w:t>
                        </w:r>
                      </w:p>
                      <w:p>
                        <w:pPr>
                          <w:pStyle w:val="TableParagraph"/>
                          <w:spacing w:before="8"/>
                          <w:ind w:right="111"/>
                          <w:jc w:val="right"/>
                          <w:rPr>
                            <w:b/>
                            <w:sz w:val="16"/>
                          </w:rPr>
                        </w:pPr>
                        <w:r>
                          <w:rPr>
                            <w:b/>
                            <w:color w:val="FFFFFF"/>
                            <w:w w:val="95"/>
                            <w:sz w:val="16"/>
                          </w:rPr>
                          <w:t>$000</w:t>
                        </w:r>
                      </w:p>
                    </w:tc>
                    <w:tc>
                      <w:tcPr>
                        <w:tcW w:w="974" w:type="dxa"/>
                        <w:shd w:val="clear" w:color="auto" w:fill="783A79"/>
                      </w:tcPr>
                      <w:p>
                        <w:pPr>
                          <w:pStyle w:val="TableParagraph"/>
                          <w:spacing w:before="54"/>
                          <w:ind w:left="494"/>
                          <w:rPr>
                            <w:b/>
                            <w:sz w:val="16"/>
                          </w:rPr>
                        </w:pPr>
                        <w:r>
                          <w:rPr>
                            <w:b/>
                            <w:color w:val="FFFFFF"/>
                            <w:sz w:val="16"/>
                          </w:rPr>
                          <w:t>2017</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User charges and fees</w:t>
                        </w:r>
                      </w:p>
                    </w:tc>
                    <w:tc>
                      <w:tcPr>
                        <w:tcW w:w="964" w:type="dxa"/>
                        <w:shd w:val="clear" w:color="auto" w:fill="DFE1B8"/>
                      </w:tcPr>
                      <w:p>
                        <w:pPr>
                          <w:pStyle w:val="TableParagraph"/>
                          <w:spacing w:before="0"/>
                          <w:rPr>
                            <w:rFonts w:ascii="Times New Roman"/>
                            <w:sz w:val="16"/>
                          </w:rPr>
                        </w:pP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Sales</w:t>
                        </w:r>
                      </w:p>
                    </w:tc>
                    <w:tc>
                      <w:tcPr>
                        <w:tcW w:w="964" w:type="dxa"/>
                        <w:shd w:val="clear" w:color="auto" w:fill="DFE1B8"/>
                      </w:tcPr>
                      <w:p>
                        <w:pPr>
                          <w:pStyle w:val="TableParagraph"/>
                          <w:spacing w:before="39"/>
                          <w:ind w:right="111"/>
                          <w:jc w:val="right"/>
                          <w:rPr>
                            <w:sz w:val="16"/>
                          </w:rPr>
                        </w:pPr>
                        <w:r>
                          <w:rPr>
                            <w:w w:val="95"/>
                            <w:sz w:val="16"/>
                          </w:rPr>
                          <w:t>285</w:t>
                        </w: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338</w:t>
                        </w:r>
                      </w:p>
                    </w:tc>
                  </w:tr>
                  <w:tr>
                    <w:trPr>
                      <w:trHeight w:val="229" w:hRule="atLeast"/>
                    </w:trPr>
                    <w:tc>
                      <w:tcPr>
                        <w:tcW w:w="2863" w:type="dxa"/>
                        <w:tcBorders>
                          <w:top w:val="single" w:sz="8" w:space="0" w:color="FFFFFF"/>
                        </w:tcBorders>
                        <w:shd w:val="clear" w:color="auto" w:fill="F4F4F4"/>
                      </w:tcPr>
                      <w:p>
                        <w:pPr>
                          <w:pStyle w:val="TableParagraph"/>
                          <w:spacing w:line="170" w:lineRule="exact" w:before="39"/>
                          <w:ind w:left="113"/>
                          <w:rPr>
                            <w:sz w:val="16"/>
                          </w:rPr>
                        </w:pPr>
                        <w:r>
                          <w:rPr>
                            <w:sz w:val="16"/>
                          </w:rPr>
                          <w:t>Rents for Government office</w:t>
                        </w:r>
                      </w:p>
                    </w:tc>
                    <w:tc>
                      <w:tcPr>
                        <w:tcW w:w="964" w:type="dxa"/>
                        <w:shd w:val="clear" w:color="auto" w:fill="DFE1B8"/>
                      </w:tcPr>
                      <w:p>
                        <w:pPr>
                          <w:pStyle w:val="TableParagraph"/>
                          <w:spacing w:line="170" w:lineRule="exact" w:before="39"/>
                          <w:ind w:right="111"/>
                          <w:jc w:val="right"/>
                          <w:rPr>
                            <w:sz w:val="16"/>
                          </w:rPr>
                        </w:pPr>
                        <w:r>
                          <w:rPr>
                            <w:w w:val="95"/>
                            <w:sz w:val="16"/>
                          </w:rPr>
                          <w:t>267,780</w:t>
                        </w:r>
                      </w:p>
                    </w:tc>
                    <w:tc>
                      <w:tcPr>
                        <w:tcW w:w="974" w:type="dxa"/>
                        <w:tcBorders>
                          <w:top w:val="single" w:sz="8" w:space="0" w:color="FFFFFF"/>
                        </w:tcBorders>
                        <w:shd w:val="clear" w:color="auto" w:fill="F4F4F4"/>
                      </w:tcPr>
                      <w:p>
                        <w:pPr>
                          <w:pStyle w:val="TableParagraph"/>
                          <w:spacing w:line="170" w:lineRule="exact" w:before="39"/>
                          <w:ind w:right="121"/>
                          <w:jc w:val="right"/>
                          <w:rPr>
                            <w:sz w:val="16"/>
                          </w:rPr>
                        </w:pPr>
                        <w:r>
                          <w:rPr>
                            <w:w w:val="95"/>
                            <w:sz w:val="16"/>
                          </w:rPr>
                          <w:t>272,847</w:t>
                        </w:r>
                      </w:p>
                    </w:tc>
                  </w:tr>
                  <w:tr>
                    <w:trPr>
                      <w:trHeight w:val="235" w:hRule="atLeast"/>
                    </w:trPr>
                    <w:tc>
                      <w:tcPr>
                        <w:tcW w:w="2863" w:type="dxa"/>
                        <w:tcBorders>
                          <w:bottom w:val="single" w:sz="8" w:space="0" w:color="FFFFFF"/>
                        </w:tcBorders>
                        <w:shd w:val="clear" w:color="auto" w:fill="F4F4F4"/>
                      </w:tcPr>
                      <w:p>
                        <w:pPr>
                          <w:pStyle w:val="TableParagraph"/>
                          <w:spacing w:before="10"/>
                          <w:ind w:left="113"/>
                          <w:rPr>
                            <w:sz w:val="16"/>
                          </w:rPr>
                        </w:pPr>
                        <w:r>
                          <w:rPr>
                            <w:sz w:val="16"/>
                          </w:rPr>
                          <w:t>accommodation</w:t>
                        </w:r>
                      </w:p>
                    </w:tc>
                    <w:tc>
                      <w:tcPr>
                        <w:tcW w:w="964" w:type="dxa"/>
                        <w:shd w:val="clear" w:color="auto" w:fill="DFE1B8"/>
                      </w:tcPr>
                      <w:p>
                        <w:pPr>
                          <w:pStyle w:val="TableParagraph"/>
                          <w:spacing w:before="0"/>
                          <w:rPr>
                            <w:rFonts w:ascii="Times New Roman"/>
                            <w:sz w:val="16"/>
                          </w:rPr>
                        </w:pP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Managed building works</w:t>
                        </w:r>
                      </w:p>
                    </w:tc>
                    <w:tc>
                      <w:tcPr>
                        <w:tcW w:w="964" w:type="dxa"/>
                        <w:shd w:val="clear" w:color="auto" w:fill="DFE1B8"/>
                      </w:tcPr>
                      <w:p>
                        <w:pPr>
                          <w:pStyle w:val="TableParagraph"/>
                          <w:spacing w:before="39"/>
                          <w:ind w:right="111"/>
                          <w:jc w:val="right"/>
                          <w:rPr>
                            <w:sz w:val="16"/>
                          </w:rPr>
                        </w:pPr>
                        <w:r>
                          <w:rPr>
                            <w:w w:val="95"/>
                            <w:sz w:val="16"/>
                          </w:rPr>
                          <w:t>814,655</w:t>
                        </w: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680,361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Vehicle fleet lease rental</w:t>
                        </w:r>
                      </w:p>
                    </w:tc>
                    <w:tc>
                      <w:tcPr>
                        <w:tcW w:w="964" w:type="dxa"/>
                        <w:shd w:val="clear" w:color="auto" w:fill="DFE1B8"/>
                      </w:tcPr>
                      <w:p>
                        <w:pPr>
                          <w:pStyle w:val="TableParagraph"/>
                          <w:spacing w:before="39"/>
                          <w:ind w:right="111"/>
                          <w:jc w:val="right"/>
                          <w:rPr>
                            <w:sz w:val="16"/>
                          </w:rPr>
                        </w:pPr>
                        <w:r>
                          <w:rPr>
                            <w:w w:val="95"/>
                            <w:sz w:val="16"/>
                          </w:rPr>
                          <w:t>53,070</w:t>
                        </w: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59,638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Other</w:t>
                        </w:r>
                      </w:p>
                    </w:tc>
                    <w:tc>
                      <w:tcPr>
                        <w:tcW w:w="964" w:type="dxa"/>
                        <w:tcBorders>
                          <w:bottom w:val="single" w:sz="4" w:space="0" w:color="000000"/>
                        </w:tcBorders>
                        <w:shd w:val="clear" w:color="auto" w:fill="DFE1B8"/>
                      </w:tcPr>
                      <w:p>
                        <w:pPr>
                          <w:pStyle w:val="TableParagraph"/>
                          <w:spacing w:before="39"/>
                          <w:ind w:right="111"/>
                          <w:jc w:val="right"/>
                          <w:rPr>
                            <w:sz w:val="16"/>
                          </w:rPr>
                        </w:pPr>
                        <w:r>
                          <w:rPr>
                            <w:w w:val="95"/>
                            <w:sz w:val="16"/>
                          </w:rPr>
                          <w:t>41,192</w:t>
                        </w: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44,846</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1,176,982</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b/>
                            <w:sz w:val="16"/>
                          </w:rPr>
                        </w:pPr>
                        <w:r>
                          <w:rPr>
                            <w:b/>
                            <w:w w:val="95"/>
                            <w:sz w:val="16"/>
                          </w:rPr>
                          <w:t>1,058,030</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Pr>
                            <w:i/>
                            <w:sz w:val="16"/>
                          </w:rPr>
                        </w:pPr>
                        <w:r>
                          <w:rPr>
                            <w:i/>
                            <w:color w:val="6F2770"/>
                            <w:sz w:val="16"/>
                          </w:rPr>
                          <w:t>Commonwealth grants and </w:t>
                        </w:r>
                        <w:r>
                          <w:rPr>
                            <w:i/>
                            <w:color w:val="6F2770"/>
                            <w:sz w:val="16"/>
                          </w:rPr>
                          <w:t>contributions</w:t>
                        </w:r>
                      </w:p>
                    </w:tc>
                    <w:tc>
                      <w:tcPr>
                        <w:tcW w:w="964" w:type="dxa"/>
                        <w:vMerge w:val="restart"/>
                        <w:tcBorders>
                          <w:top w:val="single" w:sz="4" w:space="0" w:color="000000"/>
                          <w:bottom w:val="single" w:sz="4" w:space="0" w:color="000000"/>
                        </w:tcBorders>
                        <w:shd w:val="clear" w:color="auto" w:fill="E1E4BB"/>
                      </w:tcPr>
                      <w:p>
                        <w:pPr>
                          <w:pStyle w:val="TableParagraph"/>
                          <w:spacing w:before="0"/>
                          <w:rPr>
                            <w:b/>
                            <w:sz w:val="18"/>
                          </w:rPr>
                        </w:pPr>
                      </w:p>
                      <w:p>
                        <w:pPr>
                          <w:pStyle w:val="TableParagraph"/>
                          <w:spacing w:before="0"/>
                          <w:rPr>
                            <w:b/>
                            <w:sz w:val="18"/>
                          </w:rPr>
                        </w:pPr>
                      </w:p>
                      <w:p>
                        <w:pPr>
                          <w:pStyle w:val="TableParagraph"/>
                          <w:spacing w:before="109"/>
                          <w:ind w:left="450"/>
                          <w:rPr>
                            <w:sz w:val="16"/>
                          </w:rPr>
                        </w:pPr>
                        <w:r>
                          <w:rPr>
                            <w:sz w:val="16"/>
                          </w:rPr>
                          <w:t>7,085</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Pr>
                            <w:sz w:val="16"/>
                          </w:rPr>
                        </w:pPr>
                        <w:r>
                          <w:rPr>
                            <w:sz w:val="16"/>
                          </w:rPr>
                          <w:t>Commonwealth grants and contributions</w:t>
                        </w:r>
                      </w:p>
                    </w:tc>
                    <w:tc>
                      <w:tcPr>
                        <w:tcW w:w="964" w:type="dxa"/>
                        <w:vMerge/>
                        <w:tcBorders>
                          <w:top w:val="nil"/>
                          <w:bottom w:val="single" w:sz="4" w:space="0" w:color="000000"/>
                        </w:tcBorders>
                        <w:shd w:val="clear" w:color="auto" w:fill="E1E4BB"/>
                      </w:tcPr>
                      <w:p>
                        <w:pPr>
                          <w:rPr>
                            <w:sz w:val="2"/>
                            <w:szCs w:val="2"/>
                          </w:rPr>
                        </w:pPr>
                      </w:p>
                    </w:tc>
                    <w:tc>
                      <w:tcPr>
                        <w:tcW w:w="974" w:type="dxa"/>
                        <w:tcBorders>
                          <w:top w:val="single" w:sz="8" w:space="0" w:color="FFFFFF"/>
                          <w:bottom w:val="single" w:sz="4" w:space="0" w:color="000000"/>
                        </w:tcBorders>
                        <w:shd w:val="clear" w:color="auto" w:fill="F4F4F4"/>
                      </w:tcPr>
                      <w:p>
                        <w:pPr>
                          <w:pStyle w:val="TableParagraph"/>
                          <w:spacing w:before="39"/>
                          <w:ind w:right="121"/>
                          <w:jc w:val="right"/>
                          <w:rPr>
                            <w:sz w:val="16"/>
                          </w:rPr>
                        </w:pPr>
                        <w:r>
                          <w:rPr>
                            <w:w w:val="95"/>
                            <w:sz w:val="16"/>
                          </w:rPr>
                          <w:t>3,492</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7,085</w:t>
                        </w:r>
                      </w:p>
                    </w:tc>
                    <w:tc>
                      <w:tcPr>
                        <w:tcW w:w="974" w:type="dxa"/>
                        <w:tcBorders>
                          <w:top w:val="single" w:sz="4" w:space="0" w:color="000000"/>
                          <w:bottom w:val="single" w:sz="4" w:space="0" w:color="000000"/>
                        </w:tcBorders>
                        <w:shd w:val="clear" w:color="auto" w:fill="FAF9F9"/>
                      </w:tcPr>
                      <w:p>
                        <w:pPr>
                          <w:pStyle w:val="TableParagraph"/>
                          <w:spacing w:before="39"/>
                          <w:ind w:right="121"/>
                          <w:jc w:val="right"/>
                          <w:rPr>
                            <w:b/>
                            <w:sz w:val="16"/>
                          </w:rPr>
                        </w:pPr>
                        <w:r>
                          <w:rPr>
                            <w:b/>
                            <w:w w:val="95"/>
                            <w:sz w:val="16"/>
                          </w:rPr>
                          <w:t>3,492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Interest revenue</w:t>
                        </w:r>
                      </w:p>
                    </w:tc>
                    <w:tc>
                      <w:tcPr>
                        <w:tcW w:w="964" w:type="dxa"/>
                        <w:vMerge w:val="restart"/>
                        <w:tcBorders>
                          <w:top w:val="single" w:sz="4" w:space="0" w:color="000000"/>
                          <w:bottom w:val="single" w:sz="4" w:space="0" w:color="000000"/>
                        </w:tcBorders>
                        <w:shd w:val="clear" w:color="auto" w:fill="E1E4BB"/>
                      </w:tcPr>
                      <w:p>
                        <w:pPr>
                          <w:pStyle w:val="TableParagraph"/>
                          <w:spacing w:before="0"/>
                          <w:rPr>
                            <w:b/>
                            <w:sz w:val="18"/>
                          </w:rPr>
                        </w:pPr>
                      </w:p>
                      <w:p>
                        <w:pPr>
                          <w:pStyle w:val="TableParagraph"/>
                          <w:spacing w:before="116"/>
                          <w:ind w:left="583"/>
                          <w:rPr>
                            <w:sz w:val="16"/>
                          </w:rPr>
                        </w:pPr>
                        <w:r>
                          <w:rPr>
                            <w:sz w:val="16"/>
                          </w:rPr>
                          <w:t>298</w:t>
                        </w:r>
                      </w:p>
                    </w:tc>
                    <w:tc>
                      <w:tcPr>
                        <w:tcW w:w="97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Interest revenue</w:t>
                        </w:r>
                      </w:p>
                    </w:tc>
                    <w:tc>
                      <w:tcPr>
                        <w:tcW w:w="964" w:type="dxa"/>
                        <w:vMerge/>
                        <w:tcBorders>
                          <w:top w:val="nil"/>
                          <w:bottom w:val="single" w:sz="4" w:space="0" w:color="000000"/>
                        </w:tcBorders>
                        <w:shd w:val="clear" w:color="auto" w:fill="E1E4BB"/>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473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298</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b/>
                            <w:sz w:val="16"/>
                          </w:rPr>
                        </w:pPr>
                        <w:r>
                          <w:rPr>
                            <w:b/>
                            <w:w w:val="95"/>
                            <w:sz w:val="16"/>
                          </w:rPr>
                          <w:t>473</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6F2770"/>
                            <w:sz w:val="16"/>
                          </w:rPr>
                          <w:t>Other revenue</w:t>
                        </w:r>
                      </w:p>
                    </w:tc>
                    <w:tc>
                      <w:tcPr>
                        <w:tcW w:w="964" w:type="dxa"/>
                        <w:tcBorders>
                          <w:top w:val="single" w:sz="4" w:space="0" w:color="000000"/>
                        </w:tcBorders>
                        <w:shd w:val="clear" w:color="auto" w:fill="E1E4BB"/>
                      </w:tcPr>
                      <w:p>
                        <w:pPr>
                          <w:pStyle w:val="TableParagraph"/>
                          <w:spacing w:before="0"/>
                          <w:rPr>
                            <w:rFonts w:ascii="Times New Roman"/>
                            <w:sz w:val="16"/>
                          </w:rPr>
                        </w:pP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Recoups</w:t>
                        </w:r>
                      </w:p>
                    </w:tc>
                    <w:tc>
                      <w:tcPr>
                        <w:tcW w:w="964" w:type="dxa"/>
                        <w:shd w:val="clear" w:color="auto" w:fill="E1E4BB"/>
                      </w:tcPr>
                      <w:p>
                        <w:pPr>
                          <w:pStyle w:val="TableParagraph"/>
                          <w:spacing w:before="39"/>
                          <w:ind w:right="111"/>
                          <w:jc w:val="right"/>
                          <w:rPr>
                            <w:sz w:val="16"/>
                          </w:rPr>
                        </w:pPr>
                        <w:r>
                          <w:rPr>
                            <w:w w:val="95"/>
                            <w:sz w:val="16"/>
                          </w:rPr>
                          <w:t>2,152</w:t>
                        </w: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2,446</w:t>
                        </w:r>
                      </w:p>
                    </w:tc>
                  </w:tr>
                  <w:tr>
                    <w:trPr>
                      <w:trHeight w:val="229" w:hRule="atLeast"/>
                    </w:trPr>
                    <w:tc>
                      <w:tcPr>
                        <w:tcW w:w="2863" w:type="dxa"/>
                        <w:tcBorders>
                          <w:top w:val="single" w:sz="8" w:space="0" w:color="FFFFFF"/>
                        </w:tcBorders>
                        <w:shd w:val="clear" w:color="auto" w:fill="FAF9F9"/>
                      </w:tcPr>
                      <w:p>
                        <w:pPr>
                          <w:pStyle w:val="TableParagraph"/>
                          <w:spacing w:line="170" w:lineRule="exact" w:before="39"/>
                          <w:ind w:left="113"/>
                          <w:rPr>
                            <w:sz w:val="16"/>
                          </w:rPr>
                        </w:pPr>
                        <w:r>
                          <w:rPr>
                            <w:sz w:val="16"/>
                          </w:rPr>
                          <w:t>Government vehicle schemes</w:t>
                        </w:r>
                      </w:p>
                    </w:tc>
                    <w:tc>
                      <w:tcPr>
                        <w:tcW w:w="964" w:type="dxa"/>
                        <w:shd w:val="clear" w:color="auto" w:fill="E1E4BB"/>
                      </w:tcPr>
                      <w:p>
                        <w:pPr>
                          <w:pStyle w:val="TableParagraph"/>
                          <w:spacing w:line="170" w:lineRule="exact" w:before="39"/>
                          <w:ind w:right="111"/>
                          <w:jc w:val="right"/>
                          <w:rPr>
                            <w:sz w:val="16"/>
                          </w:rPr>
                        </w:pPr>
                        <w:r>
                          <w:rPr>
                            <w:w w:val="95"/>
                            <w:sz w:val="16"/>
                          </w:rPr>
                          <w:t>96</w:t>
                        </w:r>
                      </w:p>
                    </w:tc>
                    <w:tc>
                      <w:tcPr>
                        <w:tcW w:w="974" w:type="dxa"/>
                        <w:tcBorders>
                          <w:top w:val="single" w:sz="8" w:space="0" w:color="FFFFFF"/>
                        </w:tcBorders>
                        <w:shd w:val="clear" w:color="auto" w:fill="FAF9F9"/>
                      </w:tcPr>
                      <w:p>
                        <w:pPr>
                          <w:pStyle w:val="TableParagraph"/>
                          <w:spacing w:line="170" w:lineRule="exact" w:before="39"/>
                          <w:ind w:right="121"/>
                          <w:jc w:val="right"/>
                          <w:rPr>
                            <w:sz w:val="16"/>
                          </w:rPr>
                        </w:pPr>
                        <w:r>
                          <w:rPr>
                            <w:w w:val="95"/>
                            <w:sz w:val="16"/>
                          </w:rPr>
                          <w:t>103</w:t>
                        </w:r>
                      </w:p>
                    </w:tc>
                  </w:tr>
                  <w:tr>
                    <w:trPr>
                      <w:trHeight w:val="235" w:hRule="atLeast"/>
                    </w:trPr>
                    <w:tc>
                      <w:tcPr>
                        <w:tcW w:w="2863" w:type="dxa"/>
                        <w:tcBorders>
                          <w:bottom w:val="single" w:sz="8" w:space="0" w:color="FFFFFF"/>
                        </w:tcBorders>
                        <w:shd w:val="clear" w:color="auto" w:fill="FAF9F9"/>
                      </w:tcPr>
                      <w:p>
                        <w:pPr>
                          <w:pStyle w:val="TableParagraph"/>
                          <w:spacing w:before="10"/>
                          <w:ind w:left="113"/>
                          <w:rPr>
                            <w:sz w:val="16"/>
                          </w:rPr>
                        </w:pPr>
                        <w:r>
                          <w:rPr>
                            <w:sz w:val="16"/>
                          </w:rPr>
                          <w:t>(GVS-SOVS)</w:t>
                        </w:r>
                      </w:p>
                    </w:tc>
                    <w:tc>
                      <w:tcPr>
                        <w:tcW w:w="964" w:type="dxa"/>
                        <w:shd w:val="clear" w:color="auto" w:fill="E1E4BB"/>
                      </w:tcPr>
                      <w:p>
                        <w:pPr>
                          <w:pStyle w:val="TableParagraph"/>
                          <w:spacing w:before="0"/>
                          <w:rPr>
                            <w:rFonts w:ascii="Times New Roman"/>
                            <w:sz w:val="16"/>
                          </w:rPr>
                        </w:pPr>
                      </w:p>
                    </w:tc>
                    <w:tc>
                      <w:tcPr>
                        <w:tcW w:w="974" w:type="dxa"/>
                        <w:tcBorders>
                          <w:bottom w:val="single" w:sz="8" w:space="0" w:color="FFFFFF"/>
                        </w:tcBorders>
                        <w:shd w:val="clear" w:color="auto" w:fill="FAF9F9"/>
                      </w:tcPr>
                      <w:p>
                        <w:pPr>
                          <w:pStyle w:val="TableParagraph"/>
                          <w:spacing w:before="0"/>
                          <w:rPr>
                            <w:rFonts w:ascii="Times New Roman"/>
                            <w:sz w:val="16"/>
                          </w:rPr>
                        </w:pPr>
                      </w:p>
                    </w:tc>
                  </w:tr>
                  <w:tr>
                    <w:trPr>
                      <w:trHeight w:val="259" w:hRule="atLeast"/>
                    </w:trPr>
                    <w:tc>
                      <w:tcPr>
                        <w:tcW w:w="2863" w:type="dxa"/>
                        <w:tcBorders>
                          <w:top w:val="single" w:sz="8" w:space="0" w:color="FFFFFF"/>
                          <w:bottom w:val="single" w:sz="12" w:space="0" w:color="FFFFFF"/>
                        </w:tcBorders>
                        <w:shd w:val="clear" w:color="auto" w:fill="F4F4F4"/>
                      </w:tcPr>
                      <w:p>
                        <w:pPr>
                          <w:pStyle w:val="TableParagraph"/>
                          <w:spacing w:before="39"/>
                          <w:ind w:left="113"/>
                          <w:rPr>
                            <w:sz w:val="16"/>
                          </w:rPr>
                        </w:pPr>
                        <w:r>
                          <w:rPr>
                            <w:sz w:val="16"/>
                          </w:rPr>
                          <w:t>Other</w:t>
                        </w:r>
                      </w:p>
                    </w:tc>
                    <w:tc>
                      <w:tcPr>
                        <w:tcW w:w="964" w:type="dxa"/>
                        <w:tcBorders>
                          <w:bottom w:val="single" w:sz="6" w:space="0" w:color="000000"/>
                        </w:tcBorders>
                        <w:shd w:val="clear" w:color="auto" w:fill="E1E4BB"/>
                      </w:tcPr>
                      <w:p>
                        <w:pPr>
                          <w:pStyle w:val="TableParagraph"/>
                          <w:spacing w:before="39"/>
                          <w:ind w:right="111"/>
                          <w:jc w:val="right"/>
                          <w:rPr>
                            <w:sz w:val="16"/>
                          </w:rPr>
                        </w:pPr>
                        <w:r>
                          <w:rPr>
                            <w:w w:val="95"/>
                            <w:sz w:val="16"/>
                          </w:rPr>
                          <w:t>4,318</w:t>
                        </w:r>
                      </w:p>
                    </w:tc>
                    <w:tc>
                      <w:tcPr>
                        <w:tcW w:w="974" w:type="dxa"/>
                        <w:tcBorders>
                          <w:top w:val="single" w:sz="8" w:space="0" w:color="FFFFFF"/>
                          <w:bottom w:val="single" w:sz="6" w:space="0" w:color="000000"/>
                        </w:tcBorders>
                        <w:shd w:val="clear" w:color="auto" w:fill="F4F4F4"/>
                      </w:tcPr>
                      <w:p>
                        <w:pPr>
                          <w:pStyle w:val="TableParagraph"/>
                          <w:spacing w:before="39"/>
                          <w:ind w:right="121"/>
                          <w:jc w:val="right"/>
                          <w:rPr>
                            <w:sz w:val="16"/>
                          </w:rPr>
                        </w:pPr>
                        <w:r>
                          <w:rPr>
                            <w:w w:val="95"/>
                            <w:sz w:val="16"/>
                          </w:rPr>
                          <w:t>8,066</w:t>
                        </w:r>
                      </w:p>
                    </w:tc>
                  </w:tr>
                  <w:tr>
                    <w:trPr>
                      <w:trHeight w:val="259" w:hRule="atLeast"/>
                    </w:trPr>
                    <w:tc>
                      <w:tcPr>
                        <w:tcW w:w="2863" w:type="dxa"/>
                        <w:tcBorders>
                          <w:top w:val="single" w:sz="12"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6" w:space="0" w:color="000000"/>
                          <w:bottom w:val="single" w:sz="4" w:space="0" w:color="000000"/>
                        </w:tcBorders>
                        <w:shd w:val="clear" w:color="auto" w:fill="E1E4BB"/>
                      </w:tcPr>
                      <w:p>
                        <w:pPr>
                          <w:pStyle w:val="TableParagraph"/>
                          <w:spacing w:before="34"/>
                          <w:ind w:right="111"/>
                          <w:jc w:val="right"/>
                          <w:rPr>
                            <w:b/>
                            <w:sz w:val="16"/>
                          </w:rPr>
                        </w:pPr>
                        <w:r>
                          <w:rPr>
                            <w:b/>
                            <w:w w:val="95"/>
                            <w:sz w:val="16"/>
                          </w:rPr>
                          <w:t>6,566</w:t>
                        </w:r>
                      </w:p>
                    </w:tc>
                    <w:tc>
                      <w:tcPr>
                        <w:tcW w:w="974" w:type="dxa"/>
                        <w:tcBorders>
                          <w:top w:val="single" w:sz="6" w:space="0" w:color="000000"/>
                          <w:bottom w:val="single" w:sz="4" w:space="0" w:color="000000"/>
                        </w:tcBorders>
                        <w:shd w:val="clear" w:color="auto" w:fill="FAF9F9"/>
                      </w:tcPr>
                      <w:p>
                        <w:pPr>
                          <w:pStyle w:val="TableParagraph"/>
                          <w:spacing w:before="34"/>
                          <w:ind w:right="121"/>
                          <w:jc w:val="right"/>
                          <w:rPr>
                            <w:b/>
                            <w:sz w:val="16"/>
                          </w:rPr>
                        </w:pPr>
                        <w:r>
                          <w:rPr>
                            <w:b/>
                            <w:w w:val="95"/>
                            <w:sz w:val="16"/>
                          </w:rPr>
                          <w:t>10,615</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1,190,931</w:t>
                        </w:r>
                      </w:p>
                    </w:tc>
                    <w:tc>
                      <w:tcPr>
                        <w:tcW w:w="974" w:type="dxa"/>
                        <w:tcBorders>
                          <w:top w:val="single" w:sz="4" w:space="0" w:color="000000"/>
                          <w:bottom w:val="single" w:sz="24" w:space="0" w:color="FFFFFF"/>
                        </w:tcBorders>
                        <w:shd w:val="clear" w:color="auto" w:fill="F4F4F4"/>
                      </w:tcPr>
                      <w:p>
                        <w:pPr>
                          <w:pStyle w:val="TableParagraph"/>
                          <w:spacing w:line="175" w:lineRule="exact" w:before="39"/>
                          <w:ind w:right="121"/>
                          <w:jc w:val="right"/>
                          <w:rPr>
                            <w:b/>
                            <w:sz w:val="16"/>
                          </w:rPr>
                        </w:pPr>
                        <w:r>
                          <w:rPr>
                            <w:b/>
                            <w:w w:val="95"/>
                            <w:sz w:val="16"/>
                          </w:rPr>
                          <w:t>1,072,610</w:t>
                        </w:r>
                      </w:p>
                    </w:tc>
                  </w:tr>
                </w:tbl>
                <w:p>
                  <w:pPr>
                    <w:pStyle w:val="BodyText"/>
                  </w:pPr>
                </w:p>
              </w:txbxContent>
            </v:textbox>
            <w10:wrap type="none"/>
          </v:shape>
        </w:pict>
      </w:r>
      <w:r>
        <w:rPr>
          <w:color w:val="6F2770"/>
          <w:spacing w:val="-3"/>
        </w:rPr>
        <w:t>Note</w:t>
      </w:r>
      <w:r>
        <w:rPr>
          <w:color w:val="6F2770"/>
          <w:spacing w:val="-16"/>
        </w:rPr>
        <w:t> </w:t>
      </w:r>
      <w:r>
        <w:rPr>
          <w:color w:val="6F2770"/>
          <w:spacing w:val="-3"/>
        </w:rPr>
        <w:t>14.</w:t>
      </w:r>
      <w:r>
        <w:rPr>
          <w:color w:val="6F2770"/>
          <w:spacing w:val="-16"/>
        </w:rPr>
        <w:t> </w:t>
      </w:r>
      <w:r>
        <w:rPr>
          <w:color w:val="6F2770"/>
          <w:spacing w:val="-4"/>
        </w:rPr>
        <w:t>Income</w:t>
        <w:tab/>
      </w:r>
      <w:r>
        <w:rPr>
          <w:color w:val="6F2770"/>
        </w:rPr>
        <w:t>Note</w:t>
      </w:r>
      <w:r>
        <w:rPr>
          <w:color w:val="6F2770"/>
          <w:spacing w:val="-16"/>
        </w:rPr>
        <w:t> </w:t>
      </w:r>
      <w:r>
        <w:rPr>
          <w:color w:val="6F2770"/>
        </w:rPr>
        <w:t>15.</w:t>
      </w:r>
      <w:r>
        <w:rPr>
          <w:color w:val="6F2770"/>
          <w:spacing w:val="-16"/>
        </w:rPr>
        <w:t> </w:t>
      </w:r>
      <w:r>
        <w:rPr>
          <w:color w:val="6F2770"/>
        </w:rPr>
        <w:t>Net</w:t>
      </w:r>
      <w:r>
        <w:rPr>
          <w:color w:val="6F2770"/>
          <w:spacing w:val="-17"/>
        </w:rPr>
        <w:t> </w:t>
      </w:r>
      <w:r>
        <w:rPr>
          <w:color w:val="6F2770"/>
        </w:rPr>
        <w:t>gain</w:t>
      </w:r>
      <w:r>
        <w:rPr>
          <w:color w:val="6F2770"/>
          <w:spacing w:val="-16"/>
        </w:rPr>
        <w:t> </w:t>
      </w:r>
      <w:r>
        <w:rPr>
          <w:color w:val="6F2770"/>
        </w:rPr>
        <w:t>on</w:t>
      </w:r>
      <w:r>
        <w:rPr>
          <w:color w:val="6F2770"/>
          <w:spacing w:val="-16"/>
        </w:rPr>
        <w:t> </w:t>
      </w:r>
      <w:r>
        <w:rPr>
          <w:color w:val="6F2770"/>
        </w:rPr>
        <w:t>disposal</w:t>
      </w:r>
      <w:r>
        <w:rPr>
          <w:color w:val="6F2770"/>
          <w:spacing w:val="-16"/>
        </w:rPr>
        <w:t> </w:t>
      </w:r>
      <w:r>
        <w:rPr>
          <w:color w:val="6F2770"/>
          <w:spacing w:val="-9"/>
        </w:rPr>
        <w:t>of </w:t>
      </w:r>
      <w:r>
        <w:rPr>
          <w:color w:val="6F2770"/>
        </w:rPr>
        <w:t>non-current</w:t>
      </w:r>
      <w:r>
        <w:rPr>
          <w:color w:val="6F2770"/>
          <w:spacing w:val="-4"/>
        </w:rPr>
        <w:t> </w:t>
      </w:r>
      <w:r>
        <w:rPr>
          <w:color w:val="6F2770"/>
        </w:rPr>
        <w:t>assets</w:t>
      </w:r>
    </w:p>
    <w:tbl>
      <w:tblPr>
        <w:tblW w:w="0" w:type="auto"/>
        <w:jc w:val="left"/>
        <w:tblInd w:w="6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474" w:hRule="atLeast"/>
        </w:trPr>
        <w:tc>
          <w:tcPr>
            <w:tcW w:w="2863" w:type="dxa"/>
            <w:tcBorders>
              <w:bottom w:val="single" w:sz="8" w:space="0" w:color="FFFFFF"/>
            </w:tcBorders>
            <w:shd w:val="clear" w:color="auto" w:fill="F4F4F4"/>
          </w:tcPr>
          <w:p>
            <w:pPr>
              <w:pStyle w:val="TableParagraph"/>
              <w:spacing w:line="261" w:lineRule="auto" w:before="49"/>
              <w:ind w:left="113"/>
              <w:rPr>
                <w:b/>
                <w:sz w:val="16"/>
              </w:rPr>
            </w:pPr>
            <w:r>
              <w:rPr>
                <w:b/>
                <w:sz w:val="16"/>
              </w:rPr>
              <w:t>Gain on disposal of non-current assets</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5"/>
              <w:rPr>
                <w:sz w:val="16"/>
              </w:rPr>
            </w:pPr>
          </w:p>
          <w:p>
            <w:pPr>
              <w:pStyle w:val="TableParagraph"/>
              <w:spacing w:before="1"/>
              <w:ind w:left="361"/>
              <w:rPr>
                <w:sz w:val="16"/>
              </w:rPr>
            </w:pPr>
            <w:r>
              <w:rPr>
                <w:sz w:val="16"/>
              </w:rPr>
              <w:t>38,994</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604"/>
              <w:rPr>
                <w:i/>
                <w:sz w:val="16"/>
              </w:rPr>
            </w:pPr>
            <w:r>
              <w:rPr>
                <w:i/>
                <w:color w:val="6F2770"/>
                <w:sz w:val="16"/>
              </w:rPr>
              <w:t>Net proceeds from disposal of </w:t>
            </w:r>
            <w:r>
              <w:rPr>
                <w:i/>
                <w:color w:val="6F2770"/>
                <w:sz w:val="16"/>
              </w:rPr>
              <w:t>non-current assets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Motor vehicles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71,581</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506"/>
              <w:rPr>
                <w:i/>
                <w:sz w:val="16"/>
              </w:rPr>
            </w:pPr>
            <w:r>
              <w:rPr>
                <w:i/>
                <w:color w:val="6F2770"/>
                <w:sz w:val="16"/>
              </w:rPr>
              <w:t>Carrying amount of non-current </w:t>
            </w:r>
            <w:r>
              <w:rPr>
                <w:i/>
                <w:color w:val="6F2770"/>
                <w:sz w:val="16"/>
              </w:rPr>
              <w:t>assets disposed</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109"/>
              <w:ind w:left="361"/>
              <w:rPr>
                <w:sz w:val="16"/>
              </w:rPr>
            </w:pPr>
            <w:r>
              <w:rPr>
                <w:sz w:val="16"/>
              </w:rPr>
              <w:t>36,815</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Motor vehicles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70,950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2,179</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95"/>
                <w:sz w:val="16"/>
              </w:rPr>
              <w:t>631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4"/>
              <w:rPr>
                <w:sz w:val="22"/>
              </w:rPr>
            </w:pPr>
          </w:p>
          <w:p>
            <w:pPr>
              <w:pStyle w:val="TableParagraph"/>
              <w:spacing w:before="0"/>
              <w:ind w:right="111"/>
              <w:jc w:val="right"/>
              <w:rPr>
                <w:sz w:val="16"/>
              </w:rPr>
            </w:pPr>
            <w:r>
              <w:rPr>
                <w:w w:val="95"/>
                <w:sz w:val="16"/>
              </w:rPr>
              <w:t>17</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Pr>
                <w:b/>
                <w:sz w:val="16"/>
              </w:rPr>
            </w:pPr>
            <w:r>
              <w:rPr>
                <w:b/>
                <w:sz w:val="16"/>
              </w:rPr>
              <w:t>Loss on disposal of non-current assets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506"/>
              <w:rPr>
                <w:i/>
                <w:sz w:val="16"/>
              </w:rPr>
            </w:pPr>
            <w:r>
              <w:rPr>
                <w:i/>
                <w:color w:val="6F2770"/>
                <w:sz w:val="16"/>
              </w:rPr>
              <w:t>Carrying amount of non-current </w:t>
            </w:r>
            <w:r>
              <w:rPr>
                <w:i/>
                <w:color w:val="6F2770"/>
                <w:sz w:val="16"/>
              </w:rPr>
              <w:t>assets disposed</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Building</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10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17</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b/>
                <w:sz w:val="16"/>
              </w:rPr>
            </w:pPr>
            <w:r>
              <w:rPr>
                <w:b/>
                <w:w w:val="95"/>
                <w:sz w:val="16"/>
              </w:rPr>
              <w:t>10</w:t>
            </w:r>
          </w:p>
        </w:tc>
      </w:tr>
      <w:tr>
        <w:trPr>
          <w:trHeight w:val="434" w:hRule="atLeast"/>
        </w:trPr>
        <w:tc>
          <w:tcPr>
            <w:tcW w:w="2863" w:type="dxa"/>
            <w:tcBorders>
              <w:top w:val="single" w:sz="8" w:space="0" w:color="FFFFFF"/>
              <w:bottom w:val="single" w:sz="8" w:space="0" w:color="FFFFFF"/>
            </w:tcBorders>
            <w:shd w:val="clear" w:color="auto" w:fill="FAF9F9"/>
          </w:tcPr>
          <w:p>
            <w:pPr>
              <w:pStyle w:val="TableParagraph"/>
              <w:spacing w:line="200" w:lineRule="atLeast" w:before="23"/>
              <w:ind w:left="113"/>
              <w:rPr>
                <w:b/>
                <w:sz w:val="16"/>
              </w:rPr>
            </w:pPr>
            <w:r>
              <w:rPr>
                <w:b/>
                <w:sz w:val="16"/>
              </w:rPr>
              <w:t>Net gain/(loss) on disposal of non- current assets</w:t>
            </w:r>
          </w:p>
        </w:tc>
        <w:tc>
          <w:tcPr>
            <w:tcW w:w="964" w:type="dxa"/>
            <w:tcBorders>
              <w:top w:val="single" w:sz="4" w:space="0" w:color="000000"/>
              <w:bottom w:val="single" w:sz="24" w:space="0" w:color="FFFFFF"/>
            </w:tcBorders>
            <w:shd w:val="clear" w:color="auto" w:fill="E1E4BB"/>
          </w:tcPr>
          <w:p>
            <w:pPr>
              <w:pStyle w:val="TableParagraph"/>
              <w:spacing w:before="39"/>
              <w:ind w:right="111"/>
              <w:jc w:val="right"/>
              <w:rPr>
                <w:b/>
                <w:sz w:val="16"/>
              </w:rPr>
            </w:pPr>
            <w:r>
              <w:rPr>
                <w:b/>
                <w:w w:val="95"/>
                <w:sz w:val="16"/>
              </w:rPr>
              <w:t>2,162</w:t>
            </w:r>
          </w:p>
        </w:tc>
        <w:tc>
          <w:tcPr>
            <w:tcW w:w="964" w:type="dxa"/>
            <w:tcBorders>
              <w:top w:val="single" w:sz="4" w:space="0" w:color="000000"/>
              <w:bottom w:val="single" w:sz="24" w:space="0" w:color="FFFFFF"/>
            </w:tcBorders>
            <w:shd w:val="clear" w:color="auto" w:fill="FAF9F9"/>
          </w:tcPr>
          <w:p>
            <w:pPr>
              <w:pStyle w:val="TableParagraph"/>
              <w:spacing w:before="39"/>
              <w:ind w:right="111"/>
              <w:jc w:val="right"/>
              <w:rPr>
                <w:b/>
                <w:sz w:val="16"/>
              </w:rPr>
            </w:pPr>
            <w:r>
              <w:rPr>
                <w:b/>
                <w:w w:val="95"/>
                <w:sz w:val="16"/>
              </w:rPr>
              <w:t>621</w:t>
            </w:r>
          </w:p>
        </w:tc>
      </w:tr>
    </w:tbl>
    <w:p>
      <w:pPr>
        <w:spacing w:before="284"/>
        <w:ind w:left="6009" w:right="0" w:firstLine="0"/>
        <w:jc w:val="left"/>
        <w:rPr>
          <w:sz w:val="32"/>
        </w:rPr>
      </w:pPr>
      <w:r>
        <w:rPr>
          <w:color w:val="6F2770"/>
          <w:sz w:val="32"/>
        </w:rPr>
        <w:t>Note 16. Other gains</w:t>
      </w:r>
    </w:p>
    <w:p>
      <w:pPr>
        <w:pStyle w:val="BodyText"/>
        <w:spacing w:line="249" w:lineRule="auto" w:before="254"/>
        <w:ind w:left="6009" w:right="8"/>
      </w:pPr>
      <w:r>
        <w:rPr/>
        <w:pict>
          <v:group style="position:absolute;margin-left:181.416397pt;margin-top:30.893969pt;width:96.9pt;height:.550pt;mso-position-horizontal-relative:page;mso-position-vertical-relative:paragraph;z-index:15688" coordorigin="3628,618" coordsize="1938,11">
            <v:line style="position:absolute" from="3628,623" to="4592,623" stroked="true" strokeweight=".501pt" strokecolor="#000000">
              <v:stroke dashstyle="solid"/>
            </v:line>
            <v:line style="position:absolute" from="4592,623" to="5566,623" stroked="true" strokeweight=".501pt" strokecolor="#000000">
              <v:stroke dashstyle="solid"/>
            </v:line>
            <w10:wrap type="none"/>
          </v:group>
        </w:pict>
      </w:r>
      <w:r>
        <w:rPr/>
        <w:t>There</w:t>
      </w:r>
      <w:r>
        <w:rPr>
          <w:spacing w:val="-21"/>
        </w:rPr>
        <w:t> </w:t>
      </w:r>
      <w:r>
        <w:rPr/>
        <w:t>were</w:t>
      </w:r>
      <w:r>
        <w:rPr>
          <w:spacing w:val="-21"/>
        </w:rPr>
        <w:t> </w:t>
      </w:r>
      <w:r>
        <w:rPr/>
        <w:t>no</w:t>
      </w:r>
      <w:r>
        <w:rPr>
          <w:spacing w:val="-20"/>
        </w:rPr>
        <w:t> </w:t>
      </w:r>
      <w:r>
        <w:rPr/>
        <w:t>gains</w:t>
      </w:r>
      <w:r>
        <w:rPr>
          <w:spacing w:val="-21"/>
        </w:rPr>
        <w:t> </w:t>
      </w:r>
      <w:r>
        <w:rPr/>
        <w:t>on</w:t>
      </w:r>
      <w:r>
        <w:rPr>
          <w:spacing w:val="-20"/>
        </w:rPr>
        <w:t> </w:t>
      </w:r>
      <w:r>
        <w:rPr/>
        <w:t>the</w:t>
      </w:r>
      <w:r>
        <w:rPr>
          <w:spacing w:val="-21"/>
        </w:rPr>
        <w:t> </w:t>
      </w:r>
      <w:r>
        <w:rPr/>
        <w:t>revaluation</w:t>
      </w:r>
      <w:r>
        <w:rPr>
          <w:spacing w:val="-20"/>
        </w:rPr>
        <w:t> </w:t>
      </w:r>
      <w:r>
        <w:rPr/>
        <w:t>of</w:t>
      </w:r>
      <w:r>
        <w:rPr>
          <w:spacing w:val="-21"/>
        </w:rPr>
        <w:t> </w:t>
      </w:r>
      <w:r>
        <w:rPr/>
        <w:t>land</w:t>
      </w:r>
      <w:r>
        <w:rPr>
          <w:spacing w:val="-20"/>
        </w:rPr>
        <w:t> </w:t>
      </w:r>
      <w:r>
        <w:rPr>
          <w:spacing w:val="-6"/>
        </w:rPr>
        <w:t>and </w:t>
      </w:r>
      <w:r>
        <w:rPr/>
        <w:t>buildings for the</w:t>
      </w:r>
      <w:r>
        <w:rPr>
          <w:spacing w:val="-5"/>
        </w:rPr>
        <w:t> year.</w:t>
      </w:r>
    </w:p>
    <w:p>
      <w:pPr>
        <w:pStyle w:val="BodyText"/>
        <w:rPr>
          <w:sz w:val="38"/>
        </w:rPr>
      </w:pPr>
      <w:r>
        <w:rPr/>
        <w:br w:type="column"/>
      </w:r>
      <w:r>
        <w:rPr>
          <w:sz w:val="38"/>
        </w:rPr>
      </w:r>
    </w:p>
    <w:p>
      <w:pPr>
        <w:pStyle w:val="BodyText"/>
        <w:rPr>
          <w:sz w:val="38"/>
        </w:rPr>
      </w:pPr>
    </w:p>
    <w:p>
      <w:pPr>
        <w:pStyle w:val="BodyText"/>
        <w:rPr>
          <w:sz w:val="38"/>
        </w:rPr>
      </w:pPr>
    </w:p>
    <w:p>
      <w:pPr>
        <w:pStyle w:val="BodyText"/>
        <w:spacing w:before="11"/>
        <w:rPr>
          <w:sz w:val="29"/>
        </w:rPr>
      </w:pPr>
    </w:p>
    <w:p>
      <w:pPr>
        <w:pStyle w:val="Heading5"/>
        <w:spacing w:line="235" w:lineRule="auto" w:before="0"/>
        <w:ind w:left="413" w:right="2490"/>
      </w:pPr>
      <w:r>
        <w:rPr>
          <w:color w:val="6F2770"/>
        </w:rPr>
        <w:t>Note 17. Income from State Government</w:t>
      </w:r>
    </w:p>
    <w:p>
      <w:pPr>
        <w:pStyle w:val="BodyText"/>
        <w:spacing w:before="8"/>
        <w:rPr>
          <w:sz w:val="2"/>
        </w:rPr>
      </w:pPr>
    </w:p>
    <w:tbl>
      <w:tblPr>
        <w:tblW w:w="0" w:type="auto"/>
        <w:jc w:val="left"/>
        <w:tblInd w:w="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6"/>
        <w:gridCol w:w="822"/>
        <w:gridCol w:w="822"/>
      </w:tblGrid>
      <w:tr>
        <w:trPr>
          <w:trHeight w:val="486" w:hRule="atLeast"/>
        </w:trPr>
        <w:tc>
          <w:tcPr>
            <w:tcW w:w="3968" w:type="dxa"/>
            <w:gridSpan w:val="2"/>
            <w:shd w:val="clear" w:color="auto" w:fill="783A79"/>
          </w:tcPr>
          <w:p>
            <w:pPr>
              <w:pStyle w:val="TableParagraph"/>
              <w:spacing w:before="54"/>
              <w:ind w:right="100"/>
              <w:jc w:val="right"/>
              <w:rPr>
                <w:b/>
                <w:sz w:val="16"/>
              </w:rPr>
            </w:pPr>
            <w:r>
              <w:rPr>
                <w:b/>
                <w:color w:val="FFFFFF"/>
                <w:w w:val="95"/>
                <w:sz w:val="16"/>
              </w:rPr>
              <w:t>2018</w:t>
            </w:r>
          </w:p>
          <w:p>
            <w:pPr>
              <w:pStyle w:val="TableParagraph"/>
              <w:spacing w:before="8"/>
              <w:ind w:right="100"/>
              <w:jc w:val="right"/>
              <w:rPr>
                <w:b/>
                <w:sz w:val="16"/>
              </w:rPr>
            </w:pPr>
            <w:r>
              <w:rPr>
                <w:b/>
                <w:color w:val="FFFFFF"/>
                <w:w w:val="95"/>
                <w:sz w:val="16"/>
              </w:rPr>
              <w:t>$000</w:t>
            </w:r>
          </w:p>
        </w:tc>
        <w:tc>
          <w:tcPr>
            <w:tcW w:w="822" w:type="dxa"/>
            <w:shd w:val="clear" w:color="auto" w:fill="783A79"/>
          </w:tcPr>
          <w:p>
            <w:pPr>
              <w:pStyle w:val="TableParagraph"/>
              <w:spacing w:before="54"/>
              <w:ind w:left="363"/>
              <w:rPr>
                <w:b/>
                <w:sz w:val="16"/>
              </w:rPr>
            </w:pPr>
            <w:r>
              <w:rPr>
                <w:b/>
                <w:color w:val="FFFFFF"/>
                <w:sz w:val="16"/>
              </w:rPr>
              <w:t>2017</w:t>
            </w:r>
          </w:p>
          <w:p>
            <w:pPr>
              <w:pStyle w:val="TableParagraph"/>
              <w:spacing w:before="8"/>
              <w:ind w:left="363"/>
              <w:rPr>
                <w:b/>
                <w:sz w:val="16"/>
              </w:rPr>
            </w:pPr>
            <w:r>
              <w:rPr>
                <w:b/>
                <w:color w:val="FFFFFF"/>
                <w:sz w:val="16"/>
              </w:rPr>
              <w:t>$000</w:t>
            </w:r>
          </w:p>
        </w:tc>
      </w:tr>
      <w:tr>
        <w:trPr>
          <w:trHeight w:val="269" w:hRule="atLeast"/>
        </w:trPr>
        <w:tc>
          <w:tcPr>
            <w:tcW w:w="3146" w:type="dxa"/>
            <w:tcBorders>
              <w:left w:val="single" w:sz="8" w:space="0" w:color="FFFFFF"/>
              <w:bottom w:val="single" w:sz="8" w:space="0" w:color="FFFFFF"/>
            </w:tcBorders>
            <w:shd w:val="clear" w:color="auto" w:fill="F4F4F4"/>
          </w:tcPr>
          <w:p>
            <w:pPr>
              <w:pStyle w:val="TableParagraph"/>
              <w:spacing w:before="44"/>
              <w:ind w:left="113"/>
              <w:rPr>
                <w:sz w:val="16"/>
              </w:rPr>
            </w:pPr>
            <w:r>
              <w:rPr>
                <w:sz w:val="16"/>
              </w:rPr>
              <w:t>Appropriations received during the period:</w:t>
            </w:r>
          </w:p>
        </w:tc>
        <w:tc>
          <w:tcPr>
            <w:tcW w:w="822" w:type="dxa"/>
            <w:vMerge w:val="restart"/>
            <w:tcBorders>
              <w:bottom w:val="single" w:sz="4" w:space="0" w:color="58595B"/>
            </w:tcBorders>
            <w:shd w:val="clear" w:color="auto" w:fill="E1E4BB"/>
          </w:tcPr>
          <w:p>
            <w:pPr>
              <w:pStyle w:val="TableParagraph"/>
              <w:spacing w:before="0"/>
              <w:rPr>
                <w:sz w:val="18"/>
              </w:rPr>
            </w:pPr>
          </w:p>
          <w:p>
            <w:pPr>
              <w:pStyle w:val="TableParagraph"/>
              <w:spacing w:before="121"/>
              <w:ind w:left="140"/>
              <w:rPr>
                <w:sz w:val="16"/>
              </w:rPr>
            </w:pPr>
            <w:r>
              <w:rPr>
                <w:sz w:val="16"/>
              </w:rPr>
              <w:t>150,900</w:t>
            </w:r>
          </w:p>
        </w:tc>
        <w:tc>
          <w:tcPr>
            <w:tcW w:w="822"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before="35"/>
              <w:ind w:left="113"/>
              <w:rPr>
                <w:sz w:val="10"/>
              </w:rPr>
            </w:pPr>
            <w:r>
              <w:rPr>
                <w:sz w:val="16"/>
              </w:rPr>
              <w:t>Service appropriations</w:t>
            </w:r>
            <w:r>
              <w:rPr>
                <w:position w:val="6"/>
                <w:sz w:val="10"/>
              </w:rPr>
              <w:t>(a)</w:t>
            </w:r>
          </w:p>
        </w:tc>
        <w:tc>
          <w:tcPr>
            <w:tcW w:w="822" w:type="dxa"/>
            <w:vMerge/>
            <w:tcBorders>
              <w:top w:val="nil"/>
              <w:bottom w:val="single" w:sz="4" w:space="0" w:color="58595B"/>
            </w:tcBorders>
            <w:shd w:val="clear" w:color="auto" w:fill="E1E4BB"/>
          </w:tcPr>
          <w:p>
            <w:pPr>
              <w:rPr>
                <w:sz w:val="2"/>
                <w:szCs w:val="2"/>
              </w:rPr>
            </w:pPr>
          </w:p>
        </w:tc>
        <w:tc>
          <w:tcPr>
            <w:tcW w:w="822" w:type="dxa"/>
            <w:tcBorders>
              <w:top w:val="single" w:sz="8" w:space="0" w:color="FFFFFF"/>
              <w:bottom w:val="single" w:sz="4" w:space="0" w:color="000000"/>
            </w:tcBorders>
            <w:shd w:val="clear" w:color="auto" w:fill="FAF9F9"/>
          </w:tcPr>
          <w:p>
            <w:pPr>
              <w:pStyle w:val="TableParagraph"/>
              <w:spacing w:before="39"/>
              <w:ind w:right="100"/>
              <w:jc w:val="right"/>
              <w:rPr>
                <w:sz w:val="16"/>
              </w:rPr>
            </w:pPr>
            <w:r>
              <w:rPr>
                <w:w w:val="95"/>
                <w:sz w:val="16"/>
              </w:rPr>
              <w:t>167,150</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822" w:type="dxa"/>
            <w:tcBorders>
              <w:top w:val="single" w:sz="4" w:space="0" w:color="58595B"/>
              <w:bottom w:val="single" w:sz="4" w:space="0" w:color="58595B"/>
            </w:tcBorders>
            <w:shd w:val="clear" w:color="auto" w:fill="E1E4BB"/>
          </w:tcPr>
          <w:p>
            <w:pPr>
              <w:pStyle w:val="TableParagraph"/>
              <w:spacing w:before="39"/>
              <w:ind w:right="100"/>
              <w:jc w:val="right"/>
              <w:rPr>
                <w:sz w:val="16"/>
              </w:rPr>
            </w:pPr>
            <w:r>
              <w:rPr>
                <w:w w:val="95"/>
                <w:sz w:val="16"/>
              </w:rPr>
              <w:t>150,900</w:t>
            </w:r>
          </w:p>
        </w:tc>
        <w:tc>
          <w:tcPr>
            <w:tcW w:w="822" w:type="dxa"/>
            <w:tcBorders>
              <w:top w:val="single" w:sz="4" w:space="0" w:color="000000"/>
              <w:bottom w:val="single" w:sz="4" w:space="0" w:color="000000"/>
            </w:tcBorders>
            <w:shd w:val="clear" w:color="auto" w:fill="FAF9F9"/>
          </w:tcPr>
          <w:p>
            <w:pPr>
              <w:pStyle w:val="TableParagraph"/>
              <w:spacing w:before="39"/>
              <w:ind w:right="100"/>
              <w:jc w:val="right"/>
              <w:rPr>
                <w:sz w:val="16"/>
              </w:rPr>
            </w:pPr>
            <w:r>
              <w:rPr>
                <w:w w:val="95"/>
                <w:sz w:val="16"/>
              </w:rPr>
              <w:t>167,150</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822" w:type="dxa"/>
            <w:tcBorders>
              <w:top w:val="single" w:sz="4" w:space="0" w:color="58595B"/>
            </w:tcBorders>
            <w:shd w:val="clear" w:color="auto" w:fill="E1E4BB"/>
          </w:tcPr>
          <w:p>
            <w:pPr>
              <w:pStyle w:val="TableParagraph"/>
              <w:spacing w:before="0"/>
              <w:rPr>
                <w:rFonts w:ascii="Times New Roman"/>
                <w:sz w:val="16"/>
              </w:rPr>
            </w:pPr>
          </w:p>
        </w:tc>
        <w:tc>
          <w:tcPr>
            <w:tcW w:w="822"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15" w:hRule="atLeast"/>
        </w:trPr>
        <w:tc>
          <w:tcPr>
            <w:tcW w:w="3146" w:type="dxa"/>
            <w:tcBorders>
              <w:top w:val="single" w:sz="8" w:space="0" w:color="FFFFFF"/>
              <w:left w:val="single" w:sz="8" w:space="0" w:color="FFFFFF"/>
            </w:tcBorders>
            <w:shd w:val="clear" w:color="auto" w:fill="FAF9F9"/>
          </w:tcPr>
          <w:p>
            <w:pPr>
              <w:pStyle w:val="TableParagraph"/>
              <w:spacing w:line="156" w:lineRule="exact" w:before="39"/>
              <w:ind w:left="113"/>
              <w:rPr>
                <w:sz w:val="16"/>
              </w:rPr>
            </w:pPr>
            <w:r>
              <w:rPr>
                <w:sz w:val="16"/>
              </w:rPr>
              <w:t>Services received free of charge from</w:t>
            </w:r>
          </w:p>
        </w:tc>
        <w:tc>
          <w:tcPr>
            <w:tcW w:w="822" w:type="dxa"/>
            <w:shd w:val="clear" w:color="auto" w:fill="E1E4BB"/>
          </w:tcPr>
          <w:p>
            <w:pPr>
              <w:pStyle w:val="TableParagraph"/>
              <w:spacing w:before="0"/>
              <w:rPr>
                <w:rFonts w:ascii="Times New Roman"/>
                <w:sz w:val="14"/>
              </w:rPr>
            </w:pPr>
          </w:p>
        </w:tc>
        <w:tc>
          <w:tcPr>
            <w:tcW w:w="822" w:type="dxa"/>
            <w:vMerge w:val="restart"/>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172" w:hRule="atLeast"/>
        </w:trPr>
        <w:tc>
          <w:tcPr>
            <w:tcW w:w="3146" w:type="dxa"/>
            <w:tcBorders>
              <w:left w:val="single" w:sz="8" w:space="0" w:color="FFFFFF"/>
            </w:tcBorders>
            <w:shd w:val="clear" w:color="auto" w:fill="FAF9F9"/>
          </w:tcPr>
          <w:p>
            <w:pPr>
              <w:pStyle w:val="TableParagraph"/>
              <w:spacing w:line="152" w:lineRule="exact" w:before="0"/>
              <w:ind w:left="113"/>
              <w:rPr>
                <w:sz w:val="16"/>
              </w:rPr>
            </w:pPr>
            <w:r>
              <w:rPr>
                <w:sz w:val="16"/>
              </w:rPr>
              <w:t>other State Government agencies during</w:t>
            </w:r>
          </w:p>
        </w:tc>
        <w:tc>
          <w:tcPr>
            <w:tcW w:w="822" w:type="dxa"/>
            <w:shd w:val="clear" w:color="auto" w:fill="E1E4BB"/>
          </w:tcPr>
          <w:p>
            <w:pPr>
              <w:pStyle w:val="TableParagraph"/>
              <w:spacing w:before="0"/>
              <w:rPr>
                <w:rFonts w:ascii="Times New Roman"/>
                <w:sz w:val="10"/>
              </w:rPr>
            </w:pPr>
          </w:p>
        </w:tc>
        <w:tc>
          <w:tcPr>
            <w:tcW w:w="822" w:type="dxa"/>
            <w:vMerge/>
            <w:tcBorders>
              <w:top w:val="nil"/>
              <w:bottom w:val="single" w:sz="8" w:space="0" w:color="FFFFFF"/>
            </w:tcBorders>
            <w:shd w:val="clear" w:color="auto" w:fill="FAF9F9"/>
          </w:tcPr>
          <w:p>
            <w:pPr>
              <w:rPr>
                <w:sz w:val="2"/>
                <w:szCs w:val="2"/>
              </w:rPr>
            </w:pPr>
          </w:p>
        </w:tc>
      </w:tr>
      <w:tr>
        <w:trPr>
          <w:trHeight w:val="221" w:hRule="atLeast"/>
        </w:trPr>
        <w:tc>
          <w:tcPr>
            <w:tcW w:w="3146" w:type="dxa"/>
            <w:tcBorders>
              <w:left w:val="single" w:sz="8" w:space="0" w:color="FFFFFF"/>
              <w:bottom w:val="single" w:sz="8" w:space="0" w:color="FFFFFF"/>
            </w:tcBorders>
            <w:shd w:val="clear" w:color="auto" w:fill="FAF9F9"/>
          </w:tcPr>
          <w:p>
            <w:pPr>
              <w:pStyle w:val="TableParagraph"/>
              <w:spacing w:line="180" w:lineRule="exact" w:before="0"/>
              <w:ind w:left="113"/>
              <w:rPr>
                <w:sz w:val="16"/>
              </w:rPr>
            </w:pPr>
            <w:r>
              <w:rPr>
                <w:sz w:val="16"/>
              </w:rPr>
              <w:t>the period:</w:t>
            </w:r>
          </w:p>
        </w:tc>
        <w:tc>
          <w:tcPr>
            <w:tcW w:w="822" w:type="dxa"/>
            <w:shd w:val="clear" w:color="auto" w:fill="E1E4BB"/>
          </w:tcPr>
          <w:p>
            <w:pPr>
              <w:pStyle w:val="TableParagraph"/>
              <w:spacing w:before="0"/>
              <w:rPr>
                <w:rFonts w:ascii="Times New Roman"/>
                <w:sz w:val="14"/>
              </w:rPr>
            </w:pPr>
          </w:p>
        </w:tc>
        <w:tc>
          <w:tcPr>
            <w:tcW w:w="822" w:type="dxa"/>
            <w:vMerge/>
            <w:tcBorders>
              <w:top w:val="nil"/>
              <w:bottom w:val="single" w:sz="8" w:space="0" w:color="FFFFFF"/>
            </w:tcBorders>
            <w:shd w:val="clear" w:color="auto" w:fill="FAF9F9"/>
          </w:tcPr>
          <w:p>
            <w:pPr>
              <w:rPr>
                <w:sz w:val="2"/>
                <w:szCs w:val="2"/>
              </w:rPr>
            </w:pP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35"/>
              <w:ind w:left="113"/>
              <w:rPr>
                <w:sz w:val="10"/>
              </w:rPr>
            </w:pPr>
            <w:r>
              <w:rPr>
                <w:sz w:val="16"/>
              </w:rPr>
              <w:t>Department of the Attorney General</w:t>
            </w:r>
            <w:r>
              <w:rPr>
                <w:position w:val="6"/>
                <w:sz w:val="10"/>
              </w:rPr>
              <w:t>(b)</w:t>
            </w:r>
          </w:p>
        </w:tc>
        <w:tc>
          <w:tcPr>
            <w:tcW w:w="822" w:type="dxa"/>
            <w:shd w:val="clear" w:color="auto" w:fill="E1E4BB"/>
          </w:tcPr>
          <w:p>
            <w:pPr>
              <w:pStyle w:val="TableParagraph"/>
              <w:spacing w:before="39"/>
              <w:ind w:right="100"/>
              <w:jc w:val="right"/>
              <w:rPr>
                <w:sz w:val="16"/>
              </w:rPr>
            </w:pPr>
            <w:r>
              <w:rPr>
                <w:w w:val="111"/>
                <w:sz w:val="16"/>
              </w:rPr>
              <w:t>-</w:t>
            </w:r>
          </w:p>
        </w:tc>
        <w:tc>
          <w:tcPr>
            <w:tcW w:w="822" w:type="dxa"/>
            <w:tcBorders>
              <w:top w:val="single" w:sz="8" w:space="0" w:color="FFFFFF"/>
              <w:bottom w:val="single" w:sz="8" w:space="0" w:color="FFFFFF"/>
            </w:tcBorders>
            <w:shd w:val="clear" w:color="auto" w:fill="FAF9F9"/>
          </w:tcPr>
          <w:p>
            <w:pPr>
              <w:pStyle w:val="TableParagraph"/>
              <w:spacing w:before="39"/>
              <w:ind w:right="100"/>
              <w:jc w:val="right"/>
              <w:rPr>
                <w:sz w:val="16"/>
              </w:rPr>
            </w:pPr>
            <w:r>
              <w:rPr>
                <w:w w:val="95"/>
                <w:sz w:val="16"/>
              </w:rPr>
              <w:t>1,580</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before="35"/>
              <w:ind w:left="113"/>
              <w:rPr>
                <w:sz w:val="10"/>
              </w:rPr>
            </w:pPr>
            <w:r>
              <w:rPr>
                <w:sz w:val="16"/>
              </w:rPr>
              <w:t>Department of Justice</w:t>
            </w:r>
            <w:r>
              <w:rPr>
                <w:position w:val="6"/>
                <w:sz w:val="10"/>
              </w:rPr>
              <w:t>(b)</w:t>
            </w:r>
          </w:p>
        </w:tc>
        <w:tc>
          <w:tcPr>
            <w:tcW w:w="822" w:type="dxa"/>
            <w:shd w:val="clear" w:color="auto" w:fill="E1E4BB"/>
          </w:tcPr>
          <w:p>
            <w:pPr>
              <w:pStyle w:val="TableParagraph"/>
              <w:spacing w:before="39"/>
              <w:ind w:right="100"/>
              <w:jc w:val="right"/>
              <w:rPr>
                <w:sz w:val="16"/>
              </w:rPr>
            </w:pPr>
            <w:r>
              <w:rPr>
                <w:w w:val="95"/>
                <w:sz w:val="16"/>
              </w:rPr>
              <w:t>1,747</w:t>
            </w:r>
          </w:p>
        </w:tc>
        <w:tc>
          <w:tcPr>
            <w:tcW w:w="822" w:type="dxa"/>
            <w:tcBorders>
              <w:top w:val="single" w:sz="8" w:space="0" w:color="FFFFFF"/>
              <w:bottom w:val="single" w:sz="8" w:space="0" w:color="FFFFFF"/>
            </w:tcBorders>
            <w:shd w:val="clear" w:color="auto" w:fill="FAF9F9"/>
          </w:tcPr>
          <w:p>
            <w:pPr>
              <w:pStyle w:val="TableParagraph"/>
              <w:spacing w:before="39"/>
              <w:ind w:right="100"/>
              <w:jc w:val="right"/>
              <w:rPr>
                <w:sz w:val="16"/>
              </w:rPr>
            </w:pPr>
            <w:r>
              <w:rPr>
                <w:w w:val="111"/>
                <w:sz w:val="16"/>
              </w:rPr>
              <w:t>-</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Landgate</w:t>
            </w:r>
          </w:p>
        </w:tc>
        <w:tc>
          <w:tcPr>
            <w:tcW w:w="822" w:type="dxa"/>
            <w:shd w:val="clear" w:color="auto" w:fill="E1E4BB"/>
          </w:tcPr>
          <w:p>
            <w:pPr>
              <w:pStyle w:val="TableParagraph"/>
              <w:spacing w:before="39"/>
              <w:ind w:right="100"/>
              <w:jc w:val="right"/>
              <w:rPr>
                <w:sz w:val="16"/>
              </w:rPr>
            </w:pPr>
            <w:r>
              <w:rPr>
                <w:w w:val="95"/>
                <w:sz w:val="16"/>
              </w:rPr>
              <w:t>11,604</w:t>
            </w:r>
          </w:p>
        </w:tc>
        <w:tc>
          <w:tcPr>
            <w:tcW w:w="822" w:type="dxa"/>
            <w:tcBorders>
              <w:top w:val="single" w:sz="8" w:space="0" w:color="FFFFFF"/>
              <w:bottom w:val="single" w:sz="8" w:space="0" w:color="FFFFFF"/>
            </w:tcBorders>
            <w:shd w:val="clear" w:color="auto" w:fill="F4F4F4"/>
          </w:tcPr>
          <w:p>
            <w:pPr>
              <w:pStyle w:val="TableParagraph"/>
              <w:spacing w:before="39"/>
              <w:ind w:right="100"/>
              <w:jc w:val="right"/>
              <w:rPr>
                <w:sz w:val="16"/>
              </w:rPr>
            </w:pPr>
            <w:r>
              <w:rPr>
                <w:w w:val="95"/>
                <w:sz w:val="16"/>
              </w:rPr>
              <w:t>11,539</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before="39"/>
              <w:ind w:left="113"/>
              <w:rPr>
                <w:sz w:val="16"/>
              </w:rPr>
            </w:pPr>
            <w:r>
              <w:rPr>
                <w:sz w:val="16"/>
              </w:rPr>
              <w:t>Department of Treasury</w:t>
            </w:r>
          </w:p>
        </w:tc>
        <w:tc>
          <w:tcPr>
            <w:tcW w:w="822" w:type="dxa"/>
            <w:shd w:val="clear" w:color="auto" w:fill="E1E4BB"/>
          </w:tcPr>
          <w:p>
            <w:pPr>
              <w:pStyle w:val="TableParagraph"/>
              <w:spacing w:before="39"/>
              <w:ind w:right="100"/>
              <w:jc w:val="right"/>
              <w:rPr>
                <w:sz w:val="16"/>
              </w:rPr>
            </w:pPr>
            <w:r>
              <w:rPr>
                <w:w w:val="95"/>
                <w:sz w:val="16"/>
              </w:rPr>
              <w:t>134</w:t>
            </w:r>
          </w:p>
        </w:tc>
        <w:tc>
          <w:tcPr>
            <w:tcW w:w="822" w:type="dxa"/>
            <w:tcBorders>
              <w:top w:val="single" w:sz="8" w:space="0" w:color="FFFFFF"/>
              <w:bottom w:val="single" w:sz="8" w:space="0" w:color="FFFFFF"/>
            </w:tcBorders>
            <w:shd w:val="clear" w:color="auto" w:fill="FAF9F9"/>
          </w:tcPr>
          <w:p>
            <w:pPr>
              <w:pStyle w:val="TableParagraph"/>
              <w:spacing w:before="39"/>
              <w:ind w:right="100"/>
              <w:jc w:val="right"/>
              <w:rPr>
                <w:sz w:val="16"/>
              </w:rPr>
            </w:pPr>
            <w:r>
              <w:rPr>
                <w:w w:val="95"/>
                <w:sz w:val="16"/>
              </w:rPr>
              <w:t>140</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Department of the Premier and Cabinet</w:t>
            </w:r>
          </w:p>
        </w:tc>
        <w:tc>
          <w:tcPr>
            <w:tcW w:w="822" w:type="dxa"/>
            <w:shd w:val="clear" w:color="auto" w:fill="E1E4BB"/>
          </w:tcPr>
          <w:p>
            <w:pPr>
              <w:pStyle w:val="TableParagraph"/>
              <w:spacing w:before="39"/>
              <w:ind w:right="100"/>
              <w:jc w:val="right"/>
              <w:rPr>
                <w:sz w:val="16"/>
              </w:rPr>
            </w:pPr>
            <w:r>
              <w:rPr>
                <w:w w:val="95"/>
                <w:sz w:val="16"/>
              </w:rPr>
              <w:t>24</w:t>
            </w:r>
          </w:p>
        </w:tc>
        <w:tc>
          <w:tcPr>
            <w:tcW w:w="822" w:type="dxa"/>
            <w:tcBorders>
              <w:top w:val="single" w:sz="8" w:space="0" w:color="FFFFFF"/>
              <w:bottom w:val="single" w:sz="8" w:space="0" w:color="FFFFFF"/>
            </w:tcBorders>
            <w:shd w:val="clear" w:color="auto" w:fill="F4F4F4"/>
          </w:tcPr>
          <w:p>
            <w:pPr>
              <w:pStyle w:val="TableParagraph"/>
              <w:spacing w:before="39"/>
              <w:ind w:right="100"/>
              <w:jc w:val="right"/>
              <w:rPr>
                <w:sz w:val="16"/>
              </w:rPr>
            </w:pPr>
            <w:r>
              <w:rPr>
                <w:w w:val="95"/>
                <w:sz w:val="16"/>
              </w:rPr>
              <w:t>44</w:t>
            </w:r>
          </w:p>
        </w:tc>
      </w:tr>
      <w:tr>
        <w:trPr>
          <w:trHeight w:val="225" w:hRule="atLeast"/>
        </w:trPr>
        <w:tc>
          <w:tcPr>
            <w:tcW w:w="3146" w:type="dxa"/>
            <w:tcBorders>
              <w:top w:val="single" w:sz="8" w:space="0" w:color="FFFFFF"/>
              <w:left w:val="single" w:sz="8" w:space="0" w:color="FFFFFF"/>
            </w:tcBorders>
            <w:shd w:val="clear" w:color="auto" w:fill="FAF9F9"/>
          </w:tcPr>
          <w:p>
            <w:pPr>
              <w:pStyle w:val="TableParagraph"/>
              <w:spacing w:line="166" w:lineRule="exact" w:before="39"/>
              <w:ind w:left="113"/>
              <w:rPr>
                <w:sz w:val="16"/>
              </w:rPr>
            </w:pPr>
            <w:r>
              <w:rPr>
                <w:sz w:val="16"/>
              </w:rPr>
              <w:t>Department of Primary Industries and</w:t>
            </w:r>
          </w:p>
        </w:tc>
        <w:tc>
          <w:tcPr>
            <w:tcW w:w="822" w:type="dxa"/>
            <w:shd w:val="clear" w:color="auto" w:fill="E1E4BB"/>
          </w:tcPr>
          <w:p>
            <w:pPr>
              <w:pStyle w:val="TableParagraph"/>
              <w:spacing w:line="166" w:lineRule="exact" w:before="39"/>
              <w:ind w:right="100"/>
              <w:jc w:val="right"/>
              <w:rPr>
                <w:sz w:val="16"/>
              </w:rPr>
            </w:pPr>
            <w:r>
              <w:rPr>
                <w:w w:val="99"/>
                <w:sz w:val="16"/>
              </w:rPr>
              <w:t>2</w:t>
            </w:r>
          </w:p>
        </w:tc>
        <w:tc>
          <w:tcPr>
            <w:tcW w:w="822" w:type="dxa"/>
            <w:tcBorders>
              <w:top w:val="single" w:sz="8" w:space="0" w:color="FFFFFF"/>
            </w:tcBorders>
            <w:shd w:val="clear" w:color="auto" w:fill="FAF9F9"/>
          </w:tcPr>
          <w:p>
            <w:pPr>
              <w:pStyle w:val="TableParagraph"/>
              <w:spacing w:line="166" w:lineRule="exact" w:before="39"/>
              <w:ind w:right="100"/>
              <w:jc w:val="right"/>
              <w:rPr>
                <w:sz w:val="16"/>
              </w:rPr>
            </w:pPr>
            <w:r>
              <w:rPr>
                <w:w w:val="111"/>
                <w:sz w:val="16"/>
              </w:rPr>
              <w:t>-</w:t>
            </w:r>
          </w:p>
        </w:tc>
      </w:tr>
      <w:tr>
        <w:trPr>
          <w:trHeight w:val="231" w:hRule="atLeast"/>
        </w:trPr>
        <w:tc>
          <w:tcPr>
            <w:tcW w:w="3146" w:type="dxa"/>
            <w:tcBorders>
              <w:left w:val="single" w:sz="8" w:space="0" w:color="FFFFFF"/>
              <w:bottom w:val="single" w:sz="8" w:space="0" w:color="FFFFFF"/>
            </w:tcBorders>
            <w:shd w:val="clear" w:color="auto" w:fill="FAF9F9"/>
          </w:tcPr>
          <w:p>
            <w:pPr>
              <w:pStyle w:val="TableParagraph"/>
              <w:spacing w:before="6"/>
              <w:ind w:left="113"/>
              <w:rPr>
                <w:sz w:val="16"/>
              </w:rPr>
            </w:pPr>
            <w:r>
              <w:rPr>
                <w:sz w:val="16"/>
              </w:rPr>
              <w:t>Regional Development</w:t>
            </w:r>
          </w:p>
        </w:tc>
        <w:tc>
          <w:tcPr>
            <w:tcW w:w="822" w:type="dxa"/>
            <w:tcBorders>
              <w:bottom w:val="single" w:sz="4" w:space="0" w:color="000000"/>
            </w:tcBorders>
            <w:shd w:val="clear" w:color="auto" w:fill="E1E4BB"/>
          </w:tcPr>
          <w:p>
            <w:pPr>
              <w:pStyle w:val="TableParagraph"/>
              <w:spacing w:before="0"/>
              <w:rPr>
                <w:rFonts w:ascii="Times New Roman"/>
                <w:sz w:val="16"/>
              </w:rPr>
            </w:pPr>
          </w:p>
        </w:tc>
        <w:tc>
          <w:tcPr>
            <w:tcW w:w="822" w:type="dxa"/>
            <w:tcBorders>
              <w:bottom w:val="single" w:sz="4" w:space="0" w:color="000000"/>
            </w:tcBorders>
            <w:shd w:val="clear" w:color="auto" w:fill="FAF9F9"/>
          </w:tcPr>
          <w:p>
            <w:pPr>
              <w:pStyle w:val="TableParagraph"/>
              <w:spacing w:before="0"/>
              <w:rPr>
                <w:rFonts w:ascii="Times New Roman"/>
                <w:sz w:val="16"/>
              </w:rPr>
            </w:pP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822" w:type="dxa"/>
            <w:tcBorders>
              <w:top w:val="single" w:sz="4" w:space="0" w:color="000000"/>
              <w:bottom w:val="single" w:sz="4" w:space="0" w:color="000000"/>
            </w:tcBorders>
            <w:shd w:val="clear" w:color="auto" w:fill="DFE1B8"/>
          </w:tcPr>
          <w:p>
            <w:pPr>
              <w:pStyle w:val="TableParagraph"/>
              <w:spacing w:before="39"/>
              <w:ind w:right="100"/>
              <w:jc w:val="right"/>
              <w:rPr>
                <w:sz w:val="16"/>
              </w:rPr>
            </w:pPr>
            <w:r>
              <w:rPr>
                <w:w w:val="95"/>
                <w:sz w:val="16"/>
              </w:rPr>
              <w:t>13,511</w:t>
            </w:r>
          </w:p>
        </w:tc>
        <w:tc>
          <w:tcPr>
            <w:tcW w:w="822" w:type="dxa"/>
            <w:tcBorders>
              <w:top w:val="single" w:sz="4" w:space="0" w:color="000000"/>
              <w:bottom w:val="single" w:sz="4" w:space="0" w:color="000000"/>
            </w:tcBorders>
            <w:shd w:val="clear" w:color="auto" w:fill="F4F4F4"/>
          </w:tcPr>
          <w:p>
            <w:pPr>
              <w:pStyle w:val="TableParagraph"/>
              <w:spacing w:before="39"/>
              <w:ind w:right="100"/>
              <w:jc w:val="right"/>
              <w:rPr>
                <w:sz w:val="16"/>
              </w:rPr>
            </w:pPr>
            <w:r>
              <w:rPr>
                <w:w w:val="95"/>
                <w:sz w:val="16"/>
              </w:rPr>
              <w:t>13,303</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6"/>
              </w:rPr>
            </w:pPr>
          </w:p>
        </w:tc>
        <w:tc>
          <w:tcPr>
            <w:tcW w:w="822"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9"/>
              <w:rPr>
                <w:sz w:val="16"/>
              </w:rPr>
            </w:pPr>
          </w:p>
          <w:p>
            <w:pPr>
              <w:pStyle w:val="TableParagraph"/>
              <w:spacing w:before="1"/>
              <w:ind w:left="452"/>
              <w:rPr>
                <w:sz w:val="16"/>
              </w:rPr>
            </w:pPr>
            <w:r>
              <w:rPr>
                <w:sz w:val="16"/>
              </w:rPr>
              <w:t>106</w:t>
            </w:r>
          </w:p>
        </w:tc>
        <w:tc>
          <w:tcPr>
            <w:tcW w:w="822" w:type="dxa"/>
            <w:vMerge w:val="restart"/>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Royalties for Regions Fund:</w:t>
            </w:r>
          </w:p>
        </w:tc>
        <w:tc>
          <w:tcPr>
            <w:tcW w:w="822" w:type="dxa"/>
            <w:vMerge/>
            <w:tcBorders>
              <w:top w:val="nil"/>
              <w:bottom w:val="single" w:sz="4" w:space="0" w:color="000000"/>
            </w:tcBorders>
            <w:shd w:val="clear" w:color="auto" w:fill="E1E4BB"/>
          </w:tcPr>
          <w:p>
            <w:pPr>
              <w:rPr>
                <w:sz w:val="2"/>
                <w:szCs w:val="2"/>
              </w:rPr>
            </w:pPr>
          </w:p>
        </w:tc>
        <w:tc>
          <w:tcPr>
            <w:tcW w:w="822" w:type="dxa"/>
            <w:vMerge/>
            <w:tcBorders>
              <w:top w:val="nil"/>
              <w:bottom w:val="single" w:sz="8" w:space="0" w:color="FFFFFF"/>
            </w:tcBorders>
            <w:shd w:val="clear" w:color="auto" w:fill="FAF9F9"/>
          </w:tcPr>
          <w:p>
            <w:pPr>
              <w:rPr>
                <w:sz w:val="2"/>
                <w:szCs w:val="2"/>
              </w:rPr>
            </w:pPr>
          </w:p>
        </w:tc>
      </w:tr>
      <w:tr>
        <w:trPr>
          <w:trHeight w:val="456"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line="244" w:lineRule="auto" w:before="39"/>
              <w:ind w:left="113"/>
              <w:rPr>
                <w:sz w:val="10"/>
              </w:rPr>
            </w:pPr>
            <w:r>
              <w:rPr>
                <w:w w:val="95"/>
                <w:sz w:val="16"/>
              </w:rPr>
              <w:t>Regional Infrastructure and Headworks </w:t>
            </w:r>
            <w:r>
              <w:rPr>
                <w:sz w:val="16"/>
              </w:rPr>
              <w:t>Account</w:t>
            </w:r>
            <w:r>
              <w:rPr>
                <w:position w:val="6"/>
                <w:sz w:val="10"/>
              </w:rPr>
              <w:t>(c)</w:t>
            </w:r>
          </w:p>
        </w:tc>
        <w:tc>
          <w:tcPr>
            <w:tcW w:w="822" w:type="dxa"/>
            <w:vMerge/>
            <w:tcBorders>
              <w:top w:val="nil"/>
              <w:bottom w:val="single" w:sz="4" w:space="0" w:color="000000"/>
            </w:tcBorders>
            <w:shd w:val="clear" w:color="auto" w:fill="E1E4BB"/>
          </w:tcPr>
          <w:p>
            <w:pPr>
              <w:rPr>
                <w:sz w:val="2"/>
                <w:szCs w:val="2"/>
              </w:rPr>
            </w:pPr>
          </w:p>
        </w:tc>
        <w:tc>
          <w:tcPr>
            <w:tcW w:w="822" w:type="dxa"/>
            <w:tcBorders>
              <w:top w:val="single" w:sz="8" w:space="0" w:color="FFFFFF"/>
              <w:bottom w:val="single" w:sz="4" w:space="0" w:color="000000"/>
            </w:tcBorders>
            <w:shd w:val="clear" w:color="auto" w:fill="FAF9F9"/>
          </w:tcPr>
          <w:p>
            <w:pPr>
              <w:pStyle w:val="TableParagraph"/>
              <w:spacing w:before="39"/>
              <w:ind w:right="100"/>
              <w:jc w:val="right"/>
              <w:rPr>
                <w:sz w:val="16"/>
              </w:rPr>
            </w:pPr>
            <w:r>
              <w:rPr>
                <w:w w:val="95"/>
                <w:sz w:val="16"/>
              </w:rPr>
              <w:t>125</w:t>
            </w:r>
          </w:p>
        </w:tc>
      </w:tr>
      <w:tr>
        <w:trPr>
          <w:trHeight w:val="264" w:hRule="atLeast"/>
        </w:trPr>
        <w:tc>
          <w:tcPr>
            <w:tcW w:w="3146"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822" w:type="dxa"/>
            <w:tcBorders>
              <w:top w:val="single" w:sz="4" w:space="0" w:color="000000"/>
              <w:bottom w:val="single" w:sz="4" w:space="0" w:color="000000"/>
            </w:tcBorders>
            <w:shd w:val="clear" w:color="auto" w:fill="DFE1B8"/>
          </w:tcPr>
          <w:p>
            <w:pPr>
              <w:pStyle w:val="TableParagraph"/>
              <w:spacing w:before="39"/>
              <w:ind w:right="100"/>
              <w:jc w:val="right"/>
              <w:rPr>
                <w:sz w:val="16"/>
              </w:rPr>
            </w:pPr>
            <w:r>
              <w:rPr>
                <w:w w:val="95"/>
                <w:sz w:val="16"/>
              </w:rPr>
              <w:t>106</w:t>
            </w:r>
          </w:p>
        </w:tc>
        <w:tc>
          <w:tcPr>
            <w:tcW w:w="822" w:type="dxa"/>
            <w:tcBorders>
              <w:top w:val="single" w:sz="4" w:space="0" w:color="000000"/>
              <w:bottom w:val="single" w:sz="4" w:space="0" w:color="000000"/>
            </w:tcBorders>
            <w:shd w:val="clear" w:color="auto" w:fill="F4F4F4"/>
          </w:tcPr>
          <w:p>
            <w:pPr>
              <w:pStyle w:val="TableParagraph"/>
              <w:spacing w:before="39"/>
              <w:ind w:right="100"/>
              <w:jc w:val="right"/>
              <w:rPr>
                <w:sz w:val="16"/>
              </w:rPr>
            </w:pPr>
            <w:r>
              <w:rPr>
                <w:w w:val="95"/>
                <w:sz w:val="16"/>
              </w:rPr>
              <w:t>125</w:t>
            </w:r>
          </w:p>
        </w:tc>
      </w:tr>
      <w:tr>
        <w:trPr>
          <w:trHeight w:val="231" w:hRule="atLeast"/>
        </w:trPr>
        <w:tc>
          <w:tcPr>
            <w:tcW w:w="3146"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6"/>
              </w:rPr>
            </w:pPr>
          </w:p>
        </w:tc>
        <w:tc>
          <w:tcPr>
            <w:tcW w:w="822" w:type="dxa"/>
            <w:tcBorders>
              <w:top w:val="single" w:sz="4" w:space="0" w:color="000000"/>
              <w:bottom w:val="single" w:sz="34" w:space="0" w:color="FFFFFF"/>
            </w:tcBorders>
            <w:shd w:val="clear" w:color="auto" w:fill="E1E4BB"/>
          </w:tcPr>
          <w:p>
            <w:pPr>
              <w:pStyle w:val="TableParagraph"/>
              <w:spacing w:line="173" w:lineRule="exact" w:before="39"/>
              <w:ind w:right="100"/>
              <w:jc w:val="right"/>
              <w:rPr>
                <w:b/>
                <w:sz w:val="16"/>
              </w:rPr>
            </w:pPr>
            <w:r>
              <w:rPr>
                <w:b/>
                <w:w w:val="95"/>
                <w:sz w:val="16"/>
              </w:rPr>
              <w:t>164,517</w:t>
            </w:r>
          </w:p>
        </w:tc>
        <w:tc>
          <w:tcPr>
            <w:tcW w:w="822" w:type="dxa"/>
            <w:tcBorders>
              <w:top w:val="single" w:sz="4" w:space="0" w:color="000000"/>
              <w:bottom w:val="single" w:sz="34" w:space="0" w:color="FFFFFF"/>
            </w:tcBorders>
            <w:shd w:val="clear" w:color="auto" w:fill="FAF9F9"/>
          </w:tcPr>
          <w:p>
            <w:pPr>
              <w:pStyle w:val="TableParagraph"/>
              <w:spacing w:line="173" w:lineRule="exact" w:before="39"/>
              <w:ind w:right="100"/>
              <w:jc w:val="right"/>
              <w:rPr>
                <w:b/>
                <w:sz w:val="16"/>
              </w:rPr>
            </w:pPr>
            <w:r>
              <w:rPr>
                <w:b/>
                <w:w w:val="95"/>
                <w:sz w:val="16"/>
              </w:rPr>
              <w:t>180,578</w:t>
            </w:r>
          </w:p>
        </w:tc>
      </w:tr>
    </w:tbl>
    <w:p>
      <w:pPr>
        <w:pStyle w:val="ListParagraph"/>
        <w:numPr>
          <w:ilvl w:val="0"/>
          <w:numId w:val="10"/>
        </w:numPr>
        <w:tabs>
          <w:tab w:pos="568" w:val="left" w:leader="none"/>
        </w:tabs>
        <w:spacing w:line="278" w:lineRule="auto" w:before="93" w:after="0"/>
        <w:ind w:left="566" w:right="925" w:hanging="153"/>
        <w:jc w:val="left"/>
        <w:rPr>
          <w:sz w:val="12"/>
        </w:rPr>
      </w:pPr>
      <w:r>
        <w:rPr>
          <w:sz w:val="12"/>
        </w:rPr>
        <w:t>Service appropriations fund the net cost of services delivered. Appropriation revenue comprises</w:t>
      </w:r>
      <w:r>
        <w:rPr>
          <w:spacing w:val="-17"/>
          <w:sz w:val="12"/>
        </w:rPr>
        <w:t> </w:t>
      </w:r>
      <w:r>
        <w:rPr>
          <w:sz w:val="12"/>
        </w:rPr>
        <w:t>a</w:t>
      </w:r>
      <w:r>
        <w:rPr>
          <w:spacing w:val="-17"/>
          <w:sz w:val="12"/>
        </w:rPr>
        <w:t> </w:t>
      </w:r>
      <w:r>
        <w:rPr>
          <w:sz w:val="12"/>
        </w:rPr>
        <w:t>cash</w:t>
      </w:r>
      <w:r>
        <w:rPr>
          <w:spacing w:val="-17"/>
          <w:sz w:val="12"/>
        </w:rPr>
        <w:t> </w:t>
      </w:r>
      <w:r>
        <w:rPr>
          <w:sz w:val="12"/>
        </w:rPr>
        <w:t>component</w:t>
      </w:r>
      <w:r>
        <w:rPr>
          <w:spacing w:val="-17"/>
          <w:sz w:val="12"/>
        </w:rPr>
        <w:t> </w:t>
      </w:r>
      <w:r>
        <w:rPr>
          <w:sz w:val="12"/>
        </w:rPr>
        <w:t>and</w:t>
      </w:r>
      <w:r>
        <w:rPr>
          <w:spacing w:val="-16"/>
          <w:sz w:val="12"/>
        </w:rPr>
        <w:t> </w:t>
      </w:r>
      <w:r>
        <w:rPr>
          <w:sz w:val="12"/>
        </w:rPr>
        <w:t>a</w:t>
      </w:r>
      <w:r>
        <w:rPr>
          <w:spacing w:val="-17"/>
          <w:sz w:val="12"/>
        </w:rPr>
        <w:t> </w:t>
      </w:r>
      <w:r>
        <w:rPr>
          <w:sz w:val="12"/>
        </w:rPr>
        <w:t>receivable</w:t>
      </w:r>
      <w:r>
        <w:rPr>
          <w:spacing w:val="-17"/>
          <w:sz w:val="12"/>
        </w:rPr>
        <w:t> </w:t>
      </w:r>
      <w:r>
        <w:rPr>
          <w:sz w:val="12"/>
        </w:rPr>
        <w:t>(asset).</w:t>
      </w:r>
      <w:r>
        <w:rPr>
          <w:spacing w:val="-17"/>
          <w:sz w:val="12"/>
        </w:rPr>
        <w:t> </w:t>
      </w:r>
      <w:r>
        <w:rPr>
          <w:sz w:val="12"/>
        </w:rPr>
        <w:t>The</w:t>
      </w:r>
      <w:r>
        <w:rPr>
          <w:spacing w:val="-16"/>
          <w:sz w:val="12"/>
        </w:rPr>
        <w:t> </w:t>
      </w:r>
      <w:r>
        <w:rPr>
          <w:sz w:val="12"/>
        </w:rPr>
        <w:t>receivable</w:t>
      </w:r>
      <w:r>
        <w:rPr>
          <w:spacing w:val="-17"/>
          <w:sz w:val="12"/>
        </w:rPr>
        <w:t> </w:t>
      </w:r>
      <w:r>
        <w:rPr>
          <w:sz w:val="12"/>
        </w:rPr>
        <w:t>(holding</w:t>
      </w:r>
      <w:r>
        <w:rPr>
          <w:spacing w:val="-17"/>
          <w:sz w:val="12"/>
        </w:rPr>
        <w:t> </w:t>
      </w:r>
      <w:r>
        <w:rPr>
          <w:sz w:val="12"/>
        </w:rPr>
        <w:t>account) comprises</w:t>
      </w:r>
      <w:r>
        <w:rPr>
          <w:spacing w:val="-11"/>
          <w:sz w:val="12"/>
        </w:rPr>
        <w:t> </w:t>
      </w:r>
      <w:r>
        <w:rPr>
          <w:sz w:val="12"/>
        </w:rPr>
        <w:t>the</w:t>
      </w:r>
      <w:r>
        <w:rPr>
          <w:spacing w:val="-10"/>
          <w:sz w:val="12"/>
        </w:rPr>
        <w:t> </w:t>
      </w:r>
      <w:r>
        <w:rPr>
          <w:sz w:val="12"/>
        </w:rPr>
        <w:t>budgeted</w:t>
      </w:r>
      <w:r>
        <w:rPr>
          <w:spacing w:val="-10"/>
          <w:sz w:val="12"/>
        </w:rPr>
        <w:t> </w:t>
      </w:r>
      <w:r>
        <w:rPr>
          <w:sz w:val="12"/>
        </w:rPr>
        <w:t>depreciation</w:t>
      </w:r>
      <w:r>
        <w:rPr>
          <w:spacing w:val="-10"/>
          <w:sz w:val="12"/>
        </w:rPr>
        <w:t> </w:t>
      </w:r>
      <w:r>
        <w:rPr>
          <w:sz w:val="12"/>
        </w:rPr>
        <w:t>expense</w:t>
      </w:r>
      <w:r>
        <w:rPr>
          <w:spacing w:val="-10"/>
          <w:sz w:val="12"/>
        </w:rPr>
        <w:t> </w:t>
      </w:r>
      <w:r>
        <w:rPr>
          <w:sz w:val="12"/>
        </w:rPr>
        <w:t>for</w:t>
      </w:r>
      <w:r>
        <w:rPr>
          <w:spacing w:val="-11"/>
          <w:sz w:val="12"/>
        </w:rPr>
        <w:t> </w:t>
      </w:r>
      <w:r>
        <w:rPr>
          <w:sz w:val="12"/>
        </w:rPr>
        <w:t>the</w:t>
      </w:r>
      <w:r>
        <w:rPr>
          <w:spacing w:val="-10"/>
          <w:sz w:val="12"/>
        </w:rPr>
        <w:t> </w:t>
      </w:r>
      <w:r>
        <w:rPr>
          <w:sz w:val="12"/>
        </w:rPr>
        <w:t>year</w:t>
      </w:r>
      <w:r>
        <w:rPr>
          <w:spacing w:val="-10"/>
          <w:sz w:val="12"/>
        </w:rPr>
        <w:t> </w:t>
      </w:r>
      <w:r>
        <w:rPr>
          <w:sz w:val="12"/>
        </w:rPr>
        <w:t>and</w:t>
      </w:r>
      <w:r>
        <w:rPr>
          <w:spacing w:val="-10"/>
          <w:sz w:val="12"/>
        </w:rPr>
        <w:t> </w:t>
      </w:r>
      <w:r>
        <w:rPr>
          <w:sz w:val="12"/>
        </w:rPr>
        <w:t>any</w:t>
      </w:r>
      <w:r>
        <w:rPr>
          <w:spacing w:val="-10"/>
          <w:sz w:val="12"/>
        </w:rPr>
        <w:t> </w:t>
      </w:r>
      <w:r>
        <w:rPr>
          <w:sz w:val="12"/>
        </w:rPr>
        <w:t>agreed</w:t>
      </w:r>
      <w:r>
        <w:rPr>
          <w:spacing w:val="-11"/>
          <w:sz w:val="12"/>
        </w:rPr>
        <w:t> </w:t>
      </w:r>
      <w:r>
        <w:rPr>
          <w:sz w:val="12"/>
        </w:rPr>
        <w:t>increase</w:t>
      </w:r>
      <w:r>
        <w:rPr>
          <w:spacing w:val="-10"/>
          <w:sz w:val="12"/>
        </w:rPr>
        <w:t> </w:t>
      </w:r>
      <w:r>
        <w:rPr>
          <w:sz w:val="12"/>
        </w:rPr>
        <w:t>in leave liabilities during the</w:t>
      </w:r>
      <w:r>
        <w:rPr>
          <w:spacing w:val="-4"/>
          <w:sz w:val="12"/>
        </w:rPr>
        <w:t> </w:t>
      </w:r>
      <w:r>
        <w:rPr>
          <w:spacing w:val="-3"/>
          <w:sz w:val="12"/>
        </w:rPr>
        <w:t>year.</w:t>
      </w:r>
    </w:p>
    <w:p>
      <w:pPr>
        <w:pStyle w:val="ListParagraph"/>
        <w:numPr>
          <w:ilvl w:val="0"/>
          <w:numId w:val="10"/>
        </w:numPr>
        <w:tabs>
          <w:tab w:pos="574" w:val="left" w:leader="none"/>
        </w:tabs>
        <w:spacing w:line="138" w:lineRule="exact" w:before="0" w:after="0"/>
        <w:ind w:left="573" w:right="0" w:hanging="160"/>
        <w:jc w:val="left"/>
        <w:rPr>
          <w:sz w:val="12"/>
        </w:rPr>
      </w:pPr>
      <w:r>
        <w:rPr>
          <w:sz w:val="12"/>
        </w:rPr>
        <w:t>Department</w:t>
      </w:r>
      <w:r>
        <w:rPr>
          <w:spacing w:val="-4"/>
          <w:sz w:val="12"/>
        </w:rPr>
        <w:t> </w:t>
      </w:r>
      <w:r>
        <w:rPr>
          <w:sz w:val="12"/>
        </w:rPr>
        <w:t>of</w:t>
      </w:r>
      <w:r>
        <w:rPr>
          <w:spacing w:val="-4"/>
          <w:sz w:val="12"/>
        </w:rPr>
        <w:t> </w:t>
      </w:r>
      <w:r>
        <w:rPr>
          <w:sz w:val="12"/>
        </w:rPr>
        <w:t>the</w:t>
      </w:r>
      <w:r>
        <w:rPr>
          <w:spacing w:val="-3"/>
          <w:sz w:val="12"/>
        </w:rPr>
        <w:t> </w:t>
      </w:r>
      <w:r>
        <w:rPr>
          <w:sz w:val="12"/>
        </w:rPr>
        <w:t>Attorney</w:t>
      </w:r>
      <w:r>
        <w:rPr>
          <w:spacing w:val="-4"/>
          <w:sz w:val="12"/>
        </w:rPr>
        <w:t> </w:t>
      </w:r>
      <w:r>
        <w:rPr>
          <w:sz w:val="12"/>
        </w:rPr>
        <w:t>General</w:t>
      </w:r>
      <w:r>
        <w:rPr>
          <w:spacing w:val="-3"/>
          <w:sz w:val="12"/>
        </w:rPr>
        <w:t> </w:t>
      </w:r>
      <w:r>
        <w:rPr>
          <w:sz w:val="12"/>
        </w:rPr>
        <w:t>and</w:t>
      </w:r>
      <w:r>
        <w:rPr>
          <w:spacing w:val="-4"/>
          <w:sz w:val="12"/>
        </w:rPr>
        <w:t> </w:t>
      </w:r>
      <w:r>
        <w:rPr>
          <w:sz w:val="12"/>
        </w:rPr>
        <w:t>Department</w:t>
      </w:r>
      <w:r>
        <w:rPr>
          <w:spacing w:val="-3"/>
          <w:sz w:val="12"/>
        </w:rPr>
        <w:t> </w:t>
      </w:r>
      <w:r>
        <w:rPr>
          <w:sz w:val="12"/>
        </w:rPr>
        <w:t>of</w:t>
      </w:r>
      <w:r>
        <w:rPr>
          <w:spacing w:val="-4"/>
          <w:sz w:val="12"/>
        </w:rPr>
        <w:t> </w:t>
      </w:r>
      <w:r>
        <w:rPr>
          <w:sz w:val="12"/>
        </w:rPr>
        <w:t>Corrective</w:t>
      </w:r>
      <w:r>
        <w:rPr>
          <w:spacing w:val="-4"/>
          <w:sz w:val="12"/>
        </w:rPr>
        <w:t> </w:t>
      </w:r>
      <w:r>
        <w:rPr>
          <w:sz w:val="12"/>
        </w:rPr>
        <w:t>Services</w:t>
      </w:r>
      <w:r>
        <w:rPr>
          <w:spacing w:val="-3"/>
          <w:sz w:val="12"/>
        </w:rPr>
        <w:t> </w:t>
      </w:r>
      <w:r>
        <w:rPr>
          <w:sz w:val="12"/>
        </w:rPr>
        <w:t>merged</w:t>
      </w:r>
      <w:r>
        <w:rPr>
          <w:spacing w:val="-4"/>
          <w:sz w:val="12"/>
        </w:rPr>
        <w:t> </w:t>
      </w:r>
      <w:r>
        <w:rPr>
          <w:sz w:val="12"/>
        </w:rPr>
        <w:t>on</w:t>
      </w:r>
    </w:p>
    <w:p>
      <w:pPr>
        <w:spacing w:before="22"/>
        <w:ind w:left="566" w:right="0" w:firstLine="0"/>
        <w:jc w:val="left"/>
        <w:rPr>
          <w:sz w:val="12"/>
        </w:rPr>
      </w:pPr>
      <w:r>
        <w:rPr>
          <w:sz w:val="12"/>
        </w:rPr>
        <w:t>1 July 2017 to become Department of Justice due to machinery of government changes.</w:t>
      </w:r>
    </w:p>
    <w:p>
      <w:pPr>
        <w:pStyle w:val="ListParagraph"/>
        <w:numPr>
          <w:ilvl w:val="0"/>
          <w:numId w:val="10"/>
        </w:numPr>
        <w:tabs>
          <w:tab w:pos="568" w:val="left" w:leader="none"/>
        </w:tabs>
        <w:spacing w:line="278" w:lineRule="auto" w:before="22" w:after="0"/>
        <w:ind w:left="566" w:right="1243" w:hanging="153"/>
        <w:jc w:val="left"/>
        <w:rPr>
          <w:sz w:val="12"/>
        </w:rPr>
      </w:pPr>
      <w:r>
        <w:rPr/>
        <w:pict>
          <v:group style="position:absolute;margin-left:817.839111pt;margin-top:11.660129pt;width:24.1pt;height:41.55pt;mso-position-horizontal-relative:page;mso-position-vertical-relative:paragraph;z-index:15712" coordorigin="16357,233" coordsize="482,831">
            <v:shape style="position:absolute;left:16356;top:233;width:482;height:831" coordorigin="16357,233" coordsize="482,831" path="m16772,233l16697,240,16627,259,16562,290,16504,331,16454,381,16413,439,16383,504,16363,574,16357,648,16363,723,16383,793,16413,858,16454,916,16504,966,16562,1007,16627,1038,16697,1057,16772,1064,16789,1063,16805,1062,16822,1060,16838,1058,16838,239,16822,237,16805,235,16789,234,16772,233xe" filled="true" fillcolor="#aebd37" stroked="false">
              <v:path arrowok="t"/>
              <v:fill opacity="13107f" type="solid"/>
            </v:shape>
            <v:shape style="position:absolute;left:16571;top:562;width:93;height:171" coordorigin="16571,562" coordsize="93,171" path="m16590,562l16582,562,16571,573,16571,581,16638,647,16638,649,16571,716,16571,724,16579,732,16582,733,16589,733,16592,732,16655,669,16662,659,16664,649,16664,647,16662,638,16655,628,16590,562xe" filled="true" fillcolor="#000000" stroked="false">
              <v:path arrowok="t"/>
              <v:fill type="solid"/>
            </v:shape>
            <w10:wrap type="none"/>
          </v:group>
        </w:pict>
      </w:r>
      <w:r>
        <w:rPr>
          <w:sz w:val="12"/>
        </w:rPr>
        <w:t>State</w:t>
      </w:r>
      <w:r>
        <w:rPr>
          <w:spacing w:val="-14"/>
          <w:sz w:val="12"/>
        </w:rPr>
        <w:t> </w:t>
      </w:r>
      <w:r>
        <w:rPr>
          <w:sz w:val="12"/>
        </w:rPr>
        <w:t>Government</w:t>
      </w:r>
      <w:r>
        <w:rPr>
          <w:spacing w:val="-13"/>
          <w:sz w:val="12"/>
        </w:rPr>
        <w:t> </w:t>
      </w:r>
      <w:r>
        <w:rPr>
          <w:sz w:val="12"/>
        </w:rPr>
        <w:t>Royalties</w:t>
      </w:r>
      <w:r>
        <w:rPr>
          <w:spacing w:val="-13"/>
          <w:sz w:val="12"/>
        </w:rPr>
        <w:t> </w:t>
      </w:r>
      <w:r>
        <w:rPr>
          <w:sz w:val="12"/>
        </w:rPr>
        <w:t>for</w:t>
      </w:r>
      <w:r>
        <w:rPr>
          <w:spacing w:val="-13"/>
          <w:sz w:val="12"/>
        </w:rPr>
        <w:t> </w:t>
      </w:r>
      <w:r>
        <w:rPr>
          <w:sz w:val="12"/>
        </w:rPr>
        <w:t>Regions</w:t>
      </w:r>
      <w:r>
        <w:rPr>
          <w:spacing w:val="-14"/>
          <w:sz w:val="12"/>
        </w:rPr>
        <w:t> </w:t>
      </w:r>
      <w:r>
        <w:rPr>
          <w:sz w:val="12"/>
        </w:rPr>
        <w:t>funds</w:t>
      </w:r>
      <w:r>
        <w:rPr>
          <w:spacing w:val="-13"/>
          <w:sz w:val="12"/>
        </w:rPr>
        <w:t> </w:t>
      </w:r>
      <w:r>
        <w:rPr>
          <w:sz w:val="12"/>
        </w:rPr>
        <w:t>are</w:t>
      </w:r>
      <w:r>
        <w:rPr>
          <w:spacing w:val="-13"/>
          <w:sz w:val="12"/>
        </w:rPr>
        <w:t> </w:t>
      </w:r>
      <w:r>
        <w:rPr>
          <w:sz w:val="12"/>
        </w:rPr>
        <w:t>used</w:t>
      </w:r>
      <w:r>
        <w:rPr>
          <w:spacing w:val="-13"/>
          <w:sz w:val="12"/>
        </w:rPr>
        <w:t> </w:t>
      </w:r>
      <w:r>
        <w:rPr>
          <w:sz w:val="12"/>
        </w:rPr>
        <w:t>to</w:t>
      </w:r>
      <w:r>
        <w:rPr>
          <w:spacing w:val="-13"/>
          <w:sz w:val="12"/>
        </w:rPr>
        <w:t> </w:t>
      </w:r>
      <w:r>
        <w:rPr>
          <w:sz w:val="12"/>
        </w:rPr>
        <w:t>fund</w:t>
      </w:r>
      <w:r>
        <w:rPr>
          <w:spacing w:val="-14"/>
          <w:sz w:val="12"/>
        </w:rPr>
        <w:t> </w:t>
      </w:r>
      <w:r>
        <w:rPr>
          <w:sz w:val="12"/>
        </w:rPr>
        <w:t>district</w:t>
      </w:r>
      <w:r>
        <w:rPr>
          <w:spacing w:val="-13"/>
          <w:sz w:val="12"/>
        </w:rPr>
        <w:t> </w:t>
      </w:r>
      <w:r>
        <w:rPr>
          <w:sz w:val="12"/>
        </w:rPr>
        <w:t>allowance payments for eligible regional public sector</w:t>
      </w:r>
      <w:r>
        <w:rPr>
          <w:spacing w:val="-13"/>
          <w:sz w:val="12"/>
        </w:rPr>
        <w:t> </w:t>
      </w:r>
      <w:r>
        <w:rPr>
          <w:sz w:val="12"/>
        </w:rPr>
        <w:t>employees.</w:t>
      </w:r>
    </w:p>
    <w:p>
      <w:pPr>
        <w:spacing w:after="0" w:line="278" w:lineRule="auto"/>
        <w:jc w:val="left"/>
        <w:rPr>
          <w:sz w:val="12"/>
        </w:rPr>
        <w:sectPr>
          <w:type w:val="continuous"/>
          <w:pgSz w:w="16840" w:h="11910" w:orient="landscape"/>
          <w:pgMar w:top="1100" w:bottom="280" w:left="0" w:right="0"/>
          <w:cols w:num="2" w:equalWidth="0">
            <w:col w:w="10800" w:space="40"/>
            <w:col w:w="6000"/>
          </w:cols>
        </w:sectPr>
      </w:pPr>
    </w:p>
    <w:p>
      <w:pPr>
        <w:tabs>
          <w:tab w:pos="10886" w:val="left" w:leader="none"/>
          <w:tab w:pos="11199" w:val="left" w:leader="none"/>
          <w:tab w:pos="15849" w:val="left" w:leader="none"/>
        </w:tabs>
        <w:spacing w:before="188"/>
        <w:ind w:left="765" w:right="0" w:firstLine="0"/>
        <w:jc w:val="left"/>
        <w:rPr>
          <w:b/>
          <w:sz w:val="20"/>
        </w:rPr>
      </w:pPr>
      <w:r>
        <w:rPr/>
        <w:pict>
          <v:group style="position:absolute;margin-left:0pt;margin-top:-5.455017pt;width:24.1pt;height:41.55pt;mso-position-horizontal-relative:page;mso-position-vertical-relative:paragraph;z-index:15736" coordorigin="0,-109" coordsize="482,831">
            <v:shape style="position:absolute;left:0;top:-110;width:482;height:831" coordorigin="0,-109" coordsize="482,831" path="m66,-109l49,-109,33,-108,16,-106,0,-103,0,716,16,718,33,720,49,721,66,721,140,715,211,695,275,665,333,624,383,574,424,516,455,451,474,381,481,306,474,231,455,161,424,97,383,39,333,-11,275,-52,211,-83,140,-102,66,-109xe" filled="true" fillcolor="#aebd37" stroked="false">
              <v:path arrowok="t"/>
              <v:fill opacity="13107f" type="solid"/>
            </v:shape>
            <v:shape style="position:absolute;left:174;top:220;width:93;height:171" coordorigin="174,220" coordsize="93,171" path="m256,220l248,220,182,286,176,295,174,305,174,307,176,317,182,326,245,390,249,391,256,391,259,390,267,382,267,374,200,307,200,305,267,239,267,230,256,22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61</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30" w:id="31"/>
      <w:bookmarkEnd w:id="31"/>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ind w:left="785"/>
      </w:pPr>
      <w:r>
        <w:rPr/>
        <w:pict>
          <v:shape style="position:absolute;margin-left:601.348999pt;margin-top:-57.37421pt;width:120.3pt;height:42.55pt;mso-position-horizontal-relative:page;mso-position-vertical-relative:paragraph;z-index:1595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597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600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3"/>
        <w:rPr>
          <w:sz w:val="15"/>
        </w:rPr>
      </w:pPr>
    </w:p>
    <w:p>
      <w:pPr>
        <w:spacing w:after="0"/>
        <w:rPr>
          <w:sz w:val="15"/>
        </w:rPr>
        <w:sectPr>
          <w:footerReference w:type="default" r:id="rId158"/>
          <w:pgSz w:w="16840" w:h="11910" w:orient="landscape"/>
          <w:pgMar w:footer="774" w:header="0" w:top="0" w:bottom="960" w:left="0" w:right="0"/>
        </w:sectPr>
      </w:pPr>
    </w:p>
    <w:p>
      <w:pPr>
        <w:pStyle w:val="Heading5"/>
        <w:spacing w:line="235" w:lineRule="auto" w:before="116" w:after="31"/>
        <w:ind w:right="2243"/>
      </w:pPr>
      <w:r>
        <w:rPr>
          <w:color w:val="6F2770"/>
          <w:spacing w:val="-3"/>
        </w:rPr>
        <w:t>Note 18. Cash</w:t>
      </w:r>
      <w:r>
        <w:rPr>
          <w:color w:val="6F2770"/>
          <w:spacing w:val="-66"/>
        </w:rPr>
        <w:t> </w:t>
      </w:r>
      <w:r>
        <w:rPr>
          <w:color w:val="6F2770"/>
          <w:spacing w:val="-4"/>
        </w:rPr>
        <w:t>and </w:t>
      </w:r>
      <w:r>
        <w:rPr>
          <w:color w:val="6F2770"/>
          <w:spacing w:val="-3"/>
        </w:rPr>
        <w:t>cash</w:t>
      </w:r>
      <w:r>
        <w:rPr>
          <w:color w:val="6F2770"/>
          <w:spacing w:val="-26"/>
        </w:rPr>
        <w:t> </w:t>
      </w:r>
      <w:r>
        <w:rPr>
          <w:color w:val="6F2770"/>
          <w:spacing w:val="-4"/>
        </w:rPr>
        <w:t>equivalents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Current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right="111"/>
              <w:jc w:val="right"/>
              <w:rPr>
                <w:sz w:val="16"/>
              </w:rPr>
            </w:pPr>
            <w:r>
              <w:rPr>
                <w:w w:val="95"/>
                <w:sz w:val="16"/>
              </w:rPr>
              <w:t>75,888</w:t>
            </w:r>
          </w:p>
          <w:p>
            <w:pPr>
              <w:pStyle w:val="TableParagraph"/>
              <w:spacing w:before="101"/>
              <w:ind w:right="111"/>
              <w:jc w:val="right"/>
              <w:rPr>
                <w:sz w:val="16"/>
              </w:rPr>
            </w:pPr>
            <w:r>
              <w:rPr>
                <w:w w:val="99"/>
                <w:sz w:val="16"/>
              </w:rPr>
              <w:t>2</w:t>
            </w:r>
          </w:p>
        </w:tc>
        <w:tc>
          <w:tcPr>
            <w:tcW w:w="964" w:type="dxa"/>
            <w:tcBorders>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Cash at bank</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70,616</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Cash on hand</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9"/>
                <w:sz w:val="16"/>
              </w:rPr>
              <w:t>2</w:t>
            </w:r>
          </w:p>
        </w:tc>
      </w:tr>
      <w:tr>
        <w:trPr>
          <w:trHeight w:val="24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before="39"/>
              <w:ind w:left="361"/>
              <w:rPr>
                <w:b/>
                <w:sz w:val="16"/>
              </w:rPr>
            </w:pPr>
            <w:r>
              <w:rPr>
                <w:b/>
                <w:sz w:val="16"/>
              </w:rPr>
              <w:t>75,890</w:t>
            </w:r>
          </w:p>
        </w:tc>
        <w:tc>
          <w:tcPr>
            <w:tcW w:w="964" w:type="dxa"/>
            <w:tcBorders>
              <w:top w:val="single" w:sz="4" w:space="0" w:color="000000"/>
              <w:bottom w:val="single" w:sz="24" w:space="0" w:color="FFFFFF"/>
            </w:tcBorders>
            <w:shd w:val="clear" w:color="auto" w:fill="FAF9F9"/>
          </w:tcPr>
          <w:p>
            <w:pPr>
              <w:pStyle w:val="TableParagraph"/>
              <w:spacing w:before="39"/>
              <w:ind w:right="111"/>
              <w:jc w:val="right"/>
              <w:rPr>
                <w:b/>
                <w:sz w:val="16"/>
              </w:rPr>
            </w:pPr>
            <w:r>
              <w:rPr>
                <w:b/>
                <w:w w:val="95"/>
                <w:sz w:val="16"/>
              </w:rPr>
              <w:t>70,618</w:t>
            </w:r>
          </w:p>
        </w:tc>
      </w:tr>
    </w:tbl>
    <w:p>
      <w:pPr>
        <w:spacing w:line="235" w:lineRule="auto" w:before="322" w:after="31"/>
        <w:ind w:left="765" w:right="856" w:firstLine="0"/>
        <w:jc w:val="left"/>
        <w:rPr>
          <w:sz w:val="32"/>
        </w:rPr>
      </w:pPr>
      <w:r>
        <w:rPr>
          <w:color w:val="6F2770"/>
          <w:spacing w:val="-3"/>
          <w:sz w:val="32"/>
        </w:rPr>
        <w:t>Note</w:t>
      </w:r>
      <w:r>
        <w:rPr>
          <w:color w:val="6F2770"/>
          <w:spacing w:val="-26"/>
          <w:sz w:val="32"/>
        </w:rPr>
        <w:t> </w:t>
      </w:r>
      <w:r>
        <w:rPr>
          <w:color w:val="6F2770"/>
          <w:spacing w:val="-3"/>
          <w:sz w:val="32"/>
        </w:rPr>
        <w:t>19.</w:t>
      </w:r>
      <w:r>
        <w:rPr>
          <w:color w:val="6F2770"/>
          <w:spacing w:val="-26"/>
          <w:sz w:val="32"/>
        </w:rPr>
        <w:t> </w:t>
      </w:r>
      <w:r>
        <w:rPr>
          <w:color w:val="6F2770"/>
          <w:spacing w:val="-4"/>
          <w:sz w:val="32"/>
        </w:rPr>
        <w:t>Restricted</w:t>
      </w:r>
      <w:r>
        <w:rPr>
          <w:color w:val="6F2770"/>
          <w:spacing w:val="-25"/>
          <w:sz w:val="32"/>
        </w:rPr>
        <w:t> </w:t>
      </w:r>
      <w:r>
        <w:rPr>
          <w:color w:val="6F2770"/>
          <w:spacing w:val="-3"/>
          <w:sz w:val="32"/>
        </w:rPr>
        <w:t>cash</w:t>
      </w:r>
      <w:r>
        <w:rPr>
          <w:color w:val="6F2770"/>
          <w:spacing w:val="-26"/>
          <w:sz w:val="32"/>
        </w:rPr>
        <w:t> </w:t>
      </w:r>
      <w:r>
        <w:rPr>
          <w:color w:val="6F2770"/>
          <w:spacing w:val="-4"/>
          <w:sz w:val="32"/>
        </w:rPr>
        <w:t>and </w:t>
      </w:r>
      <w:r>
        <w:rPr>
          <w:color w:val="6F2770"/>
          <w:spacing w:val="-3"/>
          <w:sz w:val="32"/>
        </w:rPr>
        <w:t>cash</w:t>
      </w:r>
      <w:r>
        <w:rPr>
          <w:color w:val="6F2770"/>
          <w:spacing w:val="-12"/>
          <w:sz w:val="32"/>
        </w:rPr>
        <w:t> </w:t>
      </w:r>
      <w:r>
        <w:rPr>
          <w:color w:val="6F2770"/>
          <w:spacing w:val="-4"/>
          <w:sz w:val="32"/>
        </w:rPr>
        <w:t>equivalents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Current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right="111"/>
              <w:jc w:val="right"/>
              <w:rPr>
                <w:sz w:val="16"/>
              </w:rPr>
            </w:pPr>
            <w:r>
              <w:rPr>
                <w:w w:val="95"/>
                <w:sz w:val="16"/>
              </w:rPr>
              <w:t>1,001</w:t>
            </w:r>
          </w:p>
          <w:p>
            <w:pPr>
              <w:pStyle w:val="TableParagraph"/>
              <w:spacing w:before="101"/>
              <w:ind w:right="111"/>
              <w:jc w:val="right"/>
              <w:rPr>
                <w:sz w:val="16"/>
              </w:rPr>
            </w:pPr>
            <w:r>
              <w:rPr>
                <w:w w:val="111"/>
                <w:sz w:val="16"/>
              </w:rPr>
              <w:t>-</w:t>
            </w:r>
          </w:p>
          <w:p>
            <w:pPr>
              <w:pStyle w:val="TableParagraph"/>
              <w:spacing w:before="100"/>
              <w:ind w:right="111"/>
              <w:jc w:val="right"/>
              <w:rPr>
                <w:sz w:val="16"/>
              </w:rPr>
            </w:pPr>
            <w:r>
              <w:rPr>
                <w:w w:val="111"/>
                <w:sz w:val="16"/>
              </w:rPr>
              <w:t>-</w:t>
            </w:r>
          </w:p>
        </w:tc>
        <w:tc>
          <w:tcPr>
            <w:tcW w:w="964" w:type="dxa"/>
            <w:tcBorders>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Indian Ocean Territories Trust Fund</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644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Royalties for Regions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486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Sunset Reserve Account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2,041</w:t>
            </w:r>
          </w:p>
        </w:tc>
      </w:tr>
      <w:tr>
        <w:trPr>
          <w:trHeight w:val="241"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double" w:sz="2" w:space="0" w:color="000000"/>
            </w:tcBorders>
            <w:shd w:val="clear" w:color="auto" w:fill="DFE1B8"/>
          </w:tcPr>
          <w:p>
            <w:pPr>
              <w:pStyle w:val="TableParagraph"/>
              <w:spacing w:line="183" w:lineRule="exact" w:before="39"/>
              <w:ind w:right="111"/>
              <w:jc w:val="right"/>
              <w:rPr>
                <w:b/>
                <w:sz w:val="16"/>
              </w:rPr>
            </w:pPr>
            <w:r>
              <w:rPr>
                <w:b/>
                <w:w w:val="95"/>
                <w:sz w:val="16"/>
              </w:rPr>
              <w:t>1,001</w:t>
            </w:r>
          </w:p>
        </w:tc>
        <w:tc>
          <w:tcPr>
            <w:tcW w:w="964" w:type="dxa"/>
            <w:tcBorders>
              <w:top w:val="single" w:sz="4" w:space="0" w:color="000000"/>
              <w:bottom w:val="double" w:sz="2" w:space="0" w:color="000000"/>
            </w:tcBorders>
            <w:shd w:val="clear" w:color="auto" w:fill="F4F4F4"/>
          </w:tcPr>
          <w:p>
            <w:pPr>
              <w:pStyle w:val="TableParagraph"/>
              <w:spacing w:line="183" w:lineRule="exact" w:before="39"/>
              <w:ind w:right="111"/>
              <w:jc w:val="right"/>
              <w:rPr>
                <w:b/>
                <w:sz w:val="16"/>
              </w:rPr>
            </w:pPr>
            <w:r>
              <w:rPr>
                <w:b/>
                <w:w w:val="95"/>
                <w:sz w:val="16"/>
              </w:rPr>
              <w:t>3,171</w:t>
            </w:r>
          </w:p>
        </w:tc>
      </w:tr>
      <w:tr>
        <w:trPr>
          <w:trHeight w:val="261"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964" w:type="dxa"/>
            <w:vMerge w:val="restart"/>
            <w:tcBorders>
              <w:top w:val="double" w:sz="2" w:space="0" w:color="000000"/>
              <w:bottom w:val="single" w:sz="4" w:space="0" w:color="000000"/>
            </w:tcBorders>
            <w:shd w:val="clear" w:color="auto" w:fill="DFE1B8"/>
          </w:tcPr>
          <w:p>
            <w:pPr>
              <w:pStyle w:val="TableParagraph"/>
              <w:spacing w:before="0"/>
              <w:rPr>
                <w:sz w:val="18"/>
              </w:rPr>
            </w:pPr>
          </w:p>
          <w:p>
            <w:pPr>
              <w:pStyle w:val="TableParagraph"/>
              <w:spacing w:before="0"/>
              <w:rPr>
                <w:sz w:val="18"/>
              </w:rPr>
            </w:pPr>
          </w:p>
          <w:p>
            <w:pPr>
              <w:pStyle w:val="TableParagraph"/>
              <w:spacing w:before="7"/>
              <w:rPr>
                <w:sz w:val="16"/>
              </w:rPr>
            </w:pPr>
          </w:p>
          <w:p>
            <w:pPr>
              <w:pStyle w:val="TableParagraph"/>
              <w:spacing w:before="0"/>
              <w:ind w:left="583"/>
              <w:rPr>
                <w:sz w:val="16"/>
              </w:rPr>
            </w:pPr>
            <w:r>
              <w:rPr>
                <w:sz w:val="16"/>
              </w:rPr>
              <w:t>734</w:t>
            </w:r>
          </w:p>
        </w:tc>
        <w:tc>
          <w:tcPr>
            <w:tcW w:w="964" w:type="dxa"/>
            <w:tcBorders>
              <w:top w:val="double" w:sz="2" w:space="0" w:color="000000"/>
              <w:bottom w:val="single" w:sz="8" w:space="0" w:color="FFFFFF"/>
            </w:tcBorders>
            <w:shd w:val="clear" w:color="auto" w:fill="FAF9F9"/>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Non-current</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Accrued salaries suspense account</w:t>
            </w:r>
            <w:r>
              <w:rPr>
                <w:position w:val="6"/>
                <w:sz w:val="10"/>
              </w:rPr>
              <w:t>(a)</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398</w:t>
            </w:r>
          </w:p>
        </w:tc>
      </w:tr>
      <w:tr>
        <w:trPr>
          <w:trHeight w:val="221"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4"/>
              </w:rPr>
            </w:pPr>
          </w:p>
        </w:tc>
        <w:tc>
          <w:tcPr>
            <w:tcW w:w="964" w:type="dxa"/>
            <w:tcBorders>
              <w:top w:val="single" w:sz="4" w:space="0" w:color="000000"/>
              <w:bottom w:val="single" w:sz="34" w:space="0" w:color="FFFFFF"/>
            </w:tcBorders>
            <w:shd w:val="clear" w:color="auto" w:fill="DFE1B8"/>
          </w:tcPr>
          <w:p>
            <w:pPr>
              <w:pStyle w:val="TableParagraph"/>
              <w:spacing w:line="163" w:lineRule="exact" w:before="39"/>
              <w:ind w:right="111"/>
              <w:jc w:val="right"/>
              <w:rPr>
                <w:b/>
                <w:sz w:val="16"/>
              </w:rPr>
            </w:pPr>
            <w:r>
              <w:rPr>
                <w:b/>
                <w:w w:val="95"/>
                <w:sz w:val="16"/>
              </w:rPr>
              <w:t>734</w:t>
            </w:r>
          </w:p>
        </w:tc>
        <w:tc>
          <w:tcPr>
            <w:tcW w:w="964" w:type="dxa"/>
            <w:tcBorders>
              <w:top w:val="single" w:sz="4" w:space="0" w:color="000000"/>
              <w:bottom w:val="single" w:sz="34" w:space="0" w:color="FFFFFF"/>
            </w:tcBorders>
            <w:shd w:val="clear" w:color="auto" w:fill="F4F4F4"/>
          </w:tcPr>
          <w:p>
            <w:pPr>
              <w:pStyle w:val="TableParagraph"/>
              <w:spacing w:line="163" w:lineRule="exact" w:before="39"/>
              <w:ind w:right="111"/>
              <w:jc w:val="right"/>
              <w:rPr>
                <w:b/>
                <w:sz w:val="16"/>
              </w:rPr>
            </w:pPr>
            <w:r>
              <w:rPr>
                <w:b/>
                <w:w w:val="95"/>
                <w:sz w:val="16"/>
              </w:rPr>
              <w:t>398</w:t>
            </w:r>
          </w:p>
        </w:tc>
      </w:tr>
    </w:tbl>
    <w:p>
      <w:pPr>
        <w:pStyle w:val="ListParagraph"/>
        <w:numPr>
          <w:ilvl w:val="1"/>
          <w:numId w:val="10"/>
        </w:numPr>
        <w:tabs>
          <w:tab w:pos="919" w:val="left" w:leader="none"/>
        </w:tabs>
        <w:spacing w:line="278" w:lineRule="auto" w:before="109" w:after="0"/>
        <w:ind w:left="898" w:right="0" w:hanging="133"/>
        <w:jc w:val="left"/>
        <w:rPr>
          <w:sz w:val="12"/>
        </w:rPr>
      </w:pPr>
      <w:r>
        <w:rPr>
          <w:sz w:val="12"/>
        </w:rPr>
        <w:t>Funds</w:t>
      </w:r>
      <w:r>
        <w:rPr>
          <w:spacing w:val="-7"/>
          <w:sz w:val="12"/>
        </w:rPr>
        <w:t> </w:t>
      </w:r>
      <w:r>
        <w:rPr>
          <w:sz w:val="12"/>
        </w:rPr>
        <w:t>held</w:t>
      </w:r>
      <w:r>
        <w:rPr>
          <w:spacing w:val="-7"/>
          <w:sz w:val="12"/>
        </w:rPr>
        <w:t> </w:t>
      </w:r>
      <w:r>
        <w:rPr>
          <w:sz w:val="12"/>
        </w:rPr>
        <w:t>in</w:t>
      </w:r>
      <w:r>
        <w:rPr>
          <w:spacing w:val="-7"/>
          <w:sz w:val="12"/>
        </w:rPr>
        <w:t> </w:t>
      </w:r>
      <w:r>
        <w:rPr>
          <w:sz w:val="12"/>
        </w:rPr>
        <w:t>the</w:t>
      </w:r>
      <w:r>
        <w:rPr>
          <w:spacing w:val="-7"/>
          <w:sz w:val="12"/>
        </w:rPr>
        <w:t> </w:t>
      </w:r>
      <w:r>
        <w:rPr>
          <w:sz w:val="12"/>
        </w:rPr>
        <w:t>suspense</w:t>
      </w:r>
      <w:r>
        <w:rPr>
          <w:spacing w:val="-7"/>
          <w:sz w:val="12"/>
        </w:rPr>
        <w:t> </w:t>
      </w:r>
      <w:r>
        <w:rPr>
          <w:sz w:val="12"/>
        </w:rPr>
        <w:t>account</w:t>
      </w:r>
      <w:r>
        <w:rPr>
          <w:spacing w:val="-7"/>
          <w:sz w:val="12"/>
        </w:rPr>
        <w:t> </w:t>
      </w:r>
      <w:r>
        <w:rPr>
          <w:sz w:val="12"/>
        </w:rPr>
        <w:t>for</w:t>
      </w:r>
      <w:r>
        <w:rPr>
          <w:spacing w:val="-6"/>
          <w:sz w:val="12"/>
        </w:rPr>
        <w:t> </w:t>
      </w:r>
      <w:r>
        <w:rPr>
          <w:sz w:val="12"/>
        </w:rPr>
        <w:t>the</w:t>
      </w:r>
      <w:r>
        <w:rPr>
          <w:spacing w:val="-7"/>
          <w:sz w:val="12"/>
        </w:rPr>
        <w:t> </w:t>
      </w:r>
      <w:r>
        <w:rPr>
          <w:sz w:val="12"/>
        </w:rPr>
        <w:t>purpose</w:t>
      </w:r>
      <w:r>
        <w:rPr>
          <w:spacing w:val="-7"/>
          <w:sz w:val="12"/>
        </w:rPr>
        <w:t> </w:t>
      </w:r>
      <w:r>
        <w:rPr>
          <w:sz w:val="12"/>
        </w:rPr>
        <w:t>of</w:t>
      </w:r>
      <w:r>
        <w:rPr>
          <w:spacing w:val="-7"/>
          <w:sz w:val="12"/>
        </w:rPr>
        <w:t> </w:t>
      </w:r>
      <w:r>
        <w:rPr>
          <w:sz w:val="12"/>
        </w:rPr>
        <w:t>meeting</w:t>
      </w:r>
      <w:r>
        <w:rPr>
          <w:spacing w:val="-7"/>
          <w:sz w:val="12"/>
        </w:rPr>
        <w:t> </w:t>
      </w:r>
      <w:r>
        <w:rPr>
          <w:sz w:val="12"/>
        </w:rPr>
        <w:t>the</w:t>
      </w:r>
      <w:r>
        <w:rPr>
          <w:spacing w:val="-7"/>
          <w:sz w:val="12"/>
        </w:rPr>
        <w:t> </w:t>
      </w:r>
      <w:r>
        <w:rPr>
          <w:sz w:val="12"/>
        </w:rPr>
        <w:t>27th</w:t>
      </w:r>
      <w:r>
        <w:rPr>
          <w:spacing w:val="-7"/>
          <w:sz w:val="12"/>
        </w:rPr>
        <w:t> </w:t>
      </w:r>
      <w:r>
        <w:rPr>
          <w:sz w:val="12"/>
        </w:rPr>
        <w:t>pay</w:t>
      </w:r>
      <w:r>
        <w:rPr>
          <w:spacing w:val="-6"/>
          <w:sz w:val="12"/>
        </w:rPr>
        <w:t> </w:t>
      </w:r>
      <w:r>
        <w:rPr>
          <w:sz w:val="12"/>
        </w:rPr>
        <w:t>in</w:t>
      </w:r>
      <w:r>
        <w:rPr>
          <w:spacing w:val="-7"/>
          <w:sz w:val="12"/>
        </w:rPr>
        <w:t> </w:t>
      </w:r>
      <w:r>
        <w:rPr>
          <w:sz w:val="12"/>
        </w:rPr>
        <w:t>a</w:t>
      </w:r>
      <w:r>
        <w:rPr>
          <w:spacing w:val="-7"/>
          <w:sz w:val="12"/>
        </w:rPr>
        <w:t> </w:t>
      </w:r>
      <w:r>
        <w:rPr>
          <w:spacing w:val="-3"/>
          <w:sz w:val="12"/>
        </w:rPr>
        <w:t>reporting </w:t>
      </w:r>
      <w:r>
        <w:rPr>
          <w:sz w:val="12"/>
        </w:rPr>
        <w:t>period that occurs every 11th</w:t>
      </w:r>
      <w:r>
        <w:rPr>
          <w:spacing w:val="-3"/>
          <w:sz w:val="12"/>
        </w:rPr>
        <w:t> year.</w:t>
      </w:r>
    </w:p>
    <w:p>
      <w:pPr>
        <w:pStyle w:val="Heading5"/>
        <w:tabs>
          <w:tab w:pos="5633" w:val="left" w:leader="none"/>
        </w:tabs>
        <w:spacing w:before="110"/>
        <w:ind w:left="389"/>
      </w:pPr>
      <w:r>
        <w:rPr/>
        <w:br w:type="column"/>
      </w:r>
      <w:r>
        <w:rPr>
          <w:color w:val="6F2770"/>
        </w:rPr>
        <w:t>Note</w:t>
      </w:r>
      <w:r>
        <w:rPr>
          <w:color w:val="6F2770"/>
          <w:spacing w:val="-27"/>
        </w:rPr>
        <w:t> </w:t>
      </w:r>
      <w:r>
        <w:rPr>
          <w:color w:val="6F2770"/>
        </w:rPr>
        <w:t>20.</w:t>
      </w:r>
      <w:r>
        <w:rPr>
          <w:color w:val="6F2770"/>
          <w:spacing w:val="-26"/>
        </w:rPr>
        <w:t> </w:t>
      </w:r>
      <w:r>
        <w:rPr>
          <w:color w:val="6F2770"/>
        </w:rPr>
        <w:t>Receivables</w:t>
        <w:tab/>
        <w:t>Note 21. Finance lease</w:t>
      </w:r>
      <w:r>
        <w:rPr>
          <w:color w:val="6F2770"/>
          <w:spacing w:val="-67"/>
        </w:rPr>
        <w:t> </w:t>
      </w:r>
      <w:r>
        <w:rPr>
          <w:color w:val="6F2770"/>
        </w:rPr>
        <w:t>receivables</w:t>
      </w:r>
    </w:p>
    <w:p>
      <w:pPr>
        <w:pStyle w:val="BodyText"/>
        <w:spacing w:line="249" w:lineRule="auto" w:before="254"/>
        <w:ind w:left="5633" w:right="751"/>
      </w:pPr>
      <w:r>
        <w:rPr/>
        <w:pict>
          <v:shape style="position:absolute;margin-left:300.471985pt;margin-top:3.529473pt;width:239.55pt;height:194.7pt;mso-position-horizontal-relative:page;mso-position-vertical-relative:paragraph;z-index:160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2018</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2017</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Current</w:t>
                        </w:r>
                      </w:p>
                    </w:tc>
                    <w:tc>
                      <w:tcPr>
                        <w:tcW w:w="964" w:type="dxa"/>
                        <w:shd w:val="clear" w:color="auto" w:fill="E1E4BB"/>
                      </w:tcPr>
                      <w:p>
                        <w:pPr>
                          <w:pStyle w:val="TableParagraph"/>
                          <w:spacing w:before="0"/>
                          <w:rPr>
                            <w:rFonts w:ascii="Times New Roman"/>
                            <w:sz w:val="18"/>
                          </w:rPr>
                        </w:pPr>
                      </w:p>
                    </w:tc>
                    <w:tc>
                      <w:tcPr>
                        <w:tcW w:w="964" w:type="dxa"/>
                        <w:shd w:val="clear" w:color="auto" w:fill="FAF9F9"/>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Receivables</w:t>
                        </w:r>
                      </w:p>
                    </w:tc>
                    <w:tc>
                      <w:tcPr>
                        <w:tcW w:w="964" w:type="dxa"/>
                        <w:shd w:val="clear" w:color="auto" w:fill="E1E4BB"/>
                      </w:tcPr>
                      <w:p>
                        <w:pPr>
                          <w:pStyle w:val="TableParagraph"/>
                          <w:spacing w:before="39"/>
                          <w:ind w:right="111"/>
                          <w:jc w:val="right"/>
                          <w:rPr>
                            <w:sz w:val="16"/>
                          </w:rPr>
                        </w:pPr>
                        <w:r>
                          <w:rPr>
                            <w:w w:val="95"/>
                            <w:sz w:val="16"/>
                          </w:rPr>
                          <w:t>58,142</w:t>
                        </w:r>
                      </w:p>
                    </w:tc>
                    <w:tc>
                      <w:tcPr>
                        <w:tcW w:w="964" w:type="dxa"/>
                        <w:shd w:val="clear" w:color="auto" w:fill="FAF9F9"/>
                      </w:tcPr>
                      <w:p>
                        <w:pPr>
                          <w:pStyle w:val="TableParagraph"/>
                          <w:spacing w:before="39"/>
                          <w:ind w:right="111"/>
                          <w:jc w:val="right"/>
                          <w:rPr>
                            <w:sz w:val="16"/>
                          </w:rPr>
                        </w:pPr>
                        <w:r>
                          <w:rPr>
                            <w:w w:val="95"/>
                            <w:sz w:val="16"/>
                          </w:rPr>
                          <w:t>74,784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Accrued revenue</w:t>
                        </w:r>
                      </w:p>
                    </w:tc>
                    <w:tc>
                      <w:tcPr>
                        <w:tcW w:w="964" w:type="dxa"/>
                        <w:shd w:val="clear" w:color="auto" w:fill="E1E4BB"/>
                      </w:tcPr>
                      <w:p>
                        <w:pPr>
                          <w:pStyle w:val="TableParagraph"/>
                          <w:spacing w:before="39"/>
                          <w:ind w:right="111"/>
                          <w:jc w:val="right"/>
                          <w:rPr>
                            <w:sz w:val="16"/>
                          </w:rPr>
                        </w:pPr>
                        <w:r>
                          <w:rPr>
                            <w:w w:val="95"/>
                            <w:sz w:val="16"/>
                          </w:rPr>
                          <w:t>7,220</w:t>
                        </w:r>
                      </w:p>
                    </w:tc>
                    <w:tc>
                      <w:tcPr>
                        <w:tcW w:w="964" w:type="dxa"/>
                        <w:shd w:val="clear" w:color="auto" w:fill="FAF9F9"/>
                      </w:tcPr>
                      <w:p>
                        <w:pPr>
                          <w:pStyle w:val="TableParagraph"/>
                          <w:spacing w:before="39"/>
                          <w:ind w:right="111"/>
                          <w:jc w:val="right"/>
                          <w:rPr>
                            <w:sz w:val="16"/>
                          </w:rPr>
                        </w:pPr>
                        <w:r>
                          <w:rPr>
                            <w:w w:val="95"/>
                            <w:sz w:val="16"/>
                          </w:rPr>
                          <w:t>6,990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GST receivable</w:t>
                        </w:r>
                      </w:p>
                    </w:tc>
                    <w:tc>
                      <w:tcPr>
                        <w:tcW w:w="964" w:type="dxa"/>
                        <w:shd w:val="clear" w:color="auto" w:fill="E1E4BB"/>
                      </w:tcPr>
                      <w:p>
                        <w:pPr>
                          <w:pStyle w:val="TableParagraph"/>
                          <w:spacing w:before="39"/>
                          <w:ind w:right="111"/>
                          <w:jc w:val="right"/>
                          <w:rPr>
                            <w:sz w:val="16"/>
                          </w:rPr>
                        </w:pPr>
                        <w:r>
                          <w:rPr>
                            <w:w w:val="95"/>
                            <w:sz w:val="16"/>
                          </w:rPr>
                          <w:t>1,993</w:t>
                        </w:r>
                      </w:p>
                    </w:tc>
                    <w:tc>
                      <w:tcPr>
                        <w:tcW w:w="964" w:type="dxa"/>
                        <w:shd w:val="clear" w:color="auto" w:fill="FAF9F9"/>
                      </w:tcPr>
                      <w:p>
                        <w:pPr>
                          <w:pStyle w:val="TableParagraph"/>
                          <w:spacing w:before="39"/>
                          <w:ind w:right="111"/>
                          <w:jc w:val="right"/>
                          <w:rPr>
                            <w:sz w:val="16"/>
                          </w:rPr>
                        </w:pPr>
                        <w:r>
                          <w:rPr>
                            <w:w w:val="111"/>
                            <w:sz w:val="16"/>
                          </w:rPr>
                          <w:t>-</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Interest receivable</w:t>
                        </w:r>
                      </w:p>
                    </w:tc>
                    <w:tc>
                      <w:tcPr>
                        <w:tcW w:w="964" w:type="dxa"/>
                        <w:shd w:val="clear" w:color="auto" w:fill="E1E4BB"/>
                      </w:tcPr>
                      <w:p>
                        <w:pPr>
                          <w:pStyle w:val="TableParagraph"/>
                          <w:spacing w:before="39"/>
                          <w:ind w:right="111"/>
                          <w:jc w:val="right"/>
                          <w:rPr>
                            <w:sz w:val="16"/>
                          </w:rPr>
                        </w:pPr>
                        <w:r>
                          <w:rPr>
                            <w:w w:val="95"/>
                            <w:sz w:val="16"/>
                          </w:rPr>
                          <w:t>61</w:t>
                        </w:r>
                      </w:p>
                    </w:tc>
                    <w:tc>
                      <w:tcPr>
                        <w:tcW w:w="964" w:type="dxa"/>
                        <w:shd w:val="clear" w:color="auto" w:fill="FAF9F9"/>
                      </w:tcPr>
                      <w:p>
                        <w:pPr>
                          <w:pStyle w:val="TableParagraph"/>
                          <w:spacing w:before="39"/>
                          <w:ind w:right="111"/>
                          <w:jc w:val="right"/>
                          <w:rPr>
                            <w:sz w:val="16"/>
                          </w:rPr>
                        </w:pPr>
                        <w:r>
                          <w:rPr>
                            <w:w w:val="95"/>
                            <w:sz w:val="16"/>
                          </w:rPr>
                          <w:t>124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Trust account</w:t>
                        </w:r>
                        <w:r>
                          <w:rPr>
                            <w:position w:val="6"/>
                            <w:sz w:val="10"/>
                          </w:rPr>
                          <w:t>(a)</w:t>
                        </w:r>
                      </w:p>
                    </w:tc>
                    <w:tc>
                      <w:tcPr>
                        <w:tcW w:w="964" w:type="dxa"/>
                        <w:shd w:val="clear" w:color="auto" w:fill="E1E4BB"/>
                      </w:tcPr>
                      <w:p>
                        <w:pPr>
                          <w:pStyle w:val="TableParagraph"/>
                          <w:spacing w:before="39"/>
                          <w:ind w:right="111"/>
                          <w:jc w:val="right"/>
                          <w:rPr>
                            <w:sz w:val="16"/>
                          </w:rPr>
                        </w:pPr>
                        <w:r>
                          <w:rPr>
                            <w:w w:val="95"/>
                            <w:sz w:val="16"/>
                          </w:rPr>
                          <w:t>1,849</w:t>
                        </w:r>
                      </w:p>
                    </w:tc>
                    <w:tc>
                      <w:tcPr>
                        <w:tcW w:w="964" w:type="dxa"/>
                        <w:shd w:val="clear" w:color="auto" w:fill="FAF9F9"/>
                      </w:tcPr>
                      <w:p>
                        <w:pPr>
                          <w:pStyle w:val="TableParagraph"/>
                          <w:spacing w:before="39"/>
                          <w:ind w:right="111"/>
                          <w:jc w:val="right"/>
                          <w:rPr>
                            <w:sz w:val="16"/>
                          </w:rPr>
                        </w:pPr>
                        <w:r>
                          <w:rPr>
                            <w:w w:val="95"/>
                            <w:sz w:val="16"/>
                          </w:rPr>
                          <w:t>6,203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Underbillings</w:t>
                        </w:r>
                        <w:r>
                          <w:rPr>
                            <w:position w:val="6"/>
                            <w:sz w:val="10"/>
                          </w:rPr>
                          <w:t>(b)</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63,121</w:t>
                        </w:r>
                      </w:p>
                    </w:tc>
                    <w:tc>
                      <w:tcPr>
                        <w:tcW w:w="964" w:type="dxa"/>
                        <w:tcBorders>
                          <w:bottom w:val="single" w:sz="4" w:space="0" w:color="000000"/>
                        </w:tcBorders>
                        <w:shd w:val="clear" w:color="auto" w:fill="FAF9F9"/>
                      </w:tcPr>
                      <w:p>
                        <w:pPr>
                          <w:pStyle w:val="TableParagraph"/>
                          <w:spacing w:before="39"/>
                          <w:ind w:right="111"/>
                          <w:jc w:val="right"/>
                          <w:rPr>
                            <w:sz w:val="16"/>
                          </w:rPr>
                        </w:pPr>
                        <w:r>
                          <w:rPr>
                            <w:w w:val="95"/>
                            <w:sz w:val="16"/>
                          </w:rPr>
                          <w:t>88,330</w:t>
                        </w:r>
                      </w:p>
                    </w:tc>
                  </w:tr>
                  <w:tr>
                    <w:trPr>
                      <w:trHeight w:val="241" w:hRule="atLeast"/>
                    </w:trPr>
                    <w:tc>
                      <w:tcPr>
                        <w:tcW w:w="2863" w:type="dxa"/>
                        <w:tcBorders>
                          <w:top w:val="single" w:sz="8" w:space="0" w:color="FFFFFF"/>
                          <w:bottom w:val="single" w:sz="8" w:space="0" w:color="FFFFFF"/>
                        </w:tcBorders>
                        <w:shd w:val="clear" w:color="auto" w:fill="FAF9F9"/>
                      </w:tcPr>
                      <w:p>
                        <w:pPr>
                          <w:pStyle w:val="TableParagraph"/>
                          <w:spacing w:line="183" w:lineRule="exact" w:before="39"/>
                          <w:ind w:left="113"/>
                          <w:rPr>
                            <w:b/>
                            <w:sz w:val="16"/>
                          </w:rPr>
                        </w:pPr>
                        <w:r>
                          <w:rPr>
                            <w:b/>
                            <w:sz w:val="16"/>
                          </w:rPr>
                          <w:t>Total current</w:t>
                        </w:r>
                      </w:p>
                    </w:tc>
                    <w:tc>
                      <w:tcPr>
                        <w:tcW w:w="964" w:type="dxa"/>
                        <w:tcBorders>
                          <w:top w:val="single" w:sz="4" w:space="0" w:color="000000"/>
                          <w:bottom w:val="double" w:sz="2" w:space="0" w:color="000000"/>
                        </w:tcBorders>
                        <w:shd w:val="clear" w:color="auto" w:fill="E1E4BB"/>
                      </w:tcPr>
                      <w:p>
                        <w:pPr>
                          <w:pStyle w:val="TableParagraph"/>
                          <w:spacing w:line="183" w:lineRule="exact" w:before="39"/>
                          <w:ind w:right="111"/>
                          <w:jc w:val="right"/>
                          <w:rPr>
                            <w:b/>
                            <w:sz w:val="16"/>
                          </w:rPr>
                        </w:pPr>
                        <w:r>
                          <w:rPr>
                            <w:b/>
                            <w:w w:val="95"/>
                            <w:sz w:val="16"/>
                          </w:rPr>
                          <w:t>132,386</w:t>
                        </w:r>
                      </w:p>
                    </w:tc>
                    <w:tc>
                      <w:tcPr>
                        <w:tcW w:w="964" w:type="dxa"/>
                        <w:tcBorders>
                          <w:top w:val="single" w:sz="4" w:space="0" w:color="000000"/>
                          <w:bottom w:val="double" w:sz="2" w:space="0" w:color="000000"/>
                        </w:tcBorders>
                        <w:shd w:val="clear" w:color="auto" w:fill="FAF9F9"/>
                      </w:tcPr>
                      <w:p>
                        <w:pPr>
                          <w:pStyle w:val="TableParagraph"/>
                          <w:spacing w:line="183" w:lineRule="exact" w:before="39"/>
                          <w:ind w:right="111"/>
                          <w:jc w:val="right"/>
                          <w:rPr>
                            <w:b/>
                            <w:sz w:val="16"/>
                          </w:rPr>
                        </w:pPr>
                        <w:r>
                          <w:rPr>
                            <w:b/>
                            <w:w w:val="95"/>
                            <w:sz w:val="16"/>
                          </w:rPr>
                          <w:t>176,431</w:t>
                        </w:r>
                      </w:p>
                    </w:tc>
                  </w:tr>
                  <w:tr>
                    <w:trPr>
                      <w:trHeight w:val="261"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964" w:type="dxa"/>
                        <w:vMerge w:val="restart"/>
                        <w:tcBorders>
                          <w:top w:val="double" w:sz="2"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7"/>
                          <w:rPr>
                            <w:sz w:val="16"/>
                          </w:rPr>
                        </w:pPr>
                      </w:p>
                      <w:p>
                        <w:pPr>
                          <w:pStyle w:val="TableParagraph"/>
                          <w:spacing w:before="0"/>
                          <w:ind w:left="583"/>
                          <w:rPr>
                            <w:sz w:val="16"/>
                          </w:rPr>
                        </w:pPr>
                        <w:r>
                          <w:rPr>
                            <w:sz w:val="16"/>
                          </w:rPr>
                          <w:t>535</w:t>
                        </w:r>
                      </w:p>
                    </w:tc>
                    <w:tc>
                      <w:tcPr>
                        <w:tcW w:w="964" w:type="dxa"/>
                        <w:vMerge w:val="restart"/>
                        <w:tcBorders>
                          <w:top w:val="double" w:sz="2" w:space="0" w:color="000000"/>
                          <w:bottom w:val="single" w:sz="4" w:space="0" w:color="000000"/>
                        </w:tcBorders>
                        <w:shd w:val="clear" w:color="auto" w:fill="FAF9F9"/>
                      </w:tcPr>
                      <w:p>
                        <w:pPr>
                          <w:pStyle w:val="TableParagraph"/>
                          <w:spacing w:before="0"/>
                          <w:rPr>
                            <w:sz w:val="18"/>
                          </w:rPr>
                        </w:pPr>
                      </w:p>
                      <w:p>
                        <w:pPr>
                          <w:pStyle w:val="TableParagraph"/>
                          <w:spacing w:before="0"/>
                          <w:rPr>
                            <w:sz w:val="18"/>
                          </w:rPr>
                        </w:pPr>
                      </w:p>
                      <w:p>
                        <w:pPr>
                          <w:pStyle w:val="TableParagraph"/>
                          <w:spacing w:before="7"/>
                          <w:rPr>
                            <w:sz w:val="16"/>
                          </w:rPr>
                        </w:pPr>
                      </w:p>
                      <w:p>
                        <w:pPr>
                          <w:pStyle w:val="TableParagraph"/>
                          <w:spacing w:before="0"/>
                          <w:ind w:left="449"/>
                          <w:rPr>
                            <w:sz w:val="16"/>
                          </w:rPr>
                        </w:pPr>
                        <w:r>
                          <w:rPr>
                            <w:sz w:val="16"/>
                          </w:rPr>
                          <w:t>1,948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6F2770"/>
                            <w:sz w:val="16"/>
                          </w:rPr>
                          <w:t>Non-current</w:t>
                        </w:r>
                      </w:p>
                    </w:tc>
                    <w:tc>
                      <w:tcPr>
                        <w:tcW w:w="964" w:type="dxa"/>
                        <w:vMerge/>
                        <w:tcBorders>
                          <w:top w:val="nil"/>
                          <w:bottom w:val="single" w:sz="4" w:space="0" w:color="000000"/>
                        </w:tcBorders>
                        <w:shd w:val="clear" w:color="auto" w:fill="E1E4BB"/>
                      </w:tcPr>
                      <w:p>
                        <w:pPr>
                          <w:rPr>
                            <w:sz w:val="2"/>
                            <w:szCs w:val="2"/>
                          </w:rPr>
                        </w:pPr>
                      </w:p>
                    </w:tc>
                    <w:tc>
                      <w:tcPr>
                        <w:tcW w:w="964" w:type="dxa"/>
                        <w:vMerge/>
                        <w:tcBorders>
                          <w:top w:val="nil"/>
                          <w:bottom w:val="single" w:sz="4" w:space="0" w:color="000000"/>
                        </w:tcBorders>
                        <w:shd w:val="clear" w:color="auto" w:fill="FAF9F9"/>
                      </w:tcPr>
                      <w:p>
                        <w:pPr>
                          <w:rPr>
                            <w:sz w:val="2"/>
                            <w:szCs w:val="2"/>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Receivables</w:t>
                        </w:r>
                      </w:p>
                    </w:tc>
                    <w:tc>
                      <w:tcPr>
                        <w:tcW w:w="964" w:type="dxa"/>
                        <w:vMerge/>
                        <w:tcBorders>
                          <w:top w:val="nil"/>
                          <w:bottom w:val="single" w:sz="4" w:space="0" w:color="000000"/>
                        </w:tcBorders>
                        <w:shd w:val="clear" w:color="auto" w:fill="E1E4BB"/>
                      </w:tcPr>
                      <w:p>
                        <w:pPr>
                          <w:rPr>
                            <w:sz w:val="2"/>
                            <w:szCs w:val="2"/>
                          </w:rPr>
                        </w:pPr>
                      </w:p>
                    </w:tc>
                    <w:tc>
                      <w:tcPr>
                        <w:tcW w:w="964" w:type="dxa"/>
                        <w:vMerge/>
                        <w:tcBorders>
                          <w:top w:val="nil"/>
                          <w:bottom w:val="single" w:sz="4" w:space="0" w:color="000000"/>
                        </w:tcBorders>
                        <w:shd w:val="clear" w:color="auto" w:fill="FAF9F9"/>
                      </w:tcPr>
                      <w:p>
                        <w:pPr>
                          <w:rPr>
                            <w:sz w:val="2"/>
                            <w:szCs w:val="2"/>
                          </w:rPr>
                        </w:pPr>
                      </w:p>
                    </w:tc>
                  </w:tr>
                  <w:tr>
                    <w:trPr>
                      <w:trHeight w:val="241" w:hRule="atLeast"/>
                    </w:trPr>
                    <w:tc>
                      <w:tcPr>
                        <w:tcW w:w="2863" w:type="dxa"/>
                        <w:tcBorders>
                          <w:top w:val="single" w:sz="8" w:space="0" w:color="FFFFFF"/>
                          <w:bottom w:val="single" w:sz="8" w:space="0" w:color="FFFFFF"/>
                        </w:tcBorders>
                        <w:shd w:val="clear" w:color="auto" w:fill="FAF9F9"/>
                      </w:tcPr>
                      <w:p>
                        <w:pPr>
                          <w:pStyle w:val="TableParagraph"/>
                          <w:spacing w:line="183" w:lineRule="exact" w:before="39"/>
                          <w:ind w:left="113"/>
                          <w:rPr>
                            <w:b/>
                            <w:sz w:val="16"/>
                          </w:rPr>
                        </w:pPr>
                        <w:r>
                          <w:rPr>
                            <w:b/>
                            <w:sz w:val="16"/>
                          </w:rPr>
                          <w:t>Total non-current</w:t>
                        </w:r>
                      </w:p>
                    </w:tc>
                    <w:tc>
                      <w:tcPr>
                        <w:tcW w:w="964" w:type="dxa"/>
                        <w:tcBorders>
                          <w:top w:val="single" w:sz="4" w:space="0" w:color="000000"/>
                          <w:bottom w:val="double" w:sz="2" w:space="0" w:color="000000"/>
                        </w:tcBorders>
                        <w:shd w:val="clear" w:color="auto" w:fill="E1E4BB"/>
                      </w:tcPr>
                      <w:p>
                        <w:pPr>
                          <w:pStyle w:val="TableParagraph"/>
                          <w:spacing w:line="183" w:lineRule="exact" w:before="39"/>
                          <w:ind w:right="111"/>
                          <w:jc w:val="right"/>
                          <w:rPr>
                            <w:b/>
                            <w:sz w:val="16"/>
                          </w:rPr>
                        </w:pPr>
                        <w:r>
                          <w:rPr>
                            <w:b/>
                            <w:w w:val="95"/>
                            <w:sz w:val="16"/>
                          </w:rPr>
                          <w:t>535</w:t>
                        </w:r>
                      </w:p>
                    </w:tc>
                    <w:tc>
                      <w:tcPr>
                        <w:tcW w:w="964" w:type="dxa"/>
                        <w:tcBorders>
                          <w:top w:val="single" w:sz="4" w:space="0" w:color="000000"/>
                          <w:bottom w:val="double" w:sz="2" w:space="0" w:color="000000"/>
                        </w:tcBorders>
                        <w:shd w:val="clear" w:color="auto" w:fill="FAF9F9"/>
                      </w:tcPr>
                      <w:p>
                        <w:pPr>
                          <w:pStyle w:val="TableParagraph"/>
                          <w:spacing w:line="183" w:lineRule="exact" w:before="39"/>
                          <w:ind w:right="111"/>
                          <w:jc w:val="right"/>
                          <w:rPr>
                            <w:b/>
                            <w:sz w:val="16"/>
                          </w:rPr>
                        </w:pPr>
                        <w:r>
                          <w:rPr>
                            <w:b/>
                            <w:w w:val="95"/>
                            <w:sz w:val="16"/>
                          </w:rPr>
                          <w:t>1,948</w:t>
                        </w:r>
                      </w:p>
                    </w:tc>
                  </w:tr>
                </w:tbl>
                <w:p>
                  <w:pPr>
                    <w:pStyle w:val="BodyText"/>
                  </w:pPr>
                </w:p>
              </w:txbxContent>
            </v:textbox>
            <w10:wrap type="none"/>
          </v:shape>
        </w:pict>
      </w:r>
      <w:r>
        <w:rPr/>
        <w:t>The Department leases vehicles to Western Australian</w:t>
      </w:r>
      <w:r>
        <w:rPr>
          <w:spacing w:val="-40"/>
        </w:rPr>
        <w:t> </w:t>
      </w:r>
      <w:r>
        <w:rPr/>
        <w:t>State</w:t>
      </w:r>
      <w:r>
        <w:rPr>
          <w:spacing w:val="-40"/>
        </w:rPr>
        <w:t> </w:t>
      </w:r>
      <w:r>
        <w:rPr/>
        <w:t>Government</w:t>
      </w:r>
      <w:r>
        <w:rPr>
          <w:spacing w:val="-39"/>
        </w:rPr>
        <w:t> </w:t>
      </w:r>
      <w:r>
        <w:rPr/>
        <w:t>agencies</w:t>
      </w:r>
      <w:r>
        <w:rPr>
          <w:spacing w:val="-40"/>
        </w:rPr>
        <w:t> </w:t>
      </w:r>
      <w:r>
        <w:rPr/>
        <w:t>and</w:t>
      </w:r>
      <w:r>
        <w:rPr>
          <w:spacing w:val="-40"/>
        </w:rPr>
        <w:t> </w:t>
      </w:r>
      <w:r>
        <w:rPr/>
        <w:t>entities. The</w:t>
      </w:r>
      <w:r>
        <w:rPr>
          <w:spacing w:val="-11"/>
        </w:rPr>
        <w:t> </w:t>
      </w:r>
      <w:r>
        <w:rPr/>
        <w:t>majority</w:t>
      </w:r>
      <w:r>
        <w:rPr>
          <w:spacing w:val="-11"/>
        </w:rPr>
        <w:t> </w:t>
      </w:r>
      <w:r>
        <w:rPr/>
        <w:t>of</w:t>
      </w:r>
      <w:r>
        <w:rPr>
          <w:spacing w:val="-10"/>
        </w:rPr>
        <w:t> </w:t>
      </w:r>
      <w:r>
        <w:rPr/>
        <w:t>leases</w:t>
      </w:r>
      <w:r>
        <w:rPr>
          <w:spacing w:val="-11"/>
        </w:rPr>
        <w:t> </w:t>
      </w:r>
      <w:r>
        <w:rPr/>
        <w:t>are</w:t>
      </w:r>
      <w:r>
        <w:rPr>
          <w:spacing w:val="-10"/>
        </w:rPr>
        <w:t> </w:t>
      </w:r>
      <w:r>
        <w:rPr/>
        <w:t>operating</w:t>
      </w:r>
      <w:r>
        <w:rPr>
          <w:spacing w:val="-11"/>
        </w:rPr>
        <w:t> </w:t>
      </w:r>
      <w:r>
        <w:rPr/>
        <w:t>leases,</w:t>
      </w:r>
    </w:p>
    <w:p>
      <w:pPr>
        <w:pStyle w:val="BodyText"/>
        <w:spacing w:before="2"/>
        <w:ind w:left="5633"/>
      </w:pPr>
      <w:r>
        <w:rPr/>
        <w:t>the balance are finance leases.</w:t>
      </w:r>
    </w:p>
    <w:p>
      <w:pPr>
        <w:pStyle w:val="BodyText"/>
        <w:spacing w:before="11"/>
        <w:rPr>
          <w:sz w:val="23"/>
        </w:rPr>
      </w:pPr>
    </w:p>
    <w:p>
      <w:pPr>
        <w:pStyle w:val="Heading6"/>
        <w:ind w:left="5633"/>
      </w:pPr>
      <w:r>
        <w:rPr/>
        <w:t>Finance lease receivables</w:t>
      </w:r>
    </w:p>
    <w:p>
      <w:pPr>
        <w:pStyle w:val="BodyText"/>
        <w:spacing w:line="249" w:lineRule="auto" w:before="11"/>
        <w:ind w:left="5633" w:right="874"/>
      </w:pPr>
      <w:r>
        <w:rPr/>
        <w:t>At</w:t>
      </w:r>
      <w:r>
        <w:rPr>
          <w:spacing w:val="-20"/>
        </w:rPr>
        <w:t> </w:t>
      </w:r>
      <w:r>
        <w:rPr/>
        <w:t>balance</w:t>
      </w:r>
      <w:r>
        <w:rPr>
          <w:spacing w:val="-19"/>
        </w:rPr>
        <w:t> </w:t>
      </w:r>
      <w:r>
        <w:rPr/>
        <w:t>date,</w:t>
      </w:r>
      <w:r>
        <w:rPr>
          <w:spacing w:val="-19"/>
        </w:rPr>
        <w:t> </w:t>
      </w:r>
      <w:r>
        <w:rPr/>
        <w:t>the</w:t>
      </w:r>
      <w:r>
        <w:rPr>
          <w:spacing w:val="-20"/>
        </w:rPr>
        <w:t> </w:t>
      </w:r>
      <w:r>
        <w:rPr/>
        <w:t>term</w:t>
      </w:r>
      <w:r>
        <w:rPr>
          <w:spacing w:val="-19"/>
        </w:rPr>
        <w:t> </w:t>
      </w:r>
      <w:r>
        <w:rPr/>
        <w:t>of</w:t>
      </w:r>
      <w:r>
        <w:rPr>
          <w:spacing w:val="-19"/>
        </w:rPr>
        <w:t> </w:t>
      </w:r>
      <w:r>
        <w:rPr/>
        <w:t>existing</w:t>
      </w:r>
      <w:r>
        <w:rPr>
          <w:spacing w:val="-20"/>
        </w:rPr>
        <w:t> </w:t>
      </w:r>
      <w:r>
        <w:rPr/>
        <w:t>finance</w:t>
      </w:r>
      <w:r>
        <w:rPr>
          <w:spacing w:val="-19"/>
        </w:rPr>
        <w:t> </w:t>
      </w:r>
      <w:r>
        <w:rPr>
          <w:spacing w:val="-4"/>
        </w:rPr>
        <w:t>lease </w:t>
      </w:r>
      <w:r>
        <w:rPr/>
        <w:t>contracts</w:t>
      </w:r>
      <w:r>
        <w:rPr>
          <w:spacing w:val="-11"/>
        </w:rPr>
        <w:t> </w:t>
      </w:r>
      <w:r>
        <w:rPr/>
        <w:t>varies</w:t>
      </w:r>
      <w:r>
        <w:rPr>
          <w:spacing w:val="-10"/>
        </w:rPr>
        <w:t> </w:t>
      </w:r>
      <w:r>
        <w:rPr/>
        <w:t>between</w:t>
      </w:r>
      <w:r>
        <w:rPr>
          <w:spacing w:val="-10"/>
        </w:rPr>
        <w:t> </w:t>
      </w:r>
      <w:r>
        <w:rPr/>
        <w:t>four</w:t>
      </w:r>
      <w:r>
        <w:rPr>
          <w:spacing w:val="-11"/>
        </w:rPr>
        <w:t> </w:t>
      </w:r>
      <w:r>
        <w:rPr/>
        <w:t>and</w:t>
      </w:r>
      <w:r>
        <w:rPr>
          <w:spacing w:val="-10"/>
        </w:rPr>
        <w:t> </w:t>
      </w:r>
      <w:r>
        <w:rPr/>
        <w:t>five</w:t>
      </w:r>
      <w:r>
        <w:rPr>
          <w:spacing w:val="-10"/>
        </w:rPr>
        <w:t> </w:t>
      </w:r>
      <w:r>
        <w:rPr/>
        <w:t>years.</w:t>
      </w:r>
    </w:p>
    <w:p>
      <w:pPr>
        <w:pStyle w:val="BodyText"/>
        <w:spacing w:line="249" w:lineRule="auto" w:before="2"/>
        <w:ind w:left="5633" w:right="828"/>
      </w:pPr>
      <w:r>
        <w:rPr/>
        <w:t>A contract is subject to a fixed market rate of interest</w:t>
      </w:r>
      <w:r>
        <w:rPr>
          <w:spacing w:val="-15"/>
        </w:rPr>
        <w:t> </w:t>
      </w:r>
      <w:r>
        <w:rPr/>
        <w:t>set</w:t>
      </w:r>
      <w:r>
        <w:rPr>
          <w:spacing w:val="-15"/>
        </w:rPr>
        <w:t> </w:t>
      </w:r>
      <w:r>
        <w:rPr/>
        <w:t>at</w:t>
      </w:r>
      <w:r>
        <w:rPr>
          <w:spacing w:val="-14"/>
        </w:rPr>
        <w:t> </w:t>
      </w:r>
      <w:r>
        <w:rPr/>
        <w:t>the</w:t>
      </w:r>
      <w:r>
        <w:rPr>
          <w:spacing w:val="-15"/>
        </w:rPr>
        <w:t> </w:t>
      </w:r>
      <w:r>
        <w:rPr/>
        <w:t>time</w:t>
      </w:r>
      <w:r>
        <w:rPr>
          <w:spacing w:val="-15"/>
        </w:rPr>
        <w:t> </w:t>
      </w:r>
      <w:r>
        <w:rPr/>
        <w:t>the</w:t>
      </w:r>
      <w:r>
        <w:rPr>
          <w:spacing w:val="-14"/>
        </w:rPr>
        <w:t> </w:t>
      </w:r>
      <w:r>
        <w:rPr/>
        <w:t>contract</w:t>
      </w:r>
      <w:r>
        <w:rPr>
          <w:spacing w:val="-15"/>
        </w:rPr>
        <w:t> </w:t>
      </w:r>
      <w:r>
        <w:rPr/>
        <w:t>is</w:t>
      </w:r>
      <w:r>
        <w:rPr>
          <w:spacing w:val="-14"/>
        </w:rPr>
        <w:t> </w:t>
      </w:r>
      <w:r>
        <w:rPr/>
        <w:t>established. All contracts contain a renewal option and are secured</w:t>
      </w:r>
      <w:r>
        <w:rPr>
          <w:spacing w:val="-34"/>
        </w:rPr>
        <w:t> </w:t>
      </w:r>
      <w:r>
        <w:rPr/>
        <w:t>by</w:t>
      </w:r>
      <w:r>
        <w:rPr>
          <w:spacing w:val="-34"/>
        </w:rPr>
        <w:t> </w:t>
      </w:r>
      <w:r>
        <w:rPr/>
        <w:t>the</w:t>
      </w:r>
      <w:r>
        <w:rPr>
          <w:spacing w:val="-33"/>
        </w:rPr>
        <w:t> </w:t>
      </w:r>
      <w:r>
        <w:rPr/>
        <w:t>underlying</w:t>
      </w:r>
      <w:r>
        <w:rPr>
          <w:spacing w:val="-34"/>
        </w:rPr>
        <w:t> </w:t>
      </w:r>
      <w:r>
        <w:rPr/>
        <w:t>vehicle.</w:t>
      </w:r>
      <w:r>
        <w:rPr>
          <w:spacing w:val="-33"/>
        </w:rPr>
        <w:t> </w:t>
      </w:r>
      <w:r>
        <w:rPr/>
        <w:t>Residual</w:t>
      </w:r>
      <w:r>
        <w:rPr>
          <w:spacing w:val="-34"/>
        </w:rPr>
        <w:t> </w:t>
      </w:r>
      <w:r>
        <w:rPr/>
        <w:t>values are</w:t>
      </w:r>
      <w:r>
        <w:rPr>
          <w:spacing w:val="-25"/>
        </w:rPr>
        <w:t> </w:t>
      </w:r>
      <w:r>
        <w:rPr/>
        <w:t>guaranteed</w:t>
      </w:r>
      <w:r>
        <w:rPr>
          <w:spacing w:val="-25"/>
        </w:rPr>
        <w:t> </w:t>
      </w:r>
      <w:r>
        <w:rPr/>
        <w:t>by</w:t>
      </w:r>
      <w:r>
        <w:rPr>
          <w:spacing w:val="-25"/>
        </w:rPr>
        <w:t> </w:t>
      </w:r>
      <w:r>
        <w:rPr/>
        <w:t>the</w:t>
      </w:r>
      <w:r>
        <w:rPr>
          <w:spacing w:val="-25"/>
        </w:rPr>
        <w:t> </w:t>
      </w:r>
      <w:r>
        <w:rPr/>
        <w:t>relevant</w:t>
      </w:r>
      <w:r>
        <w:rPr>
          <w:spacing w:val="-25"/>
        </w:rPr>
        <w:t> </w:t>
      </w:r>
      <w:r>
        <w:rPr/>
        <w:t>contracting</w:t>
      </w:r>
      <w:r>
        <w:rPr>
          <w:spacing w:val="-25"/>
        </w:rPr>
        <w:t> </w:t>
      </w:r>
      <w:r>
        <w:rPr>
          <w:spacing w:val="-3"/>
        </w:rPr>
        <w:t>agency </w:t>
      </w:r>
      <w:r>
        <w:rPr/>
        <w:t>or the</w:t>
      </w:r>
      <w:r>
        <w:rPr>
          <w:spacing w:val="-2"/>
        </w:rPr>
        <w:t> </w:t>
      </w:r>
      <w:r>
        <w:rPr>
          <w:spacing w:val="-3"/>
        </w:rPr>
        <w:t>entity.</w:t>
      </w:r>
    </w:p>
    <w:p>
      <w:pPr>
        <w:pStyle w:val="ListParagraph"/>
        <w:numPr>
          <w:ilvl w:val="0"/>
          <w:numId w:val="11"/>
        </w:numPr>
        <w:tabs>
          <w:tab w:pos="544" w:val="left" w:leader="none"/>
        </w:tabs>
        <w:spacing w:line="240" w:lineRule="auto" w:before="179" w:after="0"/>
        <w:ind w:left="543" w:right="0" w:hanging="154"/>
        <w:jc w:val="left"/>
        <w:rPr>
          <w:sz w:val="12"/>
        </w:rPr>
      </w:pPr>
      <w:r>
        <w:rPr/>
        <w:pict>
          <v:shape style="position:absolute;margin-left:562.677002pt;margin-top:13.454124pt;width:239.55pt;height:169.9pt;mso-position-horizontal-relative:page;mso-position-vertical-relative:paragraph;z-index:160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474" w:hRule="atLeast"/>
                    </w:trPr>
                    <w:tc>
                      <w:tcPr>
                        <w:tcW w:w="2863" w:type="dxa"/>
                        <w:tcBorders>
                          <w:bottom w:val="single" w:sz="8" w:space="0" w:color="FFFFFF"/>
                        </w:tcBorders>
                        <w:shd w:val="clear" w:color="auto" w:fill="F4F4F4"/>
                      </w:tcPr>
                      <w:p>
                        <w:pPr>
                          <w:pStyle w:val="TableParagraph"/>
                          <w:spacing w:line="261" w:lineRule="auto" w:before="49"/>
                          <w:ind w:left="113" w:right="439"/>
                          <w:rPr>
                            <w:sz w:val="16"/>
                          </w:rPr>
                        </w:pPr>
                        <w:r>
                          <w:rPr>
                            <w:sz w:val="16"/>
                          </w:rPr>
                          <w:t>Gross</w:t>
                        </w:r>
                        <w:r>
                          <w:rPr>
                            <w:spacing w:val="-23"/>
                            <w:sz w:val="16"/>
                          </w:rPr>
                          <w:t> </w:t>
                        </w:r>
                        <w:r>
                          <w:rPr>
                            <w:sz w:val="16"/>
                          </w:rPr>
                          <w:t>investment</w:t>
                        </w:r>
                        <w:r>
                          <w:rPr>
                            <w:spacing w:val="-23"/>
                            <w:sz w:val="16"/>
                          </w:rPr>
                          <w:t> </w:t>
                        </w:r>
                        <w:r>
                          <w:rPr>
                            <w:sz w:val="16"/>
                          </w:rPr>
                          <w:t>in</w:t>
                        </w:r>
                        <w:r>
                          <w:rPr>
                            <w:spacing w:val="-23"/>
                            <w:sz w:val="16"/>
                          </w:rPr>
                          <w:t> </w:t>
                        </w:r>
                        <w:r>
                          <w:rPr>
                            <w:sz w:val="16"/>
                          </w:rPr>
                          <w:t>finance</w:t>
                        </w:r>
                        <w:r>
                          <w:rPr>
                            <w:spacing w:val="-22"/>
                            <w:sz w:val="16"/>
                          </w:rPr>
                          <w:t> </w:t>
                        </w:r>
                        <w:r>
                          <w:rPr>
                            <w:spacing w:val="-4"/>
                            <w:sz w:val="16"/>
                          </w:rPr>
                          <w:t>lease </w:t>
                        </w:r>
                        <w:r>
                          <w:rPr>
                            <w:sz w:val="16"/>
                          </w:rPr>
                          <w:t>contracts</w:t>
                        </w:r>
                      </w:p>
                    </w:tc>
                    <w:tc>
                      <w:tcPr>
                        <w:tcW w:w="964" w:type="dxa"/>
                        <w:vMerge w:val="restart"/>
                        <w:tcBorders>
                          <w:bottom w:val="single" w:sz="4" w:space="0" w:color="000000"/>
                        </w:tcBorders>
                        <w:shd w:val="clear" w:color="auto" w:fill="DFE1B8"/>
                      </w:tcPr>
                      <w:p>
                        <w:pPr>
                          <w:pStyle w:val="TableParagraph"/>
                          <w:spacing w:before="49"/>
                          <w:ind w:left="583"/>
                          <w:rPr>
                            <w:sz w:val="16"/>
                          </w:rPr>
                        </w:pPr>
                        <w:r>
                          <w:rPr>
                            <w:sz w:val="16"/>
                          </w:rPr>
                          <w:t>686</w:t>
                        </w:r>
                      </w:p>
                      <w:p>
                        <w:pPr>
                          <w:pStyle w:val="TableParagraph"/>
                          <w:spacing w:before="1"/>
                          <w:rPr>
                            <w:sz w:val="26"/>
                          </w:rPr>
                        </w:pPr>
                      </w:p>
                      <w:p>
                        <w:pPr>
                          <w:pStyle w:val="TableParagraph"/>
                          <w:spacing w:before="0"/>
                          <w:ind w:left="595"/>
                          <w:rPr>
                            <w:sz w:val="16"/>
                          </w:rPr>
                        </w:pPr>
                        <w:r>
                          <w:rPr>
                            <w:sz w:val="16"/>
                          </w:rPr>
                          <w:t>(29)</w:t>
                        </w:r>
                      </w:p>
                    </w:tc>
                    <w:tc>
                      <w:tcPr>
                        <w:tcW w:w="964" w:type="dxa"/>
                        <w:vMerge w:val="restart"/>
                        <w:tcBorders>
                          <w:bottom w:val="single" w:sz="4" w:space="0" w:color="000000"/>
                        </w:tcBorders>
                        <w:shd w:val="clear" w:color="auto" w:fill="F4F4F4"/>
                      </w:tcPr>
                      <w:p>
                        <w:pPr>
                          <w:pStyle w:val="TableParagraph"/>
                          <w:spacing w:before="49"/>
                          <w:ind w:left="338" w:right="2"/>
                          <w:jc w:val="center"/>
                          <w:rPr>
                            <w:sz w:val="16"/>
                          </w:rPr>
                        </w:pPr>
                        <w:r>
                          <w:rPr>
                            <w:sz w:val="16"/>
                          </w:rPr>
                          <w:t>1,154</w:t>
                        </w:r>
                      </w:p>
                      <w:p>
                        <w:pPr>
                          <w:pStyle w:val="TableParagraph"/>
                          <w:spacing w:before="1"/>
                          <w:rPr>
                            <w:sz w:val="26"/>
                          </w:rPr>
                        </w:pPr>
                      </w:p>
                      <w:p>
                        <w:pPr>
                          <w:pStyle w:val="TableParagraph"/>
                          <w:spacing w:before="0"/>
                          <w:ind w:left="560" w:right="79"/>
                          <w:jc w:val="center"/>
                          <w:rPr>
                            <w:sz w:val="16"/>
                          </w:rPr>
                        </w:pPr>
                        <w:r>
                          <w:rPr>
                            <w:sz w:val="16"/>
                          </w:rPr>
                          <w:t>(63)</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Less: Unearned finance income</w:t>
                        </w:r>
                      </w:p>
                    </w:tc>
                    <w:tc>
                      <w:tcPr>
                        <w:tcW w:w="964" w:type="dxa"/>
                        <w:vMerge/>
                        <w:tcBorders>
                          <w:top w:val="nil"/>
                          <w:bottom w:val="single" w:sz="4" w:space="0" w:color="000000"/>
                        </w:tcBorders>
                        <w:shd w:val="clear" w:color="auto" w:fill="DFE1B8"/>
                      </w:tcPr>
                      <w:p>
                        <w:pPr>
                          <w:rPr>
                            <w:sz w:val="2"/>
                            <w:szCs w:val="2"/>
                          </w:rPr>
                        </w:pPr>
                      </w:p>
                    </w:tc>
                    <w:tc>
                      <w:tcPr>
                        <w:tcW w:w="964" w:type="dxa"/>
                        <w:vMerge/>
                        <w:tcBorders>
                          <w:top w:val="nil"/>
                          <w:bottom w:val="single" w:sz="4" w:space="0" w:color="000000"/>
                        </w:tcBorders>
                        <w:shd w:val="clear" w:color="auto" w:fill="F4F4F4"/>
                      </w:tcPr>
                      <w:p>
                        <w:pPr>
                          <w:rPr>
                            <w:sz w:val="2"/>
                            <w:szCs w:val="2"/>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526"/>
                          <w:rPr>
                            <w:sz w:val="16"/>
                          </w:rPr>
                        </w:pPr>
                        <w:r>
                          <w:rPr>
                            <w:sz w:val="16"/>
                          </w:rPr>
                          <w:t>Net investment in finance </w:t>
                        </w:r>
                        <w:r>
                          <w:rPr>
                            <w:spacing w:val="-4"/>
                            <w:sz w:val="16"/>
                          </w:rPr>
                          <w:t>lease </w:t>
                        </w:r>
                        <w:r>
                          <w:rPr>
                            <w:sz w:val="16"/>
                          </w:rPr>
                          <w:t>contracts</w:t>
                        </w: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657</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sz w:val="16"/>
                          </w:rPr>
                        </w:pPr>
                        <w:r>
                          <w:rPr>
                            <w:w w:val="95"/>
                            <w:sz w:val="16"/>
                          </w:rPr>
                          <w:t>1,091</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121"/>
                          <w:rPr>
                            <w:sz w:val="16"/>
                          </w:rPr>
                        </w:pPr>
                        <w:r>
                          <w:rPr>
                            <w:sz w:val="16"/>
                          </w:rPr>
                          <w:t>Less:</w:t>
                        </w:r>
                        <w:r>
                          <w:rPr>
                            <w:spacing w:val="-26"/>
                            <w:sz w:val="16"/>
                          </w:rPr>
                          <w:t> </w:t>
                        </w:r>
                        <w:r>
                          <w:rPr>
                            <w:sz w:val="16"/>
                          </w:rPr>
                          <w:t>Unguaranteed</w:t>
                        </w:r>
                        <w:r>
                          <w:rPr>
                            <w:spacing w:val="-26"/>
                            <w:sz w:val="16"/>
                          </w:rPr>
                          <w:t> </w:t>
                        </w:r>
                        <w:r>
                          <w:rPr>
                            <w:sz w:val="16"/>
                          </w:rPr>
                          <w:t>residual</w:t>
                        </w:r>
                        <w:r>
                          <w:rPr>
                            <w:spacing w:val="-26"/>
                            <w:sz w:val="16"/>
                          </w:rPr>
                          <w:t> </w:t>
                        </w:r>
                        <w:r>
                          <w:rPr>
                            <w:sz w:val="16"/>
                          </w:rPr>
                          <w:t>values</w:t>
                        </w:r>
                        <w:r>
                          <w:rPr>
                            <w:spacing w:val="-26"/>
                            <w:sz w:val="16"/>
                          </w:rPr>
                          <w:t> </w:t>
                        </w:r>
                        <w:r>
                          <w:rPr>
                            <w:spacing w:val="-9"/>
                            <w:sz w:val="16"/>
                          </w:rPr>
                          <w:t>of </w:t>
                        </w:r>
                        <w:r>
                          <w:rPr>
                            <w:sz w:val="16"/>
                          </w:rPr>
                          <w:t>the</w:t>
                        </w:r>
                        <w:r>
                          <w:rPr>
                            <w:spacing w:val="-16"/>
                            <w:sz w:val="16"/>
                          </w:rPr>
                          <w:t> </w:t>
                        </w:r>
                        <w:r>
                          <w:rPr>
                            <w:sz w:val="16"/>
                          </w:rPr>
                          <w:t>finance</w:t>
                        </w:r>
                        <w:r>
                          <w:rPr>
                            <w:spacing w:val="-15"/>
                            <w:sz w:val="16"/>
                          </w:rPr>
                          <w:t> </w:t>
                        </w:r>
                        <w:r>
                          <w:rPr>
                            <w:sz w:val="16"/>
                          </w:rPr>
                          <w:t>leases</w:t>
                        </w:r>
                        <w:r>
                          <w:rPr>
                            <w:spacing w:val="-15"/>
                            <w:sz w:val="16"/>
                          </w:rPr>
                          <w:t> </w:t>
                        </w:r>
                        <w:r>
                          <w:rPr>
                            <w:sz w:val="16"/>
                          </w:rPr>
                          <w:t>at</w:t>
                        </w:r>
                        <w:r>
                          <w:rPr>
                            <w:spacing w:val="-15"/>
                            <w:sz w:val="16"/>
                          </w:rPr>
                          <w:t> </w:t>
                        </w:r>
                        <w:r>
                          <w:rPr>
                            <w:sz w:val="16"/>
                          </w:rPr>
                          <w:t>the</w:t>
                        </w:r>
                        <w:r>
                          <w:rPr>
                            <w:spacing w:val="-15"/>
                            <w:sz w:val="16"/>
                          </w:rPr>
                          <w:t> </w:t>
                        </w:r>
                        <w:r>
                          <w:rPr>
                            <w:sz w:val="16"/>
                          </w:rPr>
                          <w:t>balance</w:t>
                        </w:r>
                        <w:r>
                          <w:rPr>
                            <w:spacing w:val="-15"/>
                            <w:sz w:val="16"/>
                          </w:rPr>
                          <w:t> </w:t>
                        </w:r>
                        <w:r>
                          <w:rPr>
                            <w:sz w:val="16"/>
                          </w:rPr>
                          <w:t>date</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111"/>
                            <w:sz w:val="16"/>
                          </w:rPr>
                          <w:t>-</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111"/>
                            <w:sz w:val="16"/>
                          </w:rPr>
                          <w:t>-</w:t>
                        </w: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180"/>
                          <w:rPr>
                            <w:sz w:val="16"/>
                          </w:rPr>
                        </w:pPr>
                        <w:r>
                          <w:rPr>
                            <w:sz w:val="16"/>
                          </w:rPr>
                          <w:t>Present value of the future </w:t>
                        </w:r>
                        <w:r>
                          <w:rPr>
                            <w:spacing w:val="-3"/>
                            <w:sz w:val="16"/>
                          </w:rPr>
                          <w:t>minimum </w:t>
                        </w:r>
                        <w:r>
                          <w:rPr>
                            <w:sz w:val="16"/>
                          </w:rPr>
                          <w:t>lease payment receivables</w:t>
                        </w: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657</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b/>
                            <w:sz w:val="16"/>
                          </w:rPr>
                        </w:pPr>
                        <w:r>
                          <w:rPr>
                            <w:b/>
                            <w:w w:val="95"/>
                            <w:sz w:val="16"/>
                          </w:rPr>
                          <w:t>1,091</w:t>
                        </w:r>
                      </w:p>
                    </w:tc>
                  </w:tr>
                  <w:tr>
                    <w:trPr>
                      <w:trHeight w:val="6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154"/>
                          <w:rPr>
                            <w:sz w:val="16"/>
                          </w:rPr>
                        </w:pPr>
                        <w:r>
                          <w:rPr>
                            <w:sz w:val="16"/>
                          </w:rPr>
                          <w:t>Accumulated allowances for unallocated minimum lease </w:t>
                        </w:r>
                        <w:r>
                          <w:rPr>
                            <w:spacing w:val="-3"/>
                            <w:sz w:val="16"/>
                          </w:rPr>
                          <w:t>payment </w:t>
                        </w:r>
                        <w:r>
                          <w:rPr>
                            <w:sz w:val="16"/>
                          </w:rPr>
                          <w:t>receivables</w:t>
                        </w:r>
                      </w:p>
                    </w:tc>
                    <w:tc>
                      <w:tcPr>
                        <w:tcW w:w="964" w:type="dxa"/>
                        <w:tcBorders>
                          <w:top w:val="single" w:sz="4" w:space="0" w:color="000000"/>
                        </w:tcBorders>
                        <w:shd w:val="clear" w:color="auto" w:fill="E1E4BB"/>
                      </w:tcPr>
                      <w:p>
                        <w:pPr>
                          <w:pStyle w:val="TableParagraph"/>
                          <w:spacing w:before="39"/>
                          <w:ind w:right="111"/>
                          <w:jc w:val="right"/>
                          <w:rPr>
                            <w:sz w:val="16"/>
                          </w:rPr>
                        </w:pPr>
                        <w:r>
                          <w:rPr>
                            <w:w w:val="111"/>
                            <w:sz w:val="16"/>
                          </w:rPr>
                          <w:t>-</w:t>
                        </w:r>
                      </w:p>
                    </w:tc>
                    <w:tc>
                      <w:tcPr>
                        <w:tcW w:w="964" w:type="dxa"/>
                        <w:tcBorders>
                          <w:top w:val="single" w:sz="4" w:space="0" w:color="000000"/>
                        </w:tcBorders>
                        <w:shd w:val="clear" w:color="auto" w:fill="FAF9F9"/>
                      </w:tcPr>
                      <w:p>
                        <w:pPr>
                          <w:pStyle w:val="TableParagraph"/>
                          <w:spacing w:before="39"/>
                          <w:ind w:right="111"/>
                          <w:jc w:val="right"/>
                          <w:rPr>
                            <w:sz w:val="16"/>
                          </w:rPr>
                        </w:pPr>
                        <w:r>
                          <w:rPr>
                            <w:w w:val="111"/>
                            <w:sz w:val="16"/>
                          </w:rPr>
                          <w:t>-</w:t>
                        </w:r>
                      </w:p>
                    </w:tc>
                  </w:tr>
                </w:tbl>
                <w:p>
                  <w:pPr>
                    <w:pStyle w:val="BodyText"/>
                  </w:pPr>
                </w:p>
              </w:txbxContent>
            </v:textbox>
            <w10:wrap type="none"/>
          </v:shape>
        </w:pict>
      </w:r>
      <w:r>
        <w:rPr>
          <w:sz w:val="12"/>
        </w:rPr>
        <w:t>Relates to funds held in trust by the Department’s corporate property</w:t>
      </w:r>
      <w:r>
        <w:rPr>
          <w:spacing w:val="-6"/>
          <w:sz w:val="12"/>
        </w:rPr>
        <w:t> </w:t>
      </w:r>
      <w:r>
        <w:rPr>
          <w:sz w:val="12"/>
        </w:rPr>
        <w:t>manager</w:t>
      </w:r>
    </w:p>
    <w:p>
      <w:pPr>
        <w:spacing w:line="278" w:lineRule="auto" w:before="22"/>
        <w:ind w:left="556" w:right="6275" w:firstLine="0"/>
        <w:jc w:val="left"/>
        <w:rPr>
          <w:sz w:val="12"/>
        </w:rPr>
      </w:pPr>
      <w:r>
        <w:rPr>
          <w:sz w:val="12"/>
        </w:rPr>
        <w:t>for</w:t>
      </w:r>
      <w:r>
        <w:rPr>
          <w:spacing w:val="-12"/>
          <w:sz w:val="12"/>
        </w:rPr>
        <w:t> </w:t>
      </w:r>
      <w:r>
        <w:rPr>
          <w:sz w:val="12"/>
        </w:rPr>
        <w:t>management</w:t>
      </w:r>
      <w:r>
        <w:rPr>
          <w:spacing w:val="-11"/>
          <w:sz w:val="12"/>
        </w:rPr>
        <w:t> </w:t>
      </w:r>
      <w:r>
        <w:rPr>
          <w:sz w:val="12"/>
        </w:rPr>
        <w:t>of</w:t>
      </w:r>
      <w:r>
        <w:rPr>
          <w:spacing w:val="-12"/>
          <w:sz w:val="12"/>
        </w:rPr>
        <w:t> </w:t>
      </w:r>
      <w:r>
        <w:rPr>
          <w:sz w:val="12"/>
        </w:rPr>
        <w:t>rental</w:t>
      </w:r>
      <w:r>
        <w:rPr>
          <w:spacing w:val="-11"/>
          <w:sz w:val="12"/>
        </w:rPr>
        <w:t> </w:t>
      </w:r>
      <w:r>
        <w:rPr>
          <w:sz w:val="12"/>
        </w:rPr>
        <w:t>services</w:t>
      </w:r>
      <w:r>
        <w:rPr>
          <w:spacing w:val="-11"/>
          <w:sz w:val="12"/>
        </w:rPr>
        <w:t> </w:t>
      </w:r>
      <w:r>
        <w:rPr>
          <w:sz w:val="12"/>
        </w:rPr>
        <w:t>and</w:t>
      </w:r>
      <w:r>
        <w:rPr>
          <w:spacing w:val="-12"/>
          <w:sz w:val="12"/>
        </w:rPr>
        <w:t> </w:t>
      </w:r>
      <w:r>
        <w:rPr>
          <w:sz w:val="12"/>
        </w:rPr>
        <w:t>incidental</w:t>
      </w:r>
      <w:r>
        <w:rPr>
          <w:spacing w:val="-11"/>
          <w:sz w:val="12"/>
        </w:rPr>
        <w:t> </w:t>
      </w:r>
      <w:r>
        <w:rPr>
          <w:sz w:val="12"/>
        </w:rPr>
        <w:t>costs</w:t>
      </w:r>
      <w:r>
        <w:rPr>
          <w:spacing w:val="-11"/>
          <w:sz w:val="12"/>
        </w:rPr>
        <w:t> </w:t>
      </w:r>
      <w:r>
        <w:rPr>
          <w:sz w:val="12"/>
        </w:rPr>
        <w:t>relating</w:t>
      </w:r>
      <w:r>
        <w:rPr>
          <w:spacing w:val="-12"/>
          <w:sz w:val="12"/>
        </w:rPr>
        <w:t> </w:t>
      </w:r>
      <w:r>
        <w:rPr>
          <w:sz w:val="12"/>
        </w:rPr>
        <w:t>to</w:t>
      </w:r>
      <w:r>
        <w:rPr>
          <w:spacing w:val="-11"/>
          <w:sz w:val="12"/>
        </w:rPr>
        <w:t> </w:t>
      </w:r>
      <w:r>
        <w:rPr>
          <w:sz w:val="12"/>
        </w:rPr>
        <w:t>Western</w:t>
      </w:r>
      <w:r>
        <w:rPr>
          <w:spacing w:val="-12"/>
          <w:sz w:val="12"/>
        </w:rPr>
        <w:t> </w:t>
      </w:r>
      <w:r>
        <w:rPr>
          <w:sz w:val="12"/>
        </w:rPr>
        <w:t>Australia Government’s</w:t>
      </w:r>
      <w:r>
        <w:rPr>
          <w:spacing w:val="-10"/>
          <w:sz w:val="12"/>
        </w:rPr>
        <w:t> </w:t>
      </w:r>
      <w:r>
        <w:rPr>
          <w:sz w:val="12"/>
        </w:rPr>
        <w:t>occupation</w:t>
      </w:r>
      <w:r>
        <w:rPr>
          <w:spacing w:val="-10"/>
          <w:sz w:val="12"/>
        </w:rPr>
        <w:t> </w:t>
      </w:r>
      <w:r>
        <w:rPr>
          <w:sz w:val="12"/>
        </w:rPr>
        <w:t>of</w:t>
      </w:r>
      <w:r>
        <w:rPr>
          <w:spacing w:val="-9"/>
          <w:sz w:val="12"/>
        </w:rPr>
        <w:t> </w:t>
      </w:r>
      <w:r>
        <w:rPr>
          <w:sz w:val="12"/>
        </w:rPr>
        <w:t>Gordon</w:t>
      </w:r>
      <w:r>
        <w:rPr>
          <w:spacing w:val="-10"/>
          <w:sz w:val="12"/>
        </w:rPr>
        <w:t> </w:t>
      </w:r>
      <w:r>
        <w:rPr>
          <w:sz w:val="12"/>
        </w:rPr>
        <w:t>Stephenson</w:t>
      </w:r>
      <w:r>
        <w:rPr>
          <w:spacing w:val="-10"/>
          <w:sz w:val="12"/>
        </w:rPr>
        <w:t> </w:t>
      </w:r>
      <w:r>
        <w:rPr>
          <w:sz w:val="12"/>
        </w:rPr>
        <w:t>House.</w:t>
      </w:r>
      <w:r>
        <w:rPr>
          <w:spacing w:val="-9"/>
          <w:sz w:val="12"/>
        </w:rPr>
        <w:t> </w:t>
      </w:r>
      <w:r>
        <w:rPr>
          <w:sz w:val="12"/>
        </w:rPr>
        <w:t>$92,738</w:t>
      </w:r>
      <w:r>
        <w:rPr>
          <w:spacing w:val="-10"/>
          <w:sz w:val="12"/>
        </w:rPr>
        <w:t> </w:t>
      </w:r>
      <w:r>
        <w:rPr>
          <w:sz w:val="12"/>
        </w:rPr>
        <w:t>of</w:t>
      </w:r>
      <w:r>
        <w:rPr>
          <w:spacing w:val="-10"/>
          <w:sz w:val="12"/>
        </w:rPr>
        <w:t> </w:t>
      </w:r>
      <w:r>
        <w:rPr>
          <w:sz w:val="12"/>
        </w:rPr>
        <w:t>funds</w:t>
      </w:r>
      <w:r>
        <w:rPr>
          <w:spacing w:val="-9"/>
          <w:sz w:val="12"/>
        </w:rPr>
        <w:t> </w:t>
      </w:r>
      <w:r>
        <w:rPr>
          <w:spacing w:val="-3"/>
          <w:sz w:val="12"/>
        </w:rPr>
        <w:t>managed </w:t>
      </w:r>
      <w:r>
        <w:rPr>
          <w:sz w:val="12"/>
        </w:rPr>
        <w:t>by Jones Lang Lasalle was transferred to the Department of Local Government, Sport</w:t>
      </w:r>
      <w:r>
        <w:rPr>
          <w:spacing w:val="-16"/>
          <w:sz w:val="12"/>
        </w:rPr>
        <w:t> </w:t>
      </w:r>
      <w:r>
        <w:rPr>
          <w:sz w:val="12"/>
        </w:rPr>
        <w:t>and</w:t>
      </w:r>
      <w:r>
        <w:rPr>
          <w:spacing w:val="-16"/>
          <w:sz w:val="12"/>
        </w:rPr>
        <w:t> </w:t>
      </w:r>
      <w:r>
        <w:rPr>
          <w:sz w:val="12"/>
        </w:rPr>
        <w:t>Cultural</w:t>
      </w:r>
      <w:r>
        <w:rPr>
          <w:spacing w:val="-16"/>
          <w:sz w:val="12"/>
        </w:rPr>
        <w:t> </w:t>
      </w:r>
      <w:r>
        <w:rPr>
          <w:sz w:val="12"/>
        </w:rPr>
        <w:t>Industries</w:t>
      </w:r>
      <w:r>
        <w:rPr>
          <w:spacing w:val="-16"/>
          <w:sz w:val="12"/>
        </w:rPr>
        <w:t> </w:t>
      </w:r>
      <w:r>
        <w:rPr>
          <w:sz w:val="12"/>
        </w:rPr>
        <w:t>(DLGSCI)</w:t>
      </w:r>
      <w:r>
        <w:rPr>
          <w:spacing w:val="-15"/>
          <w:sz w:val="12"/>
        </w:rPr>
        <w:t> </w:t>
      </w:r>
      <w:r>
        <w:rPr>
          <w:sz w:val="12"/>
        </w:rPr>
        <w:t>as</w:t>
      </w:r>
      <w:r>
        <w:rPr>
          <w:spacing w:val="-16"/>
          <w:sz w:val="12"/>
        </w:rPr>
        <w:t> </w:t>
      </w:r>
      <w:r>
        <w:rPr>
          <w:sz w:val="12"/>
        </w:rPr>
        <w:t>the</w:t>
      </w:r>
      <w:r>
        <w:rPr>
          <w:spacing w:val="-16"/>
          <w:sz w:val="12"/>
        </w:rPr>
        <w:t> </w:t>
      </w:r>
      <w:r>
        <w:rPr>
          <w:sz w:val="12"/>
        </w:rPr>
        <w:t>DLGSCI</w:t>
      </w:r>
      <w:r>
        <w:rPr>
          <w:spacing w:val="-16"/>
          <w:sz w:val="12"/>
        </w:rPr>
        <w:t> </w:t>
      </w:r>
      <w:r>
        <w:rPr>
          <w:sz w:val="12"/>
        </w:rPr>
        <w:t>assumed</w:t>
      </w:r>
      <w:r>
        <w:rPr>
          <w:spacing w:val="-15"/>
          <w:sz w:val="12"/>
        </w:rPr>
        <w:t> </w:t>
      </w:r>
      <w:r>
        <w:rPr>
          <w:sz w:val="12"/>
        </w:rPr>
        <w:t>responsibility</w:t>
      </w:r>
      <w:r>
        <w:rPr>
          <w:spacing w:val="-16"/>
          <w:sz w:val="12"/>
        </w:rPr>
        <w:t> </w:t>
      </w:r>
      <w:r>
        <w:rPr>
          <w:sz w:val="12"/>
        </w:rPr>
        <w:t>for</w:t>
      </w:r>
      <w:r>
        <w:rPr>
          <w:spacing w:val="-16"/>
          <w:sz w:val="12"/>
        </w:rPr>
        <w:t> </w:t>
      </w:r>
      <w:r>
        <w:rPr>
          <w:sz w:val="12"/>
        </w:rPr>
        <w:t>the Sunset Heritage Precinct on 1 April</w:t>
      </w:r>
      <w:r>
        <w:rPr>
          <w:spacing w:val="-6"/>
          <w:sz w:val="12"/>
        </w:rPr>
        <w:t> </w:t>
      </w:r>
      <w:r>
        <w:rPr>
          <w:sz w:val="12"/>
        </w:rPr>
        <w:t>2018.</w:t>
      </w:r>
    </w:p>
    <w:p>
      <w:pPr>
        <w:pStyle w:val="ListParagraph"/>
        <w:numPr>
          <w:ilvl w:val="0"/>
          <w:numId w:val="11"/>
        </w:numPr>
        <w:tabs>
          <w:tab w:pos="550" w:val="left" w:leader="none"/>
        </w:tabs>
        <w:spacing w:line="137" w:lineRule="exact" w:before="0" w:after="0"/>
        <w:ind w:left="549" w:right="0" w:hanging="160"/>
        <w:jc w:val="left"/>
        <w:rPr>
          <w:sz w:val="12"/>
        </w:rPr>
      </w:pPr>
      <w:r>
        <w:rPr>
          <w:sz w:val="12"/>
        </w:rPr>
        <w:t>Contract costs incurred but not yet billed to</w:t>
      </w:r>
      <w:r>
        <w:rPr>
          <w:spacing w:val="-2"/>
          <w:sz w:val="12"/>
        </w:rPr>
        <w:t> </w:t>
      </w:r>
      <w:r>
        <w:rPr>
          <w:sz w:val="12"/>
        </w:rPr>
        <w:t>clients.</w:t>
      </w:r>
    </w:p>
    <w:p>
      <w:pPr>
        <w:pStyle w:val="BodyText"/>
        <w:spacing w:before="9"/>
        <w:rPr>
          <w:sz w:val="16"/>
        </w:rPr>
      </w:pPr>
    </w:p>
    <w:p>
      <w:pPr>
        <w:pStyle w:val="BodyText"/>
        <w:spacing w:line="249" w:lineRule="auto"/>
        <w:ind w:left="389" w:right="6252"/>
      </w:pPr>
      <w:r>
        <w:rPr/>
        <w:t>The</w:t>
      </w:r>
      <w:r>
        <w:rPr>
          <w:spacing w:val="-18"/>
        </w:rPr>
        <w:t> </w:t>
      </w:r>
      <w:r>
        <w:rPr/>
        <w:t>Department</w:t>
      </w:r>
      <w:r>
        <w:rPr>
          <w:spacing w:val="-17"/>
        </w:rPr>
        <w:t> </w:t>
      </w:r>
      <w:r>
        <w:rPr/>
        <w:t>does</w:t>
      </w:r>
      <w:r>
        <w:rPr>
          <w:spacing w:val="-17"/>
        </w:rPr>
        <w:t> </w:t>
      </w:r>
      <w:r>
        <w:rPr/>
        <w:t>not</w:t>
      </w:r>
      <w:r>
        <w:rPr>
          <w:spacing w:val="-17"/>
        </w:rPr>
        <w:t> </w:t>
      </w:r>
      <w:r>
        <w:rPr/>
        <w:t>hold</w:t>
      </w:r>
      <w:r>
        <w:rPr>
          <w:spacing w:val="-17"/>
        </w:rPr>
        <w:t> </w:t>
      </w:r>
      <w:r>
        <w:rPr/>
        <w:t>any</w:t>
      </w:r>
      <w:r>
        <w:rPr>
          <w:spacing w:val="-18"/>
        </w:rPr>
        <w:t> </w:t>
      </w:r>
      <w:r>
        <w:rPr/>
        <w:t>collateral</w:t>
      </w:r>
      <w:r>
        <w:rPr>
          <w:spacing w:val="-17"/>
        </w:rPr>
        <w:t> </w:t>
      </w:r>
      <w:r>
        <w:rPr/>
        <w:t>as security</w:t>
      </w:r>
      <w:r>
        <w:rPr>
          <w:spacing w:val="-22"/>
        </w:rPr>
        <w:t> </w:t>
      </w:r>
      <w:r>
        <w:rPr/>
        <w:t>or</w:t>
      </w:r>
      <w:r>
        <w:rPr>
          <w:spacing w:val="-22"/>
        </w:rPr>
        <w:t> </w:t>
      </w:r>
      <w:r>
        <w:rPr/>
        <w:t>other</w:t>
      </w:r>
      <w:r>
        <w:rPr>
          <w:spacing w:val="-22"/>
        </w:rPr>
        <w:t> </w:t>
      </w:r>
      <w:r>
        <w:rPr/>
        <w:t>credit</w:t>
      </w:r>
      <w:r>
        <w:rPr>
          <w:spacing w:val="-21"/>
        </w:rPr>
        <w:t> </w:t>
      </w:r>
      <w:r>
        <w:rPr/>
        <w:t>enhancements</w:t>
      </w:r>
      <w:r>
        <w:rPr>
          <w:spacing w:val="-22"/>
        </w:rPr>
        <w:t> </w:t>
      </w:r>
      <w:r>
        <w:rPr/>
        <w:t>relating</w:t>
      </w:r>
      <w:r>
        <w:rPr>
          <w:spacing w:val="-22"/>
        </w:rPr>
        <w:t> </w:t>
      </w:r>
      <w:r>
        <w:rPr>
          <w:spacing w:val="-9"/>
        </w:rPr>
        <w:t>to </w:t>
      </w:r>
      <w:r>
        <w:rPr/>
        <w:t>receivables.</w:t>
      </w:r>
    </w:p>
    <w:p>
      <w:pPr>
        <w:spacing w:after="0" w:line="249" w:lineRule="auto"/>
        <w:sectPr>
          <w:type w:val="continuous"/>
          <w:pgSz w:w="16840" w:h="11910" w:orient="landscape"/>
          <w:pgMar w:top="1100" w:bottom="280" w:left="0" w:right="0"/>
          <w:cols w:num="2" w:equalWidth="0">
            <w:col w:w="5580" w:space="40"/>
            <w:col w:w="11220"/>
          </w:cols>
        </w:sectPr>
      </w:pPr>
    </w:p>
    <w:p>
      <w:pPr>
        <w:tabs>
          <w:tab w:pos="4810" w:val="left" w:leader="none"/>
          <w:tab w:pos="9621" w:val="left" w:leader="none"/>
          <w:tab w:pos="14432" w:val="left" w:leader="none"/>
        </w:tabs>
        <w:spacing w:line="240" w:lineRule="auto"/>
        <w:ind w:left="0" w:right="-58" w:firstLine="0"/>
        <w:rPr>
          <w:sz w:val="20"/>
        </w:rPr>
      </w:pPr>
      <w:bookmarkStart w:name="_bookmark31" w:id="32"/>
      <w:bookmarkEnd w:id="32"/>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shape style="position:absolute;margin-left:601.348999pt;margin-top:-57.37421pt;width:120.3pt;height:42.55pt;mso-position-horizontal-relative:page;mso-position-vertical-relative:paragraph;z-index:1616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6192"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621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rPr>
          <w:sz w:val="15"/>
        </w:rPr>
      </w:pPr>
    </w:p>
    <w:p>
      <w:pPr>
        <w:spacing w:after="0"/>
        <w:rPr>
          <w:sz w:val="15"/>
        </w:rPr>
        <w:sectPr>
          <w:footerReference w:type="default" r:id="rId159"/>
          <w:pgSz w:w="16840" w:h="11910" w:orient="landscape"/>
          <w:pgMar w:footer="774" w:header="0" w:top="0" w:bottom="960" w:left="0" w:right="0"/>
        </w:sectPr>
      </w:pPr>
    </w:p>
    <w:p>
      <w:pPr>
        <w:pStyle w:val="BodyText"/>
        <w:spacing w:line="249" w:lineRule="auto" w:before="107"/>
        <w:ind w:left="765" w:right="206"/>
      </w:pPr>
      <w:r>
        <w:rPr/>
        <w:t>As at balance date, the gross investment and present</w:t>
      </w:r>
      <w:r>
        <w:rPr>
          <w:spacing w:val="-28"/>
        </w:rPr>
        <w:t> </w:t>
      </w:r>
      <w:r>
        <w:rPr/>
        <w:t>value</w:t>
      </w:r>
      <w:r>
        <w:rPr>
          <w:spacing w:val="-27"/>
        </w:rPr>
        <w:t> </w:t>
      </w:r>
      <w:r>
        <w:rPr/>
        <w:t>of</w:t>
      </w:r>
      <w:r>
        <w:rPr>
          <w:spacing w:val="-28"/>
        </w:rPr>
        <w:t> </w:t>
      </w:r>
      <w:r>
        <w:rPr/>
        <w:t>receivables</w:t>
      </w:r>
      <w:r>
        <w:rPr>
          <w:spacing w:val="-27"/>
        </w:rPr>
        <w:t> </w:t>
      </w:r>
      <w:r>
        <w:rPr/>
        <w:t>relating</w:t>
      </w:r>
      <w:r>
        <w:rPr>
          <w:spacing w:val="-28"/>
        </w:rPr>
        <w:t> </w:t>
      </w:r>
      <w:r>
        <w:rPr/>
        <w:t>to</w:t>
      </w:r>
      <w:r>
        <w:rPr>
          <w:spacing w:val="-27"/>
        </w:rPr>
        <w:t> </w:t>
      </w:r>
      <w:r>
        <w:rPr/>
        <w:t>the</w:t>
      </w:r>
      <w:r>
        <w:rPr>
          <w:spacing w:val="-28"/>
        </w:rPr>
        <w:t> </w:t>
      </w:r>
      <w:r>
        <w:rPr/>
        <w:t>future minimum</w:t>
      </w:r>
      <w:r>
        <w:rPr>
          <w:spacing w:val="-33"/>
        </w:rPr>
        <w:t> </w:t>
      </w:r>
      <w:r>
        <w:rPr/>
        <w:t>lease</w:t>
      </w:r>
      <w:r>
        <w:rPr>
          <w:spacing w:val="-32"/>
        </w:rPr>
        <w:t> </w:t>
      </w:r>
      <w:r>
        <w:rPr/>
        <w:t>payments</w:t>
      </w:r>
      <w:r>
        <w:rPr>
          <w:spacing w:val="-32"/>
        </w:rPr>
        <w:t> </w:t>
      </w:r>
      <w:r>
        <w:rPr/>
        <w:t>under</w:t>
      </w:r>
      <w:r>
        <w:rPr>
          <w:spacing w:val="-32"/>
        </w:rPr>
        <w:t> </w:t>
      </w:r>
      <w:r>
        <w:rPr>
          <w:spacing w:val="-2"/>
        </w:rPr>
        <w:t>non-cancellable </w:t>
      </w:r>
      <w:r>
        <w:rPr/>
        <w:t>finance</w:t>
      </w:r>
      <w:r>
        <w:rPr>
          <w:spacing w:val="-25"/>
        </w:rPr>
        <w:t> </w:t>
      </w:r>
      <w:r>
        <w:rPr/>
        <w:t>lease</w:t>
      </w:r>
      <w:r>
        <w:rPr>
          <w:spacing w:val="-24"/>
        </w:rPr>
        <w:t> </w:t>
      </w:r>
      <w:r>
        <w:rPr/>
        <w:t>arrangements</w:t>
      </w:r>
      <w:r>
        <w:rPr>
          <w:spacing w:val="-25"/>
        </w:rPr>
        <w:t> </w:t>
      </w:r>
      <w:r>
        <w:rPr/>
        <w:t>were</w:t>
      </w:r>
      <w:r>
        <w:rPr>
          <w:spacing w:val="-24"/>
        </w:rPr>
        <w:t> </w:t>
      </w:r>
      <w:r>
        <w:rPr/>
        <w:t>distributed</w:t>
      </w:r>
      <w:r>
        <w:rPr>
          <w:spacing w:val="-24"/>
        </w:rPr>
        <w:t> </w:t>
      </w:r>
      <w:r>
        <w:rPr/>
        <w:t>as follows:</w:t>
      </w:r>
    </w:p>
    <w:p>
      <w:pPr>
        <w:pStyle w:val="BodyText"/>
        <w:spacing w:before="10"/>
        <w:rPr>
          <w:sz w:val="21"/>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Current</w:t>
            </w:r>
          </w:p>
        </w:tc>
        <w:tc>
          <w:tcPr>
            <w:tcW w:w="964" w:type="dxa"/>
            <w:tcBorders>
              <w:bottom w:val="single" w:sz="4" w:space="0" w:color="000000"/>
            </w:tcBorders>
            <w:shd w:val="clear" w:color="auto" w:fill="DFE1B8"/>
          </w:tcPr>
          <w:p>
            <w:pPr>
              <w:pStyle w:val="TableParagraph"/>
              <w:spacing w:before="0"/>
              <w:rPr>
                <w:rFonts w:ascii="Times New Roman"/>
                <w:sz w:val="16"/>
              </w:rPr>
            </w:pPr>
          </w:p>
        </w:tc>
        <w:tc>
          <w:tcPr>
            <w:tcW w:w="964" w:type="dxa"/>
            <w:tcBorders>
              <w:bottom w:val="single" w:sz="4" w:space="0" w:color="000000"/>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Not later than 1 year</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409</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494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Non-current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right="111"/>
              <w:jc w:val="right"/>
              <w:rPr>
                <w:sz w:val="16"/>
              </w:rPr>
            </w:pPr>
            <w:r>
              <w:rPr>
                <w:w w:val="95"/>
                <w:sz w:val="16"/>
              </w:rPr>
              <w:t>219</w:t>
            </w:r>
          </w:p>
          <w:p>
            <w:pPr>
              <w:pStyle w:val="TableParagraph"/>
              <w:spacing w:before="1"/>
              <w:rPr>
                <w:sz w:val="26"/>
              </w:rPr>
            </w:pPr>
          </w:p>
          <w:p>
            <w:pPr>
              <w:pStyle w:val="TableParagraph"/>
              <w:spacing w:before="1"/>
              <w:ind w:right="111"/>
              <w:jc w:val="right"/>
              <w:rPr>
                <w:sz w:val="16"/>
              </w:rPr>
            </w:pPr>
            <w:r>
              <w:rPr>
                <w:w w:val="95"/>
                <w:sz w:val="16"/>
              </w:rPr>
              <w:t>29</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250"/>
              <w:rPr>
                <w:sz w:val="16"/>
              </w:rPr>
            </w:pPr>
            <w:r>
              <w:rPr>
                <w:sz w:val="16"/>
              </w:rPr>
              <w:t>Later than 1 year and not later </w:t>
            </w:r>
            <w:r>
              <w:rPr>
                <w:spacing w:val="-5"/>
                <w:sz w:val="16"/>
              </w:rPr>
              <w:t>than </w:t>
            </w:r>
            <w:r>
              <w:rPr>
                <w:sz w:val="16"/>
              </w:rPr>
              <w:t>5 years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597</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Later than 5 years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111"/>
                <w:sz w:val="16"/>
              </w:rPr>
              <w:t>-</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248</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597</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657</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1,091</w:t>
            </w:r>
          </w:p>
        </w:tc>
      </w:tr>
    </w:tbl>
    <w:p>
      <w:pPr>
        <w:pStyle w:val="BodyText"/>
        <w:spacing w:before="9"/>
        <w:rPr>
          <w:sz w:val="28"/>
        </w:rPr>
      </w:pPr>
    </w:p>
    <w:p>
      <w:pPr>
        <w:pStyle w:val="Heading5"/>
        <w:spacing w:line="235" w:lineRule="auto" w:before="0" w:after="32"/>
        <w:ind w:right="341"/>
      </w:pPr>
      <w:r>
        <w:rPr>
          <w:color w:val="6F2770"/>
        </w:rPr>
        <w:t>Note</w:t>
      </w:r>
      <w:r>
        <w:rPr>
          <w:color w:val="6F2770"/>
          <w:spacing w:val="-31"/>
        </w:rPr>
        <w:t> </w:t>
      </w:r>
      <w:r>
        <w:rPr>
          <w:color w:val="6F2770"/>
        </w:rPr>
        <w:t>22.</w:t>
      </w:r>
      <w:r>
        <w:rPr>
          <w:color w:val="6F2770"/>
          <w:spacing w:val="-31"/>
        </w:rPr>
        <w:t> </w:t>
      </w:r>
      <w:r>
        <w:rPr>
          <w:color w:val="6F2770"/>
        </w:rPr>
        <w:t>Amounts</w:t>
      </w:r>
      <w:r>
        <w:rPr>
          <w:color w:val="6F2770"/>
          <w:spacing w:val="-31"/>
        </w:rPr>
        <w:t> </w:t>
      </w:r>
      <w:r>
        <w:rPr>
          <w:color w:val="6F2770"/>
        </w:rPr>
        <w:t>receivable</w:t>
      </w:r>
      <w:r>
        <w:rPr>
          <w:color w:val="6F2770"/>
          <w:spacing w:val="-31"/>
        </w:rPr>
        <w:t> </w:t>
      </w:r>
      <w:r>
        <w:rPr>
          <w:color w:val="6F2770"/>
          <w:spacing w:val="-6"/>
        </w:rPr>
        <w:t>for </w:t>
      </w:r>
      <w:r>
        <w:rPr>
          <w:color w:val="6F2770"/>
        </w:rPr>
        <w:t>services (Holding</w:t>
      </w:r>
      <w:r>
        <w:rPr>
          <w:color w:val="6F2770"/>
          <w:spacing w:val="-29"/>
        </w:rPr>
        <w:t> </w:t>
      </w:r>
      <w:r>
        <w:rPr>
          <w:color w:val="6F2770"/>
        </w:rPr>
        <w:t>Account)</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Current</w:t>
            </w:r>
          </w:p>
        </w:tc>
        <w:tc>
          <w:tcPr>
            <w:tcW w:w="964" w:type="dxa"/>
            <w:vMerge w:val="restart"/>
            <w:tcBorders>
              <w:bottom w:val="single" w:sz="4" w:space="0" w:color="000000"/>
            </w:tcBorders>
            <w:shd w:val="clear" w:color="auto" w:fill="E1E4BB"/>
          </w:tcPr>
          <w:p>
            <w:pPr>
              <w:pStyle w:val="TableParagraph"/>
              <w:spacing w:before="49"/>
              <w:ind w:left="583"/>
              <w:rPr>
                <w:sz w:val="16"/>
              </w:rPr>
            </w:pPr>
            <w:r>
              <w:rPr>
                <w:sz w:val="16"/>
              </w:rPr>
              <w:t>779</w:t>
            </w:r>
          </w:p>
          <w:p>
            <w:pPr>
              <w:pStyle w:val="TableParagraph"/>
              <w:spacing w:before="100"/>
              <w:ind w:left="272"/>
              <w:rPr>
                <w:sz w:val="16"/>
              </w:rPr>
            </w:pPr>
            <w:r>
              <w:rPr>
                <w:sz w:val="16"/>
              </w:rPr>
              <w:t>523,084</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2,250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Non-current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461,896</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272"/>
              <w:rPr>
                <w:b/>
                <w:sz w:val="16"/>
              </w:rPr>
            </w:pPr>
            <w:r>
              <w:rPr>
                <w:b/>
                <w:sz w:val="16"/>
              </w:rPr>
              <w:t>523,863</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464,146</w:t>
            </w:r>
          </w:p>
        </w:tc>
      </w:tr>
    </w:tbl>
    <w:p>
      <w:pPr>
        <w:pStyle w:val="BodyText"/>
        <w:spacing w:line="249" w:lineRule="auto" w:before="224"/>
        <w:ind w:left="765" w:right="77"/>
      </w:pPr>
      <w:r>
        <w:rPr/>
        <w:t>Represents the non-cash component of service appropriations.</w:t>
      </w:r>
      <w:r>
        <w:rPr>
          <w:spacing w:val="-15"/>
        </w:rPr>
        <w:t> </w:t>
      </w:r>
      <w:r>
        <w:rPr/>
        <w:t>It</w:t>
      </w:r>
      <w:r>
        <w:rPr>
          <w:spacing w:val="-15"/>
        </w:rPr>
        <w:t> </w:t>
      </w:r>
      <w:r>
        <w:rPr/>
        <w:t>is</w:t>
      </w:r>
      <w:r>
        <w:rPr>
          <w:spacing w:val="-14"/>
        </w:rPr>
        <w:t> </w:t>
      </w:r>
      <w:r>
        <w:rPr/>
        <w:t>restricted</w:t>
      </w:r>
      <w:r>
        <w:rPr>
          <w:spacing w:val="-15"/>
        </w:rPr>
        <w:t> </w:t>
      </w:r>
      <w:r>
        <w:rPr/>
        <w:t>in</w:t>
      </w:r>
      <w:r>
        <w:rPr>
          <w:spacing w:val="-14"/>
        </w:rPr>
        <w:t> </w:t>
      </w:r>
      <w:r>
        <w:rPr/>
        <w:t>that</w:t>
      </w:r>
      <w:r>
        <w:rPr>
          <w:spacing w:val="-15"/>
        </w:rPr>
        <w:t> </w:t>
      </w:r>
      <w:r>
        <w:rPr/>
        <w:t>it</w:t>
      </w:r>
      <w:r>
        <w:rPr>
          <w:spacing w:val="-14"/>
        </w:rPr>
        <w:t> </w:t>
      </w:r>
      <w:r>
        <w:rPr/>
        <w:t>can</w:t>
      </w:r>
      <w:r>
        <w:rPr>
          <w:spacing w:val="-15"/>
        </w:rPr>
        <w:t> </w:t>
      </w:r>
      <w:r>
        <w:rPr/>
        <w:t>only</w:t>
      </w:r>
      <w:r>
        <w:rPr>
          <w:spacing w:val="-14"/>
        </w:rPr>
        <w:t> </w:t>
      </w:r>
      <w:r>
        <w:rPr>
          <w:spacing w:val="-9"/>
        </w:rPr>
        <w:t>be </w:t>
      </w:r>
      <w:r>
        <w:rPr/>
        <w:t>used for asset replacement or payment of leave </w:t>
      </w:r>
      <w:r>
        <w:rPr>
          <w:spacing w:val="-3"/>
        </w:rPr>
        <w:t>liability.</w:t>
      </w:r>
    </w:p>
    <w:p>
      <w:pPr>
        <w:pStyle w:val="Heading5"/>
        <w:spacing w:before="113"/>
        <w:ind w:left="413"/>
      </w:pPr>
      <w:r>
        <w:rPr/>
        <w:br w:type="column"/>
      </w:r>
      <w:r>
        <w:rPr>
          <w:color w:val="6F2770"/>
        </w:rPr>
        <w:t>Note 23. Other assets</w:t>
      </w:r>
    </w:p>
    <w:p>
      <w:pPr>
        <w:pStyle w:val="BodyText"/>
        <w:spacing w:before="1"/>
        <w:rPr>
          <w:sz w:val="6"/>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Current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361"/>
              <w:rPr>
                <w:sz w:val="16"/>
              </w:rPr>
            </w:pPr>
            <w:r>
              <w:rPr>
                <w:sz w:val="16"/>
              </w:rPr>
              <w:t>23,980</w:t>
            </w:r>
          </w:p>
          <w:p>
            <w:pPr>
              <w:pStyle w:val="TableParagraph"/>
              <w:spacing w:before="101"/>
              <w:ind w:left="450"/>
              <w:rPr>
                <w:sz w:val="16"/>
              </w:rPr>
            </w:pPr>
            <w:r>
              <w:rPr>
                <w:sz w:val="16"/>
              </w:rPr>
              <w:t>5,367</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Prepayments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24,606</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4,648</w:t>
            </w:r>
          </w:p>
        </w:tc>
      </w:tr>
      <w:tr>
        <w:trPr>
          <w:trHeight w:val="241"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double" w:sz="2" w:space="0" w:color="000000"/>
            </w:tcBorders>
            <w:shd w:val="clear" w:color="auto" w:fill="E1E4BB"/>
          </w:tcPr>
          <w:p>
            <w:pPr>
              <w:pStyle w:val="TableParagraph"/>
              <w:spacing w:line="183" w:lineRule="exact" w:before="39"/>
              <w:ind w:right="111"/>
              <w:jc w:val="right"/>
              <w:rPr>
                <w:b/>
                <w:sz w:val="16"/>
              </w:rPr>
            </w:pPr>
            <w:r>
              <w:rPr>
                <w:b/>
                <w:w w:val="95"/>
                <w:sz w:val="16"/>
              </w:rPr>
              <w:t>29,347</w:t>
            </w:r>
          </w:p>
        </w:tc>
        <w:tc>
          <w:tcPr>
            <w:tcW w:w="964" w:type="dxa"/>
            <w:tcBorders>
              <w:top w:val="single" w:sz="4" w:space="0" w:color="000000"/>
              <w:bottom w:val="double" w:sz="2" w:space="0" w:color="000000"/>
            </w:tcBorders>
            <w:shd w:val="clear" w:color="auto" w:fill="FAF9F9"/>
          </w:tcPr>
          <w:p>
            <w:pPr>
              <w:pStyle w:val="TableParagraph"/>
              <w:spacing w:line="183" w:lineRule="exact" w:before="39"/>
              <w:ind w:right="111"/>
              <w:jc w:val="right"/>
              <w:rPr>
                <w:b/>
                <w:sz w:val="16"/>
              </w:rPr>
            </w:pPr>
            <w:r>
              <w:rPr>
                <w:b/>
                <w:w w:val="95"/>
                <w:sz w:val="16"/>
              </w:rPr>
              <w:t>29,254</w:t>
            </w:r>
          </w:p>
        </w:tc>
      </w:tr>
      <w:tr>
        <w:trPr>
          <w:trHeight w:val="261" w:hRule="atLeast"/>
        </w:trPr>
        <w:tc>
          <w:tcPr>
            <w:tcW w:w="2863" w:type="dxa"/>
            <w:tcBorders>
              <w:top w:val="single" w:sz="8" w:space="0" w:color="FFFFFF"/>
              <w:bottom w:val="single" w:sz="8" w:space="0" w:color="FFFFFF"/>
            </w:tcBorders>
            <w:shd w:val="clear" w:color="auto" w:fill="F4F4F4"/>
          </w:tcPr>
          <w:p>
            <w:pPr>
              <w:pStyle w:val="TableParagraph"/>
              <w:spacing w:before="36"/>
              <w:ind w:left="113"/>
              <w:rPr>
                <w:i/>
                <w:sz w:val="16"/>
              </w:rPr>
            </w:pPr>
            <w:r>
              <w:rPr>
                <w:i/>
                <w:color w:val="6F2770"/>
                <w:sz w:val="16"/>
              </w:rPr>
              <w:t>Non-current</w:t>
            </w:r>
          </w:p>
        </w:tc>
        <w:tc>
          <w:tcPr>
            <w:tcW w:w="964" w:type="dxa"/>
            <w:vMerge w:val="restart"/>
            <w:tcBorders>
              <w:top w:val="double" w:sz="2" w:space="0" w:color="000000"/>
              <w:bottom w:val="single" w:sz="4" w:space="0" w:color="000000"/>
            </w:tcBorders>
            <w:shd w:val="clear" w:color="auto" w:fill="E1E4BB"/>
          </w:tcPr>
          <w:p>
            <w:pPr>
              <w:pStyle w:val="TableParagraph"/>
              <w:spacing w:before="0"/>
              <w:rPr>
                <w:sz w:val="18"/>
              </w:rPr>
            </w:pPr>
          </w:p>
          <w:p>
            <w:pPr>
              <w:pStyle w:val="TableParagraph"/>
              <w:spacing w:before="114"/>
              <w:ind w:left="548" w:right="79"/>
              <w:jc w:val="center"/>
              <w:rPr>
                <w:sz w:val="16"/>
              </w:rPr>
            </w:pPr>
            <w:r>
              <w:rPr>
                <w:sz w:val="16"/>
              </w:rPr>
              <w:t>182</w:t>
            </w:r>
          </w:p>
          <w:p>
            <w:pPr>
              <w:pStyle w:val="TableParagraph"/>
              <w:spacing w:before="100"/>
              <w:ind w:left="338" w:right="2"/>
              <w:jc w:val="center"/>
              <w:rPr>
                <w:sz w:val="16"/>
              </w:rPr>
            </w:pPr>
            <w:r>
              <w:rPr>
                <w:sz w:val="16"/>
              </w:rPr>
              <w:t>4,125</w:t>
            </w:r>
          </w:p>
        </w:tc>
        <w:tc>
          <w:tcPr>
            <w:tcW w:w="964" w:type="dxa"/>
            <w:tcBorders>
              <w:top w:val="double" w:sz="2"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Prepayments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373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6,067</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line="175" w:lineRule="exact" w:before="39"/>
              <w:ind w:right="111"/>
              <w:jc w:val="right"/>
              <w:rPr>
                <w:b/>
                <w:sz w:val="16"/>
              </w:rPr>
            </w:pPr>
            <w:r>
              <w:rPr>
                <w:b/>
                <w:w w:val="95"/>
                <w:sz w:val="16"/>
              </w:rPr>
              <w:t>4,307</w:t>
            </w:r>
          </w:p>
        </w:tc>
        <w:tc>
          <w:tcPr>
            <w:tcW w:w="964" w:type="dxa"/>
            <w:tcBorders>
              <w:top w:val="single" w:sz="4" w:space="0" w:color="000000"/>
              <w:bottom w:val="single" w:sz="24" w:space="0" w:color="FFFFFF"/>
            </w:tcBorders>
            <w:shd w:val="clear" w:color="auto" w:fill="FAF9F9"/>
          </w:tcPr>
          <w:p>
            <w:pPr>
              <w:pStyle w:val="TableParagraph"/>
              <w:spacing w:line="175" w:lineRule="exact" w:before="39"/>
              <w:ind w:right="111"/>
              <w:jc w:val="right"/>
              <w:rPr>
                <w:b/>
                <w:sz w:val="16"/>
              </w:rPr>
            </w:pPr>
            <w:r>
              <w:rPr>
                <w:b/>
                <w:w w:val="95"/>
                <w:sz w:val="16"/>
              </w:rPr>
              <w:t>6,440</w:t>
            </w:r>
          </w:p>
        </w:tc>
      </w:tr>
    </w:tbl>
    <w:p>
      <w:pPr>
        <w:spacing w:line="235" w:lineRule="auto" w:before="320"/>
        <w:ind w:left="413" w:right="1426" w:firstLine="0"/>
        <w:jc w:val="left"/>
        <w:rPr>
          <w:sz w:val="32"/>
        </w:rPr>
      </w:pPr>
      <w:r>
        <w:rPr>
          <w:color w:val="6F2770"/>
          <w:sz w:val="32"/>
        </w:rPr>
        <w:t>Note 24. </w:t>
      </w:r>
      <w:r>
        <w:rPr>
          <w:color w:val="6F2770"/>
          <w:spacing w:val="-4"/>
          <w:sz w:val="32"/>
        </w:rPr>
        <w:t>Property,</w:t>
      </w:r>
      <w:r>
        <w:rPr>
          <w:color w:val="6F2770"/>
          <w:spacing w:val="-59"/>
          <w:sz w:val="32"/>
        </w:rPr>
        <w:t> </w:t>
      </w:r>
      <w:r>
        <w:rPr>
          <w:color w:val="6F2770"/>
          <w:spacing w:val="-3"/>
          <w:sz w:val="32"/>
        </w:rPr>
        <w:t>plant, </w:t>
      </w:r>
      <w:r>
        <w:rPr>
          <w:color w:val="6F2770"/>
          <w:sz w:val="32"/>
        </w:rPr>
        <w:t>equipment and</w:t>
      </w:r>
      <w:r>
        <w:rPr>
          <w:color w:val="6F2770"/>
          <w:spacing w:val="-66"/>
          <w:sz w:val="32"/>
        </w:rPr>
        <w:t> </w:t>
      </w:r>
      <w:r>
        <w:rPr>
          <w:color w:val="6F2770"/>
          <w:sz w:val="32"/>
        </w:rPr>
        <w:t>vehicles</w:t>
      </w:r>
    </w:p>
    <w:p>
      <w:pPr>
        <w:pStyle w:val="BodyText"/>
        <w:spacing w:before="5"/>
        <w:rPr>
          <w:sz w:val="4"/>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74"/>
      </w:tblGrid>
      <w:tr>
        <w:trPr>
          <w:trHeight w:val="481" w:hRule="atLeast"/>
        </w:trPr>
        <w:tc>
          <w:tcPr>
            <w:tcW w:w="4801" w:type="dxa"/>
            <w:gridSpan w:val="3"/>
            <w:shd w:val="clear" w:color="auto" w:fill="783A79"/>
          </w:tcPr>
          <w:p>
            <w:pPr>
              <w:pStyle w:val="TableParagraph"/>
              <w:tabs>
                <w:tab w:pos="963" w:val="left" w:leader="none"/>
              </w:tabs>
              <w:spacing w:before="54"/>
              <w:ind w:right="12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2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Land</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272"/>
              <w:rPr>
                <w:sz w:val="16"/>
              </w:rPr>
            </w:pPr>
            <w:r>
              <w:rPr>
                <w:sz w:val="16"/>
              </w:rPr>
              <w:t>131,229</w:t>
            </w: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At fair value</w:t>
            </w:r>
            <w:r>
              <w:rPr>
                <w:position w:val="6"/>
                <w:sz w:val="10"/>
              </w:rPr>
              <w:t>(a)</w:t>
            </w:r>
          </w:p>
        </w:tc>
        <w:tc>
          <w:tcPr>
            <w:tcW w:w="964" w:type="dxa"/>
            <w:vMerge/>
            <w:tcBorders>
              <w:top w:val="nil"/>
              <w:bottom w:val="single" w:sz="4" w:space="0" w:color="000000"/>
            </w:tcBorders>
            <w:shd w:val="clear" w:color="auto" w:fill="E1E4BB"/>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140,410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131,229</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140,410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6F2770"/>
                <w:sz w:val="16"/>
              </w:rPr>
              <w:t>Buildings</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37" w:right="79"/>
              <w:jc w:val="center"/>
              <w:rPr>
                <w:sz w:val="16"/>
              </w:rPr>
            </w:pPr>
            <w:r>
              <w:rPr>
                <w:sz w:val="16"/>
              </w:rPr>
              <w:t>126,512</w:t>
            </w:r>
          </w:p>
          <w:p>
            <w:pPr>
              <w:pStyle w:val="TableParagraph"/>
              <w:spacing w:before="101"/>
              <w:ind w:left="338" w:right="79"/>
              <w:jc w:val="center"/>
              <w:rPr>
                <w:sz w:val="16"/>
              </w:rPr>
            </w:pPr>
            <w:r>
              <w:rPr>
                <w:sz w:val="16"/>
              </w:rPr>
              <w:t>(2,382)</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At fair value</w:t>
            </w:r>
            <w:r>
              <w:rPr>
                <w:position w:val="6"/>
                <w:sz w:val="10"/>
              </w:rPr>
              <w:t>(a)</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141,624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0"/>
                <w:sz w:val="16"/>
              </w:rPr>
              <w:t>(3,552)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124,130</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138,072</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6F2770"/>
                <w:sz w:val="16"/>
              </w:rPr>
              <w:t>Leasehold improvements</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72"/>
              <w:rPr>
                <w:sz w:val="16"/>
              </w:rPr>
            </w:pPr>
            <w:r>
              <w:rPr>
                <w:sz w:val="16"/>
              </w:rPr>
              <w:t>119,710</w:t>
            </w:r>
          </w:p>
          <w:p>
            <w:pPr>
              <w:pStyle w:val="TableParagraph"/>
              <w:spacing w:before="101"/>
              <w:ind w:left="283"/>
              <w:rPr>
                <w:sz w:val="16"/>
              </w:rPr>
            </w:pPr>
            <w:r>
              <w:rPr>
                <w:sz w:val="16"/>
              </w:rPr>
              <w:t>(37,259)</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107,102</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(29,320)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82,451</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77,782</w:t>
            </w:r>
          </w:p>
        </w:tc>
      </w:tr>
    </w:tbl>
    <w:p>
      <w:pPr>
        <w:pStyle w:val="BodyText"/>
        <w:spacing w:before="6" w:after="1"/>
        <w:rPr>
          <w:sz w:val="13"/>
        </w:rPr>
      </w:pPr>
      <w:r>
        <w:rPr/>
        <w:br w:type="column"/>
      </w:r>
      <w:r>
        <w:rPr>
          <w:sz w:val="13"/>
        </w:rPr>
      </w:r>
    </w:p>
    <w:tbl>
      <w:tblPr>
        <w:tblW w:w="0" w:type="auto"/>
        <w:jc w:val="left"/>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2018</w:t>
              <w:tab/>
            </w:r>
            <w:r>
              <w:rPr>
                <w:b/>
                <w:color w:val="FFFFFF"/>
                <w:w w:val="95"/>
                <w:sz w:val="16"/>
              </w:rPr>
              <w:t>2017</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6F2770"/>
                <w:sz w:val="16"/>
              </w:rPr>
              <w:t>Office equipment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583"/>
              <w:rPr>
                <w:sz w:val="16"/>
              </w:rPr>
            </w:pPr>
            <w:r>
              <w:rPr>
                <w:sz w:val="16"/>
              </w:rPr>
              <w:t>376</w:t>
            </w:r>
          </w:p>
          <w:p>
            <w:pPr>
              <w:pStyle w:val="TableParagraph"/>
              <w:spacing w:before="101"/>
              <w:ind w:left="506"/>
              <w:rPr>
                <w:sz w:val="16"/>
              </w:rPr>
            </w:pPr>
            <w:r>
              <w:rPr>
                <w:sz w:val="16"/>
              </w:rPr>
              <w:t>(214)</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338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0"/>
                <w:sz w:val="16"/>
              </w:rPr>
              <w:t>(167)</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162</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171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Computer equipment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450"/>
              <w:rPr>
                <w:sz w:val="16"/>
              </w:rPr>
            </w:pPr>
            <w:r>
              <w:rPr>
                <w:sz w:val="16"/>
              </w:rPr>
              <w:t>5,851</w:t>
            </w:r>
          </w:p>
          <w:p>
            <w:pPr>
              <w:pStyle w:val="TableParagraph"/>
              <w:spacing w:before="101"/>
              <w:ind w:left="372"/>
              <w:rPr>
                <w:sz w:val="16"/>
              </w:rPr>
            </w:pPr>
            <w:r>
              <w:rPr>
                <w:sz w:val="16"/>
              </w:rPr>
              <w:t>(5,472)</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5,838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0"/>
                <w:sz w:val="16"/>
              </w:rPr>
              <w:t>(5,086)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379</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752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Office fitout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272"/>
              <w:rPr>
                <w:sz w:val="16"/>
              </w:rPr>
            </w:pPr>
            <w:r>
              <w:rPr>
                <w:sz w:val="16"/>
              </w:rPr>
              <w:t>177,112</w:t>
            </w:r>
          </w:p>
          <w:p>
            <w:pPr>
              <w:pStyle w:val="TableParagraph"/>
              <w:spacing w:before="101"/>
              <w:ind w:left="283"/>
              <w:rPr>
                <w:sz w:val="16"/>
              </w:rPr>
            </w:pPr>
            <w:r>
              <w:rPr>
                <w:sz w:val="16"/>
              </w:rPr>
              <w:t>(78,487)</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182,671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(67,730)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98,625</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114,941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Motor vehicles</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272"/>
              <w:rPr>
                <w:sz w:val="16"/>
              </w:rPr>
            </w:pPr>
            <w:r>
              <w:rPr>
                <w:sz w:val="16"/>
              </w:rPr>
              <w:t>335,501</w:t>
            </w:r>
          </w:p>
          <w:p>
            <w:pPr>
              <w:pStyle w:val="TableParagraph"/>
              <w:spacing w:before="101"/>
              <w:ind w:left="195"/>
              <w:rPr>
                <w:sz w:val="16"/>
              </w:rPr>
            </w:pPr>
            <w:r>
              <w:rPr>
                <w:sz w:val="16"/>
              </w:rPr>
              <w:t>(100,035)</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343,094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(109,736)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235,466</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233,358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6F2770"/>
                <w:sz w:val="16"/>
              </w:rPr>
              <w:t>Works in progress</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361"/>
              <w:rPr>
                <w:sz w:val="16"/>
              </w:rPr>
            </w:pPr>
            <w:r>
              <w:rPr>
                <w:sz w:val="16"/>
              </w:rPr>
              <w:t>14,652</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14,888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14,652</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sz w:val="16"/>
              </w:rPr>
            </w:pPr>
            <w:r>
              <w:rPr>
                <w:w w:val="95"/>
                <w:sz w:val="16"/>
              </w:rPr>
              <w:t>14,888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72"/>
              <w:rPr>
                <w:sz w:val="16"/>
              </w:rPr>
            </w:pPr>
            <w:r>
              <w:rPr>
                <w:sz w:val="16"/>
              </w:rPr>
              <w:t>910,943</w:t>
            </w:r>
          </w:p>
          <w:p>
            <w:pPr>
              <w:pStyle w:val="TableParagraph"/>
              <w:spacing w:before="101"/>
              <w:ind w:left="195"/>
              <w:rPr>
                <w:sz w:val="16"/>
              </w:rPr>
            </w:pPr>
            <w:r>
              <w:rPr>
                <w:sz w:val="16"/>
              </w:rPr>
              <w:t>(223,849)</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At fair value/cost</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935,965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(215,591)</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687,094</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720,374</w:t>
            </w:r>
          </w:p>
        </w:tc>
      </w:tr>
    </w:tbl>
    <w:p>
      <w:pPr>
        <w:pStyle w:val="ListParagraph"/>
        <w:numPr>
          <w:ilvl w:val="0"/>
          <w:numId w:val="12"/>
        </w:numPr>
        <w:tabs>
          <w:tab w:pos="526" w:val="left" w:leader="none"/>
        </w:tabs>
        <w:spacing w:line="249" w:lineRule="auto" w:before="94" w:after="0"/>
        <w:ind w:left="508" w:right="835" w:hanging="105"/>
        <w:jc w:val="left"/>
        <w:rPr>
          <w:sz w:val="10"/>
        </w:rPr>
      </w:pPr>
      <w:r>
        <w:rPr>
          <w:sz w:val="10"/>
        </w:rPr>
        <w:t>Land</w:t>
      </w:r>
      <w:r>
        <w:rPr>
          <w:spacing w:val="-14"/>
          <w:sz w:val="10"/>
        </w:rPr>
        <w:t> </w:t>
      </w:r>
      <w:r>
        <w:rPr>
          <w:sz w:val="10"/>
        </w:rPr>
        <w:t>and</w:t>
      </w:r>
      <w:r>
        <w:rPr>
          <w:spacing w:val="-13"/>
          <w:sz w:val="10"/>
        </w:rPr>
        <w:t> </w:t>
      </w:r>
      <w:r>
        <w:rPr>
          <w:sz w:val="10"/>
        </w:rPr>
        <w:t>buildings</w:t>
      </w:r>
      <w:r>
        <w:rPr>
          <w:spacing w:val="-13"/>
          <w:sz w:val="10"/>
        </w:rPr>
        <w:t> </w:t>
      </w:r>
      <w:r>
        <w:rPr>
          <w:sz w:val="10"/>
        </w:rPr>
        <w:t>were</w:t>
      </w:r>
      <w:r>
        <w:rPr>
          <w:spacing w:val="-13"/>
          <w:sz w:val="10"/>
        </w:rPr>
        <w:t> </w:t>
      </w:r>
      <w:r>
        <w:rPr>
          <w:sz w:val="10"/>
        </w:rPr>
        <w:t>revalued</w:t>
      </w:r>
      <w:r>
        <w:rPr>
          <w:spacing w:val="-14"/>
          <w:sz w:val="10"/>
        </w:rPr>
        <w:t> </w:t>
      </w:r>
      <w:r>
        <w:rPr>
          <w:sz w:val="10"/>
        </w:rPr>
        <w:t>as</w:t>
      </w:r>
      <w:r>
        <w:rPr>
          <w:spacing w:val="-13"/>
          <w:sz w:val="10"/>
        </w:rPr>
        <w:t> </w:t>
      </w:r>
      <w:r>
        <w:rPr>
          <w:sz w:val="10"/>
        </w:rPr>
        <w:t>at</w:t>
      </w:r>
      <w:r>
        <w:rPr>
          <w:spacing w:val="-13"/>
          <w:sz w:val="10"/>
        </w:rPr>
        <w:t> </w:t>
      </w:r>
      <w:r>
        <w:rPr>
          <w:sz w:val="10"/>
        </w:rPr>
        <w:t>1</w:t>
      </w:r>
      <w:r>
        <w:rPr>
          <w:spacing w:val="-13"/>
          <w:sz w:val="10"/>
        </w:rPr>
        <w:t> </w:t>
      </w:r>
      <w:r>
        <w:rPr>
          <w:sz w:val="10"/>
        </w:rPr>
        <w:t>July</w:t>
      </w:r>
      <w:r>
        <w:rPr>
          <w:spacing w:val="-14"/>
          <w:sz w:val="10"/>
        </w:rPr>
        <w:t> </w:t>
      </w:r>
      <w:r>
        <w:rPr>
          <w:sz w:val="10"/>
        </w:rPr>
        <w:t>2017</w:t>
      </w:r>
      <w:r>
        <w:rPr>
          <w:spacing w:val="-13"/>
          <w:sz w:val="10"/>
        </w:rPr>
        <w:t> </w:t>
      </w:r>
      <w:r>
        <w:rPr>
          <w:sz w:val="10"/>
        </w:rPr>
        <w:t>by</w:t>
      </w:r>
      <w:r>
        <w:rPr>
          <w:spacing w:val="-13"/>
          <w:sz w:val="10"/>
        </w:rPr>
        <w:t> </w:t>
      </w:r>
      <w:r>
        <w:rPr>
          <w:sz w:val="10"/>
        </w:rPr>
        <w:t>the</w:t>
      </w:r>
      <w:r>
        <w:rPr>
          <w:spacing w:val="-13"/>
          <w:sz w:val="10"/>
        </w:rPr>
        <w:t> </w:t>
      </w:r>
      <w:r>
        <w:rPr>
          <w:sz w:val="10"/>
        </w:rPr>
        <w:t>Western</w:t>
      </w:r>
      <w:r>
        <w:rPr>
          <w:spacing w:val="-13"/>
          <w:sz w:val="10"/>
        </w:rPr>
        <w:t> </w:t>
      </w:r>
      <w:r>
        <w:rPr>
          <w:sz w:val="10"/>
        </w:rPr>
        <w:t>Australian</w:t>
      </w:r>
      <w:r>
        <w:rPr>
          <w:spacing w:val="-14"/>
          <w:sz w:val="10"/>
        </w:rPr>
        <w:t> </w:t>
      </w:r>
      <w:r>
        <w:rPr>
          <w:sz w:val="10"/>
        </w:rPr>
        <w:t>Land</w:t>
      </w:r>
      <w:r>
        <w:rPr>
          <w:spacing w:val="-13"/>
          <w:sz w:val="10"/>
        </w:rPr>
        <w:t> </w:t>
      </w:r>
      <w:r>
        <w:rPr>
          <w:sz w:val="10"/>
        </w:rPr>
        <w:t>Information</w:t>
      </w:r>
      <w:r>
        <w:rPr>
          <w:spacing w:val="-13"/>
          <w:sz w:val="10"/>
        </w:rPr>
        <w:t> </w:t>
      </w:r>
      <w:r>
        <w:rPr>
          <w:sz w:val="10"/>
        </w:rPr>
        <w:t>Authority </w:t>
      </w:r>
      <w:r>
        <w:rPr>
          <w:spacing w:val="-3"/>
          <w:sz w:val="10"/>
        </w:rPr>
        <w:t>(Valuations</w:t>
      </w:r>
      <w:r>
        <w:rPr>
          <w:spacing w:val="-16"/>
          <w:sz w:val="10"/>
        </w:rPr>
        <w:t> </w:t>
      </w:r>
      <w:r>
        <w:rPr>
          <w:sz w:val="10"/>
        </w:rPr>
        <w:t>and</w:t>
      </w:r>
      <w:r>
        <w:rPr>
          <w:spacing w:val="-16"/>
          <w:sz w:val="10"/>
        </w:rPr>
        <w:t> </w:t>
      </w:r>
      <w:r>
        <w:rPr>
          <w:sz w:val="10"/>
        </w:rPr>
        <w:t>Property</w:t>
      </w:r>
      <w:r>
        <w:rPr>
          <w:spacing w:val="-15"/>
          <w:sz w:val="10"/>
        </w:rPr>
        <w:t> </w:t>
      </w:r>
      <w:r>
        <w:rPr>
          <w:sz w:val="10"/>
        </w:rPr>
        <w:t>Analytics).</w:t>
      </w:r>
      <w:r>
        <w:rPr>
          <w:spacing w:val="-16"/>
          <w:sz w:val="10"/>
        </w:rPr>
        <w:t> </w:t>
      </w:r>
      <w:r>
        <w:rPr>
          <w:sz w:val="10"/>
        </w:rPr>
        <w:t>The</w:t>
      </w:r>
      <w:r>
        <w:rPr>
          <w:spacing w:val="-16"/>
          <w:sz w:val="10"/>
        </w:rPr>
        <w:t> </w:t>
      </w:r>
      <w:r>
        <w:rPr>
          <w:sz w:val="10"/>
        </w:rPr>
        <w:t>valuations</w:t>
      </w:r>
      <w:r>
        <w:rPr>
          <w:spacing w:val="-15"/>
          <w:sz w:val="10"/>
        </w:rPr>
        <w:t> </w:t>
      </w:r>
      <w:r>
        <w:rPr>
          <w:sz w:val="10"/>
        </w:rPr>
        <w:t>were</w:t>
      </w:r>
      <w:r>
        <w:rPr>
          <w:spacing w:val="-16"/>
          <w:sz w:val="10"/>
        </w:rPr>
        <w:t> </w:t>
      </w:r>
      <w:r>
        <w:rPr>
          <w:sz w:val="10"/>
        </w:rPr>
        <w:t>performed</w:t>
      </w:r>
      <w:r>
        <w:rPr>
          <w:spacing w:val="-16"/>
          <w:sz w:val="10"/>
        </w:rPr>
        <w:t> </w:t>
      </w:r>
      <w:r>
        <w:rPr>
          <w:sz w:val="10"/>
        </w:rPr>
        <w:t>during</w:t>
      </w:r>
      <w:r>
        <w:rPr>
          <w:spacing w:val="-15"/>
          <w:sz w:val="10"/>
        </w:rPr>
        <w:t> </w:t>
      </w:r>
      <w:r>
        <w:rPr>
          <w:sz w:val="10"/>
        </w:rPr>
        <w:t>the</w:t>
      </w:r>
      <w:r>
        <w:rPr>
          <w:spacing w:val="-16"/>
          <w:sz w:val="10"/>
        </w:rPr>
        <w:t> </w:t>
      </w:r>
      <w:r>
        <w:rPr>
          <w:sz w:val="10"/>
        </w:rPr>
        <w:t>year</w:t>
      </w:r>
      <w:r>
        <w:rPr>
          <w:spacing w:val="-16"/>
          <w:sz w:val="10"/>
        </w:rPr>
        <w:t> </w:t>
      </w:r>
      <w:r>
        <w:rPr>
          <w:sz w:val="10"/>
        </w:rPr>
        <w:t>ended</w:t>
      </w:r>
      <w:r>
        <w:rPr>
          <w:spacing w:val="-15"/>
          <w:sz w:val="10"/>
        </w:rPr>
        <w:t> </w:t>
      </w:r>
      <w:r>
        <w:rPr>
          <w:sz w:val="10"/>
        </w:rPr>
        <w:t>30</w:t>
      </w:r>
      <w:r>
        <w:rPr>
          <w:spacing w:val="-16"/>
          <w:sz w:val="10"/>
        </w:rPr>
        <w:t> </w:t>
      </w:r>
      <w:r>
        <w:rPr>
          <w:sz w:val="10"/>
        </w:rPr>
        <w:t>June</w:t>
      </w:r>
      <w:r>
        <w:rPr>
          <w:spacing w:val="-16"/>
          <w:sz w:val="10"/>
        </w:rPr>
        <w:t> </w:t>
      </w:r>
      <w:r>
        <w:rPr>
          <w:sz w:val="10"/>
        </w:rPr>
        <w:t>2018</w:t>
      </w:r>
      <w:r>
        <w:rPr>
          <w:spacing w:val="-15"/>
          <w:sz w:val="10"/>
        </w:rPr>
        <w:t> </w:t>
      </w:r>
      <w:r>
        <w:rPr>
          <w:spacing w:val="-2"/>
          <w:sz w:val="10"/>
        </w:rPr>
        <w:t>and </w:t>
      </w:r>
      <w:r>
        <w:rPr>
          <w:sz w:val="10"/>
        </w:rPr>
        <w:t>recognised</w:t>
      </w:r>
      <w:r>
        <w:rPr>
          <w:spacing w:val="-15"/>
          <w:sz w:val="10"/>
        </w:rPr>
        <w:t> </w:t>
      </w:r>
      <w:r>
        <w:rPr>
          <w:sz w:val="10"/>
        </w:rPr>
        <w:t>at</w:t>
      </w:r>
      <w:r>
        <w:rPr>
          <w:spacing w:val="-15"/>
          <w:sz w:val="10"/>
        </w:rPr>
        <w:t> </w:t>
      </w:r>
      <w:r>
        <w:rPr>
          <w:sz w:val="10"/>
        </w:rPr>
        <w:t>30</w:t>
      </w:r>
      <w:r>
        <w:rPr>
          <w:spacing w:val="-15"/>
          <w:sz w:val="10"/>
        </w:rPr>
        <w:t> </w:t>
      </w:r>
      <w:r>
        <w:rPr>
          <w:sz w:val="10"/>
        </w:rPr>
        <w:t>June</w:t>
      </w:r>
      <w:r>
        <w:rPr>
          <w:spacing w:val="-14"/>
          <w:sz w:val="10"/>
        </w:rPr>
        <w:t> </w:t>
      </w:r>
      <w:r>
        <w:rPr>
          <w:sz w:val="10"/>
        </w:rPr>
        <w:t>2018.</w:t>
      </w:r>
      <w:r>
        <w:rPr>
          <w:spacing w:val="-15"/>
          <w:sz w:val="10"/>
        </w:rPr>
        <w:t> </w:t>
      </w:r>
      <w:r>
        <w:rPr>
          <w:sz w:val="10"/>
        </w:rPr>
        <w:t>In</w:t>
      </w:r>
      <w:r>
        <w:rPr>
          <w:spacing w:val="-15"/>
          <w:sz w:val="10"/>
        </w:rPr>
        <w:t> </w:t>
      </w:r>
      <w:r>
        <w:rPr>
          <w:sz w:val="10"/>
        </w:rPr>
        <w:t>undertaking</w:t>
      </w:r>
      <w:r>
        <w:rPr>
          <w:spacing w:val="-14"/>
          <w:sz w:val="10"/>
        </w:rPr>
        <w:t> </w:t>
      </w:r>
      <w:r>
        <w:rPr>
          <w:sz w:val="10"/>
        </w:rPr>
        <w:t>the</w:t>
      </w:r>
      <w:r>
        <w:rPr>
          <w:spacing w:val="-15"/>
          <w:sz w:val="10"/>
        </w:rPr>
        <w:t> </w:t>
      </w:r>
      <w:r>
        <w:rPr>
          <w:sz w:val="10"/>
        </w:rPr>
        <w:t>revaluation,</w:t>
      </w:r>
      <w:r>
        <w:rPr>
          <w:spacing w:val="-15"/>
          <w:sz w:val="10"/>
        </w:rPr>
        <w:t> </w:t>
      </w:r>
      <w:r>
        <w:rPr>
          <w:sz w:val="10"/>
        </w:rPr>
        <w:t>fair</w:t>
      </w:r>
      <w:r>
        <w:rPr>
          <w:spacing w:val="-15"/>
          <w:sz w:val="10"/>
        </w:rPr>
        <w:t> </w:t>
      </w:r>
      <w:r>
        <w:rPr>
          <w:sz w:val="10"/>
        </w:rPr>
        <w:t>value</w:t>
      </w:r>
      <w:r>
        <w:rPr>
          <w:spacing w:val="-14"/>
          <w:sz w:val="10"/>
        </w:rPr>
        <w:t> </w:t>
      </w:r>
      <w:r>
        <w:rPr>
          <w:sz w:val="10"/>
        </w:rPr>
        <w:t>was</w:t>
      </w:r>
      <w:r>
        <w:rPr>
          <w:spacing w:val="-15"/>
          <w:sz w:val="10"/>
        </w:rPr>
        <w:t> </w:t>
      </w:r>
      <w:r>
        <w:rPr>
          <w:sz w:val="10"/>
        </w:rPr>
        <w:t>determined</w:t>
      </w:r>
      <w:r>
        <w:rPr>
          <w:spacing w:val="-15"/>
          <w:sz w:val="10"/>
        </w:rPr>
        <w:t> </w:t>
      </w:r>
      <w:r>
        <w:rPr>
          <w:sz w:val="10"/>
        </w:rPr>
        <w:t>by</w:t>
      </w:r>
      <w:r>
        <w:rPr>
          <w:spacing w:val="-15"/>
          <w:sz w:val="10"/>
        </w:rPr>
        <w:t> </w:t>
      </w:r>
      <w:r>
        <w:rPr>
          <w:spacing w:val="-3"/>
          <w:sz w:val="10"/>
        </w:rPr>
        <w:t>reference</w:t>
      </w:r>
      <w:r>
        <w:rPr>
          <w:spacing w:val="-14"/>
          <w:sz w:val="10"/>
        </w:rPr>
        <w:t> </w:t>
      </w:r>
      <w:r>
        <w:rPr>
          <w:sz w:val="10"/>
        </w:rPr>
        <w:t>to</w:t>
      </w:r>
      <w:r>
        <w:rPr>
          <w:spacing w:val="-15"/>
          <w:sz w:val="10"/>
        </w:rPr>
        <w:t> </w:t>
      </w:r>
      <w:r>
        <w:rPr>
          <w:spacing w:val="-2"/>
          <w:sz w:val="10"/>
        </w:rPr>
        <w:t>market </w:t>
      </w:r>
      <w:r>
        <w:rPr>
          <w:sz w:val="10"/>
        </w:rPr>
        <w:t>values</w:t>
      </w:r>
      <w:r>
        <w:rPr>
          <w:spacing w:val="-16"/>
          <w:sz w:val="10"/>
        </w:rPr>
        <w:t> </w:t>
      </w:r>
      <w:r>
        <w:rPr>
          <w:sz w:val="10"/>
        </w:rPr>
        <w:t>for</w:t>
      </w:r>
      <w:r>
        <w:rPr>
          <w:spacing w:val="-15"/>
          <w:sz w:val="10"/>
        </w:rPr>
        <w:t> </w:t>
      </w:r>
      <w:r>
        <w:rPr>
          <w:sz w:val="10"/>
        </w:rPr>
        <w:t>land:</w:t>
      </w:r>
      <w:r>
        <w:rPr>
          <w:spacing w:val="-15"/>
          <w:sz w:val="10"/>
        </w:rPr>
        <w:t> </w:t>
      </w:r>
      <w:r>
        <w:rPr>
          <w:sz w:val="10"/>
        </w:rPr>
        <w:t>$54,185,000</w:t>
      </w:r>
      <w:r>
        <w:rPr>
          <w:spacing w:val="-15"/>
          <w:sz w:val="10"/>
        </w:rPr>
        <w:t> </w:t>
      </w:r>
      <w:r>
        <w:rPr>
          <w:sz w:val="10"/>
        </w:rPr>
        <w:t>(2017:</w:t>
      </w:r>
      <w:r>
        <w:rPr>
          <w:spacing w:val="-15"/>
          <w:sz w:val="10"/>
        </w:rPr>
        <w:t> </w:t>
      </w:r>
      <w:r>
        <w:rPr>
          <w:sz w:val="10"/>
        </w:rPr>
        <w:t>$59,076,000)</w:t>
      </w:r>
      <w:r>
        <w:rPr>
          <w:spacing w:val="-15"/>
          <w:sz w:val="10"/>
        </w:rPr>
        <w:t> </w:t>
      </w:r>
      <w:r>
        <w:rPr>
          <w:sz w:val="10"/>
        </w:rPr>
        <w:t>and</w:t>
      </w:r>
      <w:r>
        <w:rPr>
          <w:spacing w:val="-15"/>
          <w:sz w:val="10"/>
        </w:rPr>
        <w:t> </w:t>
      </w:r>
      <w:r>
        <w:rPr>
          <w:sz w:val="10"/>
        </w:rPr>
        <w:t>buildings:</w:t>
      </w:r>
      <w:r>
        <w:rPr>
          <w:spacing w:val="-15"/>
          <w:sz w:val="10"/>
        </w:rPr>
        <w:t> </w:t>
      </w:r>
      <w:r>
        <w:rPr>
          <w:sz w:val="10"/>
        </w:rPr>
        <w:t>$89,315,000</w:t>
      </w:r>
      <w:r>
        <w:rPr>
          <w:spacing w:val="-15"/>
          <w:sz w:val="10"/>
        </w:rPr>
        <w:t> </w:t>
      </w:r>
      <w:r>
        <w:rPr>
          <w:sz w:val="10"/>
        </w:rPr>
        <w:t>(2017:</w:t>
      </w:r>
      <w:r>
        <w:rPr>
          <w:spacing w:val="-15"/>
          <w:sz w:val="10"/>
        </w:rPr>
        <w:t> </w:t>
      </w:r>
      <w:r>
        <w:rPr>
          <w:sz w:val="10"/>
        </w:rPr>
        <w:t>$94,147,000).</w:t>
      </w:r>
      <w:r>
        <w:rPr>
          <w:spacing w:val="-15"/>
          <w:sz w:val="10"/>
        </w:rPr>
        <w:t> </w:t>
      </w:r>
      <w:r>
        <w:rPr>
          <w:sz w:val="10"/>
        </w:rPr>
        <w:t>For</w:t>
      </w:r>
      <w:r>
        <w:rPr>
          <w:spacing w:val="-15"/>
          <w:sz w:val="10"/>
        </w:rPr>
        <w:t> </w:t>
      </w:r>
      <w:r>
        <w:rPr>
          <w:spacing w:val="-2"/>
          <w:sz w:val="10"/>
        </w:rPr>
        <w:t>the remaining</w:t>
      </w:r>
      <w:r>
        <w:rPr>
          <w:spacing w:val="-20"/>
          <w:sz w:val="10"/>
        </w:rPr>
        <w:t> </w:t>
      </w:r>
      <w:r>
        <w:rPr>
          <w:sz w:val="10"/>
        </w:rPr>
        <w:t>balance,</w:t>
      </w:r>
      <w:r>
        <w:rPr>
          <w:spacing w:val="-19"/>
          <w:sz w:val="10"/>
        </w:rPr>
        <w:t> </w:t>
      </w:r>
      <w:r>
        <w:rPr>
          <w:sz w:val="10"/>
        </w:rPr>
        <w:t>fair</w:t>
      </w:r>
      <w:r>
        <w:rPr>
          <w:spacing w:val="-20"/>
          <w:sz w:val="10"/>
        </w:rPr>
        <w:t> </w:t>
      </w:r>
      <w:r>
        <w:rPr>
          <w:sz w:val="10"/>
        </w:rPr>
        <w:t>value</w:t>
      </w:r>
      <w:r>
        <w:rPr>
          <w:spacing w:val="-19"/>
          <w:sz w:val="10"/>
        </w:rPr>
        <w:t> </w:t>
      </w:r>
      <w:r>
        <w:rPr>
          <w:sz w:val="10"/>
        </w:rPr>
        <w:t>of</w:t>
      </w:r>
      <w:r>
        <w:rPr>
          <w:spacing w:val="-20"/>
          <w:sz w:val="10"/>
        </w:rPr>
        <w:t> </w:t>
      </w:r>
      <w:r>
        <w:rPr>
          <w:sz w:val="10"/>
        </w:rPr>
        <w:t>buildings</w:t>
      </w:r>
      <w:r>
        <w:rPr>
          <w:spacing w:val="-19"/>
          <w:sz w:val="10"/>
        </w:rPr>
        <w:t> </w:t>
      </w:r>
      <w:r>
        <w:rPr>
          <w:sz w:val="10"/>
        </w:rPr>
        <w:t>was</w:t>
      </w:r>
      <w:r>
        <w:rPr>
          <w:spacing w:val="-20"/>
          <w:sz w:val="10"/>
        </w:rPr>
        <w:t> </w:t>
      </w:r>
      <w:r>
        <w:rPr>
          <w:sz w:val="10"/>
        </w:rPr>
        <w:t>determined</w:t>
      </w:r>
      <w:r>
        <w:rPr>
          <w:spacing w:val="-19"/>
          <w:sz w:val="10"/>
        </w:rPr>
        <w:t> </w:t>
      </w:r>
      <w:r>
        <w:rPr>
          <w:sz w:val="10"/>
        </w:rPr>
        <w:t>on</w:t>
      </w:r>
      <w:r>
        <w:rPr>
          <w:spacing w:val="-20"/>
          <w:sz w:val="10"/>
        </w:rPr>
        <w:t> </w:t>
      </w:r>
      <w:r>
        <w:rPr>
          <w:sz w:val="10"/>
        </w:rPr>
        <w:t>the</w:t>
      </w:r>
      <w:r>
        <w:rPr>
          <w:spacing w:val="-19"/>
          <w:sz w:val="10"/>
        </w:rPr>
        <w:t> </w:t>
      </w:r>
      <w:r>
        <w:rPr>
          <w:sz w:val="10"/>
        </w:rPr>
        <w:t>basis</w:t>
      </w:r>
      <w:r>
        <w:rPr>
          <w:spacing w:val="-20"/>
          <w:sz w:val="10"/>
        </w:rPr>
        <w:t> </w:t>
      </w:r>
      <w:r>
        <w:rPr>
          <w:sz w:val="10"/>
        </w:rPr>
        <w:t>of</w:t>
      </w:r>
      <w:r>
        <w:rPr>
          <w:spacing w:val="-19"/>
          <w:sz w:val="10"/>
        </w:rPr>
        <w:t> </w:t>
      </w:r>
      <w:r>
        <w:rPr>
          <w:sz w:val="10"/>
        </w:rPr>
        <w:t>current</w:t>
      </w:r>
      <w:r>
        <w:rPr>
          <w:spacing w:val="-20"/>
          <w:sz w:val="10"/>
        </w:rPr>
        <w:t> </w:t>
      </w:r>
      <w:r>
        <w:rPr>
          <w:sz w:val="10"/>
        </w:rPr>
        <w:t>replacement</w:t>
      </w:r>
      <w:r>
        <w:rPr>
          <w:spacing w:val="-19"/>
          <w:sz w:val="10"/>
        </w:rPr>
        <w:t> </w:t>
      </w:r>
      <w:r>
        <w:rPr>
          <w:sz w:val="10"/>
        </w:rPr>
        <w:t>cost</w:t>
      </w:r>
      <w:r>
        <w:rPr>
          <w:spacing w:val="-20"/>
          <w:sz w:val="10"/>
        </w:rPr>
        <w:t> </w:t>
      </w:r>
      <w:r>
        <w:rPr>
          <w:sz w:val="10"/>
        </w:rPr>
        <w:t>and</w:t>
      </w:r>
      <w:r>
        <w:rPr>
          <w:spacing w:val="-19"/>
          <w:sz w:val="10"/>
        </w:rPr>
        <w:t> </w:t>
      </w:r>
      <w:r>
        <w:rPr>
          <w:sz w:val="10"/>
        </w:rPr>
        <w:t>fair</w:t>
      </w:r>
      <w:r>
        <w:rPr>
          <w:spacing w:val="-20"/>
          <w:sz w:val="10"/>
        </w:rPr>
        <w:t> </w:t>
      </w:r>
      <w:r>
        <w:rPr>
          <w:sz w:val="10"/>
        </w:rPr>
        <w:t>value of</w:t>
      </w:r>
      <w:r>
        <w:rPr>
          <w:spacing w:val="-13"/>
          <w:sz w:val="10"/>
        </w:rPr>
        <w:t> </w:t>
      </w:r>
      <w:r>
        <w:rPr>
          <w:sz w:val="10"/>
        </w:rPr>
        <w:t>land</w:t>
      </w:r>
      <w:r>
        <w:rPr>
          <w:spacing w:val="-13"/>
          <w:sz w:val="10"/>
        </w:rPr>
        <w:t> </w:t>
      </w:r>
      <w:r>
        <w:rPr>
          <w:sz w:val="10"/>
        </w:rPr>
        <w:t>was</w:t>
      </w:r>
      <w:r>
        <w:rPr>
          <w:spacing w:val="-13"/>
          <w:sz w:val="10"/>
        </w:rPr>
        <w:t> </w:t>
      </w:r>
      <w:r>
        <w:rPr>
          <w:sz w:val="10"/>
        </w:rPr>
        <w:t>determined</w:t>
      </w:r>
      <w:r>
        <w:rPr>
          <w:spacing w:val="-13"/>
          <w:sz w:val="10"/>
        </w:rPr>
        <w:t> </w:t>
      </w:r>
      <w:r>
        <w:rPr>
          <w:sz w:val="10"/>
        </w:rPr>
        <w:t>on</w:t>
      </w:r>
      <w:r>
        <w:rPr>
          <w:spacing w:val="-12"/>
          <w:sz w:val="10"/>
        </w:rPr>
        <w:t> </w:t>
      </w:r>
      <w:r>
        <w:rPr>
          <w:sz w:val="10"/>
        </w:rPr>
        <w:t>the</w:t>
      </w:r>
      <w:r>
        <w:rPr>
          <w:spacing w:val="-13"/>
          <w:sz w:val="10"/>
        </w:rPr>
        <w:t> </w:t>
      </w:r>
      <w:r>
        <w:rPr>
          <w:sz w:val="10"/>
        </w:rPr>
        <w:t>basis</w:t>
      </w:r>
      <w:r>
        <w:rPr>
          <w:spacing w:val="-13"/>
          <w:sz w:val="10"/>
        </w:rPr>
        <w:t> </w:t>
      </w:r>
      <w:r>
        <w:rPr>
          <w:sz w:val="10"/>
        </w:rPr>
        <w:t>of</w:t>
      </w:r>
      <w:r>
        <w:rPr>
          <w:spacing w:val="-13"/>
          <w:sz w:val="10"/>
        </w:rPr>
        <w:t> </w:t>
      </w:r>
      <w:r>
        <w:rPr>
          <w:sz w:val="10"/>
        </w:rPr>
        <w:t>comparison</w:t>
      </w:r>
      <w:r>
        <w:rPr>
          <w:spacing w:val="-13"/>
          <w:sz w:val="10"/>
        </w:rPr>
        <w:t> </w:t>
      </w:r>
      <w:r>
        <w:rPr>
          <w:sz w:val="10"/>
        </w:rPr>
        <w:t>with</w:t>
      </w:r>
      <w:r>
        <w:rPr>
          <w:spacing w:val="-12"/>
          <w:sz w:val="10"/>
        </w:rPr>
        <w:t> </w:t>
      </w:r>
      <w:r>
        <w:rPr>
          <w:sz w:val="10"/>
        </w:rPr>
        <w:t>market</w:t>
      </w:r>
      <w:r>
        <w:rPr>
          <w:spacing w:val="-13"/>
          <w:sz w:val="10"/>
        </w:rPr>
        <w:t> </w:t>
      </w:r>
      <w:r>
        <w:rPr>
          <w:sz w:val="10"/>
        </w:rPr>
        <w:t>evidence</w:t>
      </w:r>
      <w:r>
        <w:rPr>
          <w:spacing w:val="-13"/>
          <w:sz w:val="10"/>
        </w:rPr>
        <w:t> </w:t>
      </w:r>
      <w:r>
        <w:rPr>
          <w:sz w:val="10"/>
        </w:rPr>
        <w:t>for</w:t>
      </w:r>
      <w:r>
        <w:rPr>
          <w:spacing w:val="-13"/>
          <w:sz w:val="10"/>
        </w:rPr>
        <w:t> </w:t>
      </w:r>
      <w:r>
        <w:rPr>
          <w:sz w:val="10"/>
        </w:rPr>
        <w:t>land</w:t>
      </w:r>
      <w:r>
        <w:rPr>
          <w:spacing w:val="-12"/>
          <w:sz w:val="10"/>
        </w:rPr>
        <w:t> </w:t>
      </w:r>
      <w:r>
        <w:rPr>
          <w:sz w:val="10"/>
        </w:rPr>
        <w:t>with</w:t>
      </w:r>
      <w:r>
        <w:rPr>
          <w:spacing w:val="-13"/>
          <w:sz w:val="10"/>
        </w:rPr>
        <w:t> </w:t>
      </w:r>
      <w:r>
        <w:rPr>
          <w:sz w:val="10"/>
        </w:rPr>
        <w:t>low</w:t>
      </w:r>
      <w:r>
        <w:rPr>
          <w:spacing w:val="-13"/>
          <w:sz w:val="10"/>
        </w:rPr>
        <w:t> </w:t>
      </w:r>
      <w:r>
        <w:rPr>
          <w:sz w:val="10"/>
        </w:rPr>
        <w:t>level</w:t>
      </w:r>
      <w:r>
        <w:rPr>
          <w:spacing w:val="-13"/>
          <w:sz w:val="10"/>
        </w:rPr>
        <w:t> </w:t>
      </w:r>
      <w:r>
        <w:rPr>
          <w:sz w:val="10"/>
        </w:rPr>
        <w:t>utility</w:t>
      </w:r>
      <w:r>
        <w:rPr>
          <w:spacing w:val="-13"/>
          <w:sz w:val="10"/>
        </w:rPr>
        <w:t> </w:t>
      </w:r>
      <w:r>
        <w:rPr>
          <w:sz w:val="10"/>
        </w:rPr>
        <w:t>(high restricted</w:t>
      </w:r>
      <w:r>
        <w:rPr>
          <w:spacing w:val="-16"/>
          <w:sz w:val="10"/>
        </w:rPr>
        <w:t> </w:t>
      </w:r>
      <w:r>
        <w:rPr>
          <w:sz w:val="10"/>
        </w:rPr>
        <w:t>use</w:t>
      </w:r>
      <w:r>
        <w:rPr>
          <w:spacing w:val="-15"/>
          <w:sz w:val="10"/>
        </w:rPr>
        <w:t> </w:t>
      </w:r>
      <w:r>
        <w:rPr>
          <w:sz w:val="10"/>
        </w:rPr>
        <w:t>land).</w:t>
      </w:r>
      <w:r>
        <w:rPr>
          <w:spacing w:val="-15"/>
          <w:sz w:val="10"/>
        </w:rPr>
        <w:t> </w:t>
      </w:r>
      <w:r>
        <w:rPr>
          <w:sz w:val="10"/>
        </w:rPr>
        <w:t>Information</w:t>
      </w:r>
      <w:r>
        <w:rPr>
          <w:spacing w:val="-15"/>
          <w:sz w:val="10"/>
        </w:rPr>
        <w:t> </w:t>
      </w:r>
      <w:r>
        <w:rPr>
          <w:sz w:val="10"/>
        </w:rPr>
        <w:t>on</w:t>
      </w:r>
      <w:r>
        <w:rPr>
          <w:spacing w:val="-15"/>
          <w:sz w:val="10"/>
        </w:rPr>
        <w:t> </w:t>
      </w:r>
      <w:r>
        <w:rPr>
          <w:sz w:val="10"/>
        </w:rPr>
        <w:t>fair</w:t>
      </w:r>
      <w:r>
        <w:rPr>
          <w:spacing w:val="-15"/>
          <w:sz w:val="10"/>
        </w:rPr>
        <w:t> </w:t>
      </w:r>
      <w:r>
        <w:rPr>
          <w:sz w:val="10"/>
        </w:rPr>
        <w:t>value</w:t>
      </w:r>
      <w:r>
        <w:rPr>
          <w:spacing w:val="-15"/>
          <w:sz w:val="10"/>
        </w:rPr>
        <w:t> </w:t>
      </w:r>
      <w:r>
        <w:rPr>
          <w:sz w:val="10"/>
        </w:rPr>
        <w:t>measurement</w:t>
      </w:r>
      <w:r>
        <w:rPr>
          <w:spacing w:val="-15"/>
          <w:sz w:val="10"/>
        </w:rPr>
        <w:t> </w:t>
      </w:r>
      <w:r>
        <w:rPr>
          <w:sz w:val="10"/>
        </w:rPr>
        <w:t>is</w:t>
      </w:r>
      <w:r>
        <w:rPr>
          <w:spacing w:val="-15"/>
          <w:sz w:val="10"/>
        </w:rPr>
        <w:t> </w:t>
      </w:r>
      <w:r>
        <w:rPr>
          <w:sz w:val="10"/>
        </w:rPr>
        <w:t>provided</w:t>
      </w:r>
      <w:r>
        <w:rPr>
          <w:spacing w:val="-15"/>
          <w:sz w:val="10"/>
        </w:rPr>
        <w:t> </w:t>
      </w:r>
      <w:r>
        <w:rPr>
          <w:sz w:val="10"/>
        </w:rPr>
        <w:t>in</w:t>
      </w:r>
      <w:r>
        <w:rPr>
          <w:spacing w:val="-15"/>
          <w:sz w:val="10"/>
        </w:rPr>
        <w:t> </w:t>
      </w:r>
      <w:r>
        <w:rPr>
          <w:sz w:val="10"/>
        </w:rPr>
        <w:t>Note</w:t>
      </w:r>
      <w:r>
        <w:rPr>
          <w:spacing w:val="-15"/>
          <w:sz w:val="10"/>
        </w:rPr>
        <w:t> </w:t>
      </w:r>
      <w:r>
        <w:rPr>
          <w:sz w:val="10"/>
        </w:rPr>
        <w:t>25</w:t>
      </w:r>
      <w:r>
        <w:rPr>
          <w:spacing w:val="-15"/>
          <w:sz w:val="10"/>
        </w:rPr>
        <w:t> </w:t>
      </w:r>
      <w:r>
        <w:rPr>
          <w:sz w:val="10"/>
        </w:rPr>
        <w:t>‘Fair</w:t>
      </w:r>
      <w:r>
        <w:rPr>
          <w:spacing w:val="-15"/>
          <w:sz w:val="10"/>
        </w:rPr>
        <w:t> </w:t>
      </w:r>
      <w:r>
        <w:rPr>
          <w:sz w:val="10"/>
        </w:rPr>
        <w:t>value</w:t>
      </w:r>
      <w:r>
        <w:rPr>
          <w:spacing w:val="-15"/>
          <w:sz w:val="10"/>
        </w:rPr>
        <w:t> </w:t>
      </w:r>
      <w:r>
        <w:rPr>
          <w:spacing w:val="-3"/>
          <w:sz w:val="10"/>
        </w:rPr>
        <w:t>measurement’.</w:t>
      </w:r>
    </w:p>
    <w:p>
      <w:pPr>
        <w:spacing w:after="0" w:line="249" w:lineRule="auto"/>
        <w:jc w:val="left"/>
        <w:rPr>
          <w:sz w:val="10"/>
        </w:rPr>
        <w:sectPr>
          <w:type w:val="continuous"/>
          <w:pgSz w:w="16840" w:h="11910" w:orient="landscape"/>
          <w:pgMar w:top="1100" w:bottom="280" w:left="0" w:right="0"/>
          <w:cols w:num="3" w:equalWidth="0">
            <w:col w:w="5556" w:space="40"/>
            <w:col w:w="5215" w:space="39"/>
            <w:col w:w="5990"/>
          </w:cols>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16456"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BodyText"/>
        <w:spacing w:before="280"/>
        <w:ind w:left="765"/>
      </w:pPr>
      <w:r>
        <w:rPr/>
        <w:t>Reconciliations of the carrying amounts of property, plant, equipment and vehicles at the beginning and end of the reporting period are set out in the table below.</w:t>
      </w:r>
    </w:p>
    <w:p>
      <w:pPr>
        <w:pStyle w:val="BodyText"/>
        <w:spacing w:before="10"/>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7"/>
        <w:gridCol w:w="1219"/>
        <w:gridCol w:w="1219"/>
        <w:gridCol w:w="1531"/>
        <w:gridCol w:w="1219"/>
        <w:gridCol w:w="1219"/>
        <w:gridCol w:w="1219"/>
        <w:gridCol w:w="1219"/>
        <w:gridCol w:w="1219"/>
        <w:gridCol w:w="1219"/>
      </w:tblGrid>
      <w:tr>
        <w:trPr>
          <w:trHeight w:val="761" w:hRule="atLeast"/>
        </w:trPr>
        <w:tc>
          <w:tcPr>
            <w:tcW w:w="3997" w:type="dxa"/>
            <w:shd w:val="clear" w:color="auto" w:fill="783A79"/>
          </w:tcPr>
          <w:p>
            <w:pPr>
              <w:pStyle w:val="TableParagraph"/>
              <w:spacing w:before="42"/>
              <w:ind w:left="113"/>
              <w:rPr>
                <w:b/>
                <w:sz w:val="19"/>
              </w:rPr>
            </w:pPr>
            <w:r>
              <w:rPr>
                <w:b/>
                <w:color w:val="FFFFFF"/>
                <w:sz w:val="19"/>
              </w:rPr>
              <w:t>2018</w:t>
            </w:r>
          </w:p>
        </w:tc>
        <w:tc>
          <w:tcPr>
            <w:tcW w:w="1219" w:type="dxa"/>
            <w:shd w:val="clear" w:color="auto" w:fill="783A79"/>
          </w:tcPr>
          <w:p>
            <w:pPr>
              <w:pStyle w:val="TableParagraph"/>
              <w:spacing w:before="42"/>
              <w:ind w:left="654"/>
              <w:rPr>
                <w:b/>
                <w:sz w:val="19"/>
              </w:rPr>
            </w:pPr>
            <w:r>
              <w:rPr>
                <w:b/>
                <w:color w:val="FFFFFF"/>
                <w:sz w:val="19"/>
              </w:rPr>
              <w:t>Land</w:t>
            </w:r>
          </w:p>
          <w:p>
            <w:pPr>
              <w:pStyle w:val="TableParagraph"/>
              <w:spacing w:before="8"/>
              <w:rPr>
                <w:sz w:val="20"/>
              </w:rPr>
            </w:pPr>
          </w:p>
          <w:p>
            <w:pPr>
              <w:pStyle w:val="TableParagraph"/>
              <w:spacing w:before="0"/>
              <w:ind w:left="682"/>
              <w:rPr>
                <w:b/>
                <w:sz w:val="19"/>
              </w:rPr>
            </w:pPr>
            <w:r>
              <w:rPr>
                <w:b/>
                <w:color w:val="FFFFFF"/>
                <w:sz w:val="19"/>
              </w:rPr>
              <w:t>$000</w:t>
            </w:r>
          </w:p>
        </w:tc>
        <w:tc>
          <w:tcPr>
            <w:tcW w:w="1219" w:type="dxa"/>
            <w:shd w:val="clear" w:color="auto" w:fill="783A79"/>
          </w:tcPr>
          <w:p>
            <w:pPr>
              <w:pStyle w:val="TableParagraph"/>
              <w:spacing w:before="42"/>
              <w:ind w:left="264"/>
              <w:rPr>
                <w:b/>
                <w:sz w:val="19"/>
              </w:rPr>
            </w:pPr>
            <w:r>
              <w:rPr>
                <w:b/>
                <w:color w:val="FFFFFF"/>
                <w:sz w:val="19"/>
              </w:rPr>
              <w:t>Buildings</w:t>
            </w:r>
          </w:p>
          <w:p>
            <w:pPr>
              <w:pStyle w:val="TableParagraph"/>
              <w:spacing w:before="8"/>
              <w:rPr>
                <w:sz w:val="20"/>
              </w:rPr>
            </w:pPr>
          </w:p>
          <w:p>
            <w:pPr>
              <w:pStyle w:val="TableParagraph"/>
              <w:spacing w:before="0"/>
              <w:ind w:left="682"/>
              <w:rPr>
                <w:b/>
                <w:sz w:val="19"/>
              </w:rPr>
            </w:pPr>
            <w:r>
              <w:rPr>
                <w:b/>
                <w:color w:val="FFFFFF"/>
                <w:sz w:val="19"/>
              </w:rPr>
              <w:t>$000</w:t>
            </w:r>
          </w:p>
        </w:tc>
        <w:tc>
          <w:tcPr>
            <w:tcW w:w="1531" w:type="dxa"/>
            <w:shd w:val="clear" w:color="auto" w:fill="783A79"/>
          </w:tcPr>
          <w:p>
            <w:pPr>
              <w:pStyle w:val="TableParagraph"/>
              <w:spacing w:line="249" w:lineRule="auto" w:before="42"/>
              <w:ind w:left="115" w:right="109" w:firstLine="365"/>
              <w:rPr>
                <w:b/>
                <w:sz w:val="19"/>
              </w:rPr>
            </w:pPr>
            <w:r>
              <w:rPr>
                <w:b/>
                <w:color w:val="FFFFFF"/>
                <w:w w:val="95"/>
                <w:sz w:val="19"/>
              </w:rPr>
              <w:t>Leasehold </w:t>
            </w:r>
            <w:r>
              <w:rPr>
                <w:b/>
                <w:color w:val="FFFFFF"/>
                <w:spacing w:val="-1"/>
                <w:sz w:val="19"/>
              </w:rPr>
              <w:t>Improvements</w:t>
            </w:r>
          </w:p>
          <w:p>
            <w:pPr>
              <w:pStyle w:val="TableParagraph"/>
              <w:spacing w:before="2"/>
              <w:ind w:left="994"/>
              <w:rPr>
                <w:b/>
                <w:sz w:val="19"/>
              </w:rPr>
            </w:pPr>
            <w:r>
              <w:rPr>
                <w:b/>
                <w:color w:val="FFFFFF"/>
                <w:sz w:val="19"/>
              </w:rPr>
              <w:t>$000</w:t>
            </w:r>
          </w:p>
        </w:tc>
        <w:tc>
          <w:tcPr>
            <w:tcW w:w="1219" w:type="dxa"/>
            <w:shd w:val="clear" w:color="auto" w:fill="783A79"/>
          </w:tcPr>
          <w:p>
            <w:pPr>
              <w:pStyle w:val="TableParagraph"/>
              <w:spacing w:line="249" w:lineRule="auto" w:before="42"/>
              <w:ind w:left="127" w:right="104" w:firstLine="435"/>
              <w:rPr>
                <w:b/>
                <w:sz w:val="19"/>
              </w:rPr>
            </w:pPr>
            <w:r>
              <w:rPr>
                <w:b/>
                <w:color w:val="FFFFFF"/>
                <w:spacing w:val="-1"/>
                <w:sz w:val="19"/>
              </w:rPr>
              <w:t>Office </w:t>
            </w:r>
            <w:r>
              <w:rPr>
                <w:b/>
                <w:color w:val="FFFFFF"/>
                <w:w w:val="95"/>
                <w:sz w:val="19"/>
              </w:rPr>
              <w:t>Equipment</w:t>
            </w:r>
          </w:p>
          <w:p>
            <w:pPr>
              <w:pStyle w:val="TableParagraph"/>
              <w:spacing w:before="2"/>
              <w:ind w:left="682"/>
              <w:rPr>
                <w:b/>
                <w:sz w:val="19"/>
              </w:rPr>
            </w:pPr>
            <w:r>
              <w:rPr>
                <w:b/>
                <w:color w:val="FFFFFF"/>
                <w:sz w:val="19"/>
              </w:rPr>
              <w:t>$000</w:t>
            </w:r>
          </w:p>
        </w:tc>
        <w:tc>
          <w:tcPr>
            <w:tcW w:w="1219" w:type="dxa"/>
            <w:shd w:val="clear" w:color="auto" w:fill="783A79"/>
          </w:tcPr>
          <w:p>
            <w:pPr>
              <w:pStyle w:val="TableParagraph"/>
              <w:spacing w:line="249" w:lineRule="auto" w:before="42"/>
              <w:ind w:left="126" w:right="105" w:firstLine="70"/>
              <w:rPr>
                <w:b/>
                <w:sz w:val="19"/>
              </w:rPr>
            </w:pPr>
            <w:r>
              <w:rPr>
                <w:b/>
                <w:color w:val="FFFFFF"/>
                <w:sz w:val="19"/>
              </w:rPr>
              <w:t>Computer </w:t>
            </w:r>
            <w:r>
              <w:rPr>
                <w:b/>
                <w:color w:val="FFFFFF"/>
                <w:w w:val="95"/>
                <w:sz w:val="19"/>
              </w:rPr>
              <w:t>Equipment</w:t>
            </w:r>
          </w:p>
          <w:p>
            <w:pPr>
              <w:pStyle w:val="TableParagraph"/>
              <w:spacing w:before="2"/>
              <w:ind w:left="682"/>
              <w:rPr>
                <w:b/>
                <w:sz w:val="19"/>
              </w:rPr>
            </w:pPr>
            <w:r>
              <w:rPr>
                <w:b/>
                <w:color w:val="FFFFFF"/>
                <w:sz w:val="19"/>
              </w:rPr>
              <w:t>$000</w:t>
            </w:r>
          </w:p>
        </w:tc>
        <w:tc>
          <w:tcPr>
            <w:tcW w:w="1219" w:type="dxa"/>
            <w:shd w:val="clear" w:color="auto" w:fill="783A79"/>
          </w:tcPr>
          <w:p>
            <w:pPr>
              <w:pStyle w:val="TableParagraph"/>
              <w:spacing w:line="249" w:lineRule="auto" w:before="42"/>
              <w:ind w:left="499" w:right="49"/>
              <w:jc w:val="center"/>
              <w:rPr>
                <w:b/>
                <w:sz w:val="19"/>
              </w:rPr>
            </w:pPr>
            <w:r>
              <w:rPr>
                <w:b/>
                <w:color w:val="FFFFFF"/>
                <w:spacing w:val="-1"/>
                <w:sz w:val="19"/>
              </w:rPr>
              <w:t>Office </w:t>
            </w:r>
            <w:r>
              <w:rPr>
                <w:b/>
                <w:color w:val="FFFFFF"/>
                <w:sz w:val="19"/>
              </w:rPr>
              <w:t>fitout</w:t>
            </w:r>
          </w:p>
          <w:p>
            <w:pPr>
              <w:pStyle w:val="TableParagraph"/>
              <w:spacing w:before="2"/>
              <w:ind w:left="610" w:right="43"/>
              <w:jc w:val="center"/>
              <w:rPr>
                <w:b/>
                <w:sz w:val="19"/>
              </w:rPr>
            </w:pPr>
            <w:r>
              <w:rPr>
                <w:b/>
                <w:color w:val="FFFFFF"/>
                <w:sz w:val="19"/>
              </w:rPr>
              <w:t>$000</w:t>
            </w:r>
          </w:p>
        </w:tc>
        <w:tc>
          <w:tcPr>
            <w:tcW w:w="1219" w:type="dxa"/>
            <w:shd w:val="clear" w:color="auto" w:fill="783A79"/>
          </w:tcPr>
          <w:p>
            <w:pPr>
              <w:pStyle w:val="TableParagraph"/>
              <w:spacing w:line="249" w:lineRule="auto" w:before="42"/>
              <w:ind w:left="365" w:firstLine="193"/>
              <w:rPr>
                <w:b/>
                <w:sz w:val="19"/>
              </w:rPr>
            </w:pPr>
            <w:r>
              <w:rPr>
                <w:b/>
                <w:color w:val="FFFFFF"/>
                <w:sz w:val="19"/>
              </w:rPr>
              <w:t>Motor </w:t>
            </w:r>
            <w:r>
              <w:rPr>
                <w:b/>
                <w:color w:val="FFFFFF"/>
                <w:w w:val="95"/>
                <w:sz w:val="19"/>
              </w:rPr>
              <w:t>vehicles</w:t>
            </w:r>
          </w:p>
          <w:p>
            <w:pPr>
              <w:pStyle w:val="TableParagraph"/>
              <w:spacing w:before="2"/>
              <w:ind w:left="681"/>
              <w:rPr>
                <w:b/>
                <w:sz w:val="19"/>
              </w:rPr>
            </w:pPr>
            <w:r>
              <w:rPr>
                <w:b/>
                <w:color w:val="FFFFFF"/>
                <w:sz w:val="19"/>
              </w:rPr>
              <w:t>$000</w:t>
            </w:r>
          </w:p>
        </w:tc>
        <w:tc>
          <w:tcPr>
            <w:tcW w:w="1219" w:type="dxa"/>
            <w:shd w:val="clear" w:color="auto" w:fill="783A79"/>
          </w:tcPr>
          <w:p>
            <w:pPr>
              <w:pStyle w:val="TableParagraph"/>
              <w:spacing w:line="249" w:lineRule="auto" w:before="42"/>
              <w:ind w:left="301" w:right="101" w:firstLine="116"/>
              <w:rPr>
                <w:b/>
                <w:sz w:val="19"/>
              </w:rPr>
            </w:pPr>
            <w:r>
              <w:rPr>
                <w:b/>
                <w:color w:val="FFFFFF"/>
                <w:sz w:val="19"/>
              </w:rPr>
              <w:t>Work </w:t>
            </w:r>
            <w:r>
              <w:rPr>
                <w:b/>
                <w:color w:val="FFFFFF"/>
                <w:spacing w:val="-8"/>
                <w:sz w:val="19"/>
              </w:rPr>
              <w:t>in </w:t>
            </w:r>
            <w:r>
              <w:rPr>
                <w:b/>
                <w:color w:val="FFFFFF"/>
                <w:spacing w:val="-1"/>
                <w:w w:val="95"/>
                <w:sz w:val="19"/>
              </w:rPr>
              <w:t>progress</w:t>
            </w:r>
          </w:p>
          <w:p>
            <w:pPr>
              <w:pStyle w:val="TableParagraph"/>
              <w:spacing w:before="2"/>
              <w:ind w:left="681"/>
              <w:rPr>
                <w:b/>
                <w:sz w:val="19"/>
              </w:rPr>
            </w:pPr>
            <w:r>
              <w:rPr>
                <w:b/>
                <w:color w:val="FFFFFF"/>
                <w:sz w:val="19"/>
              </w:rPr>
              <w:t>$000</w:t>
            </w:r>
          </w:p>
        </w:tc>
        <w:tc>
          <w:tcPr>
            <w:tcW w:w="1219" w:type="dxa"/>
            <w:shd w:val="clear" w:color="auto" w:fill="783A79"/>
          </w:tcPr>
          <w:p>
            <w:pPr>
              <w:pStyle w:val="TableParagraph"/>
              <w:spacing w:before="42"/>
              <w:ind w:left="667"/>
              <w:rPr>
                <w:b/>
                <w:sz w:val="19"/>
              </w:rPr>
            </w:pPr>
            <w:r>
              <w:rPr>
                <w:b/>
                <w:color w:val="FFFFFF"/>
                <w:spacing w:val="-5"/>
                <w:sz w:val="19"/>
              </w:rPr>
              <w:t>Total</w:t>
            </w:r>
          </w:p>
          <w:p>
            <w:pPr>
              <w:pStyle w:val="TableParagraph"/>
              <w:spacing w:before="8"/>
              <w:rPr>
                <w:sz w:val="20"/>
              </w:rPr>
            </w:pPr>
          </w:p>
          <w:p>
            <w:pPr>
              <w:pStyle w:val="TableParagraph"/>
              <w:spacing w:before="0"/>
              <w:ind w:left="681"/>
              <w:rPr>
                <w:b/>
                <w:sz w:val="19"/>
              </w:rPr>
            </w:pPr>
            <w:r>
              <w:rPr>
                <w:b/>
                <w:color w:val="FFFFFF"/>
                <w:sz w:val="19"/>
              </w:rPr>
              <w:t>$000</w:t>
            </w:r>
          </w:p>
        </w:tc>
      </w:tr>
      <w:tr>
        <w:trPr>
          <w:trHeight w:val="312" w:hRule="atLeast"/>
        </w:trPr>
        <w:tc>
          <w:tcPr>
            <w:tcW w:w="3997" w:type="dxa"/>
            <w:shd w:val="clear" w:color="auto" w:fill="FFFFFF"/>
          </w:tcPr>
          <w:p>
            <w:pPr>
              <w:pStyle w:val="TableParagraph"/>
              <w:spacing w:before="42"/>
              <w:ind w:left="113"/>
              <w:rPr>
                <w:sz w:val="19"/>
              </w:rPr>
            </w:pPr>
            <w:r>
              <w:rPr>
                <w:sz w:val="19"/>
              </w:rPr>
              <w:t>Carrying amount at start of period</w:t>
            </w:r>
          </w:p>
        </w:tc>
        <w:tc>
          <w:tcPr>
            <w:tcW w:w="1219" w:type="dxa"/>
            <w:shd w:val="clear" w:color="auto" w:fill="FFFFFF"/>
          </w:tcPr>
          <w:p>
            <w:pPr>
              <w:pStyle w:val="TableParagraph"/>
              <w:spacing w:before="42"/>
              <w:ind w:right="111"/>
              <w:jc w:val="right"/>
              <w:rPr>
                <w:sz w:val="19"/>
              </w:rPr>
            </w:pPr>
            <w:r>
              <w:rPr>
                <w:w w:val="95"/>
                <w:sz w:val="19"/>
              </w:rPr>
              <w:t>140,410</w:t>
            </w:r>
          </w:p>
        </w:tc>
        <w:tc>
          <w:tcPr>
            <w:tcW w:w="1219" w:type="dxa"/>
            <w:shd w:val="clear" w:color="auto" w:fill="FFFFFF"/>
          </w:tcPr>
          <w:p>
            <w:pPr>
              <w:pStyle w:val="TableParagraph"/>
              <w:spacing w:before="42"/>
              <w:ind w:right="112"/>
              <w:jc w:val="right"/>
              <w:rPr>
                <w:sz w:val="19"/>
              </w:rPr>
            </w:pPr>
            <w:r>
              <w:rPr>
                <w:w w:val="95"/>
                <w:sz w:val="19"/>
              </w:rPr>
              <w:t>138,072</w:t>
            </w:r>
          </w:p>
        </w:tc>
        <w:tc>
          <w:tcPr>
            <w:tcW w:w="1531" w:type="dxa"/>
            <w:shd w:val="clear" w:color="auto" w:fill="FFFFFF"/>
          </w:tcPr>
          <w:p>
            <w:pPr>
              <w:pStyle w:val="TableParagraph"/>
              <w:spacing w:before="42"/>
              <w:ind w:right="112"/>
              <w:jc w:val="right"/>
              <w:rPr>
                <w:sz w:val="19"/>
              </w:rPr>
            </w:pPr>
            <w:r>
              <w:rPr>
                <w:w w:val="95"/>
                <w:sz w:val="19"/>
              </w:rPr>
              <w:t>77,782</w:t>
            </w:r>
          </w:p>
        </w:tc>
        <w:tc>
          <w:tcPr>
            <w:tcW w:w="1219" w:type="dxa"/>
            <w:shd w:val="clear" w:color="auto" w:fill="FFFFFF"/>
          </w:tcPr>
          <w:p>
            <w:pPr>
              <w:pStyle w:val="TableParagraph"/>
              <w:spacing w:before="42"/>
              <w:ind w:right="112"/>
              <w:jc w:val="right"/>
              <w:rPr>
                <w:sz w:val="19"/>
              </w:rPr>
            </w:pPr>
            <w:r>
              <w:rPr>
                <w:w w:val="95"/>
                <w:sz w:val="19"/>
              </w:rPr>
              <w:t>171</w:t>
            </w:r>
          </w:p>
        </w:tc>
        <w:tc>
          <w:tcPr>
            <w:tcW w:w="1219" w:type="dxa"/>
            <w:shd w:val="clear" w:color="auto" w:fill="FFFFFF"/>
          </w:tcPr>
          <w:p>
            <w:pPr>
              <w:pStyle w:val="TableParagraph"/>
              <w:spacing w:before="42"/>
              <w:ind w:right="112"/>
              <w:jc w:val="right"/>
              <w:rPr>
                <w:sz w:val="19"/>
              </w:rPr>
            </w:pPr>
            <w:r>
              <w:rPr>
                <w:w w:val="95"/>
                <w:sz w:val="19"/>
              </w:rPr>
              <w:t>752</w:t>
            </w:r>
          </w:p>
        </w:tc>
        <w:tc>
          <w:tcPr>
            <w:tcW w:w="1219" w:type="dxa"/>
            <w:shd w:val="clear" w:color="auto" w:fill="FFFFFF"/>
          </w:tcPr>
          <w:p>
            <w:pPr>
              <w:pStyle w:val="TableParagraph"/>
              <w:spacing w:before="42"/>
              <w:ind w:right="112"/>
              <w:jc w:val="right"/>
              <w:rPr>
                <w:sz w:val="19"/>
              </w:rPr>
            </w:pPr>
            <w:r>
              <w:rPr>
                <w:w w:val="95"/>
                <w:sz w:val="19"/>
              </w:rPr>
              <w:t>114,941</w:t>
            </w:r>
          </w:p>
        </w:tc>
        <w:tc>
          <w:tcPr>
            <w:tcW w:w="1219" w:type="dxa"/>
            <w:shd w:val="clear" w:color="auto" w:fill="FFFFFF"/>
          </w:tcPr>
          <w:p>
            <w:pPr>
              <w:pStyle w:val="TableParagraph"/>
              <w:spacing w:before="42"/>
              <w:ind w:right="113"/>
              <w:jc w:val="right"/>
              <w:rPr>
                <w:sz w:val="19"/>
              </w:rPr>
            </w:pPr>
            <w:r>
              <w:rPr>
                <w:w w:val="95"/>
                <w:sz w:val="19"/>
              </w:rPr>
              <w:t>233,358</w:t>
            </w:r>
          </w:p>
        </w:tc>
        <w:tc>
          <w:tcPr>
            <w:tcW w:w="1219" w:type="dxa"/>
            <w:shd w:val="clear" w:color="auto" w:fill="FFFFFF"/>
          </w:tcPr>
          <w:p>
            <w:pPr>
              <w:pStyle w:val="TableParagraph"/>
              <w:spacing w:before="42"/>
              <w:ind w:right="113"/>
              <w:jc w:val="right"/>
              <w:rPr>
                <w:sz w:val="19"/>
              </w:rPr>
            </w:pPr>
            <w:r>
              <w:rPr>
                <w:w w:val="95"/>
                <w:sz w:val="19"/>
              </w:rPr>
              <w:t>14,888</w:t>
            </w:r>
          </w:p>
        </w:tc>
        <w:tc>
          <w:tcPr>
            <w:tcW w:w="1219" w:type="dxa"/>
            <w:shd w:val="clear" w:color="auto" w:fill="E1E4BB"/>
          </w:tcPr>
          <w:p>
            <w:pPr>
              <w:pStyle w:val="TableParagraph"/>
              <w:spacing w:before="42"/>
              <w:ind w:right="113"/>
              <w:jc w:val="right"/>
              <w:rPr>
                <w:b/>
                <w:sz w:val="19"/>
              </w:rPr>
            </w:pPr>
            <w:r>
              <w:rPr>
                <w:b/>
                <w:w w:val="95"/>
                <w:sz w:val="19"/>
              </w:rPr>
              <w:t>720,374</w:t>
            </w:r>
          </w:p>
        </w:tc>
      </w:tr>
      <w:tr>
        <w:trPr>
          <w:trHeight w:val="315" w:hRule="atLeast"/>
        </w:trPr>
        <w:tc>
          <w:tcPr>
            <w:tcW w:w="3997" w:type="dxa"/>
            <w:shd w:val="clear" w:color="auto" w:fill="FFFFFF"/>
          </w:tcPr>
          <w:p>
            <w:pPr>
              <w:pStyle w:val="TableParagraph"/>
              <w:spacing w:before="57"/>
              <w:ind w:left="112"/>
              <w:rPr>
                <w:sz w:val="19"/>
              </w:rPr>
            </w:pPr>
            <w:r>
              <w:rPr>
                <w:sz w:val="19"/>
              </w:rPr>
              <w:t>Additions</w:t>
            </w:r>
          </w:p>
        </w:tc>
        <w:tc>
          <w:tcPr>
            <w:tcW w:w="1219" w:type="dxa"/>
            <w:shd w:val="clear" w:color="auto" w:fill="FFFFFF"/>
          </w:tcPr>
          <w:p>
            <w:pPr>
              <w:pStyle w:val="TableParagraph"/>
              <w:spacing w:before="57"/>
              <w:ind w:right="112"/>
              <w:jc w:val="right"/>
              <w:rPr>
                <w:sz w:val="19"/>
              </w:rPr>
            </w:pPr>
            <w:r>
              <w:rPr>
                <w:w w:val="111"/>
                <w:sz w:val="19"/>
              </w:rPr>
              <w:t>-</w:t>
            </w:r>
          </w:p>
        </w:tc>
        <w:tc>
          <w:tcPr>
            <w:tcW w:w="1219" w:type="dxa"/>
            <w:shd w:val="clear" w:color="auto" w:fill="FFFFFF"/>
          </w:tcPr>
          <w:p>
            <w:pPr>
              <w:pStyle w:val="TableParagraph"/>
              <w:spacing w:before="57"/>
              <w:ind w:right="112"/>
              <w:jc w:val="right"/>
              <w:rPr>
                <w:sz w:val="19"/>
              </w:rPr>
            </w:pPr>
            <w:r>
              <w:rPr>
                <w:w w:val="111"/>
                <w:sz w:val="19"/>
              </w:rPr>
              <w:t>-</w:t>
            </w:r>
          </w:p>
        </w:tc>
        <w:tc>
          <w:tcPr>
            <w:tcW w:w="1531" w:type="dxa"/>
            <w:shd w:val="clear" w:color="auto" w:fill="FFFFFF"/>
          </w:tcPr>
          <w:p>
            <w:pPr>
              <w:pStyle w:val="TableParagraph"/>
              <w:spacing w:before="57"/>
              <w:ind w:right="112"/>
              <w:jc w:val="right"/>
              <w:rPr>
                <w:sz w:val="19"/>
              </w:rPr>
            </w:pPr>
            <w:r>
              <w:rPr>
                <w:w w:val="111"/>
                <w:sz w:val="19"/>
              </w:rPr>
              <w:t>-</w:t>
            </w:r>
          </w:p>
        </w:tc>
        <w:tc>
          <w:tcPr>
            <w:tcW w:w="1219" w:type="dxa"/>
            <w:shd w:val="clear" w:color="auto" w:fill="FFFFFF"/>
          </w:tcPr>
          <w:p>
            <w:pPr>
              <w:pStyle w:val="TableParagraph"/>
              <w:spacing w:before="57"/>
              <w:ind w:right="113"/>
              <w:jc w:val="right"/>
              <w:rPr>
                <w:sz w:val="19"/>
              </w:rPr>
            </w:pPr>
            <w:r>
              <w:rPr>
                <w:w w:val="95"/>
                <w:sz w:val="19"/>
              </w:rPr>
              <w:t>41</w:t>
            </w:r>
          </w:p>
        </w:tc>
        <w:tc>
          <w:tcPr>
            <w:tcW w:w="1219" w:type="dxa"/>
            <w:shd w:val="clear" w:color="auto" w:fill="FFFFFF"/>
          </w:tcPr>
          <w:p>
            <w:pPr>
              <w:pStyle w:val="TableParagraph"/>
              <w:spacing w:before="57"/>
              <w:ind w:right="113"/>
              <w:jc w:val="right"/>
              <w:rPr>
                <w:sz w:val="19"/>
              </w:rPr>
            </w:pPr>
            <w:r>
              <w:rPr>
                <w:w w:val="111"/>
                <w:sz w:val="19"/>
              </w:rPr>
              <w:t>-</w:t>
            </w:r>
          </w:p>
        </w:tc>
        <w:tc>
          <w:tcPr>
            <w:tcW w:w="1219" w:type="dxa"/>
            <w:shd w:val="clear" w:color="auto" w:fill="FFFFFF"/>
          </w:tcPr>
          <w:p>
            <w:pPr>
              <w:pStyle w:val="TableParagraph"/>
              <w:spacing w:before="57"/>
              <w:ind w:right="113"/>
              <w:jc w:val="right"/>
              <w:rPr>
                <w:sz w:val="19"/>
              </w:rPr>
            </w:pPr>
            <w:r>
              <w:rPr>
                <w:w w:val="111"/>
                <w:sz w:val="19"/>
              </w:rPr>
              <w:t>-</w:t>
            </w:r>
          </w:p>
        </w:tc>
        <w:tc>
          <w:tcPr>
            <w:tcW w:w="1219" w:type="dxa"/>
            <w:shd w:val="clear" w:color="auto" w:fill="FFFFFF"/>
          </w:tcPr>
          <w:p>
            <w:pPr>
              <w:pStyle w:val="TableParagraph"/>
              <w:spacing w:before="57"/>
              <w:ind w:right="113"/>
              <w:jc w:val="right"/>
              <w:rPr>
                <w:sz w:val="19"/>
              </w:rPr>
            </w:pPr>
            <w:r>
              <w:rPr>
                <w:w w:val="95"/>
                <w:sz w:val="19"/>
              </w:rPr>
              <w:t>77,145</w:t>
            </w:r>
          </w:p>
        </w:tc>
        <w:tc>
          <w:tcPr>
            <w:tcW w:w="1219" w:type="dxa"/>
            <w:shd w:val="clear" w:color="auto" w:fill="FFFFFF"/>
          </w:tcPr>
          <w:p>
            <w:pPr>
              <w:pStyle w:val="TableParagraph"/>
              <w:spacing w:before="57"/>
              <w:ind w:right="113"/>
              <w:jc w:val="right"/>
              <w:rPr>
                <w:sz w:val="19"/>
              </w:rPr>
            </w:pPr>
            <w:r>
              <w:rPr>
                <w:w w:val="95"/>
                <w:sz w:val="19"/>
              </w:rPr>
              <w:t>39,245</w:t>
            </w:r>
          </w:p>
        </w:tc>
        <w:tc>
          <w:tcPr>
            <w:tcW w:w="1219" w:type="dxa"/>
            <w:vMerge w:val="restart"/>
            <w:tcBorders>
              <w:bottom w:val="single" w:sz="4" w:space="0" w:color="000000"/>
            </w:tcBorders>
            <w:shd w:val="clear" w:color="auto" w:fill="E1E4BB"/>
          </w:tcPr>
          <w:p>
            <w:pPr>
              <w:pStyle w:val="TableParagraph"/>
              <w:spacing w:before="57"/>
              <w:ind w:left="416"/>
              <w:rPr>
                <w:b/>
                <w:sz w:val="19"/>
              </w:rPr>
            </w:pPr>
            <w:r>
              <w:rPr>
                <w:b/>
                <w:sz w:val="19"/>
              </w:rPr>
              <w:t>116,431</w:t>
            </w:r>
          </w:p>
          <w:p>
            <w:pPr>
              <w:pStyle w:val="TableParagraph"/>
              <w:spacing w:before="87"/>
              <w:ind w:left="410"/>
              <w:rPr>
                <w:b/>
                <w:sz w:val="19"/>
              </w:rPr>
            </w:pPr>
            <w:r>
              <w:rPr>
                <w:b/>
                <w:sz w:val="19"/>
              </w:rPr>
              <w:t>(12,776)</w:t>
            </w:r>
          </w:p>
          <w:p>
            <w:pPr>
              <w:pStyle w:val="TableParagraph"/>
              <w:spacing w:before="87"/>
              <w:ind w:left="410"/>
              <w:rPr>
                <w:b/>
                <w:sz w:val="19"/>
              </w:rPr>
            </w:pPr>
            <w:r>
              <w:rPr>
                <w:b/>
                <w:sz w:val="19"/>
              </w:rPr>
              <w:t>(36,831)</w:t>
            </w:r>
          </w:p>
          <w:p>
            <w:pPr>
              <w:pStyle w:val="TableParagraph"/>
              <w:spacing w:before="88"/>
              <w:ind w:left="409"/>
              <w:rPr>
                <w:b/>
                <w:sz w:val="19"/>
              </w:rPr>
            </w:pPr>
            <w:r>
              <w:rPr>
                <w:b/>
                <w:sz w:val="19"/>
              </w:rPr>
              <w:t>(38,465)</w:t>
            </w:r>
          </w:p>
          <w:p>
            <w:pPr>
              <w:pStyle w:val="TableParagraph"/>
              <w:spacing w:before="87"/>
              <w:ind w:left="409"/>
              <w:rPr>
                <w:b/>
                <w:sz w:val="19"/>
              </w:rPr>
            </w:pPr>
            <w:r>
              <w:rPr>
                <w:b/>
                <w:sz w:val="19"/>
              </w:rPr>
              <w:t>(61,639)</w:t>
            </w:r>
          </w:p>
        </w:tc>
      </w:tr>
      <w:tr>
        <w:trPr>
          <w:trHeight w:val="601" w:hRule="atLeast"/>
        </w:trPr>
        <w:tc>
          <w:tcPr>
            <w:tcW w:w="3997" w:type="dxa"/>
            <w:shd w:val="clear" w:color="auto" w:fill="FFFFFF"/>
          </w:tcPr>
          <w:p>
            <w:pPr>
              <w:pStyle w:val="TableParagraph"/>
              <w:spacing w:before="37"/>
              <w:ind w:left="112"/>
              <w:rPr>
                <w:sz w:val="10"/>
              </w:rPr>
            </w:pPr>
            <w:r>
              <w:rPr>
                <w:sz w:val="19"/>
              </w:rPr>
              <w:t>Transfers</w:t>
            </w:r>
            <w:r>
              <w:rPr>
                <w:position w:val="6"/>
                <w:sz w:val="10"/>
              </w:rPr>
              <w:t>(a)</w:t>
            </w:r>
          </w:p>
          <w:p>
            <w:pPr>
              <w:pStyle w:val="TableParagraph"/>
              <w:spacing w:before="87"/>
              <w:ind w:left="112"/>
              <w:rPr>
                <w:sz w:val="19"/>
              </w:rPr>
            </w:pPr>
            <w:r>
              <w:rPr>
                <w:sz w:val="19"/>
              </w:rPr>
              <w:t>Other disposals</w:t>
            </w:r>
          </w:p>
        </w:tc>
        <w:tc>
          <w:tcPr>
            <w:tcW w:w="1219" w:type="dxa"/>
            <w:shd w:val="clear" w:color="auto" w:fill="FFFFFF"/>
          </w:tcPr>
          <w:p>
            <w:pPr>
              <w:pStyle w:val="TableParagraph"/>
              <w:spacing w:before="37"/>
              <w:ind w:right="111"/>
              <w:jc w:val="right"/>
              <w:rPr>
                <w:sz w:val="19"/>
              </w:rPr>
            </w:pPr>
            <w:r>
              <w:rPr>
                <w:w w:val="90"/>
                <w:sz w:val="19"/>
              </w:rPr>
              <w:t>(765)</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left="524"/>
              <w:rPr>
                <w:sz w:val="19"/>
              </w:rPr>
            </w:pPr>
            <w:r>
              <w:rPr>
                <w:sz w:val="19"/>
              </w:rPr>
              <w:t>19,466</w:t>
            </w:r>
          </w:p>
          <w:p>
            <w:pPr>
              <w:pStyle w:val="TableParagraph"/>
              <w:spacing w:before="87"/>
              <w:ind w:left="801"/>
              <w:rPr>
                <w:sz w:val="19"/>
              </w:rPr>
            </w:pPr>
            <w:r>
              <w:rPr>
                <w:sz w:val="19"/>
              </w:rPr>
              <w:t>(17)</w:t>
            </w:r>
          </w:p>
        </w:tc>
        <w:tc>
          <w:tcPr>
            <w:tcW w:w="1531" w:type="dxa"/>
            <w:shd w:val="clear" w:color="auto" w:fill="FFFFFF"/>
          </w:tcPr>
          <w:p>
            <w:pPr>
              <w:pStyle w:val="TableParagraph"/>
              <w:spacing w:before="37"/>
              <w:ind w:right="112"/>
              <w:jc w:val="right"/>
              <w:rPr>
                <w:sz w:val="19"/>
              </w:rPr>
            </w:pPr>
            <w:r>
              <w:rPr>
                <w:w w:val="95"/>
                <w:sz w:val="19"/>
              </w:rPr>
              <w:t>12,608</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right="112"/>
              <w:jc w:val="right"/>
              <w:rPr>
                <w:sz w:val="19"/>
              </w:rPr>
            </w:pPr>
            <w:r>
              <w:rPr>
                <w:w w:val="99"/>
                <w:sz w:val="19"/>
              </w:rPr>
              <w:t>9</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right="112"/>
              <w:jc w:val="right"/>
              <w:rPr>
                <w:sz w:val="19"/>
              </w:rPr>
            </w:pPr>
            <w:r>
              <w:rPr>
                <w:w w:val="85"/>
                <w:sz w:val="19"/>
              </w:rPr>
              <w:t>(7)</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right="112"/>
              <w:jc w:val="right"/>
              <w:rPr>
                <w:sz w:val="19"/>
              </w:rPr>
            </w:pPr>
            <w:r>
              <w:rPr>
                <w:w w:val="90"/>
                <w:sz w:val="19"/>
              </w:rPr>
              <w:t>(4,542)</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left="801"/>
              <w:rPr>
                <w:sz w:val="19"/>
              </w:rPr>
            </w:pPr>
            <w:r>
              <w:rPr>
                <w:sz w:val="19"/>
              </w:rPr>
              <w:t>(64)</w:t>
            </w:r>
          </w:p>
          <w:p>
            <w:pPr>
              <w:pStyle w:val="TableParagraph"/>
              <w:spacing w:before="87"/>
              <w:ind w:left="431"/>
              <w:rPr>
                <w:sz w:val="19"/>
              </w:rPr>
            </w:pPr>
            <w:r>
              <w:rPr>
                <w:sz w:val="19"/>
              </w:rPr>
              <w:t>(36,814)</w:t>
            </w:r>
          </w:p>
        </w:tc>
        <w:tc>
          <w:tcPr>
            <w:tcW w:w="1219" w:type="dxa"/>
            <w:shd w:val="clear" w:color="auto" w:fill="FFFFFF"/>
          </w:tcPr>
          <w:p>
            <w:pPr>
              <w:pStyle w:val="TableParagraph"/>
              <w:spacing w:before="37"/>
              <w:ind w:right="112"/>
              <w:jc w:val="right"/>
              <w:rPr>
                <w:sz w:val="19"/>
              </w:rPr>
            </w:pPr>
            <w:r>
              <w:rPr>
                <w:w w:val="95"/>
                <w:sz w:val="19"/>
              </w:rPr>
              <w:t>(39,481)</w:t>
            </w:r>
          </w:p>
          <w:p>
            <w:pPr>
              <w:pStyle w:val="TableParagraph"/>
              <w:spacing w:before="87"/>
              <w:ind w:right="113"/>
              <w:jc w:val="right"/>
              <w:rPr>
                <w:sz w:val="19"/>
              </w:rPr>
            </w:pPr>
            <w:r>
              <w:rPr>
                <w:w w:val="111"/>
                <w:sz w:val="19"/>
              </w:rPr>
              <w:t>-</w:t>
            </w:r>
          </w:p>
        </w:tc>
        <w:tc>
          <w:tcPr>
            <w:tcW w:w="1219" w:type="dxa"/>
            <w:vMerge/>
            <w:tcBorders>
              <w:top w:val="nil"/>
              <w:bottom w:val="single" w:sz="4" w:space="0" w:color="000000"/>
            </w:tcBorders>
            <w:shd w:val="clear" w:color="auto" w:fill="E1E4BB"/>
          </w:tcPr>
          <w:p>
            <w:pPr>
              <w:rPr>
                <w:sz w:val="2"/>
                <w:szCs w:val="2"/>
              </w:rPr>
            </w:pPr>
          </w:p>
        </w:tc>
      </w:tr>
      <w:tr>
        <w:trPr>
          <w:trHeight w:val="596" w:hRule="atLeast"/>
        </w:trPr>
        <w:tc>
          <w:tcPr>
            <w:tcW w:w="3997" w:type="dxa"/>
            <w:shd w:val="clear" w:color="auto" w:fill="FFFFFF"/>
          </w:tcPr>
          <w:p>
            <w:pPr>
              <w:pStyle w:val="TableParagraph"/>
              <w:spacing w:before="37"/>
              <w:ind w:left="112"/>
              <w:rPr>
                <w:sz w:val="19"/>
              </w:rPr>
            </w:pPr>
            <w:r>
              <w:rPr>
                <w:sz w:val="19"/>
              </w:rPr>
              <w:t>Revaluations</w:t>
            </w:r>
          </w:p>
          <w:p>
            <w:pPr>
              <w:pStyle w:val="TableParagraph"/>
              <w:spacing w:before="87"/>
              <w:ind w:left="112"/>
              <w:rPr>
                <w:sz w:val="19"/>
              </w:rPr>
            </w:pPr>
            <w:r>
              <w:rPr>
                <w:sz w:val="19"/>
              </w:rPr>
              <w:t>Depreciation</w:t>
            </w:r>
          </w:p>
        </w:tc>
        <w:tc>
          <w:tcPr>
            <w:tcW w:w="1219" w:type="dxa"/>
            <w:tcBorders>
              <w:bottom w:val="single" w:sz="4" w:space="0" w:color="000000"/>
            </w:tcBorders>
            <w:shd w:val="clear" w:color="auto" w:fill="FFFFFF"/>
          </w:tcPr>
          <w:p>
            <w:pPr>
              <w:pStyle w:val="TableParagraph"/>
              <w:spacing w:before="37"/>
              <w:ind w:right="112"/>
              <w:jc w:val="right"/>
              <w:rPr>
                <w:sz w:val="19"/>
              </w:rPr>
            </w:pPr>
            <w:r>
              <w:rPr>
                <w:w w:val="90"/>
                <w:sz w:val="19"/>
              </w:rPr>
              <w:t>(8,416)</w:t>
            </w:r>
          </w:p>
          <w:p>
            <w:pPr>
              <w:pStyle w:val="TableParagraph"/>
              <w:spacing w:before="87"/>
              <w:ind w:right="112"/>
              <w:jc w:val="right"/>
              <w:rPr>
                <w:sz w:val="19"/>
              </w:rPr>
            </w:pPr>
            <w:r>
              <w:rPr>
                <w:w w:val="111"/>
                <w:sz w:val="19"/>
              </w:rPr>
              <w:t>-</w:t>
            </w:r>
          </w:p>
        </w:tc>
        <w:tc>
          <w:tcPr>
            <w:tcW w:w="1219" w:type="dxa"/>
            <w:tcBorders>
              <w:bottom w:val="single" w:sz="4" w:space="0" w:color="000000"/>
            </w:tcBorders>
            <w:shd w:val="clear" w:color="auto" w:fill="FFFFFF"/>
          </w:tcPr>
          <w:p>
            <w:pPr>
              <w:pStyle w:val="TableParagraph"/>
              <w:spacing w:before="37"/>
              <w:ind w:left="394" w:right="77"/>
              <w:jc w:val="center"/>
              <w:rPr>
                <w:sz w:val="19"/>
              </w:rPr>
            </w:pPr>
            <w:r>
              <w:rPr>
                <w:sz w:val="19"/>
              </w:rPr>
              <w:t>(30,049)</w:t>
            </w:r>
          </w:p>
          <w:p>
            <w:pPr>
              <w:pStyle w:val="TableParagraph"/>
              <w:spacing w:before="87"/>
              <w:ind w:left="499" w:right="77"/>
              <w:jc w:val="center"/>
              <w:rPr>
                <w:sz w:val="19"/>
              </w:rPr>
            </w:pPr>
            <w:r>
              <w:rPr>
                <w:sz w:val="19"/>
              </w:rPr>
              <w:t>(3,342)</w:t>
            </w:r>
          </w:p>
        </w:tc>
        <w:tc>
          <w:tcPr>
            <w:tcW w:w="1531" w:type="dxa"/>
            <w:tcBorders>
              <w:bottom w:val="single" w:sz="4" w:space="0" w:color="000000"/>
            </w:tcBorders>
            <w:shd w:val="clear" w:color="auto" w:fill="FFFFFF"/>
          </w:tcPr>
          <w:p>
            <w:pPr>
              <w:pStyle w:val="TableParagraph"/>
              <w:spacing w:before="37"/>
              <w:ind w:right="112"/>
              <w:jc w:val="right"/>
              <w:rPr>
                <w:sz w:val="19"/>
              </w:rPr>
            </w:pPr>
            <w:r>
              <w:rPr>
                <w:w w:val="111"/>
                <w:sz w:val="19"/>
              </w:rPr>
              <w:t>-</w:t>
            </w:r>
          </w:p>
          <w:p>
            <w:pPr>
              <w:pStyle w:val="TableParagraph"/>
              <w:spacing w:before="87"/>
              <w:ind w:right="113"/>
              <w:jc w:val="right"/>
              <w:rPr>
                <w:sz w:val="19"/>
              </w:rPr>
            </w:pPr>
            <w:r>
              <w:rPr>
                <w:w w:val="90"/>
                <w:sz w:val="19"/>
              </w:rPr>
              <w:t>(7,939)</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0"/>
                <w:sz w:val="19"/>
              </w:rPr>
              <w:t>(59)</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0"/>
                <w:sz w:val="19"/>
              </w:rPr>
              <w:t>(366)</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5"/>
                <w:sz w:val="19"/>
              </w:rPr>
              <w:t>(11,774)</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5"/>
                <w:sz w:val="19"/>
              </w:rPr>
              <w:t>(38,159)</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4"/>
              <w:jc w:val="right"/>
              <w:rPr>
                <w:sz w:val="19"/>
              </w:rPr>
            </w:pPr>
            <w:r>
              <w:rPr>
                <w:w w:val="111"/>
                <w:sz w:val="19"/>
              </w:rPr>
              <w:t>-</w:t>
            </w:r>
          </w:p>
        </w:tc>
        <w:tc>
          <w:tcPr>
            <w:tcW w:w="1219" w:type="dxa"/>
            <w:vMerge/>
            <w:tcBorders>
              <w:top w:val="nil"/>
              <w:bottom w:val="single" w:sz="4" w:space="0" w:color="000000"/>
            </w:tcBorders>
            <w:shd w:val="clear" w:color="auto" w:fill="E1E4BB"/>
          </w:tcPr>
          <w:p>
            <w:pPr>
              <w:rPr>
                <w:sz w:val="2"/>
                <w:szCs w:val="2"/>
              </w:rPr>
            </w:pPr>
          </w:p>
        </w:tc>
      </w:tr>
      <w:tr>
        <w:trPr>
          <w:trHeight w:val="265" w:hRule="atLeast"/>
        </w:trPr>
        <w:tc>
          <w:tcPr>
            <w:tcW w:w="3997" w:type="dxa"/>
            <w:tcBorders>
              <w:top w:val="single" w:sz="8" w:space="0" w:color="FFFFFF"/>
              <w:right w:val="single" w:sz="8" w:space="0" w:color="FFFFFF"/>
            </w:tcBorders>
            <w:shd w:val="clear" w:color="auto" w:fill="F4F4F4"/>
          </w:tcPr>
          <w:p>
            <w:pPr>
              <w:pStyle w:val="TableParagraph"/>
              <w:spacing w:line="213" w:lineRule="exact"/>
              <w:ind w:left="111"/>
              <w:rPr>
                <w:b/>
                <w:sz w:val="19"/>
              </w:rPr>
            </w:pPr>
            <w:r>
              <w:rPr>
                <w:b/>
                <w:sz w:val="19"/>
              </w:rPr>
              <w:t>Carrying amount at end of period</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131,229</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124,130</w:t>
            </w:r>
          </w:p>
        </w:tc>
        <w:tc>
          <w:tcPr>
            <w:tcW w:w="1531"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82,451</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162</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379</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4"/>
              <w:jc w:val="right"/>
              <w:rPr>
                <w:b/>
                <w:sz w:val="19"/>
              </w:rPr>
            </w:pPr>
            <w:r>
              <w:rPr>
                <w:b/>
                <w:w w:val="95"/>
                <w:sz w:val="19"/>
              </w:rPr>
              <w:t>98,625</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4"/>
              <w:jc w:val="right"/>
              <w:rPr>
                <w:b/>
                <w:sz w:val="19"/>
              </w:rPr>
            </w:pPr>
            <w:r>
              <w:rPr>
                <w:b/>
                <w:w w:val="95"/>
                <w:sz w:val="19"/>
              </w:rPr>
              <w:t>235,466</w:t>
            </w:r>
          </w:p>
        </w:tc>
        <w:tc>
          <w:tcPr>
            <w:tcW w:w="1219" w:type="dxa"/>
            <w:tcBorders>
              <w:top w:val="single" w:sz="4" w:space="0" w:color="000000"/>
              <w:left w:val="single" w:sz="8" w:space="0" w:color="FFFFFF"/>
              <w:bottom w:val="single" w:sz="24" w:space="0" w:color="FFFFFF"/>
            </w:tcBorders>
            <w:shd w:val="clear" w:color="auto" w:fill="F4F4F4"/>
          </w:tcPr>
          <w:p>
            <w:pPr>
              <w:pStyle w:val="TableParagraph"/>
              <w:spacing w:line="213" w:lineRule="exact"/>
              <w:ind w:right="114"/>
              <w:jc w:val="right"/>
              <w:rPr>
                <w:b/>
                <w:sz w:val="19"/>
              </w:rPr>
            </w:pPr>
            <w:r>
              <w:rPr>
                <w:b/>
                <w:w w:val="95"/>
                <w:sz w:val="19"/>
              </w:rPr>
              <w:t>14,652</w:t>
            </w:r>
          </w:p>
        </w:tc>
        <w:tc>
          <w:tcPr>
            <w:tcW w:w="1219" w:type="dxa"/>
            <w:tcBorders>
              <w:top w:val="single" w:sz="4" w:space="0" w:color="000000"/>
              <w:bottom w:val="single" w:sz="24" w:space="0" w:color="FFFFFF"/>
            </w:tcBorders>
            <w:shd w:val="clear" w:color="auto" w:fill="DFE1B8"/>
          </w:tcPr>
          <w:p>
            <w:pPr>
              <w:pStyle w:val="TableParagraph"/>
              <w:spacing w:line="213" w:lineRule="exact"/>
              <w:ind w:right="114"/>
              <w:jc w:val="right"/>
              <w:rPr>
                <w:b/>
                <w:sz w:val="19"/>
              </w:rPr>
            </w:pPr>
            <w:r>
              <w:rPr>
                <w:b/>
                <w:w w:val="95"/>
                <w:sz w:val="19"/>
              </w:rPr>
              <w:t>687,094</w:t>
            </w:r>
          </w:p>
        </w:tc>
      </w:tr>
    </w:tbl>
    <w:p>
      <w:pPr>
        <w:pStyle w:val="BodyText"/>
        <w:spacing w:before="11"/>
        <w:rPr>
          <w:sz w:val="23"/>
        </w:rPr>
      </w:pPr>
    </w:p>
    <w:tbl>
      <w:tblPr>
        <w:tblW w:w="0" w:type="auto"/>
        <w:jc w:val="left"/>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97"/>
        <w:gridCol w:w="1219"/>
        <w:gridCol w:w="1219"/>
        <w:gridCol w:w="1531"/>
        <w:gridCol w:w="1219"/>
        <w:gridCol w:w="1219"/>
        <w:gridCol w:w="1219"/>
        <w:gridCol w:w="1219"/>
        <w:gridCol w:w="1219"/>
        <w:gridCol w:w="1219"/>
      </w:tblGrid>
      <w:tr>
        <w:trPr>
          <w:trHeight w:val="305" w:hRule="atLeast"/>
        </w:trPr>
        <w:tc>
          <w:tcPr>
            <w:tcW w:w="3997" w:type="dxa"/>
            <w:tcBorders>
              <w:top w:val="nil"/>
              <w:left w:val="nil"/>
              <w:bottom w:val="nil"/>
              <w:right w:val="nil"/>
            </w:tcBorders>
            <w:shd w:val="clear" w:color="auto" w:fill="783A79"/>
          </w:tcPr>
          <w:p>
            <w:pPr>
              <w:pStyle w:val="TableParagraph"/>
              <w:spacing w:before="42"/>
              <w:ind w:left="111"/>
              <w:rPr>
                <w:b/>
                <w:sz w:val="19"/>
              </w:rPr>
            </w:pPr>
            <w:r>
              <w:rPr>
                <w:b/>
                <w:color w:val="FFFFFF"/>
                <w:sz w:val="19"/>
              </w:rPr>
              <w:t>2017</w:t>
            </w:r>
          </w:p>
        </w:tc>
        <w:tc>
          <w:tcPr>
            <w:tcW w:w="1219" w:type="dxa"/>
            <w:tcBorders>
              <w:top w:val="nil"/>
              <w:left w:val="nil"/>
              <w:bottom w:val="nil"/>
              <w:right w:val="nil"/>
            </w:tcBorders>
            <w:shd w:val="clear" w:color="auto" w:fill="783A79"/>
          </w:tcPr>
          <w:p>
            <w:pPr>
              <w:pStyle w:val="TableParagraph"/>
              <w:spacing w:before="42"/>
              <w:ind w:right="113"/>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3"/>
              <w:jc w:val="right"/>
              <w:rPr>
                <w:b/>
                <w:sz w:val="19"/>
              </w:rPr>
            </w:pPr>
            <w:r>
              <w:rPr>
                <w:b/>
                <w:color w:val="FFFFFF"/>
                <w:w w:val="95"/>
                <w:sz w:val="19"/>
              </w:rPr>
              <w:t>$000</w:t>
            </w:r>
          </w:p>
        </w:tc>
        <w:tc>
          <w:tcPr>
            <w:tcW w:w="1531"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2438" w:type="dxa"/>
            <w:gridSpan w:val="2"/>
            <w:tcBorders>
              <w:top w:val="nil"/>
              <w:left w:val="nil"/>
              <w:bottom w:val="nil"/>
              <w:right w:val="nil"/>
            </w:tcBorders>
            <w:shd w:val="clear" w:color="auto" w:fill="783A79"/>
          </w:tcPr>
          <w:p>
            <w:pPr>
              <w:pStyle w:val="TableParagraph"/>
              <w:spacing w:before="42"/>
              <w:ind w:left="679"/>
              <w:rPr>
                <w:b/>
                <w:sz w:val="19"/>
              </w:rPr>
            </w:pPr>
            <w:r>
              <w:rPr>
                <w:b/>
                <w:color w:val="FFFFFF"/>
                <w:sz w:val="19"/>
              </w:rPr>
              <w:t>$000</w:t>
            </w:r>
          </w:p>
        </w:tc>
      </w:tr>
      <w:tr>
        <w:trPr>
          <w:trHeight w:val="301" w:hRule="atLeast"/>
        </w:trPr>
        <w:tc>
          <w:tcPr>
            <w:tcW w:w="3997" w:type="dxa"/>
            <w:tcBorders>
              <w:top w:val="nil"/>
              <w:left w:val="nil"/>
              <w:bottom w:val="nil"/>
            </w:tcBorders>
            <w:shd w:val="clear" w:color="auto" w:fill="FAF9F9"/>
          </w:tcPr>
          <w:p>
            <w:pPr>
              <w:pStyle w:val="TableParagraph"/>
              <w:spacing w:before="42"/>
              <w:ind w:left="111"/>
              <w:rPr>
                <w:sz w:val="19"/>
              </w:rPr>
            </w:pPr>
            <w:r>
              <w:rPr>
                <w:sz w:val="19"/>
              </w:rPr>
              <w:t>Carrying amount at start of period</w:t>
            </w:r>
          </w:p>
        </w:tc>
        <w:tc>
          <w:tcPr>
            <w:tcW w:w="1219" w:type="dxa"/>
            <w:tcBorders>
              <w:top w:val="nil"/>
              <w:bottom w:val="nil"/>
            </w:tcBorders>
            <w:shd w:val="clear" w:color="auto" w:fill="FAF9F9"/>
          </w:tcPr>
          <w:p>
            <w:pPr>
              <w:pStyle w:val="TableParagraph"/>
              <w:spacing w:before="42"/>
              <w:ind w:right="103"/>
              <w:jc w:val="right"/>
              <w:rPr>
                <w:sz w:val="19"/>
              </w:rPr>
            </w:pPr>
            <w:r>
              <w:rPr>
                <w:w w:val="95"/>
                <w:sz w:val="19"/>
              </w:rPr>
              <w:t>151,512</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162,742</w:t>
            </w:r>
          </w:p>
        </w:tc>
        <w:tc>
          <w:tcPr>
            <w:tcW w:w="1531" w:type="dxa"/>
            <w:tcBorders>
              <w:top w:val="nil"/>
              <w:bottom w:val="nil"/>
            </w:tcBorders>
            <w:shd w:val="clear" w:color="auto" w:fill="FAF9F9"/>
          </w:tcPr>
          <w:p>
            <w:pPr>
              <w:pStyle w:val="TableParagraph"/>
              <w:spacing w:before="42"/>
              <w:ind w:right="104"/>
              <w:jc w:val="right"/>
              <w:rPr>
                <w:sz w:val="19"/>
              </w:rPr>
            </w:pPr>
            <w:r>
              <w:rPr>
                <w:w w:val="95"/>
                <w:sz w:val="19"/>
              </w:rPr>
              <w:t>25,784</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124</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1,280</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60,728</w:t>
            </w:r>
          </w:p>
        </w:tc>
        <w:tc>
          <w:tcPr>
            <w:tcW w:w="1219" w:type="dxa"/>
            <w:tcBorders>
              <w:top w:val="nil"/>
              <w:bottom w:val="nil"/>
            </w:tcBorders>
            <w:shd w:val="clear" w:color="auto" w:fill="FAF9F9"/>
          </w:tcPr>
          <w:p>
            <w:pPr>
              <w:pStyle w:val="TableParagraph"/>
              <w:spacing w:before="42"/>
              <w:ind w:right="105"/>
              <w:jc w:val="right"/>
              <w:rPr>
                <w:sz w:val="19"/>
              </w:rPr>
            </w:pPr>
            <w:r>
              <w:rPr>
                <w:w w:val="95"/>
                <w:sz w:val="19"/>
              </w:rPr>
              <w:t>261,604</w:t>
            </w:r>
          </w:p>
        </w:tc>
        <w:tc>
          <w:tcPr>
            <w:tcW w:w="1219" w:type="dxa"/>
            <w:tcBorders>
              <w:top w:val="nil"/>
              <w:bottom w:val="nil"/>
              <w:right w:val="nil"/>
            </w:tcBorders>
            <w:shd w:val="clear" w:color="auto" w:fill="FAF9F9"/>
          </w:tcPr>
          <w:p>
            <w:pPr>
              <w:pStyle w:val="TableParagraph"/>
              <w:spacing w:before="42"/>
              <w:ind w:right="115"/>
              <w:jc w:val="right"/>
              <w:rPr>
                <w:sz w:val="19"/>
              </w:rPr>
            </w:pPr>
            <w:r>
              <w:rPr>
                <w:w w:val="95"/>
                <w:sz w:val="19"/>
              </w:rPr>
              <w:t>104,963</w:t>
            </w:r>
          </w:p>
        </w:tc>
        <w:tc>
          <w:tcPr>
            <w:tcW w:w="1219" w:type="dxa"/>
            <w:tcBorders>
              <w:top w:val="nil"/>
              <w:left w:val="nil"/>
              <w:bottom w:val="nil"/>
              <w:right w:val="nil"/>
            </w:tcBorders>
            <w:shd w:val="clear" w:color="auto" w:fill="E1E4BB"/>
          </w:tcPr>
          <w:p>
            <w:pPr>
              <w:pStyle w:val="TableParagraph"/>
              <w:spacing w:before="42"/>
              <w:ind w:right="115"/>
              <w:jc w:val="right"/>
              <w:rPr>
                <w:b/>
                <w:sz w:val="19"/>
              </w:rPr>
            </w:pPr>
            <w:r>
              <w:rPr>
                <w:b/>
                <w:w w:val="95"/>
                <w:sz w:val="19"/>
              </w:rPr>
              <w:t>768,737</w:t>
            </w:r>
          </w:p>
        </w:tc>
      </w:tr>
      <w:tr>
        <w:trPr>
          <w:trHeight w:val="300" w:hRule="atLeast"/>
        </w:trPr>
        <w:tc>
          <w:tcPr>
            <w:tcW w:w="3997" w:type="dxa"/>
            <w:tcBorders>
              <w:top w:val="nil"/>
              <w:left w:val="nil"/>
            </w:tcBorders>
            <w:shd w:val="clear" w:color="auto" w:fill="FAF9F9"/>
          </w:tcPr>
          <w:p>
            <w:pPr>
              <w:pStyle w:val="TableParagraph"/>
              <w:spacing w:before="46"/>
              <w:ind w:left="110"/>
              <w:rPr>
                <w:sz w:val="19"/>
              </w:rPr>
            </w:pPr>
            <w:r>
              <w:rPr>
                <w:sz w:val="19"/>
              </w:rPr>
              <w:t>Additions</w:t>
            </w:r>
          </w:p>
        </w:tc>
        <w:tc>
          <w:tcPr>
            <w:tcW w:w="1219" w:type="dxa"/>
            <w:tcBorders>
              <w:top w:val="nil"/>
            </w:tcBorders>
            <w:shd w:val="clear" w:color="auto" w:fill="FAF9F9"/>
          </w:tcPr>
          <w:p>
            <w:pPr>
              <w:pStyle w:val="TableParagraph"/>
              <w:spacing w:before="46"/>
              <w:ind w:right="104"/>
              <w:jc w:val="right"/>
              <w:rPr>
                <w:sz w:val="19"/>
              </w:rPr>
            </w:pPr>
            <w:r>
              <w:rPr>
                <w:w w:val="111"/>
                <w:sz w:val="19"/>
              </w:rPr>
              <w:t>-</w:t>
            </w:r>
          </w:p>
        </w:tc>
        <w:tc>
          <w:tcPr>
            <w:tcW w:w="1219" w:type="dxa"/>
            <w:tcBorders>
              <w:top w:val="nil"/>
            </w:tcBorders>
            <w:shd w:val="clear" w:color="auto" w:fill="FAF9F9"/>
          </w:tcPr>
          <w:p>
            <w:pPr>
              <w:pStyle w:val="TableParagraph"/>
              <w:spacing w:before="46"/>
              <w:ind w:right="104"/>
              <w:jc w:val="right"/>
              <w:rPr>
                <w:sz w:val="19"/>
              </w:rPr>
            </w:pPr>
            <w:r>
              <w:rPr>
                <w:w w:val="111"/>
                <w:sz w:val="19"/>
              </w:rPr>
              <w:t>-</w:t>
            </w:r>
          </w:p>
        </w:tc>
        <w:tc>
          <w:tcPr>
            <w:tcW w:w="1531" w:type="dxa"/>
            <w:tcBorders>
              <w:top w:val="nil"/>
            </w:tcBorders>
            <w:shd w:val="clear" w:color="auto" w:fill="FAF9F9"/>
          </w:tcPr>
          <w:p>
            <w:pPr>
              <w:pStyle w:val="TableParagraph"/>
              <w:spacing w:before="46"/>
              <w:ind w:right="104"/>
              <w:jc w:val="right"/>
              <w:rPr>
                <w:sz w:val="19"/>
              </w:rPr>
            </w:pPr>
            <w:r>
              <w:rPr>
                <w:w w:val="111"/>
                <w:sz w:val="19"/>
              </w:rPr>
              <w:t>-</w:t>
            </w:r>
          </w:p>
        </w:tc>
        <w:tc>
          <w:tcPr>
            <w:tcW w:w="1219" w:type="dxa"/>
            <w:tcBorders>
              <w:top w:val="nil"/>
            </w:tcBorders>
            <w:shd w:val="clear" w:color="auto" w:fill="FAF9F9"/>
          </w:tcPr>
          <w:p>
            <w:pPr>
              <w:pStyle w:val="TableParagraph"/>
              <w:spacing w:before="46"/>
              <w:ind w:right="104"/>
              <w:jc w:val="right"/>
              <w:rPr>
                <w:sz w:val="19"/>
              </w:rPr>
            </w:pPr>
            <w:r>
              <w:rPr>
                <w:w w:val="111"/>
                <w:sz w:val="19"/>
              </w:rPr>
              <w:t>-</w:t>
            </w:r>
          </w:p>
        </w:tc>
        <w:tc>
          <w:tcPr>
            <w:tcW w:w="1219" w:type="dxa"/>
            <w:tcBorders>
              <w:top w:val="nil"/>
            </w:tcBorders>
            <w:shd w:val="clear" w:color="auto" w:fill="FAF9F9"/>
          </w:tcPr>
          <w:p>
            <w:pPr>
              <w:pStyle w:val="TableParagraph"/>
              <w:spacing w:before="46"/>
              <w:ind w:right="105"/>
              <w:jc w:val="right"/>
              <w:rPr>
                <w:sz w:val="19"/>
              </w:rPr>
            </w:pPr>
            <w:r>
              <w:rPr>
                <w:w w:val="95"/>
                <w:sz w:val="19"/>
              </w:rPr>
              <w:t>80</w:t>
            </w:r>
          </w:p>
        </w:tc>
        <w:tc>
          <w:tcPr>
            <w:tcW w:w="1219" w:type="dxa"/>
            <w:tcBorders>
              <w:top w:val="nil"/>
            </w:tcBorders>
            <w:shd w:val="clear" w:color="auto" w:fill="FAF9F9"/>
          </w:tcPr>
          <w:p>
            <w:pPr>
              <w:pStyle w:val="TableParagraph"/>
              <w:spacing w:before="46"/>
              <w:ind w:right="105"/>
              <w:jc w:val="right"/>
              <w:rPr>
                <w:sz w:val="19"/>
              </w:rPr>
            </w:pPr>
            <w:r>
              <w:rPr>
                <w:w w:val="111"/>
                <w:sz w:val="19"/>
              </w:rPr>
              <w:t>-</w:t>
            </w:r>
          </w:p>
        </w:tc>
        <w:tc>
          <w:tcPr>
            <w:tcW w:w="1219" w:type="dxa"/>
            <w:tcBorders>
              <w:top w:val="nil"/>
            </w:tcBorders>
            <w:shd w:val="clear" w:color="auto" w:fill="FAF9F9"/>
          </w:tcPr>
          <w:p>
            <w:pPr>
              <w:pStyle w:val="TableParagraph"/>
              <w:spacing w:before="46"/>
              <w:ind w:right="105"/>
              <w:jc w:val="right"/>
              <w:rPr>
                <w:sz w:val="19"/>
              </w:rPr>
            </w:pPr>
            <w:r>
              <w:rPr>
                <w:w w:val="95"/>
                <w:sz w:val="19"/>
              </w:rPr>
              <w:t>84,370</w:t>
            </w:r>
          </w:p>
        </w:tc>
        <w:tc>
          <w:tcPr>
            <w:tcW w:w="1219" w:type="dxa"/>
            <w:tcBorders>
              <w:top w:val="nil"/>
              <w:right w:val="nil"/>
            </w:tcBorders>
            <w:shd w:val="clear" w:color="auto" w:fill="FAF9F9"/>
          </w:tcPr>
          <w:p>
            <w:pPr>
              <w:pStyle w:val="TableParagraph"/>
              <w:spacing w:before="46"/>
              <w:ind w:right="115"/>
              <w:jc w:val="right"/>
              <w:rPr>
                <w:sz w:val="19"/>
              </w:rPr>
            </w:pPr>
            <w:r>
              <w:rPr>
                <w:w w:val="95"/>
                <w:sz w:val="19"/>
              </w:rPr>
              <w:t>36,741</w:t>
            </w:r>
          </w:p>
        </w:tc>
        <w:tc>
          <w:tcPr>
            <w:tcW w:w="1219" w:type="dxa"/>
            <w:tcBorders>
              <w:top w:val="nil"/>
              <w:left w:val="nil"/>
              <w:bottom w:val="nil"/>
              <w:right w:val="nil"/>
            </w:tcBorders>
            <w:shd w:val="clear" w:color="auto" w:fill="E1E4BB"/>
          </w:tcPr>
          <w:p>
            <w:pPr>
              <w:pStyle w:val="TableParagraph"/>
              <w:spacing w:before="46"/>
              <w:ind w:right="115"/>
              <w:jc w:val="right"/>
              <w:rPr>
                <w:b/>
                <w:sz w:val="19"/>
              </w:rPr>
            </w:pPr>
            <w:r>
              <w:rPr>
                <w:b/>
                <w:w w:val="95"/>
                <w:sz w:val="19"/>
              </w:rPr>
              <w:t>121,191</w:t>
            </w:r>
          </w:p>
        </w:tc>
      </w:tr>
      <w:tr>
        <w:trPr>
          <w:trHeight w:val="291" w:hRule="atLeast"/>
        </w:trPr>
        <w:tc>
          <w:tcPr>
            <w:tcW w:w="3997" w:type="dxa"/>
            <w:tcBorders>
              <w:left w:val="nil"/>
              <w:bottom w:val="nil"/>
            </w:tcBorders>
            <w:shd w:val="clear" w:color="auto" w:fill="FAF9F9"/>
          </w:tcPr>
          <w:p>
            <w:pPr>
              <w:pStyle w:val="TableParagraph"/>
              <w:ind w:left="110"/>
              <w:rPr>
                <w:sz w:val="10"/>
              </w:rPr>
            </w:pPr>
            <w:r>
              <w:rPr>
                <w:sz w:val="19"/>
              </w:rPr>
              <w:t>Transfers</w:t>
            </w:r>
            <w:r>
              <w:rPr>
                <w:position w:val="6"/>
                <w:sz w:val="10"/>
              </w:rPr>
              <w:t>(b)</w:t>
            </w:r>
          </w:p>
        </w:tc>
        <w:tc>
          <w:tcPr>
            <w:tcW w:w="1219" w:type="dxa"/>
            <w:tcBorders>
              <w:bottom w:val="nil"/>
            </w:tcBorders>
            <w:shd w:val="clear" w:color="auto" w:fill="FAF9F9"/>
          </w:tcPr>
          <w:p>
            <w:pPr>
              <w:pStyle w:val="TableParagraph"/>
              <w:ind w:right="101"/>
              <w:jc w:val="right"/>
              <w:rPr>
                <w:sz w:val="19"/>
              </w:rPr>
            </w:pPr>
            <w:r>
              <w:rPr>
                <w:w w:val="111"/>
                <w:sz w:val="19"/>
              </w:rPr>
              <w:t>-</w:t>
            </w:r>
          </w:p>
        </w:tc>
        <w:tc>
          <w:tcPr>
            <w:tcW w:w="1219" w:type="dxa"/>
            <w:tcBorders>
              <w:bottom w:val="nil"/>
            </w:tcBorders>
            <w:shd w:val="clear" w:color="auto" w:fill="FAF9F9"/>
          </w:tcPr>
          <w:p>
            <w:pPr>
              <w:pStyle w:val="TableParagraph"/>
              <w:ind w:right="101"/>
              <w:jc w:val="right"/>
              <w:rPr>
                <w:sz w:val="19"/>
              </w:rPr>
            </w:pPr>
            <w:r>
              <w:rPr>
                <w:w w:val="111"/>
                <w:sz w:val="19"/>
              </w:rPr>
              <w:t>-</w:t>
            </w:r>
          </w:p>
        </w:tc>
        <w:tc>
          <w:tcPr>
            <w:tcW w:w="1531" w:type="dxa"/>
            <w:tcBorders>
              <w:bottom w:val="nil"/>
            </w:tcBorders>
            <w:shd w:val="clear" w:color="auto" w:fill="FAF9F9"/>
          </w:tcPr>
          <w:p>
            <w:pPr>
              <w:pStyle w:val="TableParagraph"/>
              <w:ind w:right="102"/>
              <w:jc w:val="right"/>
              <w:rPr>
                <w:sz w:val="19"/>
              </w:rPr>
            </w:pPr>
            <w:r>
              <w:rPr>
                <w:w w:val="95"/>
                <w:sz w:val="19"/>
              </w:rPr>
              <w:t>60,064</w:t>
            </w:r>
          </w:p>
        </w:tc>
        <w:tc>
          <w:tcPr>
            <w:tcW w:w="1219" w:type="dxa"/>
            <w:tcBorders>
              <w:bottom w:val="nil"/>
            </w:tcBorders>
            <w:shd w:val="clear" w:color="auto" w:fill="FAF9F9"/>
          </w:tcPr>
          <w:p>
            <w:pPr>
              <w:pStyle w:val="TableParagraph"/>
              <w:ind w:right="102"/>
              <w:jc w:val="right"/>
              <w:rPr>
                <w:sz w:val="19"/>
              </w:rPr>
            </w:pPr>
            <w:r>
              <w:rPr>
                <w:w w:val="95"/>
                <w:sz w:val="19"/>
              </w:rPr>
              <w:t>111</w:t>
            </w:r>
          </w:p>
        </w:tc>
        <w:tc>
          <w:tcPr>
            <w:tcW w:w="1219" w:type="dxa"/>
            <w:tcBorders>
              <w:bottom w:val="nil"/>
            </w:tcBorders>
            <w:shd w:val="clear" w:color="auto" w:fill="FAF9F9"/>
          </w:tcPr>
          <w:p>
            <w:pPr>
              <w:pStyle w:val="TableParagraph"/>
              <w:ind w:right="102"/>
              <w:jc w:val="right"/>
              <w:rPr>
                <w:sz w:val="19"/>
              </w:rPr>
            </w:pPr>
            <w:r>
              <w:rPr>
                <w:w w:val="90"/>
                <w:sz w:val="19"/>
              </w:rPr>
              <w:t>(111)</w:t>
            </w:r>
          </w:p>
        </w:tc>
        <w:tc>
          <w:tcPr>
            <w:tcW w:w="1219" w:type="dxa"/>
            <w:tcBorders>
              <w:bottom w:val="nil"/>
            </w:tcBorders>
            <w:shd w:val="clear" w:color="auto" w:fill="FAF9F9"/>
          </w:tcPr>
          <w:p>
            <w:pPr>
              <w:pStyle w:val="TableParagraph"/>
              <w:ind w:right="102"/>
              <w:jc w:val="right"/>
              <w:rPr>
                <w:sz w:val="19"/>
              </w:rPr>
            </w:pPr>
            <w:r>
              <w:rPr>
                <w:w w:val="95"/>
                <w:sz w:val="19"/>
              </w:rPr>
              <w:t>66,753</w:t>
            </w:r>
          </w:p>
        </w:tc>
        <w:tc>
          <w:tcPr>
            <w:tcW w:w="1219" w:type="dxa"/>
            <w:tcBorders>
              <w:bottom w:val="nil"/>
            </w:tcBorders>
            <w:shd w:val="clear" w:color="auto" w:fill="FAF9F9"/>
          </w:tcPr>
          <w:p>
            <w:pPr>
              <w:pStyle w:val="TableParagraph"/>
              <w:ind w:right="102"/>
              <w:jc w:val="right"/>
              <w:rPr>
                <w:sz w:val="19"/>
              </w:rPr>
            </w:pPr>
            <w:r>
              <w:rPr>
                <w:w w:val="90"/>
                <w:sz w:val="19"/>
              </w:rPr>
              <w:t>(44)</w:t>
            </w:r>
          </w:p>
        </w:tc>
        <w:tc>
          <w:tcPr>
            <w:tcW w:w="1219" w:type="dxa"/>
            <w:tcBorders>
              <w:bottom w:val="nil"/>
              <w:right w:val="nil"/>
            </w:tcBorders>
            <w:shd w:val="clear" w:color="auto" w:fill="FAF9F9"/>
          </w:tcPr>
          <w:p>
            <w:pPr>
              <w:pStyle w:val="TableParagraph"/>
              <w:ind w:right="112"/>
              <w:jc w:val="right"/>
              <w:rPr>
                <w:sz w:val="19"/>
              </w:rPr>
            </w:pPr>
            <w:r>
              <w:rPr>
                <w:w w:val="95"/>
                <w:sz w:val="19"/>
              </w:rPr>
              <w:t>(126,816)</w:t>
            </w:r>
          </w:p>
        </w:tc>
        <w:tc>
          <w:tcPr>
            <w:tcW w:w="1219" w:type="dxa"/>
            <w:tcBorders>
              <w:top w:val="nil"/>
              <w:left w:val="nil"/>
              <w:bottom w:val="nil"/>
              <w:right w:val="nil"/>
            </w:tcBorders>
            <w:shd w:val="clear" w:color="auto" w:fill="E1E4BB"/>
          </w:tcPr>
          <w:p>
            <w:pPr>
              <w:pStyle w:val="TableParagraph"/>
              <w:ind w:right="113"/>
              <w:jc w:val="right"/>
              <w:rPr>
                <w:b/>
                <w:sz w:val="19"/>
              </w:rPr>
            </w:pPr>
            <w:r>
              <w:rPr>
                <w:b/>
                <w:w w:val="95"/>
                <w:sz w:val="19"/>
              </w:rPr>
              <w:t>(44)</w:t>
            </w:r>
          </w:p>
        </w:tc>
      </w:tr>
      <w:tr>
        <w:trPr>
          <w:trHeight w:val="299" w:hRule="atLeast"/>
        </w:trPr>
        <w:tc>
          <w:tcPr>
            <w:tcW w:w="3997" w:type="dxa"/>
            <w:tcBorders>
              <w:top w:val="nil"/>
              <w:left w:val="nil"/>
            </w:tcBorders>
            <w:shd w:val="clear" w:color="auto" w:fill="FAF9F9"/>
          </w:tcPr>
          <w:p>
            <w:pPr>
              <w:pStyle w:val="TableParagraph"/>
              <w:spacing w:before="46"/>
              <w:ind w:left="112"/>
              <w:rPr>
                <w:sz w:val="19"/>
              </w:rPr>
            </w:pPr>
            <w:r>
              <w:rPr>
                <w:sz w:val="19"/>
              </w:rPr>
              <w:t>Other disposals</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531"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90"/>
                <w:sz w:val="19"/>
              </w:rPr>
              <w:t>(10)</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3"/>
              <w:jc w:val="right"/>
              <w:rPr>
                <w:sz w:val="19"/>
              </w:rPr>
            </w:pPr>
            <w:r>
              <w:rPr>
                <w:w w:val="95"/>
                <w:sz w:val="19"/>
              </w:rPr>
              <w:t>(70,950)</w:t>
            </w:r>
          </w:p>
        </w:tc>
        <w:tc>
          <w:tcPr>
            <w:tcW w:w="1219" w:type="dxa"/>
            <w:tcBorders>
              <w:top w:val="nil"/>
              <w:right w:val="nil"/>
            </w:tcBorders>
            <w:shd w:val="clear" w:color="auto" w:fill="FAF9F9"/>
          </w:tcPr>
          <w:p>
            <w:pPr>
              <w:pStyle w:val="TableParagraph"/>
              <w:spacing w:before="46"/>
              <w:ind w:right="113"/>
              <w:jc w:val="right"/>
              <w:rPr>
                <w:sz w:val="19"/>
              </w:rPr>
            </w:pPr>
            <w:r>
              <w:rPr>
                <w:w w:val="111"/>
                <w:sz w:val="19"/>
              </w:rPr>
              <w:t>-</w:t>
            </w:r>
          </w:p>
        </w:tc>
        <w:tc>
          <w:tcPr>
            <w:tcW w:w="1219" w:type="dxa"/>
            <w:tcBorders>
              <w:top w:val="nil"/>
              <w:left w:val="nil"/>
              <w:bottom w:val="nil"/>
              <w:right w:val="nil"/>
            </w:tcBorders>
            <w:shd w:val="clear" w:color="auto" w:fill="E1E4BB"/>
          </w:tcPr>
          <w:p>
            <w:pPr>
              <w:pStyle w:val="TableParagraph"/>
              <w:spacing w:before="46"/>
              <w:ind w:right="113"/>
              <w:jc w:val="right"/>
              <w:rPr>
                <w:b/>
                <w:sz w:val="19"/>
              </w:rPr>
            </w:pPr>
            <w:r>
              <w:rPr>
                <w:b/>
                <w:w w:val="95"/>
                <w:sz w:val="19"/>
              </w:rPr>
              <w:t>(70,960)</w:t>
            </w:r>
          </w:p>
        </w:tc>
      </w:tr>
      <w:tr>
        <w:trPr>
          <w:trHeight w:val="295" w:hRule="atLeast"/>
        </w:trPr>
        <w:tc>
          <w:tcPr>
            <w:tcW w:w="3997" w:type="dxa"/>
            <w:tcBorders>
              <w:left w:val="nil"/>
              <w:bottom w:val="nil"/>
            </w:tcBorders>
            <w:shd w:val="clear" w:color="auto" w:fill="F4F4F4"/>
          </w:tcPr>
          <w:p>
            <w:pPr>
              <w:pStyle w:val="TableParagraph"/>
              <w:ind w:left="112"/>
              <w:rPr>
                <w:sz w:val="19"/>
              </w:rPr>
            </w:pPr>
            <w:r>
              <w:rPr>
                <w:sz w:val="19"/>
              </w:rPr>
              <w:t>Revaluations</w:t>
            </w:r>
          </w:p>
        </w:tc>
        <w:tc>
          <w:tcPr>
            <w:tcW w:w="1219" w:type="dxa"/>
            <w:tcBorders>
              <w:bottom w:val="nil"/>
            </w:tcBorders>
            <w:shd w:val="clear" w:color="auto" w:fill="F4F4F4"/>
          </w:tcPr>
          <w:p>
            <w:pPr>
              <w:pStyle w:val="TableParagraph"/>
              <w:ind w:right="102"/>
              <w:jc w:val="right"/>
              <w:rPr>
                <w:sz w:val="19"/>
              </w:rPr>
            </w:pPr>
            <w:r>
              <w:rPr>
                <w:w w:val="95"/>
                <w:sz w:val="19"/>
              </w:rPr>
              <w:t>(11,102)</w:t>
            </w:r>
          </w:p>
        </w:tc>
        <w:tc>
          <w:tcPr>
            <w:tcW w:w="1219" w:type="dxa"/>
            <w:tcBorders>
              <w:bottom w:val="nil"/>
            </w:tcBorders>
            <w:shd w:val="clear" w:color="auto" w:fill="F4F4F4"/>
          </w:tcPr>
          <w:p>
            <w:pPr>
              <w:pStyle w:val="TableParagraph"/>
              <w:ind w:right="102"/>
              <w:jc w:val="right"/>
              <w:rPr>
                <w:sz w:val="19"/>
              </w:rPr>
            </w:pPr>
            <w:r>
              <w:rPr>
                <w:w w:val="95"/>
                <w:sz w:val="19"/>
              </w:rPr>
              <w:t>(20,922)</w:t>
            </w:r>
          </w:p>
        </w:tc>
        <w:tc>
          <w:tcPr>
            <w:tcW w:w="1531" w:type="dxa"/>
            <w:tcBorders>
              <w:bottom w:val="nil"/>
            </w:tcBorders>
            <w:shd w:val="clear" w:color="auto" w:fill="F4F4F4"/>
          </w:tcPr>
          <w:p>
            <w:pPr>
              <w:pStyle w:val="TableParagraph"/>
              <w:ind w:right="102"/>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right w:val="nil"/>
            </w:tcBorders>
            <w:shd w:val="clear" w:color="auto" w:fill="F4F4F4"/>
          </w:tcPr>
          <w:p>
            <w:pPr>
              <w:pStyle w:val="TableParagraph"/>
              <w:ind w:right="113"/>
              <w:jc w:val="right"/>
              <w:rPr>
                <w:sz w:val="19"/>
              </w:rPr>
            </w:pPr>
            <w:r>
              <w:rPr>
                <w:w w:val="111"/>
                <w:sz w:val="19"/>
              </w:rPr>
              <w:t>-</w:t>
            </w:r>
          </w:p>
        </w:tc>
        <w:tc>
          <w:tcPr>
            <w:tcW w:w="1219" w:type="dxa"/>
            <w:tcBorders>
              <w:top w:val="nil"/>
              <w:left w:val="nil"/>
              <w:bottom w:val="nil"/>
              <w:right w:val="nil"/>
            </w:tcBorders>
            <w:shd w:val="clear" w:color="auto" w:fill="E1E4BB"/>
          </w:tcPr>
          <w:p>
            <w:pPr>
              <w:pStyle w:val="TableParagraph"/>
              <w:ind w:right="113"/>
              <w:jc w:val="right"/>
              <w:rPr>
                <w:b/>
                <w:sz w:val="19"/>
              </w:rPr>
            </w:pPr>
            <w:r>
              <w:rPr>
                <w:b/>
                <w:w w:val="95"/>
                <w:sz w:val="19"/>
              </w:rPr>
              <w:t>(32,024)</w:t>
            </w:r>
          </w:p>
        </w:tc>
      </w:tr>
      <w:tr>
        <w:trPr>
          <w:trHeight w:val="295" w:hRule="atLeast"/>
        </w:trPr>
        <w:tc>
          <w:tcPr>
            <w:tcW w:w="3997" w:type="dxa"/>
            <w:tcBorders>
              <w:top w:val="nil"/>
              <w:left w:val="nil"/>
            </w:tcBorders>
            <w:shd w:val="clear" w:color="auto" w:fill="FAF9F9"/>
          </w:tcPr>
          <w:p>
            <w:pPr>
              <w:pStyle w:val="TableParagraph"/>
              <w:spacing w:before="42"/>
              <w:ind w:left="112"/>
              <w:rPr>
                <w:sz w:val="19"/>
              </w:rPr>
            </w:pPr>
            <w:r>
              <w:rPr>
                <w:sz w:val="19"/>
              </w:rPr>
              <w:t>Depreciation</w:t>
            </w:r>
          </w:p>
        </w:tc>
        <w:tc>
          <w:tcPr>
            <w:tcW w:w="1219" w:type="dxa"/>
            <w:tcBorders>
              <w:top w:val="nil"/>
              <w:bottom w:val="single" w:sz="4" w:space="0" w:color="000000"/>
            </w:tcBorders>
            <w:shd w:val="clear" w:color="auto" w:fill="FAF9F9"/>
          </w:tcPr>
          <w:p>
            <w:pPr>
              <w:pStyle w:val="TableParagraph"/>
              <w:spacing w:before="42"/>
              <w:ind w:right="102"/>
              <w:jc w:val="right"/>
              <w:rPr>
                <w:sz w:val="19"/>
              </w:rPr>
            </w:pPr>
            <w:r>
              <w:rPr>
                <w:w w:val="111"/>
                <w:sz w:val="19"/>
              </w:rPr>
              <w:t>-</w:t>
            </w:r>
          </w:p>
        </w:tc>
        <w:tc>
          <w:tcPr>
            <w:tcW w:w="1219" w:type="dxa"/>
            <w:tcBorders>
              <w:top w:val="nil"/>
              <w:bottom w:val="single" w:sz="4" w:space="0" w:color="000000"/>
            </w:tcBorders>
            <w:shd w:val="clear" w:color="auto" w:fill="FAF9F9"/>
          </w:tcPr>
          <w:p>
            <w:pPr>
              <w:pStyle w:val="TableParagraph"/>
              <w:spacing w:before="42"/>
              <w:ind w:right="102"/>
              <w:jc w:val="right"/>
              <w:rPr>
                <w:sz w:val="19"/>
              </w:rPr>
            </w:pPr>
            <w:r>
              <w:rPr>
                <w:w w:val="90"/>
                <w:sz w:val="19"/>
              </w:rPr>
              <w:t>(3,747)</w:t>
            </w:r>
          </w:p>
        </w:tc>
        <w:tc>
          <w:tcPr>
            <w:tcW w:w="1531" w:type="dxa"/>
            <w:tcBorders>
              <w:top w:val="nil"/>
              <w:bottom w:val="single" w:sz="4" w:space="0" w:color="000000"/>
            </w:tcBorders>
            <w:shd w:val="clear" w:color="auto" w:fill="FAF9F9"/>
          </w:tcPr>
          <w:p>
            <w:pPr>
              <w:pStyle w:val="TableParagraph"/>
              <w:spacing w:before="42"/>
              <w:ind w:right="103"/>
              <w:jc w:val="right"/>
              <w:rPr>
                <w:sz w:val="19"/>
              </w:rPr>
            </w:pPr>
            <w:r>
              <w:rPr>
                <w:w w:val="90"/>
                <w:sz w:val="19"/>
              </w:rPr>
              <w:t>(8,066)</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0"/>
                <w:sz w:val="19"/>
              </w:rPr>
              <w:t>(54)</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0"/>
                <w:sz w:val="19"/>
              </w:rPr>
              <w:t>(497)</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5"/>
                <w:sz w:val="19"/>
              </w:rPr>
              <w:t>(12,540)</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5"/>
                <w:sz w:val="19"/>
              </w:rPr>
              <w:t>(41,622)</w:t>
            </w:r>
          </w:p>
        </w:tc>
        <w:tc>
          <w:tcPr>
            <w:tcW w:w="1219" w:type="dxa"/>
            <w:tcBorders>
              <w:top w:val="nil"/>
              <w:bottom w:val="single" w:sz="4" w:space="0" w:color="000000"/>
              <w:right w:val="nil"/>
            </w:tcBorders>
            <w:shd w:val="clear" w:color="auto" w:fill="FAF9F9"/>
          </w:tcPr>
          <w:p>
            <w:pPr>
              <w:pStyle w:val="TableParagraph"/>
              <w:spacing w:before="42"/>
              <w:ind w:right="114"/>
              <w:jc w:val="right"/>
              <w:rPr>
                <w:sz w:val="19"/>
              </w:rPr>
            </w:pPr>
            <w:r>
              <w:rPr>
                <w:w w:val="111"/>
                <w:sz w:val="19"/>
              </w:rPr>
              <w:t>-</w:t>
            </w:r>
          </w:p>
        </w:tc>
        <w:tc>
          <w:tcPr>
            <w:tcW w:w="1219" w:type="dxa"/>
            <w:tcBorders>
              <w:top w:val="nil"/>
              <w:left w:val="nil"/>
              <w:bottom w:val="single" w:sz="4" w:space="0" w:color="000000"/>
              <w:right w:val="nil"/>
            </w:tcBorders>
            <w:shd w:val="clear" w:color="auto" w:fill="E1E4BB"/>
          </w:tcPr>
          <w:p>
            <w:pPr>
              <w:pStyle w:val="TableParagraph"/>
              <w:spacing w:before="42"/>
              <w:ind w:right="114"/>
              <w:jc w:val="right"/>
              <w:rPr>
                <w:b/>
                <w:sz w:val="19"/>
              </w:rPr>
            </w:pPr>
            <w:r>
              <w:rPr>
                <w:b/>
                <w:w w:val="95"/>
                <w:sz w:val="19"/>
              </w:rPr>
              <w:t>(66,526)</w:t>
            </w:r>
          </w:p>
        </w:tc>
      </w:tr>
      <w:tr>
        <w:trPr>
          <w:trHeight w:val="253" w:hRule="atLeast"/>
        </w:trPr>
        <w:tc>
          <w:tcPr>
            <w:tcW w:w="3997" w:type="dxa"/>
            <w:tcBorders>
              <w:left w:val="nil"/>
            </w:tcBorders>
            <w:shd w:val="clear" w:color="auto" w:fill="F4F4F4"/>
          </w:tcPr>
          <w:p>
            <w:pPr>
              <w:pStyle w:val="TableParagraph"/>
              <w:spacing w:line="201" w:lineRule="exact"/>
              <w:ind w:left="111"/>
              <w:rPr>
                <w:b/>
                <w:sz w:val="19"/>
              </w:rPr>
            </w:pPr>
            <w:r>
              <w:rPr>
                <w:b/>
                <w:sz w:val="19"/>
              </w:rPr>
              <w:t>Carrying amount at end of period</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140,410</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138,072</w:t>
            </w:r>
          </w:p>
        </w:tc>
        <w:tc>
          <w:tcPr>
            <w:tcW w:w="1531"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77,782</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171</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752</w:t>
            </w:r>
          </w:p>
        </w:tc>
        <w:tc>
          <w:tcPr>
            <w:tcW w:w="1219" w:type="dxa"/>
            <w:tcBorders>
              <w:top w:val="single" w:sz="4" w:space="0" w:color="000000"/>
              <w:bottom w:val="single" w:sz="34" w:space="0" w:color="FFFFFF"/>
            </w:tcBorders>
            <w:shd w:val="clear" w:color="auto" w:fill="F4F4F4"/>
          </w:tcPr>
          <w:p>
            <w:pPr>
              <w:pStyle w:val="TableParagraph"/>
              <w:spacing w:line="201" w:lineRule="exact"/>
              <w:ind w:right="104"/>
              <w:jc w:val="right"/>
              <w:rPr>
                <w:b/>
                <w:sz w:val="19"/>
              </w:rPr>
            </w:pPr>
            <w:r>
              <w:rPr>
                <w:b/>
                <w:w w:val="95"/>
                <w:sz w:val="19"/>
              </w:rPr>
              <w:t>114,941</w:t>
            </w:r>
          </w:p>
        </w:tc>
        <w:tc>
          <w:tcPr>
            <w:tcW w:w="1219" w:type="dxa"/>
            <w:tcBorders>
              <w:top w:val="single" w:sz="4" w:space="0" w:color="000000"/>
              <w:bottom w:val="single" w:sz="24" w:space="0" w:color="FFFFFF"/>
            </w:tcBorders>
            <w:shd w:val="clear" w:color="auto" w:fill="F4F4F4"/>
          </w:tcPr>
          <w:p>
            <w:pPr>
              <w:pStyle w:val="TableParagraph"/>
              <w:spacing w:line="201" w:lineRule="exact"/>
              <w:ind w:right="104"/>
              <w:jc w:val="right"/>
              <w:rPr>
                <w:b/>
                <w:sz w:val="19"/>
              </w:rPr>
            </w:pPr>
            <w:r>
              <w:rPr>
                <w:b/>
                <w:w w:val="95"/>
                <w:sz w:val="19"/>
              </w:rPr>
              <w:t>233,358</w:t>
            </w:r>
          </w:p>
        </w:tc>
        <w:tc>
          <w:tcPr>
            <w:tcW w:w="1219" w:type="dxa"/>
            <w:tcBorders>
              <w:top w:val="single" w:sz="4" w:space="0" w:color="000000"/>
              <w:bottom w:val="single" w:sz="24" w:space="0" w:color="FFFFFF"/>
              <w:right w:val="nil"/>
            </w:tcBorders>
            <w:shd w:val="clear" w:color="auto" w:fill="F4F4F4"/>
          </w:tcPr>
          <w:p>
            <w:pPr>
              <w:pStyle w:val="TableParagraph"/>
              <w:spacing w:line="201" w:lineRule="exact"/>
              <w:ind w:right="114"/>
              <w:jc w:val="right"/>
              <w:rPr>
                <w:b/>
                <w:sz w:val="19"/>
              </w:rPr>
            </w:pPr>
            <w:r>
              <w:rPr>
                <w:b/>
                <w:w w:val="95"/>
                <w:sz w:val="19"/>
              </w:rPr>
              <w:t>14,888</w:t>
            </w:r>
          </w:p>
        </w:tc>
        <w:tc>
          <w:tcPr>
            <w:tcW w:w="1219" w:type="dxa"/>
            <w:tcBorders>
              <w:top w:val="single" w:sz="4" w:space="0" w:color="000000"/>
              <w:left w:val="nil"/>
              <w:bottom w:val="single" w:sz="24" w:space="0" w:color="FFFFFF"/>
              <w:right w:val="nil"/>
            </w:tcBorders>
            <w:shd w:val="clear" w:color="auto" w:fill="DFE1B8"/>
          </w:tcPr>
          <w:p>
            <w:pPr>
              <w:pStyle w:val="TableParagraph"/>
              <w:spacing w:line="201" w:lineRule="exact"/>
              <w:ind w:right="114"/>
              <w:jc w:val="right"/>
              <w:rPr>
                <w:b/>
                <w:sz w:val="19"/>
              </w:rPr>
            </w:pPr>
            <w:r>
              <w:rPr>
                <w:b/>
                <w:w w:val="95"/>
                <w:sz w:val="19"/>
              </w:rPr>
              <w:t>720,374</w:t>
            </w:r>
          </w:p>
        </w:tc>
      </w:tr>
    </w:tbl>
    <w:p>
      <w:pPr>
        <w:pStyle w:val="BodyText"/>
        <w:spacing w:line="20" w:lineRule="exact"/>
        <w:ind w:left="12382"/>
        <w:rPr>
          <w:sz w:val="2"/>
        </w:rPr>
      </w:pPr>
      <w:r>
        <w:rPr>
          <w:sz w:val="2"/>
        </w:rPr>
        <w:pict>
          <v:group style="width:182.85pt;height:.550pt;mso-position-horizontal-relative:char;mso-position-vertical-relative:line" coordorigin="0,0" coordsize="3657,11">
            <v:line style="position:absolute" from="0,5" to="1219,5" stroked="true" strokeweight=".501pt" strokecolor="#000000">
              <v:stroke dashstyle="solid"/>
            </v:line>
            <v:line style="position:absolute" from="1219,5" to="2438,5" stroked="true" strokeweight=".501pt" strokecolor="#000000">
              <v:stroke dashstyle="solid"/>
            </v:line>
            <v:line style="position:absolute" from="2438,5" to="3657,5" stroked="true" strokeweight=".501pt" strokecolor="#000000">
              <v:stroke dashstyle="solid"/>
            </v:line>
          </v:group>
        </w:pict>
      </w:r>
      <w:r>
        <w:rPr>
          <w:sz w:val="2"/>
        </w:rPr>
      </w:r>
    </w:p>
    <w:p>
      <w:pPr>
        <w:pStyle w:val="BodyText"/>
        <w:spacing w:before="7"/>
        <w:rPr>
          <w:sz w:val="20"/>
        </w:rPr>
      </w:pPr>
    </w:p>
    <w:p>
      <w:pPr>
        <w:pStyle w:val="ListParagraph"/>
        <w:numPr>
          <w:ilvl w:val="1"/>
          <w:numId w:val="12"/>
        </w:numPr>
        <w:tabs>
          <w:tab w:pos="958" w:val="left" w:leader="none"/>
        </w:tabs>
        <w:spacing w:line="278" w:lineRule="auto" w:before="0" w:after="0"/>
        <w:ind w:left="973" w:right="1138" w:hanging="208"/>
        <w:jc w:val="left"/>
        <w:rPr>
          <w:sz w:val="15"/>
        </w:rPr>
      </w:pPr>
      <w:r>
        <w:rPr>
          <w:sz w:val="15"/>
        </w:rPr>
        <w:t>Work</w:t>
      </w:r>
      <w:r>
        <w:rPr>
          <w:spacing w:val="-11"/>
          <w:sz w:val="15"/>
        </w:rPr>
        <w:t> </w:t>
      </w:r>
      <w:r>
        <w:rPr>
          <w:sz w:val="15"/>
        </w:rPr>
        <w:t>in</w:t>
      </w:r>
      <w:r>
        <w:rPr>
          <w:spacing w:val="-11"/>
          <w:sz w:val="15"/>
        </w:rPr>
        <w:t> </w:t>
      </w:r>
      <w:r>
        <w:rPr>
          <w:sz w:val="15"/>
        </w:rPr>
        <w:t>Progress</w:t>
      </w:r>
      <w:r>
        <w:rPr>
          <w:spacing w:val="-11"/>
          <w:sz w:val="15"/>
        </w:rPr>
        <w:t> </w:t>
      </w:r>
      <w:r>
        <w:rPr>
          <w:sz w:val="15"/>
        </w:rPr>
        <w:t>was</w:t>
      </w:r>
      <w:r>
        <w:rPr>
          <w:spacing w:val="-10"/>
          <w:sz w:val="15"/>
        </w:rPr>
        <w:t> </w:t>
      </w:r>
      <w:r>
        <w:rPr>
          <w:sz w:val="15"/>
        </w:rPr>
        <w:t>transferred</w:t>
      </w:r>
      <w:r>
        <w:rPr>
          <w:spacing w:val="-11"/>
          <w:sz w:val="15"/>
        </w:rPr>
        <w:t> </w:t>
      </w:r>
      <w:r>
        <w:rPr>
          <w:sz w:val="15"/>
        </w:rPr>
        <w:t>to</w:t>
      </w:r>
      <w:r>
        <w:rPr>
          <w:spacing w:val="-11"/>
          <w:sz w:val="15"/>
        </w:rPr>
        <w:t> </w:t>
      </w:r>
      <w:r>
        <w:rPr>
          <w:sz w:val="15"/>
        </w:rPr>
        <w:t>Leasehold</w:t>
      </w:r>
      <w:r>
        <w:rPr>
          <w:spacing w:val="-11"/>
          <w:sz w:val="15"/>
        </w:rPr>
        <w:t> </w:t>
      </w:r>
      <w:r>
        <w:rPr>
          <w:sz w:val="15"/>
        </w:rPr>
        <w:t>Improvements</w:t>
      </w:r>
      <w:r>
        <w:rPr>
          <w:spacing w:val="-10"/>
          <w:sz w:val="15"/>
        </w:rPr>
        <w:t> </w:t>
      </w:r>
      <w:r>
        <w:rPr>
          <w:sz w:val="15"/>
        </w:rPr>
        <w:t>for</w:t>
      </w:r>
      <w:r>
        <w:rPr>
          <w:spacing w:val="-11"/>
          <w:sz w:val="15"/>
        </w:rPr>
        <w:t> </w:t>
      </w:r>
      <w:r>
        <w:rPr>
          <w:sz w:val="15"/>
        </w:rPr>
        <w:t>$12,607,845</w:t>
      </w:r>
      <w:r>
        <w:rPr>
          <w:spacing w:val="-11"/>
          <w:sz w:val="15"/>
        </w:rPr>
        <w:t> </w:t>
      </w:r>
      <w:r>
        <w:rPr>
          <w:sz w:val="15"/>
        </w:rPr>
        <w:t>and</w:t>
      </w:r>
      <w:r>
        <w:rPr>
          <w:spacing w:val="-10"/>
          <w:sz w:val="15"/>
        </w:rPr>
        <w:t> </w:t>
      </w:r>
      <w:r>
        <w:rPr>
          <w:sz w:val="15"/>
        </w:rPr>
        <w:t>to</w:t>
      </w:r>
      <w:r>
        <w:rPr>
          <w:spacing w:val="-11"/>
          <w:sz w:val="15"/>
        </w:rPr>
        <w:t> </w:t>
      </w:r>
      <w:r>
        <w:rPr>
          <w:sz w:val="15"/>
        </w:rPr>
        <w:t>office</w:t>
      </w:r>
      <w:r>
        <w:rPr>
          <w:spacing w:val="-11"/>
          <w:sz w:val="15"/>
        </w:rPr>
        <w:t> </w:t>
      </w:r>
      <w:r>
        <w:rPr>
          <w:sz w:val="15"/>
        </w:rPr>
        <w:t>fitout</w:t>
      </w:r>
      <w:r>
        <w:rPr>
          <w:spacing w:val="-11"/>
          <w:sz w:val="15"/>
        </w:rPr>
        <w:t> </w:t>
      </w:r>
      <w:r>
        <w:rPr>
          <w:sz w:val="15"/>
        </w:rPr>
        <w:t>for</w:t>
      </w:r>
      <w:r>
        <w:rPr>
          <w:spacing w:val="-10"/>
          <w:sz w:val="15"/>
        </w:rPr>
        <w:t> </w:t>
      </w:r>
      <w:r>
        <w:rPr>
          <w:sz w:val="15"/>
        </w:rPr>
        <w:t>$976,128</w:t>
      </w:r>
      <w:r>
        <w:rPr>
          <w:spacing w:val="-11"/>
          <w:sz w:val="15"/>
        </w:rPr>
        <w:t> </w:t>
      </w:r>
      <w:r>
        <w:rPr>
          <w:sz w:val="15"/>
        </w:rPr>
        <w:t>and</w:t>
      </w:r>
      <w:r>
        <w:rPr>
          <w:spacing w:val="-11"/>
          <w:sz w:val="15"/>
        </w:rPr>
        <w:t> </w:t>
      </w:r>
      <w:r>
        <w:rPr>
          <w:sz w:val="15"/>
        </w:rPr>
        <w:t>to</w:t>
      </w:r>
      <w:r>
        <w:rPr>
          <w:spacing w:val="-11"/>
          <w:sz w:val="15"/>
        </w:rPr>
        <w:t> </w:t>
      </w:r>
      <w:r>
        <w:rPr>
          <w:sz w:val="15"/>
        </w:rPr>
        <w:t>Building</w:t>
      </w:r>
      <w:r>
        <w:rPr>
          <w:spacing w:val="-10"/>
          <w:sz w:val="15"/>
        </w:rPr>
        <w:t> </w:t>
      </w:r>
      <w:r>
        <w:rPr>
          <w:sz w:val="15"/>
        </w:rPr>
        <w:t>for</w:t>
      </w:r>
      <w:r>
        <w:rPr>
          <w:spacing w:val="-11"/>
          <w:sz w:val="15"/>
        </w:rPr>
        <w:t> </w:t>
      </w:r>
      <w:r>
        <w:rPr>
          <w:sz w:val="15"/>
        </w:rPr>
        <w:t>$25,897,030.</w:t>
      </w:r>
      <w:r>
        <w:rPr>
          <w:spacing w:val="-11"/>
          <w:sz w:val="15"/>
        </w:rPr>
        <w:t> </w:t>
      </w:r>
      <w:r>
        <w:rPr>
          <w:sz w:val="15"/>
        </w:rPr>
        <w:t>Sunset</w:t>
      </w:r>
      <w:r>
        <w:rPr>
          <w:spacing w:val="-10"/>
          <w:sz w:val="15"/>
        </w:rPr>
        <w:t> </w:t>
      </w:r>
      <w:r>
        <w:rPr>
          <w:sz w:val="15"/>
        </w:rPr>
        <w:t>Heritage</w:t>
      </w:r>
      <w:r>
        <w:rPr>
          <w:spacing w:val="-11"/>
          <w:sz w:val="15"/>
        </w:rPr>
        <w:t> </w:t>
      </w:r>
      <w:r>
        <w:rPr>
          <w:sz w:val="15"/>
        </w:rPr>
        <w:t>Land,</w:t>
      </w:r>
      <w:r>
        <w:rPr>
          <w:spacing w:val="-11"/>
          <w:sz w:val="15"/>
        </w:rPr>
        <w:t> </w:t>
      </w:r>
      <w:r>
        <w:rPr>
          <w:sz w:val="15"/>
        </w:rPr>
        <w:t>Building</w:t>
      </w:r>
      <w:r>
        <w:rPr>
          <w:spacing w:val="-11"/>
          <w:sz w:val="15"/>
        </w:rPr>
        <w:t> </w:t>
      </w:r>
      <w:r>
        <w:rPr>
          <w:sz w:val="15"/>
        </w:rPr>
        <w:t>and</w:t>
      </w:r>
      <w:r>
        <w:rPr>
          <w:spacing w:val="-10"/>
          <w:sz w:val="15"/>
        </w:rPr>
        <w:t> </w:t>
      </w:r>
      <w:r>
        <w:rPr>
          <w:sz w:val="15"/>
        </w:rPr>
        <w:t>Fitout</w:t>
      </w:r>
      <w:r>
        <w:rPr>
          <w:spacing w:val="-11"/>
          <w:sz w:val="15"/>
        </w:rPr>
        <w:t> </w:t>
      </w:r>
      <w:r>
        <w:rPr>
          <w:sz w:val="15"/>
        </w:rPr>
        <w:t>were</w:t>
      </w:r>
      <w:r>
        <w:rPr>
          <w:spacing w:val="-11"/>
          <w:sz w:val="15"/>
        </w:rPr>
        <w:t> </w:t>
      </w:r>
      <w:r>
        <w:rPr>
          <w:sz w:val="15"/>
        </w:rPr>
        <w:t>transferred</w:t>
      </w:r>
      <w:r>
        <w:rPr>
          <w:spacing w:val="-10"/>
          <w:sz w:val="15"/>
        </w:rPr>
        <w:t> </w:t>
      </w:r>
      <w:r>
        <w:rPr>
          <w:sz w:val="15"/>
        </w:rPr>
        <w:t>to</w:t>
      </w:r>
      <w:r>
        <w:rPr>
          <w:spacing w:val="-11"/>
          <w:sz w:val="15"/>
        </w:rPr>
        <w:t> </w:t>
      </w:r>
      <w:r>
        <w:rPr>
          <w:sz w:val="15"/>
        </w:rPr>
        <w:t>Department</w:t>
      </w:r>
      <w:r>
        <w:rPr>
          <w:spacing w:val="-11"/>
          <w:sz w:val="15"/>
        </w:rPr>
        <w:t> </w:t>
      </w:r>
      <w:r>
        <w:rPr>
          <w:sz w:val="15"/>
        </w:rPr>
        <w:t>of</w:t>
      </w:r>
      <w:r>
        <w:rPr>
          <w:spacing w:val="-11"/>
          <w:sz w:val="15"/>
        </w:rPr>
        <w:t> </w:t>
      </w:r>
      <w:r>
        <w:rPr>
          <w:sz w:val="15"/>
        </w:rPr>
        <w:t>Local Government, Sport and Cultural Industries for $285,000, $6,432,266 and $5,362,209 respectively. Burswood Stadium Land was transferred to Western Australian Sports Centre </w:t>
      </w:r>
      <w:r>
        <w:rPr>
          <w:spacing w:val="-3"/>
          <w:sz w:val="15"/>
        </w:rPr>
        <w:t>Trust </w:t>
      </w:r>
      <w:r>
        <w:rPr>
          <w:sz w:val="15"/>
        </w:rPr>
        <w:t>for $480,000. 26 items of Office Fitout (Network</w:t>
      </w:r>
      <w:r>
        <w:rPr>
          <w:spacing w:val="-13"/>
          <w:sz w:val="15"/>
        </w:rPr>
        <w:t> </w:t>
      </w:r>
      <w:r>
        <w:rPr>
          <w:sz w:val="15"/>
        </w:rPr>
        <w:t>Equipment)</w:t>
      </w:r>
      <w:r>
        <w:rPr>
          <w:spacing w:val="-13"/>
          <w:sz w:val="15"/>
        </w:rPr>
        <w:t> </w:t>
      </w:r>
      <w:r>
        <w:rPr>
          <w:sz w:val="15"/>
        </w:rPr>
        <w:t>have</w:t>
      </w:r>
      <w:r>
        <w:rPr>
          <w:spacing w:val="-13"/>
          <w:sz w:val="15"/>
        </w:rPr>
        <w:t> </w:t>
      </w:r>
      <w:r>
        <w:rPr>
          <w:sz w:val="15"/>
        </w:rPr>
        <w:t>been</w:t>
      </w:r>
      <w:r>
        <w:rPr>
          <w:spacing w:val="-12"/>
          <w:sz w:val="15"/>
        </w:rPr>
        <w:t> </w:t>
      </w:r>
      <w:r>
        <w:rPr>
          <w:sz w:val="15"/>
        </w:rPr>
        <w:t>transferred</w:t>
      </w:r>
      <w:r>
        <w:rPr>
          <w:spacing w:val="-13"/>
          <w:sz w:val="15"/>
        </w:rPr>
        <w:t> </w:t>
      </w:r>
      <w:r>
        <w:rPr>
          <w:sz w:val="15"/>
        </w:rPr>
        <w:t>to</w:t>
      </w:r>
      <w:r>
        <w:rPr>
          <w:spacing w:val="-13"/>
          <w:sz w:val="15"/>
        </w:rPr>
        <w:t> </w:t>
      </w:r>
      <w:r>
        <w:rPr>
          <w:sz w:val="15"/>
        </w:rPr>
        <w:t>Department</w:t>
      </w:r>
      <w:r>
        <w:rPr>
          <w:spacing w:val="-13"/>
          <w:sz w:val="15"/>
        </w:rPr>
        <w:t> </w:t>
      </w:r>
      <w:r>
        <w:rPr>
          <w:sz w:val="15"/>
        </w:rPr>
        <w:t>of</w:t>
      </w:r>
      <w:r>
        <w:rPr>
          <w:spacing w:val="-12"/>
          <w:sz w:val="15"/>
        </w:rPr>
        <w:t> </w:t>
      </w:r>
      <w:r>
        <w:rPr>
          <w:sz w:val="15"/>
        </w:rPr>
        <w:t>Transport</w:t>
      </w:r>
      <w:r>
        <w:rPr>
          <w:spacing w:val="-13"/>
          <w:sz w:val="15"/>
        </w:rPr>
        <w:t> </w:t>
      </w:r>
      <w:r>
        <w:rPr>
          <w:sz w:val="15"/>
        </w:rPr>
        <w:t>for</w:t>
      </w:r>
      <w:r>
        <w:rPr>
          <w:spacing w:val="-13"/>
          <w:sz w:val="15"/>
        </w:rPr>
        <w:t> </w:t>
      </w:r>
      <w:r>
        <w:rPr>
          <w:sz w:val="15"/>
        </w:rPr>
        <w:t>$155,246.</w:t>
      </w:r>
      <w:r>
        <w:rPr>
          <w:spacing w:val="-13"/>
          <w:sz w:val="15"/>
        </w:rPr>
        <w:t> </w:t>
      </w:r>
      <w:r>
        <w:rPr>
          <w:sz w:val="15"/>
        </w:rPr>
        <w:t>During</w:t>
      </w:r>
      <w:r>
        <w:rPr>
          <w:spacing w:val="-12"/>
          <w:sz w:val="15"/>
        </w:rPr>
        <w:t> </w:t>
      </w:r>
      <w:r>
        <w:rPr>
          <w:sz w:val="15"/>
        </w:rPr>
        <w:t>the</w:t>
      </w:r>
      <w:r>
        <w:rPr>
          <w:spacing w:val="-13"/>
          <w:sz w:val="15"/>
        </w:rPr>
        <w:t> </w:t>
      </w:r>
      <w:r>
        <w:rPr>
          <w:sz w:val="15"/>
        </w:rPr>
        <w:t>financial</w:t>
      </w:r>
      <w:r>
        <w:rPr>
          <w:spacing w:val="-13"/>
          <w:sz w:val="15"/>
        </w:rPr>
        <w:t> </w:t>
      </w:r>
      <w:r>
        <w:rPr>
          <w:spacing w:val="-3"/>
          <w:sz w:val="15"/>
        </w:rPr>
        <w:t>year,</w:t>
      </w:r>
      <w:r>
        <w:rPr>
          <w:spacing w:val="-13"/>
          <w:sz w:val="15"/>
        </w:rPr>
        <w:t> </w:t>
      </w:r>
      <w:r>
        <w:rPr>
          <w:sz w:val="15"/>
        </w:rPr>
        <w:t>three</w:t>
      </w:r>
      <w:r>
        <w:rPr>
          <w:spacing w:val="-12"/>
          <w:sz w:val="15"/>
        </w:rPr>
        <w:t> </w:t>
      </w:r>
      <w:r>
        <w:rPr>
          <w:sz w:val="15"/>
        </w:rPr>
        <w:t>items</w:t>
      </w:r>
      <w:r>
        <w:rPr>
          <w:spacing w:val="-13"/>
          <w:sz w:val="15"/>
        </w:rPr>
        <w:t> </w:t>
      </w:r>
      <w:r>
        <w:rPr>
          <w:sz w:val="15"/>
        </w:rPr>
        <w:t>of</w:t>
      </w:r>
      <w:r>
        <w:rPr>
          <w:spacing w:val="-13"/>
          <w:sz w:val="15"/>
        </w:rPr>
        <w:t> </w:t>
      </w:r>
      <w:r>
        <w:rPr>
          <w:sz w:val="15"/>
        </w:rPr>
        <w:t>Office</w:t>
      </w:r>
      <w:r>
        <w:rPr>
          <w:spacing w:val="-13"/>
          <w:sz w:val="15"/>
        </w:rPr>
        <w:t> </w:t>
      </w:r>
      <w:r>
        <w:rPr>
          <w:sz w:val="15"/>
        </w:rPr>
        <w:t>Equipment</w:t>
      </w:r>
      <w:r>
        <w:rPr>
          <w:spacing w:val="-12"/>
          <w:sz w:val="15"/>
        </w:rPr>
        <w:t> </w:t>
      </w:r>
      <w:r>
        <w:rPr>
          <w:sz w:val="15"/>
        </w:rPr>
        <w:t>were</w:t>
      </w:r>
      <w:r>
        <w:rPr>
          <w:spacing w:val="-13"/>
          <w:sz w:val="15"/>
        </w:rPr>
        <w:t> </w:t>
      </w:r>
      <w:r>
        <w:rPr>
          <w:sz w:val="15"/>
        </w:rPr>
        <w:t>transferred</w:t>
      </w:r>
      <w:r>
        <w:rPr>
          <w:spacing w:val="-13"/>
          <w:sz w:val="15"/>
        </w:rPr>
        <w:t> </w:t>
      </w:r>
      <w:r>
        <w:rPr>
          <w:sz w:val="15"/>
        </w:rPr>
        <w:t>from</w:t>
      </w:r>
      <w:r>
        <w:rPr>
          <w:spacing w:val="-13"/>
          <w:sz w:val="15"/>
        </w:rPr>
        <w:t> </w:t>
      </w:r>
      <w:r>
        <w:rPr>
          <w:sz w:val="15"/>
        </w:rPr>
        <w:t>Department</w:t>
      </w:r>
      <w:r>
        <w:rPr>
          <w:spacing w:val="-13"/>
          <w:sz w:val="15"/>
        </w:rPr>
        <w:t> </w:t>
      </w:r>
      <w:r>
        <w:rPr>
          <w:sz w:val="15"/>
        </w:rPr>
        <w:t>of</w:t>
      </w:r>
      <w:r>
        <w:rPr>
          <w:spacing w:val="-12"/>
          <w:sz w:val="15"/>
        </w:rPr>
        <w:t> </w:t>
      </w:r>
      <w:r>
        <w:rPr>
          <w:spacing w:val="-3"/>
          <w:sz w:val="15"/>
        </w:rPr>
        <w:t>Treasury</w:t>
      </w:r>
      <w:r>
        <w:rPr>
          <w:spacing w:val="-13"/>
          <w:sz w:val="15"/>
        </w:rPr>
        <w:t> </w:t>
      </w:r>
      <w:r>
        <w:rPr>
          <w:sz w:val="15"/>
        </w:rPr>
        <w:t>for</w:t>
      </w:r>
      <w:r>
        <w:rPr>
          <w:spacing w:val="-13"/>
          <w:sz w:val="15"/>
        </w:rPr>
        <w:t> </w:t>
      </w:r>
      <w:r>
        <w:rPr>
          <w:sz w:val="15"/>
        </w:rPr>
        <w:t>$10,339.</w:t>
      </w:r>
      <w:r>
        <w:rPr>
          <w:spacing w:val="-13"/>
          <w:sz w:val="15"/>
        </w:rPr>
        <w:t> </w:t>
      </w:r>
      <w:r>
        <w:rPr>
          <w:sz w:val="15"/>
        </w:rPr>
        <w:t>The</w:t>
      </w:r>
      <w:r>
        <w:rPr>
          <w:spacing w:val="-12"/>
          <w:sz w:val="15"/>
        </w:rPr>
        <w:t> </w:t>
      </w:r>
      <w:r>
        <w:rPr>
          <w:sz w:val="15"/>
        </w:rPr>
        <w:t>Department</w:t>
      </w:r>
      <w:r>
        <w:rPr>
          <w:spacing w:val="-13"/>
          <w:sz w:val="15"/>
        </w:rPr>
        <w:t> </w:t>
      </w:r>
      <w:r>
        <w:rPr>
          <w:sz w:val="15"/>
        </w:rPr>
        <w:t>also transferred</w:t>
      </w:r>
      <w:r>
        <w:rPr>
          <w:spacing w:val="-14"/>
          <w:sz w:val="15"/>
        </w:rPr>
        <w:t> </w:t>
      </w:r>
      <w:r>
        <w:rPr>
          <w:sz w:val="15"/>
        </w:rPr>
        <w:t>two</w:t>
      </w:r>
      <w:r>
        <w:rPr>
          <w:spacing w:val="-13"/>
          <w:sz w:val="15"/>
        </w:rPr>
        <w:t> </w:t>
      </w:r>
      <w:r>
        <w:rPr>
          <w:sz w:val="15"/>
        </w:rPr>
        <w:t>items</w:t>
      </w:r>
      <w:r>
        <w:rPr>
          <w:spacing w:val="-14"/>
          <w:sz w:val="15"/>
        </w:rPr>
        <w:t> </w:t>
      </w:r>
      <w:r>
        <w:rPr>
          <w:sz w:val="15"/>
        </w:rPr>
        <w:t>of</w:t>
      </w:r>
      <w:r>
        <w:rPr>
          <w:spacing w:val="-13"/>
          <w:sz w:val="15"/>
        </w:rPr>
        <w:t> </w:t>
      </w:r>
      <w:r>
        <w:rPr>
          <w:sz w:val="15"/>
        </w:rPr>
        <w:t>Office</w:t>
      </w:r>
      <w:r>
        <w:rPr>
          <w:spacing w:val="-14"/>
          <w:sz w:val="15"/>
        </w:rPr>
        <w:t> </w:t>
      </w:r>
      <w:r>
        <w:rPr>
          <w:sz w:val="15"/>
        </w:rPr>
        <w:t>Equipment</w:t>
      </w:r>
      <w:r>
        <w:rPr>
          <w:spacing w:val="-13"/>
          <w:sz w:val="15"/>
        </w:rPr>
        <w:t> </w:t>
      </w:r>
      <w:r>
        <w:rPr>
          <w:sz w:val="15"/>
        </w:rPr>
        <w:t>to</w:t>
      </w:r>
      <w:r>
        <w:rPr>
          <w:spacing w:val="-14"/>
          <w:sz w:val="15"/>
        </w:rPr>
        <w:t> </w:t>
      </w:r>
      <w:r>
        <w:rPr>
          <w:sz w:val="15"/>
        </w:rPr>
        <w:t>Department</w:t>
      </w:r>
      <w:r>
        <w:rPr>
          <w:spacing w:val="-13"/>
          <w:sz w:val="15"/>
        </w:rPr>
        <w:t> </w:t>
      </w:r>
      <w:r>
        <w:rPr>
          <w:sz w:val="15"/>
        </w:rPr>
        <w:t>of</w:t>
      </w:r>
      <w:r>
        <w:rPr>
          <w:spacing w:val="-14"/>
          <w:sz w:val="15"/>
        </w:rPr>
        <w:t> </w:t>
      </w:r>
      <w:r>
        <w:rPr>
          <w:spacing w:val="-3"/>
          <w:sz w:val="15"/>
        </w:rPr>
        <w:t>Treasury</w:t>
      </w:r>
      <w:r>
        <w:rPr>
          <w:spacing w:val="-13"/>
          <w:sz w:val="15"/>
        </w:rPr>
        <w:t> </w:t>
      </w:r>
      <w:r>
        <w:rPr>
          <w:sz w:val="15"/>
        </w:rPr>
        <w:t>for</w:t>
      </w:r>
      <w:r>
        <w:rPr>
          <w:spacing w:val="-13"/>
          <w:sz w:val="15"/>
        </w:rPr>
        <w:t> </w:t>
      </w:r>
      <w:r>
        <w:rPr>
          <w:sz w:val="15"/>
        </w:rPr>
        <w:t>$9,405.</w:t>
      </w:r>
      <w:r>
        <w:rPr>
          <w:spacing w:val="-14"/>
          <w:sz w:val="15"/>
        </w:rPr>
        <w:t> </w:t>
      </w:r>
      <w:r>
        <w:rPr>
          <w:sz w:val="15"/>
        </w:rPr>
        <w:t>One</w:t>
      </w:r>
      <w:r>
        <w:rPr>
          <w:spacing w:val="-13"/>
          <w:sz w:val="15"/>
        </w:rPr>
        <w:t> </w:t>
      </w:r>
      <w:r>
        <w:rPr>
          <w:sz w:val="15"/>
        </w:rPr>
        <w:t>Computing</w:t>
      </w:r>
      <w:r>
        <w:rPr>
          <w:spacing w:val="-14"/>
          <w:sz w:val="15"/>
        </w:rPr>
        <w:t> </w:t>
      </w:r>
      <w:r>
        <w:rPr>
          <w:sz w:val="15"/>
        </w:rPr>
        <w:t>Equipment</w:t>
      </w:r>
      <w:r>
        <w:rPr>
          <w:spacing w:val="-13"/>
          <w:sz w:val="15"/>
        </w:rPr>
        <w:t> </w:t>
      </w:r>
      <w:r>
        <w:rPr>
          <w:sz w:val="15"/>
        </w:rPr>
        <w:t>was</w:t>
      </w:r>
      <w:r>
        <w:rPr>
          <w:spacing w:val="-14"/>
          <w:sz w:val="15"/>
        </w:rPr>
        <w:t> </w:t>
      </w:r>
      <w:r>
        <w:rPr>
          <w:sz w:val="15"/>
        </w:rPr>
        <w:t>transferred</w:t>
      </w:r>
      <w:r>
        <w:rPr>
          <w:spacing w:val="-13"/>
          <w:sz w:val="15"/>
        </w:rPr>
        <w:t> </w:t>
      </w:r>
      <w:r>
        <w:rPr>
          <w:sz w:val="15"/>
        </w:rPr>
        <w:t>from</w:t>
      </w:r>
      <w:r>
        <w:rPr>
          <w:spacing w:val="-14"/>
          <w:sz w:val="15"/>
        </w:rPr>
        <w:t> </w:t>
      </w:r>
      <w:r>
        <w:rPr>
          <w:sz w:val="15"/>
        </w:rPr>
        <w:t>Department</w:t>
      </w:r>
      <w:r>
        <w:rPr>
          <w:spacing w:val="-13"/>
          <w:sz w:val="15"/>
        </w:rPr>
        <w:t> </w:t>
      </w:r>
      <w:r>
        <w:rPr>
          <w:sz w:val="15"/>
        </w:rPr>
        <w:t>of</w:t>
      </w:r>
      <w:r>
        <w:rPr>
          <w:spacing w:val="-14"/>
          <w:sz w:val="15"/>
        </w:rPr>
        <w:t> </w:t>
      </w:r>
      <w:r>
        <w:rPr>
          <w:spacing w:val="-3"/>
          <w:sz w:val="15"/>
        </w:rPr>
        <w:t>Treasury</w:t>
      </w:r>
      <w:r>
        <w:rPr>
          <w:spacing w:val="-13"/>
          <w:sz w:val="15"/>
        </w:rPr>
        <w:t> </w:t>
      </w:r>
      <w:r>
        <w:rPr>
          <w:sz w:val="15"/>
        </w:rPr>
        <w:t>for</w:t>
      </w:r>
      <w:r>
        <w:rPr>
          <w:spacing w:val="-13"/>
          <w:sz w:val="15"/>
        </w:rPr>
        <w:t> </w:t>
      </w:r>
      <w:r>
        <w:rPr>
          <w:sz w:val="15"/>
        </w:rPr>
        <w:t>$1,124.</w:t>
      </w:r>
      <w:r>
        <w:rPr>
          <w:spacing w:val="-14"/>
          <w:sz w:val="15"/>
        </w:rPr>
        <w:t> </w:t>
      </w:r>
      <w:r>
        <w:rPr>
          <w:sz w:val="15"/>
        </w:rPr>
        <w:t>One</w:t>
      </w:r>
      <w:r>
        <w:rPr>
          <w:spacing w:val="-13"/>
          <w:sz w:val="15"/>
        </w:rPr>
        <w:t> </w:t>
      </w:r>
      <w:r>
        <w:rPr>
          <w:sz w:val="15"/>
        </w:rPr>
        <w:t>Computing</w:t>
      </w:r>
      <w:r>
        <w:rPr>
          <w:spacing w:val="-14"/>
          <w:sz w:val="15"/>
        </w:rPr>
        <w:t> </w:t>
      </w:r>
      <w:r>
        <w:rPr>
          <w:sz w:val="15"/>
        </w:rPr>
        <w:t>Equipment</w:t>
      </w:r>
      <w:r>
        <w:rPr>
          <w:spacing w:val="-13"/>
          <w:sz w:val="15"/>
        </w:rPr>
        <w:t> </w:t>
      </w:r>
      <w:r>
        <w:rPr>
          <w:sz w:val="15"/>
        </w:rPr>
        <w:t>was</w:t>
      </w:r>
      <w:r>
        <w:rPr>
          <w:spacing w:val="-14"/>
          <w:sz w:val="15"/>
        </w:rPr>
        <w:t> </w:t>
      </w:r>
      <w:r>
        <w:rPr>
          <w:sz w:val="15"/>
        </w:rPr>
        <w:t>reclassed</w:t>
      </w:r>
      <w:r>
        <w:rPr>
          <w:spacing w:val="-13"/>
          <w:sz w:val="15"/>
        </w:rPr>
        <w:t> </w:t>
      </w:r>
      <w:r>
        <w:rPr>
          <w:sz w:val="15"/>
        </w:rPr>
        <w:t>to</w:t>
      </w:r>
      <w:r>
        <w:rPr>
          <w:spacing w:val="-14"/>
          <w:sz w:val="15"/>
        </w:rPr>
        <w:t> </w:t>
      </w:r>
      <w:r>
        <w:rPr>
          <w:sz w:val="15"/>
        </w:rPr>
        <w:t>Office</w:t>
      </w:r>
      <w:r>
        <w:rPr>
          <w:spacing w:val="-13"/>
          <w:sz w:val="15"/>
        </w:rPr>
        <w:t> </w:t>
      </w:r>
      <w:r>
        <w:rPr>
          <w:sz w:val="15"/>
        </w:rPr>
        <w:t>Equipment for $8,274. During the </w:t>
      </w:r>
      <w:r>
        <w:rPr>
          <w:spacing w:val="-3"/>
          <w:sz w:val="15"/>
        </w:rPr>
        <w:t>year, </w:t>
      </w:r>
      <w:r>
        <w:rPr>
          <w:sz w:val="15"/>
        </w:rPr>
        <w:t>one vehicle was transferred to finance lease for the Department of Health</w:t>
      </w:r>
      <w:r>
        <w:rPr>
          <w:spacing w:val="-19"/>
          <w:sz w:val="15"/>
        </w:rPr>
        <w:t> </w:t>
      </w:r>
      <w:r>
        <w:rPr>
          <w:sz w:val="15"/>
        </w:rPr>
        <w:t>($64,000).</w:t>
      </w:r>
    </w:p>
    <w:p>
      <w:pPr>
        <w:pStyle w:val="ListParagraph"/>
        <w:numPr>
          <w:ilvl w:val="1"/>
          <w:numId w:val="12"/>
        </w:numPr>
        <w:tabs>
          <w:tab w:pos="966" w:val="left" w:leader="none"/>
        </w:tabs>
        <w:spacing w:line="172" w:lineRule="exact" w:before="0" w:after="0"/>
        <w:ind w:left="965" w:right="0" w:hanging="200"/>
        <w:jc w:val="left"/>
        <w:rPr>
          <w:sz w:val="15"/>
        </w:rPr>
      </w:pPr>
      <w:r>
        <w:rPr>
          <w:sz w:val="15"/>
        </w:rPr>
        <w:t>Work</w:t>
      </w:r>
      <w:r>
        <w:rPr>
          <w:spacing w:val="-6"/>
          <w:sz w:val="15"/>
        </w:rPr>
        <w:t> </w:t>
      </w:r>
      <w:r>
        <w:rPr>
          <w:sz w:val="15"/>
        </w:rPr>
        <w:t>in</w:t>
      </w:r>
      <w:r>
        <w:rPr>
          <w:spacing w:val="-5"/>
          <w:sz w:val="15"/>
        </w:rPr>
        <w:t> </w:t>
      </w:r>
      <w:r>
        <w:rPr>
          <w:sz w:val="15"/>
        </w:rPr>
        <w:t>progress</w:t>
      </w:r>
      <w:r>
        <w:rPr>
          <w:spacing w:val="-5"/>
          <w:sz w:val="15"/>
        </w:rPr>
        <w:t> </w:t>
      </w:r>
      <w:r>
        <w:rPr>
          <w:sz w:val="15"/>
        </w:rPr>
        <w:t>was</w:t>
      </w:r>
      <w:r>
        <w:rPr>
          <w:spacing w:val="-5"/>
          <w:sz w:val="15"/>
        </w:rPr>
        <w:t> </w:t>
      </w:r>
      <w:r>
        <w:rPr>
          <w:sz w:val="15"/>
        </w:rPr>
        <w:t>transferred</w:t>
      </w:r>
      <w:r>
        <w:rPr>
          <w:spacing w:val="-5"/>
          <w:sz w:val="15"/>
        </w:rPr>
        <w:t> </w:t>
      </w:r>
      <w:r>
        <w:rPr>
          <w:sz w:val="15"/>
        </w:rPr>
        <w:t>to</w:t>
      </w:r>
      <w:r>
        <w:rPr>
          <w:spacing w:val="-5"/>
          <w:sz w:val="15"/>
        </w:rPr>
        <w:t> </w:t>
      </w:r>
      <w:r>
        <w:rPr>
          <w:sz w:val="15"/>
        </w:rPr>
        <w:t>Leasehold</w:t>
      </w:r>
      <w:r>
        <w:rPr>
          <w:spacing w:val="-6"/>
          <w:sz w:val="15"/>
        </w:rPr>
        <w:t> </w:t>
      </w:r>
      <w:r>
        <w:rPr>
          <w:sz w:val="15"/>
        </w:rPr>
        <w:t>Improvements</w:t>
      </w:r>
      <w:r>
        <w:rPr>
          <w:spacing w:val="-5"/>
          <w:sz w:val="15"/>
        </w:rPr>
        <w:t> </w:t>
      </w:r>
      <w:r>
        <w:rPr>
          <w:sz w:val="15"/>
        </w:rPr>
        <w:t>for</w:t>
      </w:r>
      <w:r>
        <w:rPr>
          <w:spacing w:val="-5"/>
          <w:sz w:val="15"/>
        </w:rPr>
        <w:t> </w:t>
      </w:r>
      <w:r>
        <w:rPr>
          <w:sz w:val="15"/>
        </w:rPr>
        <w:t>$60,063,525</w:t>
      </w:r>
      <w:r>
        <w:rPr>
          <w:spacing w:val="-5"/>
          <w:sz w:val="15"/>
        </w:rPr>
        <w:t> </w:t>
      </w:r>
      <w:r>
        <w:rPr>
          <w:sz w:val="15"/>
        </w:rPr>
        <w:t>and</w:t>
      </w:r>
      <w:r>
        <w:rPr>
          <w:spacing w:val="-5"/>
          <w:sz w:val="15"/>
        </w:rPr>
        <w:t> </w:t>
      </w:r>
      <w:r>
        <w:rPr>
          <w:sz w:val="15"/>
        </w:rPr>
        <w:t>to</w:t>
      </w:r>
      <w:r>
        <w:rPr>
          <w:spacing w:val="-5"/>
          <w:sz w:val="15"/>
        </w:rPr>
        <w:t> </w:t>
      </w:r>
      <w:r>
        <w:rPr>
          <w:sz w:val="15"/>
        </w:rPr>
        <w:t>office</w:t>
      </w:r>
      <w:r>
        <w:rPr>
          <w:spacing w:val="-6"/>
          <w:sz w:val="15"/>
        </w:rPr>
        <w:t> </w:t>
      </w:r>
      <w:r>
        <w:rPr>
          <w:sz w:val="15"/>
        </w:rPr>
        <w:t>fitout</w:t>
      </w:r>
      <w:r>
        <w:rPr>
          <w:spacing w:val="-5"/>
          <w:sz w:val="15"/>
        </w:rPr>
        <w:t> </w:t>
      </w:r>
      <w:r>
        <w:rPr>
          <w:sz w:val="15"/>
        </w:rPr>
        <w:t>for</w:t>
      </w:r>
      <w:r>
        <w:rPr>
          <w:spacing w:val="-5"/>
          <w:sz w:val="15"/>
        </w:rPr>
        <w:t> </w:t>
      </w:r>
      <w:r>
        <w:rPr>
          <w:sz w:val="15"/>
        </w:rPr>
        <w:t>$66,751,752.</w:t>
      </w:r>
      <w:r>
        <w:rPr>
          <w:spacing w:val="-5"/>
          <w:sz w:val="15"/>
        </w:rPr>
        <w:t> </w:t>
      </w:r>
      <w:r>
        <w:rPr>
          <w:sz w:val="15"/>
        </w:rPr>
        <w:t>During</w:t>
      </w:r>
      <w:r>
        <w:rPr>
          <w:spacing w:val="-5"/>
          <w:sz w:val="15"/>
        </w:rPr>
        <w:t> </w:t>
      </w:r>
      <w:r>
        <w:rPr>
          <w:sz w:val="15"/>
        </w:rPr>
        <w:t>the</w:t>
      </w:r>
      <w:r>
        <w:rPr>
          <w:spacing w:val="-5"/>
          <w:sz w:val="15"/>
        </w:rPr>
        <w:t> </w:t>
      </w:r>
      <w:r>
        <w:rPr>
          <w:sz w:val="15"/>
        </w:rPr>
        <w:t>year</w:t>
      </w:r>
      <w:r>
        <w:rPr>
          <w:spacing w:val="-5"/>
          <w:sz w:val="15"/>
        </w:rPr>
        <w:t> </w:t>
      </w:r>
      <w:r>
        <w:rPr>
          <w:sz w:val="15"/>
        </w:rPr>
        <w:t>one</w:t>
      </w:r>
      <w:r>
        <w:rPr>
          <w:spacing w:val="-6"/>
          <w:sz w:val="15"/>
        </w:rPr>
        <w:t> </w:t>
      </w:r>
      <w:r>
        <w:rPr>
          <w:sz w:val="15"/>
        </w:rPr>
        <w:t>vehicle</w:t>
      </w:r>
      <w:r>
        <w:rPr>
          <w:spacing w:val="-5"/>
          <w:sz w:val="15"/>
        </w:rPr>
        <w:t> </w:t>
      </w:r>
      <w:r>
        <w:rPr>
          <w:sz w:val="15"/>
        </w:rPr>
        <w:t>was</w:t>
      </w:r>
      <w:r>
        <w:rPr>
          <w:spacing w:val="-5"/>
          <w:sz w:val="15"/>
        </w:rPr>
        <w:t> </w:t>
      </w:r>
      <w:r>
        <w:rPr>
          <w:sz w:val="15"/>
        </w:rPr>
        <w:t>transferred</w:t>
      </w:r>
      <w:r>
        <w:rPr>
          <w:spacing w:val="-5"/>
          <w:sz w:val="15"/>
        </w:rPr>
        <w:t> </w:t>
      </w:r>
      <w:r>
        <w:rPr>
          <w:sz w:val="15"/>
        </w:rPr>
        <w:t>to</w:t>
      </w:r>
      <w:r>
        <w:rPr>
          <w:spacing w:val="-5"/>
          <w:sz w:val="15"/>
        </w:rPr>
        <w:t> </w:t>
      </w:r>
      <w:r>
        <w:rPr>
          <w:sz w:val="15"/>
        </w:rPr>
        <w:t>finance</w:t>
      </w:r>
      <w:r>
        <w:rPr>
          <w:spacing w:val="-5"/>
          <w:sz w:val="15"/>
        </w:rPr>
        <w:t> </w:t>
      </w:r>
      <w:r>
        <w:rPr>
          <w:sz w:val="15"/>
        </w:rPr>
        <w:t>lease</w:t>
      </w:r>
      <w:r>
        <w:rPr>
          <w:spacing w:val="-6"/>
          <w:sz w:val="15"/>
        </w:rPr>
        <w:t> </w:t>
      </w:r>
      <w:r>
        <w:rPr>
          <w:sz w:val="15"/>
        </w:rPr>
        <w:t>for</w:t>
      </w:r>
      <w:r>
        <w:rPr>
          <w:spacing w:val="-5"/>
          <w:sz w:val="15"/>
        </w:rPr>
        <w:t> </w:t>
      </w:r>
      <w:r>
        <w:rPr>
          <w:sz w:val="15"/>
        </w:rPr>
        <w:t>Department</w:t>
      </w:r>
      <w:r>
        <w:rPr>
          <w:spacing w:val="-5"/>
          <w:sz w:val="15"/>
        </w:rPr>
        <w:t> </w:t>
      </w:r>
      <w:r>
        <w:rPr>
          <w:sz w:val="15"/>
        </w:rPr>
        <w:t>of</w:t>
      </w:r>
      <w:r>
        <w:rPr>
          <w:spacing w:val="-5"/>
          <w:sz w:val="15"/>
        </w:rPr>
        <w:t> </w:t>
      </w:r>
      <w:r>
        <w:rPr>
          <w:sz w:val="15"/>
        </w:rPr>
        <w:t>Education</w:t>
      </w:r>
      <w:r>
        <w:rPr>
          <w:spacing w:val="-5"/>
          <w:sz w:val="15"/>
        </w:rPr>
        <w:t> </w:t>
      </w:r>
      <w:r>
        <w:rPr>
          <w:sz w:val="15"/>
        </w:rPr>
        <w:t>($44,000).</w:t>
      </w:r>
    </w:p>
    <w:p>
      <w:pPr>
        <w:spacing w:after="0" w:line="172" w:lineRule="exact"/>
        <w:jc w:val="left"/>
        <w:rPr>
          <w:sz w:val="15"/>
        </w:rPr>
        <w:sectPr>
          <w:footerReference w:type="default" r:id="rId160"/>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16696"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tabs>
          <w:tab w:pos="8631" w:val="left" w:leader="none"/>
        </w:tabs>
        <w:spacing w:before="254"/>
        <w:ind w:left="765" w:right="0" w:firstLine="0"/>
        <w:jc w:val="left"/>
        <w:rPr>
          <w:b/>
          <w:sz w:val="22"/>
        </w:rPr>
      </w:pPr>
      <w:r>
        <w:rPr/>
        <w:pict>
          <v:group style="position:absolute;margin-left:38.7677pt;margin-top:84.682014pt;width:313.25pt;height:46.95pt;mso-position-horizontal-relative:page;mso-position-vertical-relative:paragraph;z-index:-695968" coordorigin="775,1694" coordsize="6265,939">
            <v:rect style="position:absolute;left:775;top:1693;width:2863;height:328" filled="true" fillcolor="#f4f4f4" stroked="false">
              <v:fill type="solid"/>
            </v:rect>
            <v:line style="position:absolute" from="3638,1694" to="3638,2021" stroked="true" strokeweight=".001pt" strokecolor="#f4f4f4">
              <v:stroke dashstyle="solid"/>
            </v:line>
            <v:shape style="position:absolute;left:775;top:1693;width:6265;height:939" coordorigin="775,1694" coordsize="6265,939" path="m3638,2327l775,2327,775,2632,3638,2632,3638,2327m7040,1694l5906,1694,4772,1694,3638,1694,3638,2021,4772,2021,5906,2021,7040,2021,7040,1694e" filled="true" fillcolor="#f4f4f4" stroked="false">
              <v:path arrowok="t"/>
              <v:fill type="solid"/>
            </v:shape>
            <v:line style="position:absolute" from="3638,2327" to="3638,2632" stroked="true" strokeweight=".001pt" strokecolor="#f4f4f4">
              <v:stroke dashstyle="solid"/>
            </v:line>
            <v:shape style="position:absolute;left:3638;top:2326;width:3402;height:306" coordorigin="3638,2327" coordsize="3402,306" path="m7040,2327l5906,2327,4772,2327,3638,2327,3638,2632,4772,2632,5906,2632,7040,2632,7040,2327e" filled="true" fillcolor="#f4f4f4" stroked="false">
              <v:path arrowok="t"/>
              <v:fill type="solid"/>
            </v:shape>
            <v:rect style="position:absolute;left:775;top:2020;width:2863;height:306" filled="true" fillcolor="#faf9f9" stroked="false">
              <v:fill type="solid"/>
            </v:rect>
            <v:line style="position:absolute" from="3638,2021" to="3638,2327" stroked="true" strokeweight=".001pt" strokecolor="#faf9f9">
              <v:stroke dashstyle="solid"/>
            </v:line>
            <v:shape style="position:absolute;left:3638;top:2020;width:3402;height:306" coordorigin="3638,2021" coordsize="3402,306" path="m7040,2021l5906,2021,4772,2021,3638,2021,3638,2327,4772,2327,5906,2327,7040,2327,7040,2021e" filled="true" fillcolor="#faf9f9" stroked="false">
              <v:path arrowok="t"/>
              <v:fill type="solid"/>
            </v:shape>
            <v:shape style="position:absolute;left:775;top:2010;width:6265;height:326" coordorigin="775,2011" coordsize="6265,326" path="m3628,2317l775,2317,775,2337,3628,2337,3628,2317m3628,2011l775,2011,775,2031,3628,2031,3628,2011m4762,2011l3648,2011,3648,2031,4762,2031,4762,2011m5896,2011l4782,2011,4782,2031,5896,2031,5896,2011m7040,2011l5916,2011,5916,2031,7040,2031,7040,2011e" filled="true" fillcolor="#ffffff" stroked="false">
              <v:path arrowok="t"/>
              <v:fill type="solid"/>
            </v:shape>
            <v:line style="position:absolute" from="3638,2021" to="3638,1699" stroked="true" strokeweight="1pt" strokecolor="#ffffff">
              <v:stroke dashstyle="solid"/>
            </v:line>
            <v:line style="position:absolute" from="4772,2021" to="4772,1699" stroked="true" strokeweight="1pt" strokecolor="#ffffff">
              <v:stroke dashstyle="solid"/>
            </v:line>
            <v:line style="position:absolute" from="5906,2021" to="5906,1699" stroked="true" strokeweight="1pt" strokecolor="#ffffff">
              <v:stroke dashstyle="solid"/>
            </v:line>
            <v:line style="position:absolute" from="3638,2327" to="3638,2021" stroked="true" strokeweight="1pt" strokecolor="#ffffff">
              <v:stroke dashstyle="solid"/>
            </v:line>
            <v:line style="position:absolute" from="4772,2322" to="4772,2021" stroked="true" strokeweight="1pt" strokecolor="#ffffff">
              <v:stroke dashstyle="solid"/>
            </v:line>
            <v:line style="position:absolute" from="5906,2322" to="5906,2021" stroked="true" strokeweight="1pt" strokecolor="#ffffff">
              <v:stroke dashstyle="solid"/>
            </v:line>
            <v:line style="position:absolute" from="3638,2632" to="3638,2327" stroked="true" strokeweight="1pt" strokecolor="#ffffff">
              <v:stroke dashstyle="solid"/>
            </v:line>
            <v:line style="position:absolute" from="4772,2602" to="4772,2332" stroked="true" strokeweight="1pt" strokecolor="#ffffff">
              <v:stroke dashstyle="solid"/>
            </v:line>
            <v:line style="position:absolute" from="5906,2602" to="5906,2332" stroked="true" strokeweight="1pt" strokecolor="#ffffff">
              <v:stroke dashstyle="solid"/>
            </v:line>
            <w10:wrap type="none"/>
          </v:group>
        </w:pict>
      </w:r>
      <w:r>
        <w:rPr/>
        <w:pict>
          <v:shape style="position:absolute;margin-left:431.574799pt;margin-top:35.194817pt;width:369.95pt;height:377.85pt;mso-position-horizontal-relative:page;mso-position-vertical-relative:paragraph;z-index:16720"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5131" w:type="dxa"/>
                        <w:tcBorders>
                          <w:top w:val="nil"/>
                          <w:left w:val="nil"/>
                          <w:bottom w:val="nil"/>
                          <w:right w:val="nil"/>
                        </w:tcBorders>
                        <w:shd w:val="clear" w:color="auto" w:fill="783A79"/>
                      </w:tcPr>
                      <w:p>
                        <w:pPr>
                          <w:pStyle w:val="TableParagraph"/>
                          <w:spacing w:before="47"/>
                          <w:ind w:left="113"/>
                          <w:rPr>
                            <w:b/>
                            <w:sz w:val="19"/>
                          </w:rPr>
                        </w:pPr>
                        <w:r>
                          <w:rPr>
                            <w:b/>
                            <w:color w:val="FFFFFF"/>
                            <w:sz w:val="19"/>
                          </w:rPr>
                          <w:t>2018</w:t>
                        </w:r>
                      </w:p>
                    </w:tc>
                    <w:tc>
                      <w:tcPr>
                        <w:tcW w:w="1134" w:type="dxa"/>
                        <w:tcBorders>
                          <w:top w:val="nil"/>
                          <w:left w:val="nil"/>
                          <w:bottom w:val="nil"/>
                          <w:right w:val="nil"/>
                        </w:tcBorders>
                        <w:shd w:val="clear" w:color="auto" w:fill="783A79"/>
                      </w:tcPr>
                      <w:p>
                        <w:pPr>
                          <w:pStyle w:val="TableParagraph"/>
                          <w:spacing w:before="47"/>
                          <w:ind w:left="569"/>
                          <w:rPr>
                            <w:b/>
                            <w:sz w:val="19"/>
                          </w:rPr>
                        </w:pPr>
                        <w:r>
                          <w:rPr>
                            <w:b/>
                            <w:color w:val="FFFFFF"/>
                            <w:sz w:val="19"/>
                          </w:rPr>
                          <w:t>Land</w:t>
                        </w:r>
                      </w:p>
                      <w:p>
                        <w:pPr>
                          <w:pStyle w:val="TableParagraph"/>
                          <w:spacing w:before="10"/>
                          <w:ind w:left="597"/>
                          <w:rPr>
                            <w:b/>
                            <w:sz w:val="19"/>
                          </w:rPr>
                        </w:pPr>
                        <w:r>
                          <w:rPr>
                            <w:b/>
                            <w:color w:val="FFFFFF"/>
                            <w:sz w:val="19"/>
                          </w:rPr>
                          <w:t>$000</w:t>
                        </w:r>
                      </w:p>
                    </w:tc>
                    <w:tc>
                      <w:tcPr>
                        <w:tcW w:w="1134" w:type="dxa"/>
                        <w:tcBorders>
                          <w:top w:val="nil"/>
                          <w:left w:val="nil"/>
                          <w:bottom w:val="nil"/>
                          <w:right w:val="nil"/>
                        </w:tcBorders>
                        <w:shd w:val="clear" w:color="auto" w:fill="783A79"/>
                      </w:tcPr>
                      <w:p>
                        <w:pPr>
                          <w:pStyle w:val="TableParagraph"/>
                          <w:spacing w:before="47"/>
                          <w:ind w:left="179"/>
                          <w:rPr>
                            <w:b/>
                            <w:sz w:val="19"/>
                          </w:rPr>
                        </w:pPr>
                        <w:r>
                          <w:rPr>
                            <w:b/>
                            <w:color w:val="FFFFFF"/>
                            <w:sz w:val="19"/>
                          </w:rPr>
                          <w:t>Buildings</w:t>
                        </w:r>
                      </w:p>
                      <w:p>
                        <w:pPr>
                          <w:pStyle w:val="TableParagraph"/>
                          <w:spacing w:before="10"/>
                          <w:ind w:left="597"/>
                          <w:rPr>
                            <w:b/>
                            <w:sz w:val="19"/>
                          </w:rPr>
                        </w:pPr>
                        <w:r>
                          <w:rPr>
                            <w:b/>
                            <w:color w:val="FFFFFF"/>
                            <w:sz w:val="19"/>
                          </w:rPr>
                          <w:t>$000</w:t>
                        </w:r>
                      </w:p>
                    </w:tc>
                  </w:tr>
                  <w:tr>
                    <w:trPr>
                      <w:trHeight w:val="312" w:hRule="atLeast"/>
                    </w:trPr>
                    <w:tc>
                      <w:tcPr>
                        <w:tcW w:w="5131" w:type="dxa"/>
                        <w:tcBorders>
                          <w:top w:val="nil"/>
                          <w:left w:val="nil"/>
                          <w:bottom w:val="nil"/>
                        </w:tcBorders>
                        <w:shd w:val="clear" w:color="auto" w:fill="F4F4F4"/>
                      </w:tcPr>
                      <w:p>
                        <w:pPr>
                          <w:pStyle w:val="TableParagraph"/>
                          <w:spacing w:before="37"/>
                          <w:ind w:left="113"/>
                          <w:rPr>
                            <w:sz w:val="19"/>
                          </w:rPr>
                        </w:pPr>
                        <w:r>
                          <w:rPr>
                            <w:sz w:val="19"/>
                          </w:rPr>
                          <w:t>Fair value at start of period</w:t>
                        </w:r>
                      </w:p>
                    </w:tc>
                    <w:tc>
                      <w:tcPr>
                        <w:tcW w:w="1134" w:type="dxa"/>
                        <w:tcBorders>
                          <w:top w:val="nil"/>
                          <w:bottom w:val="nil"/>
                        </w:tcBorders>
                        <w:shd w:val="clear" w:color="auto" w:fill="F4F4F4"/>
                      </w:tcPr>
                      <w:p>
                        <w:pPr>
                          <w:pStyle w:val="TableParagraph"/>
                          <w:spacing w:before="37"/>
                          <w:ind w:right="101"/>
                          <w:jc w:val="right"/>
                          <w:rPr>
                            <w:sz w:val="19"/>
                          </w:rPr>
                        </w:pPr>
                        <w:r>
                          <w:rPr>
                            <w:w w:val="95"/>
                            <w:sz w:val="19"/>
                          </w:rPr>
                          <w:t>81,334</w:t>
                        </w:r>
                      </w:p>
                    </w:tc>
                    <w:tc>
                      <w:tcPr>
                        <w:tcW w:w="1134" w:type="dxa"/>
                        <w:tcBorders>
                          <w:top w:val="nil"/>
                          <w:bottom w:val="nil"/>
                          <w:right w:val="nil"/>
                        </w:tcBorders>
                        <w:shd w:val="clear" w:color="auto" w:fill="F4F4F4"/>
                      </w:tcPr>
                      <w:p>
                        <w:pPr>
                          <w:pStyle w:val="TableParagraph"/>
                          <w:spacing w:before="37"/>
                          <w:ind w:right="111"/>
                          <w:jc w:val="right"/>
                          <w:rPr>
                            <w:sz w:val="19"/>
                          </w:rPr>
                        </w:pPr>
                        <w:r>
                          <w:rPr>
                            <w:w w:val="95"/>
                            <w:sz w:val="19"/>
                          </w:rPr>
                          <w:t>43,925</w:t>
                        </w:r>
                      </w:p>
                    </w:tc>
                  </w:tr>
                  <w:tr>
                    <w:trPr>
                      <w:trHeight w:val="347" w:hRule="atLeast"/>
                    </w:trPr>
                    <w:tc>
                      <w:tcPr>
                        <w:tcW w:w="5131" w:type="dxa"/>
                        <w:tcBorders>
                          <w:top w:val="nil"/>
                          <w:left w:val="nil"/>
                          <w:bottom w:val="nil"/>
                          <w:right w:val="nil"/>
                        </w:tcBorders>
                        <w:shd w:val="clear" w:color="auto" w:fill="FAF9F9"/>
                      </w:tcPr>
                      <w:p>
                        <w:pPr>
                          <w:pStyle w:val="TableParagraph"/>
                          <w:spacing w:before="52"/>
                          <w:ind w:left="113"/>
                          <w:rPr>
                            <w:sz w:val="19"/>
                          </w:rPr>
                        </w:pPr>
                        <w:r>
                          <w:rPr>
                            <w:sz w:val="19"/>
                          </w:rPr>
                          <w:t>Additions</w:t>
                        </w:r>
                      </w:p>
                    </w:tc>
                    <w:tc>
                      <w:tcPr>
                        <w:tcW w:w="1134" w:type="dxa"/>
                        <w:tcBorders>
                          <w:top w:val="nil"/>
                          <w:left w:val="nil"/>
                          <w:bottom w:val="nil"/>
                          <w:right w:val="nil"/>
                        </w:tcBorders>
                        <w:shd w:val="clear" w:color="auto" w:fill="FAF9F9"/>
                      </w:tcPr>
                      <w:p>
                        <w:pPr>
                          <w:pStyle w:val="TableParagraph"/>
                          <w:spacing w:before="52"/>
                          <w:ind w:right="111"/>
                          <w:jc w:val="right"/>
                          <w:rPr>
                            <w:sz w:val="19"/>
                          </w:rPr>
                        </w:pPr>
                        <w:r>
                          <w:rPr>
                            <w:w w:val="111"/>
                            <w:sz w:val="19"/>
                          </w:rPr>
                          <w:t>-</w:t>
                        </w:r>
                      </w:p>
                    </w:tc>
                    <w:tc>
                      <w:tcPr>
                        <w:tcW w:w="1134" w:type="dxa"/>
                        <w:tcBorders>
                          <w:top w:val="nil"/>
                          <w:left w:val="nil"/>
                          <w:bottom w:val="nil"/>
                          <w:right w:val="nil"/>
                        </w:tcBorders>
                        <w:shd w:val="clear" w:color="auto" w:fill="FAF9F9"/>
                      </w:tcPr>
                      <w:p>
                        <w:pPr>
                          <w:pStyle w:val="TableParagraph"/>
                          <w:spacing w:before="52"/>
                          <w:ind w:right="111"/>
                          <w:jc w:val="right"/>
                          <w:rPr>
                            <w:sz w:val="19"/>
                          </w:rPr>
                        </w:pPr>
                        <w:r>
                          <w:rPr>
                            <w:w w:val="95"/>
                            <w:sz w:val="19"/>
                          </w:rPr>
                          <w:t>25,897</w:t>
                        </w:r>
                      </w:p>
                    </w:tc>
                  </w:tr>
                  <w:tr>
                    <w:trPr>
                      <w:trHeight w:val="307" w:hRule="atLeast"/>
                    </w:trPr>
                    <w:tc>
                      <w:tcPr>
                        <w:tcW w:w="5131" w:type="dxa"/>
                        <w:tcBorders>
                          <w:top w:val="nil"/>
                          <w:left w:val="nil"/>
                        </w:tcBorders>
                        <w:shd w:val="clear" w:color="auto" w:fill="F4F4F4"/>
                      </w:tcPr>
                      <w:p>
                        <w:pPr>
                          <w:pStyle w:val="TableParagraph"/>
                          <w:ind w:left="113"/>
                          <w:rPr>
                            <w:sz w:val="19"/>
                          </w:rPr>
                        </w:pPr>
                        <w:r>
                          <w:rPr>
                            <w:sz w:val="19"/>
                          </w:rPr>
                          <w:t>Transfers</w:t>
                        </w:r>
                      </w:p>
                    </w:tc>
                    <w:tc>
                      <w:tcPr>
                        <w:tcW w:w="1134" w:type="dxa"/>
                        <w:tcBorders>
                          <w:top w:val="nil"/>
                        </w:tcBorders>
                        <w:shd w:val="clear" w:color="auto" w:fill="F4F4F4"/>
                      </w:tcPr>
                      <w:p>
                        <w:pPr>
                          <w:pStyle w:val="TableParagraph"/>
                          <w:ind w:right="101"/>
                          <w:jc w:val="right"/>
                          <w:rPr>
                            <w:sz w:val="19"/>
                          </w:rPr>
                        </w:pPr>
                        <w:r>
                          <w:rPr>
                            <w:w w:val="90"/>
                            <w:sz w:val="19"/>
                          </w:rPr>
                          <w:t>(765)</w:t>
                        </w:r>
                      </w:p>
                    </w:tc>
                    <w:tc>
                      <w:tcPr>
                        <w:tcW w:w="1134" w:type="dxa"/>
                        <w:tcBorders>
                          <w:top w:val="nil"/>
                          <w:right w:val="nil"/>
                        </w:tcBorders>
                        <w:shd w:val="clear" w:color="auto" w:fill="F4F4F4"/>
                      </w:tcPr>
                      <w:p>
                        <w:pPr>
                          <w:pStyle w:val="TableParagraph"/>
                          <w:ind w:right="111"/>
                          <w:jc w:val="right"/>
                          <w:rPr>
                            <w:sz w:val="19"/>
                          </w:rPr>
                        </w:pPr>
                        <w:r>
                          <w:rPr>
                            <w:w w:val="90"/>
                            <w:sz w:val="19"/>
                          </w:rPr>
                          <w:t>(6,432)</w:t>
                        </w:r>
                      </w:p>
                    </w:tc>
                  </w:tr>
                  <w:tr>
                    <w:trPr>
                      <w:trHeight w:val="513" w:hRule="atLeast"/>
                    </w:trPr>
                    <w:tc>
                      <w:tcPr>
                        <w:tcW w:w="5131" w:type="dxa"/>
                        <w:tcBorders>
                          <w:left w:val="nil"/>
                          <w:right w:val="nil"/>
                        </w:tcBorders>
                        <w:shd w:val="clear" w:color="auto" w:fill="FAF9F9"/>
                      </w:tcPr>
                      <w:p>
                        <w:pPr>
                          <w:pStyle w:val="TableParagraph"/>
                          <w:spacing w:line="249" w:lineRule="auto"/>
                          <w:ind w:left="113" w:right="355"/>
                          <w:rPr>
                            <w:sz w:val="19"/>
                          </w:rPr>
                        </w:pPr>
                        <w:r>
                          <w:rPr>
                            <w:w w:val="95"/>
                            <w:sz w:val="19"/>
                          </w:rPr>
                          <w:t>Revaluation increments/(decrements) recognised in Profit </w:t>
                        </w:r>
                        <w:r>
                          <w:rPr>
                            <w:sz w:val="19"/>
                          </w:rPr>
                          <w:t>or Loss</w:t>
                        </w:r>
                      </w:p>
                    </w:tc>
                    <w:tc>
                      <w:tcPr>
                        <w:tcW w:w="1134" w:type="dxa"/>
                        <w:tcBorders>
                          <w:left w:val="nil"/>
                          <w:right w:val="nil"/>
                        </w:tcBorders>
                        <w:shd w:val="clear" w:color="auto" w:fill="FAF9F9"/>
                      </w:tcPr>
                      <w:p>
                        <w:pPr>
                          <w:pStyle w:val="TableParagraph"/>
                          <w:ind w:right="111"/>
                          <w:jc w:val="right"/>
                          <w:rPr>
                            <w:sz w:val="19"/>
                          </w:rPr>
                        </w:pPr>
                        <w:r>
                          <w:rPr>
                            <w:w w:val="90"/>
                            <w:sz w:val="19"/>
                          </w:rPr>
                          <w:t>(3,525)</w:t>
                        </w:r>
                      </w:p>
                    </w:tc>
                    <w:tc>
                      <w:tcPr>
                        <w:tcW w:w="1134" w:type="dxa"/>
                        <w:tcBorders>
                          <w:left w:val="nil"/>
                          <w:right w:val="nil"/>
                        </w:tcBorders>
                        <w:shd w:val="clear" w:color="auto" w:fill="FAF9F9"/>
                      </w:tcPr>
                      <w:p>
                        <w:pPr>
                          <w:pStyle w:val="TableParagraph"/>
                          <w:ind w:right="111"/>
                          <w:jc w:val="right"/>
                          <w:rPr>
                            <w:sz w:val="19"/>
                          </w:rPr>
                        </w:pPr>
                        <w:r>
                          <w:rPr>
                            <w:w w:val="95"/>
                            <w:sz w:val="19"/>
                          </w:rPr>
                          <w:t>(28,002)</w:t>
                        </w:r>
                      </w:p>
                    </w:tc>
                  </w:tr>
                  <w:tr>
                    <w:trPr>
                      <w:trHeight w:val="513" w:hRule="atLeast"/>
                    </w:trPr>
                    <w:tc>
                      <w:tcPr>
                        <w:tcW w:w="5131" w:type="dxa"/>
                        <w:tcBorders>
                          <w:left w:val="nil"/>
                        </w:tcBorders>
                        <w:shd w:val="clear" w:color="auto" w:fill="F4F4F4"/>
                      </w:tcPr>
                      <w:p>
                        <w:pPr>
                          <w:pStyle w:val="TableParagraph"/>
                          <w:spacing w:line="249" w:lineRule="auto"/>
                          <w:ind w:left="113" w:right="429"/>
                          <w:rPr>
                            <w:sz w:val="19"/>
                          </w:rPr>
                        </w:pPr>
                        <w:r>
                          <w:rPr>
                            <w:w w:val="95"/>
                            <w:sz w:val="19"/>
                          </w:rPr>
                          <w:t>Revaluation increments/(decrements) recognised in </w:t>
                        </w:r>
                        <w:r>
                          <w:rPr>
                            <w:sz w:val="19"/>
                          </w:rPr>
                          <w:t>Other Comprehensive Income</w:t>
                        </w:r>
                      </w:p>
                    </w:tc>
                    <w:tc>
                      <w:tcPr>
                        <w:tcW w:w="1134" w:type="dxa"/>
                        <w:shd w:val="clear" w:color="auto" w:fill="F4F4F4"/>
                      </w:tcPr>
                      <w:p>
                        <w:pPr>
                          <w:pStyle w:val="TableParagraph"/>
                          <w:ind w:right="101"/>
                          <w:jc w:val="right"/>
                          <w:rPr>
                            <w:sz w:val="19"/>
                          </w:rPr>
                        </w:pPr>
                        <w:r>
                          <w:rPr>
                            <w:w w:val="111"/>
                            <w:sz w:val="19"/>
                          </w:rPr>
                          <w:t>-</w:t>
                        </w:r>
                      </w:p>
                    </w:tc>
                    <w:tc>
                      <w:tcPr>
                        <w:tcW w:w="1134" w:type="dxa"/>
                        <w:tcBorders>
                          <w:right w:val="nil"/>
                        </w:tcBorders>
                        <w:shd w:val="clear" w:color="auto" w:fill="F4F4F4"/>
                      </w:tcPr>
                      <w:p>
                        <w:pPr>
                          <w:pStyle w:val="TableParagraph"/>
                          <w:ind w:right="111"/>
                          <w:jc w:val="right"/>
                          <w:rPr>
                            <w:sz w:val="19"/>
                          </w:rPr>
                        </w:pPr>
                        <w:r>
                          <w:rPr>
                            <w:w w:val="111"/>
                            <w:sz w:val="19"/>
                          </w:rPr>
                          <w:t>-</w:t>
                        </w:r>
                      </w:p>
                    </w:tc>
                  </w:tr>
                  <w:tr>
                    <w:trPr>
                      <w:trHeight w:val="307" w:hRule="atLeast"/>
                    </w:trPr>
                    <w:tc>
                      <w:tcPr>
                        <w:tcW w:w="5131" w:type="dxa"/>
                        <w:tcBorders>
                          <w:left w:val="nil"/>
                          <w:right w:val="nil"/>
                        </w:tcBorders>
                        <w:shd w:val="clear" w:color="auto" w:fill="FAF9F9"/>
                      </w:tcPr>
                      <w:p>
                        <w:pPr>
                          <w:pStyle w:val="TableParagraph"/>
                          <w:ind w:left="113"/>
                          <w:rPr>
                            <w:sz w:val="19"/>
                          </w:rPr>
                        </w:pPr>
                        <w:r>
                          <w:rPr>
                            <w:sz w:val="19"/>
                          </w:rPr>
                          <w:t>Depreciation expense</w:t>
                        </w:r>
                      </w:p>
                    </w:tc>
                    <w:tc>
                      <w:tcPr>
                        <w:tcW w:w="1134" w:type="dxa"/>
                        <w:tcBorders>
                          <w:left w:val="nil"/>
                          <w:bottom w:val="single" w:sz="4" w:space="0" w:color="000000"/>
                          <w:right w:val="nil"/>
                        </w:tcBorders>
                        <w:shd w:val="clear" w:color="auto" w:fill="FAF9F9"/>
                      </w:tcPr>
                      <w:p>
                        <w:pPr>
                          <w:pStyle w:val="TableParagraph"/>
                          <w:ind w:right="111"/>
                          <w:jc w:val="right"/>
                          <w:rPr>
                            <w:sz w:val="19"/>
                          </w:rPr>
                        </w:pPr>
                        <w:r>
                          <w:rPr>
                            <w:w w:val="111"/>
                            <w:sz w:val="19"/>
                          </w:rPr>
                          <w:t>-</w:t>
                        </w:r>
                      </w:p>
                    </w:tc>
                    <w:tc>
                      <w:tcPr>
                        <w:tcW w:w="1134" w:type="dxa"/>
                        <w:tcBorders>
                          <w:left w:val="nil"/>
                          <w:bottom w:val="single" w:sz="4" w:space="0" w:color="000000"/>
                          <w:right w:val="nil"/>
                        </w:tcBorders>
                        <w:shd w:val="clear" w:color="auto" w:fill="FAF9F9"/>
                      </w:tcPr>
                      <w:p>
                        <w:pPr>
                          <w:pStyle w:val="TableParagraph"/>
                          <w:ind w:right="111"/>
                          <w:jc w:val="right"/>
                          <w:rPr>
                            <w:sz w:val="19"/>
                          </w:rPr>
                        </w:pPr>
                        <w:r>
                          <w:rPr>
                            <w:w w:val="90"/>
                            <w:sz w:val="19"/>
                          </w:rPr>
                          <w:t>(573)</w:t>
                        </w:r>
                      </w:p>
                    </w:tc>
                  </w:tr>
                  <w:tr>
                    <w:trPr>
                      <w:trHeight w:val="294" w:hRule="atLeast"/>
                    </w:trPr>
                    <w:tc>
                      <w:tcPr>
                        <w:tcW w:w="5131" w:type="dxa"/>
                        <w:vMerge w:val="restart"/>
                        <w:tcBorders>
                          <w:left w:val="nil"/>
                          <w:bottom w:val="nil"/>
                        </w:tcBorders>
                        <w:shd w:val="clear" w:color="auto" w:fill="FAF9F9"/>
                      </w:tcPr>
                      <w:p>
                        <w:pPr>
                          <w:pStyle w:val="TableParagraph"/>
                          <w:ind w:left="113"/>
                          <w:rPr>
                            <w:b/>
                            <w:sz w:val="19"/>
                          </w:rPr>
                        </w:pPr>
                        <w:r>
                          <w:rPr>
                            <w:b/>
                            <w:sz w:val="19"/>
                          </w:rPr>
                          <w:t>Fair value at end of period</w:t>
                        </w:r>
                      </w:p>
                      <w:p>
                        <w:pPr>
                          <w:pStyle w:val="TableParagraph"/>
                          <w:spacing w:line="249" w:lineRule="auto" w:before="109"/>
                          <w:ind w:left="113" w:right="862"/>
                          <w:rPr>
                            <w:sz w:val="19"/>
                          </w:rPr>
                        </w:pPr>
                        <w:r>
                          <w:rPr>
                            <w:spacing w:val="-5"/>
                            <w:sz w:val="19"/>
                          </w:rPr>
                          <w:t>Total</w:t>
                        </w:r>
                        <w:r>
                          <w:rPr>
                            <w:spacing w:val="-13"/>
                            <w:sz w:val="19"/>
                          </w:rPr>
                          <w:t> </w:t>
                        </w:r>
                        <w:r>
                          <w:rPr>
                            <w:sz w:val="19"/>
                          </w:rPr>
                          <w:t>losses</w:t>
                        </w:r>
                        <w:r>
                          <w:rPr>
                            <w:spacing w:val="-13"/>
                            <w:sz w:val="19"/>
                          </w:rPr>
                          <w:t> </w:t>
                        </w:r>
                        <w:r>
                          <w:rPr>
                            <w:sz w:val="19"/>
                          </w:rPr>
                          <w:t>for</w:t>
                        </w:r>
                        <w:r>
                          <w:rPr>
                            <w:spacing w:val="-13"/>
                            <w:sz w:val="19"/>
                          </w:rPr>
                          <w:t> </w:t>
                        </w:r>
                        <w:r>
                          <w:rPr>
                            <w:sz w:val="19"/>
                          </w:rPr>
                          <w:t>the</w:t>
                        </w:r>
                        <w:r>
                          <w:rPr>
                            <w:spacing w:val="-13"/>
                            <w:sz w:val="19"/>
                          </w:rPr>
                          <w:t> </w:t>
                        </w:r>
                        <w:r>
                          <w:rPr>
                            <w:sz w:val="19"/>
                          </w:rPr>
                          <w:t>period</w:t>
                        </w:r>
                        <w:r>
                          <w:rPr>
                            <w:spacing w:val="-13"/>
                            <w:sz w:val="19"/>
                          </w:rPr>
                          <w:t> </w:t>
                        </w:r>
                        <w:r>
                          <w:rPr>
                            <w:sz w:val="19"/>
                          </w:rPr>
                          <w:t>included</w:t>
                        </w:r>
                        <w:r>
                          <w:rPr>
                            <w:spacing w:val="-13"/>
                            <w:sz w:val="19"/>
                          </w:rPr>
                          <w:t> </w:t>
                        </w:r>
                        <w:r>
                          <w:rPr>
                            <w:sz w:val="19"/>
                          </w:rPr>
                          <w:t>in</w:t>
                        </w:r>
                        <w:r>
                          <w:rPr>
                            <w:spacing w:val="-13"/>
                            <w:sz w:val="19"/>
                          </w:rPr>
                          <w:t> </w:t>
                        </w:r>
                        <w:r>
                          <w:rPr>
                            <w:sz w:val="19"/>
                          </w:rPr>
                          <w:t>profit</w:t>
                        </w:r>
                        <w:r>
                          <w:rPr>
                            <w:spacing w:val="-13"/>
                            <w:sz w:val="19"/>
                          </w:rPr>
                          <w:t> </w:t>
                        </w:r>
                        <w:r>
                          <w:rPr>
                            <w:sz w:val="19"/>
                          </w:rPr>
                          <w:t>or</w:t>
                        </w:r>
                        <w:r>
                          <w:rPr>
                            <w:spacing w:val="-13"/>
                            <w:sz w:val="19"/>
                          </w:rPr>
                          <w:t> </w:t>
                        </w:r>
                        <w:r>
                          <w:rPr>
                            <w:spacing w:val="-4"/>
                            <w:sz w:val="19"/>
                          </w:rPr>
                          <w:t>loss, </w:t>
                        </w:r>
                        <w:r>
                          <w:rPr>
                            <w:sz w:val="19"/>
                          </w:rPr>
                          <w:t>under 'Revaluation</w:t>
                        </w:r>
                        <w:r>
                          <w:rPr>
                            <w:spacing w:val="-5"/>
                            <w:sz w:val="19"/>
                          </w:rPr>
                          <w:t> </w:t>
                        </w:r>
                        <w:r>
                          <w:rPr>
                            <w:sz w:val="19"/>
                          </w:rPr>
                          <w:t>decrements'</w:t>
                        </w:r>
                      </w:p>
                    </w:tc>
                    <w:tc>
                      <w:tcPr>
                        <w:tcW w:w="1134" w:type="dxa"/>
                        <w:tcBorders>
                          <w:top w:val="single" w:sz="4" w:space="0" w:color="000000"/>
                          <w:bottom w:val="double" w:sz="2" w:space="0" w:color="000000"/>
                        </w:tcBorders>
                        <w:shd w:val="clear" w:color="auto" w:fill="F4F4F4"/>
                      </w:tcPr>
                      <w:p>
                        <w:pPr>
                          <w:pStyle w:val="TableParagraph"/>
                          <w:ind w:right="101"/>
                          <w:jc w:val="right"/>
                          <w:rPr>
                            <w:b/>
                            <w:sz w:val="19"/>
                          </w:rPr>
                        </w:pPr>
                        <w:r>
                          <w:rPr>
                            <w:b/>
                            <w:w w:val="95"/>
                            <w:sz w:val="19"/>
                          </w:rPr>
                          <w:t>77,044</w:t>
                        </w:r>
                      </w:p>
                    </w:tc>
                    <w:tc>
                      <w:tcPr>
                        <w:tcW w:w="1134" w:type="dxa"/>
                        <w:tcBorders>
                          <w:top w:val="single" w:sz="4" w:space="0" w:color="000000"/>
                          <w:bottom w:val="double" w:sz="2" w:space="0" w:color="000000"/>
                          <w:right w:val="nil"/>
                        </w:tcBorders>
                        <w:shd w:val="clear" w:color="auto" w:fill="F4F4F4"/>
                      </w:tcPr>
                      <w:p>
                        <w:pPr>
                          <w:pStyle w:val="TableParagraph"/>
                          <w:ind w:right="111"/>
                          <w:jc w:val="right"/>
                          <w:rPr>
                            <w:b/>
                            <w:sz w:val="19"/>
                          </w:rPr>
                        </w:pPr>
                        <w:r>
                          <w:rPr>
                            <w:b/>
                            <w:w w:val="95"/>
                            <w:sz w:val="19"/>
                          </w:rPr>
                          <w:t>34,815</w:t>
                        </w:r>
                      </w:p>
                    </w:tc>
                  </w:tr>
                  <w:tr>
                    <w:trPr>
                      <w:trHeight w:val="511" w:hRule="atLeast"/>
                    </w:trPr>
                    <w:tc>
                      <w:tcPr>
                        <w:tcW w:w="5131" w:type="dxa"/>
                        <w:vMerge/>
                        <w:tcBorders>
                          <w:top w:val="nil"/>
                          <w:left w:val="nil"/>
                          <w:bottom w:val="nil"/>
                        </w:tcBorders>
                        <w:shd w:val="clear" w:color="auto" w:fill="FAF9F9"/>
                      </w:tcPr>
                      <w:p>
                        <w:pPr>
                          <w:rPr>
                            <w:sz w:val="2"/>
                            <w:szCs w:val="2"/>
                          </w:rPr>
                        </w:pPr>
                      </w:p>
                    </w:tc>
                    <w:tc>
                      <w:tcPr>
                        <w:tcW w:w="1134" w:type="dxa"/>
                        <w:tcBorders>
                          <w:top w:val="double" w:sz="2" w:space="0" w:color="000000"/>
                          <w:left w:val="nil"/>
                          <w:bottom w:val="nil"/>
                          <w:right w:val="nil"/>
                        </w:tcBorders>
                        <w:shd w:val="clear" w:color="auto" w:fill="FFFFFF"/>
                      </w:tcPr>
                      <w:p>
                        <w:pPr>
                          <w:pStyle w:val="TableParagraph"/>
                          <w:spacing w:before="20"/>
                          <w:ind w:right="111"/>
                          <w:jc w:val="right"/>
                          <w:rPr>
                            <w:sz w:val="19"/>
                          </w:rPr>
                        </w:pPr>
                        <w:r>
                          <w:rPr>
                            <w:w w:val="95"/>
                            <w:sz w:val="19"/>
                          </w:rPr>
                          <w:t>3,525</w:t>
                        </w:r>
                      </w:p>
                    </w:tc>
                    <w:tc>
                      <w:tcPr>
                        <w:tcW w:w="1134" w:type="dxa"/>
                        <w:tcBorders>
                          <w:top w:val="double" w:sz="2" w:space="0" w:color="000000"/>
                          <w:left w:val="nil"/>
                          <w:bottom w:val="nil"/>
                          <w:right w:val="nil"/>
                        </w:tcBorders>
                        <w:shd w:val="clear" w:color="auto" w:fill="FFFFFF"/>
                      </w:tcPr>
                      <w:p>
                        <w:pPr>
                          <w:pStyle w:val="TableParagraph"/>
                          <w:spacing w:before="20"/>
                          <w:ind w:right="111"/>
                          <w:jc w:val="right"/>
                          <w:rPr>
                            <w:sz w:val="19"/>
                          </w:rPr>
                        </w:pPr>
                        <w:r>
                          <w:rPr>
                            <w:w w:val="95"/>
                            <w:sz w:val="19"/>
                          </w:rPr>
                          <w:t>28,002</w:t>
                        </w:r>
                      </w:p>
                    </w:tc>
                  </w:tr>
                  <w:tr>
                    <w:trPr>
                      <w:trHeight w:val="538" w:hRule="atLeast"/>
                    </w:trPr>
                    <w:tc>
                      <w:tcPr>
                        <w:tcW w:w="5131" w:type="dxa"/>
                        <w:tcBorders>
                          <w:top w:val="nil"/>
                          <w:left w:val="nil"/>
                          <w:bottom w:val="nil"/>
                          <w:right w:val="nil"/>
                        </w:tcBorders>
                        <w:shd w:val="clear" w:color="auto" w:fill="783A79"/>
                      </w:tcPr>
                      <w:p>
                        <w:pPr>
                          <w:pStyle w:val="TableParagraph"/>
                          <w:spacing w:before="42"/>
                          <w:ind w:left="113"/>
                          <w:rPr>
                            <w:b/>
                            <w:sz w:val="19"/>
                          </w:rPr>
                        </w:pPr>
                        <w:r>
                          <w:rPr>
                            <w:b/>
                            <w:color w:val="FFFFFF"/>
                            <w:sz w:val="19"/>
                          </w:rPr>
                          <w:t>2017</w:t>
                        </w:r>
                      </w:p>
                    </w:tc>
                    <w:tc>
                      <w:tcPr>
                        <w:tcW w:w="1134" w:type="dxa"/>
                        <w:tcBorders>
                          <w:top w:val="nil"/>
                          <w:left w:val="nil"/>
                          <w:bottom w:val="nil"/>
                          <w:right w:val="nil"/>
                        </w:tcBorders>
                        <w:shd w:val="clear" w:color="auto" w:fill="783A79"/>
                      </w:tcPr>
                      <w:p>
                        <w:pPr>
                          <w:pStyle w:val="TableParagraph"/>
                          <w:spacing w:before="42"/>
                          <w:ind w:left="569"/>
                          <w:rPr>
                            <w:b/>
                            <w:sz w:val="19"/>
                          </w:rPr>
                        </w:pPr>
                        <w:r>
                          <w:rPr>
                            <w:b/>
                            <w:color w:val="FFFFFF"/>
                            <w:sz w:val="19"/>
                          </w:rPr>
                          <w:t>Land</w:t>
                        </w:r>
                      </w:p>
                      <w:p>
                        <w:pPr>
                          <w:pStyle w:val="TableParagraph"/>
                          <w:spacing w:before="10"/>
                          <w:ind w:left="597"/>
                          <w:rPr>
                            <w:b/>
                            <w:sz w:val="19"/>
                          </w:rPr>
                        </w:pPr>
                        <w:r>
                          <w:rPr>
                            <w:b/>
                            <w:color w:val="FFFFFF"/>
                            <w:sz w:val="19"/>
                          </w:rPr>
                          <w:t>$000</w:t>
                        </w:r>
                      </w:p>
                    </w:tc>
                    <w:tc>
                      <w:tcPr>
                        <w:tcW w:w="1134" w:type="dxa"/>
                        <w:tcBorders>
                          <w:top w:val="nil"/>
                          <w:left w:val="nil"/>
                          <w:bottom w:val="nil"/>
                          <w:right w:val="nil"/>
                        </w:tcBorders>
                        <w:shd w:val="clear" w:color="auto" w:fill="783A79"/>
                      </w:tcPr>
                      <w:p>
                        <w:pPr>
                          <w:pStyle w:val="TableParagraph"/>
                          <w:spacing w:before="42"/>
                          <w:ind w:left="179"/>
                          <w:rPr>
                            <w:b/>
                            <w:sz w:val="19"/>
                          </w:rPr>
                        </w:pPr>
                        <w:r>
                          <w:rPr>
                            <w:b/>
                            <w:color w:val="FFFFFF"/>
                            <w:sz w:val="19"/>
                          </w:rPr>
                          <w:t>Buildings</w:t>
                        </w:r>
                      </w:p>
                      <w:p>
                        <w:pPr>
                          <w:pStyle w:val="TableParagraph"/>
                          <w:spacing w:before="10"/>
                          <w:ind w:left="597"/>
                          <w:rPr>
                            <w:b/>
                            <w:sz w:val="19"/>
                          </w:rPr>
                        </w:pPr>
                        <w:r>
                          <w:rPr>
                            <w:b/>
                            <w:color w:val="FFFFFF"/>
                            <w:sz w:val="19"/>
                          </w:rPr>
                          <w:t>$000</w:t>
                        </w:r>
                      </w:p>
                    </w:tc>
                  </w:tr>
                  <w:tr>
                    <w:trPr>
                      <w:trHeight w:val="302" w:hRule="atLeast"/>
                    </w:trPr>
                    <w:tc>
                      <w:tcPr>
                        <w:tcW w:w="5131" w:type="dxa"/>
                        <w:vMerge w:val="restart"/>
                        <w:tcBorders>
                          <w:top w:val="nil"/>
                          <w:left w:val="nil"/>
                        </w:tcBorders>
                        <w:shd w:val="clear" w:color="auto" w:fill="FAF9F9"/>
                      </w:tcPr>
                      <w:p>
                        <w:pPr>
                          <w:pStyle w:val="TableParagraph"/>
                          <w:spacing w:before="37"/>
                          <w:ind w:left="113"/>
                          <w:rPr>
                            <w:sz w:val="19"/>
                          </w:rPr>
                        </w:pPr>
                        <w:r>
                          <w:rPr>
                            <w:sz w:val="19"/>
                          </w:rPr>
                          <w:t>Fair value at start of period</w:t>
                        </w:r>
                      </w:p>
                      <w:p>
                        <w:pPr>
                          <w:pStyle w:val="TableParagraph"/>
                          <w:spacing w:before="109"/>
                          <w:ind w:left="113"/>
                          <w:rPr>
                            <w:sz w:val="19"/>
                          </w:rPr>
                        </w:pPr>
                        <w:r>
                          <w:rPr>
                            <w:sz w:val="19"/>
                          </w:rPr>
                          <w:t>Additions</w:t>
                        </w:r>
                      </w:p>
                    </w:tc>
                    <w:tc>
                      <w:tcPr>
                        <w:tcW w:w="1134" w:type="dxa"/>
                        <w:tcBorders>
                          <w:top w:val="nil"/>
                          <w:bottom w:val="nil"/>
                        </w:tcBorders>
                        <w:shd w:val="clear" w:color="auto" w:fill="F4F4F4"/>
                      </w:tcPr>
                      <w:p>
                        <w:pPr>
                          <w:pStyle w:val="TableParagraph"/>
                          <w:spacing w:before="37"/>
                          <w:ind w:right="101"/>
                          <w:jc w:val="right"/>
                          <w:rPr>
                            <w:sz w:val="19"/>
                          </w:rPr>
                        </w:pPr>
                        <w:r>
                          <w:rPr>
                            <w:w w:val="95"/>
                            <w:sz w:val="19"/>
                          </w:rPr>
                          <w:t>91,917</w:t>
                        </w:r>
                      </w:p>
                    </w:tc>
                    <w:tc>
                      <w:tcPr>
                        <w:tcW w:w="1134" w:type="dxa"/>
                        <w:tcBorders>
                          <w:top w:val="nil"/>
                          <w:bottom w:val="nil"/>
                          <w:right w:val="nil"/>
                        </w:tcBorders>
                        <w:shd w:val="clear" w:color="auto" w:fill="F4F4F4"/>
                      </w:tcPr>
                      <w:p>
                        <w:pPr>
                          <w:pStyle w:val="TableParagraph"/>
                          <w:spacing w:before="37"/>
                          <w:ind w:right="111"/>
                          <w:jc w:val="right"/>
                          <w:rPr>
                            <w:sz w:val="19"/>
                          </w:rPr>
                        </w:pPr>
                        <w:r>
                          <w:rPr>
                            <w:w w:val="95"/>
                            <w:sz w:val="19"/>
                          </w:rPr>
                          <w:t>55,301</w:t>
                        </w:r>
                      </w:p>
                    </w:tc>
                  </w:tr>
                  <w:tr>
                    <w:trPr>
                      <w:trHeight w:val="317" w:hRule="atLeast"/>
                    </w:trPr>
                    <w:tc>
                      <w:tcPr>
                        <w:tcW w:w="5131" w:type="dxa"/>
                        <w:vMerge/>
                        <w:tcBorders>
                          <w:top w:val="nil"/>
                          <w:left w:val="nil"/>
                        </w:tcBorders>
                        <w:shd w:val="clear" w:color="auto" w:fill="FAF9F9"/>
                      </w:tcPr>
                      <w:p>
                        <w:pPr>
                          <w:rPr>
                            <w:sz w:val="2"/>
                            <w:szCs w:val="2"/>
                          </w:rPr>
                        </w:pPr>
                      </w:p>
                    </w:tc>
                    <w:tc>
                      <w:tcPr>
                        <w:tcW w:w="1134" w:type="dxa"/>
                        <w:tcBorders>
                          <w:top w:val="nil"/>
                          <w:right w:val="nil"/>
                        </w:tcBorders>
                        <w:shd w:val="clear" w:color="auto" w:fill="FAF9F9"/>
                      </w:tcPr>
                      <w:p>
                        <w:pPr>
                          <w:pStyle w:val="TableParagraph"/>
                          <w:spacing w:before="42"/>
                          <w:ind w:right="111"/>
                          <w:jc w:val="right"/>
                          <w:rPr>
                            <w:sz w:val="19"/>
                          </w:rPr>
                        </w:pPr>
                        <w:r>
                          <w:rPr>
                            <w:w w:val="111"/>
                            <w:sz w:val="19"/>
                          </w:rPr>
                          <w:t>-</w:t>
                        </w:r>
                      </w:p>
                    </w:tc>
                    <w:tc>
                      <w:tcPr>
                        <w:tcW w:w="1134" w:type="dxa"/>
                        <w:tcBorders>
                          <w:top w:val="nil"/>
                          <w:left w:val="nil"/>
                          <w:right w:val="nil"/>
                        </w:tcBorders>
                        <w:shd w:val="clear" w:color="auto" w:fill="FAF9F9"/>
                      </w:tcPr>
                      <w:p>
                        <w:pPr>
                          <w:pStyle w:val="TableParagraph"/>
                          <w:spacing w:before="42"/>
                          <w:ind w:right="111"/>
                          <w:jc w:val="right"/>
                          <w:rPr>
                            <w:sz w:val="19"/>
                          </w:rPr>
                        </w:pPr>
                        <w:r>
                          <w:rPr>
                            <w:w w:val="111"/>
                            <w:sz w:val="19"/>
                          </w:rPr>
                          <w:t>-</w:t>
                        </w:r>
                      </w:p>
                    </w:tc>
                  </w:tr>
                  <w:tr>
                    <w:trPr>
                      <w:trHeight w:val="307" w:hRule="atLeast"/>
                    </w:trPr>
                    <w:tc>
                      <w:tcPr>
                        <w:tcW w:w="5131" w:type="dxa"/>
                        <w:vMerge w:val="restart"/>
                        <w:tcBorders>
                          <w:left w:val="nil"/>
                        </w:tcBorders>
                        <w:shd w:val="clear" w:color="auto" w:fill="FAF9F9"/>
                      </w:tcPr>
                      <w:p>
                        <w:pPr>
                          <w:pStyle w:val="TableParagraph"/>
                          <w:ind w:left="113"/>
                          <w:rPr>
                            <w:sz w:val="19"/>
                          </w:rPr>
                        </w:pPr>
                        <w:r>
                          <w:rPr>
                            <w:sz w:val="19"/>
                          </w:rPr>
                          <w:t>Transfers</w:t>
                        </w:r>
                      </w:p>
                      <w:p>
                        <w:pPr>
                          <w:pStyle w:val="TableParagraph"/>
                          <w:spacing w:line="249" w:lineRule="auto" w:before="109"/>
                          <w:ind w:left="113"/>
                          <w:rPr>
                            <w:sz w:val="19"/>
                          </w:rPr>
                        </w:pPr>
                        <w:r>
                          <w:rPr>
                            <w:w w:val="95"/>
                            <w:sz w:val="19"/>
                          </w:rPr>
                          <w:t>Revaluation increments/(decrements) recognised in Profit or </w:t>
                        </w:r>
                        <w:r>
                          <w:rPr>
                            <w:sz w:val="19"/>
                          </w:rPr>
                          <w:t>Loss</w:t>
                        </w:r>
                      </w:p>
                    </w:tc>
                    <w:tc>
                      <w:tcPr>
                        <w:tcW w:w="1134" w:type="dxa"/>
                        <w:shd w:val="clear" w:color="auto" w:fill="F4F4F4"/>
                      </w:tcPr>
                      <w:p>
                        <w:pPr>
                          <w:pStyle w:val="TableParagraph"/>
                          <w:ind w:right="101"/>
                          <w:jc w:val="right"/>
                          <w:rPr>
                            <w:sz w:val="19"/>
                          </w:rPr>
                        </w:pPr>
                        <w:r>
                          <w:rPr>
                            <w:w w:val="111"/>
                            <w:sz w:val="19"/>
                          </w:rPr>
                          <w:t>-</w:t>
                        </w:r>
                      </w:p>
                    </w:tc>
                    <w:tc>
                      <w:tcPr>
                        <w:tcW w:w="1134" w:type="dxa"/>
                        <w:tcBorders>
                          <w:right w:val="nil"/>
                        </w:tcBorders>
                        <w:shd w:val="clear" w:color="auto" w:fill="F4F4F4"/>
                      </w:tcPr>
                      <w:p>
                        <w:pPr>
                          <w:pStyle w:val="TableParagraph"/>
                          <w:ind w:right="111"/>
                          <w:jc w:val="right"/>
                          <w:rPr>
                            <w:sz w:val="19"/>
                          </w:rPr>
                        </w:pPr>
                        <w:r>
                          <w:rPr>
                            <w:w w:val="111"/>
                            <w:sz w:val="19"/>
                          </w:rPr>
                          <w:t>-</w:t>
                        </w:r>
                      </w:p>
                    </w:tc>
                  </w:tr>
                  <w:tr>
                    <w:trPr>
                      <w:trHeight w:val="513" w:hRule="atLeast"/>
                    </w:trPr>
                    <w:tc>
                      <w:tcPr>
                        <w:tcW w:w="5131" w:type="dxa"/>
                        <w:vMerge/>
                        <w:tcBorders>
                          <w:top w:val="nil"/>
                          <w:left w:val="nil"/>
                        </w:tcBorders>
                        <w:shd w:val="clear" w:color="auto" w:fill="FAF9F9"/>
                      </w:tcPr>
                      <w:p>
                        <w:pPr>
                          <w:rPr>
                            <w:sz w:val="2"/>
                            <w:szCs w:val="2"/>
                          </w:rPr>
                        </w:pPr>
                      </w:p>
                    </w:tc>
                    <w:tc>
                      <w:tcPr>
                        <w:tcW w:w="1134" w:type="dxa"/>
                        <w:tcBorders>
                          <w:right w:val="nil"/>
                        </w:tcBorders>
                        <w:shd w:val="clear" w:color="auto" w:fill="FAF9F9"/>
                      </w:tcPr>
                      <w:p>
                        <w:pPr>
                          <w:pStyle w:val="TableParagraph"/>
                          <w:ind w:right="111"/>
                          <w:jc w:val="right"/>
                          <w:rPr>
                            <w:sz w:val="19"/>
                          </w:rPr>
                        </w:pPr>
                        <w:r>
                          <w:rPr>
                            <w:w w:val="95"/>
                            <w:sz w:val="19"/>
                          </w:rPr>
                          <w:t>(10,583)</w:t>
                        </w:r>
                      </w:p>
                    </w:tc>
                    <w:tc>
                      <w:tcPr>
                        <w:tcW w:w="1134" w:type="dxa"/>
                        <w:tcBorders>
                          <w:left w:val="nil"/>
                          <w:right w:val="nil"/>
                        </w:tcBorders>
                        <w:shd w:val="clear" w:color="auto" w:fill="FAF9F9"/>
                      </w:tcPr>
                      <w:p>
                        <w:pPr>
                          <w:pStyle w:val="TableParagraph"/>
                          <w:ind w:right="111"/>
                          <w:jc w:val="right"/>
                          <w:rPr>
                            <w:sz w:val="19"/>
                          </w:rPr>
                        </w:pPr>
                        <w:r>
                          <w:rPr>
                            <w:w w:val="95"/>
                            <w:sz w:val="19"/>
                          </w:rPr>
                          <w:t>(10,699)</w:t>
                        </w:r>
                      </w:p>
                    </w:tc>
                  </w:tr>
                  <w:tr>
                    <w:trPr>
                      <w:trHeight w:val="513" w:hRule="atLeast"/>
                    </w:trPr>
                    <w:tc>
                      <w:tcPr>
                        <w:tcW w:w="5131" w:type="dxa"/>
                        <w:vMerge w:val="restart"/>
                        <w:tcBorders>
                          <w:left w:val="nil"/>
                        </w:tcBorders>
                        <w:shd w:val="clear" w:color="auto" w:fill="F4F4F4"/>
                      </w:tcPr>
                      <w:p>
                        <w:pPr>
                          <w:pStyle w:val="TableParagraph"/>
                          <w:spacing w:line="249" w:lineRule="auto"/>
                          <w:ind w:left="113" w:right="429"/>
                          <w:rPr>
                            <w:sz w:val="19"/>
                          </w:rPr>
                        </w:pPr>
                        <w:r>
                          <w:rPr>
                            <w:w w:val="95"/>
                            <w:sz w:val="19"/>
                          </w:rPr>
                          <w:t>Revaluation increments/(decrements) recognised in </w:t>
                        </w:r>
                        <w:r>
                          <w:rPr>
                            <w:sz w:val="19"/>
                          </w:rPr>
                          <w:t>Other Comprehensive Income</w:t>
                        </w:r>
                      </w:p>
                      <w:p>
                        <w:pPr>
                          <w:pStyle w:val="TableParagraph"/>
                          <w:spacing w:before="79"/>
                          <w:ind w:left="113"/>
                          <w:rPr>
                            <w:sz w:val="19"/>
                          </w:rPr>
                        </w:pPr>
                        <w:r>
                          <w:rPr>
                            <w:sz w:val="19"/>
                          </w:rPr>
                          <w:t>Depreciation expense</w:t>
                        </w:r>
                      </w:p>
                    </w:tc>
                    <w:tc>
                      <w:tcPr>
                        <w:tcW w:w="1134" w:type="dxa"/>
                        <w:shd w:val="clear" w:color="auto" w:fill="F4F4F4"/>
                      </w:tcPr>
                      <w:p>
                        <w:pPr>
                          <w:pStyle w:val="TableParagraph"/>
                          <w:ind w:right="101"/>
                          <w:jc w:val="right"/>
                          <w:rPr>
                            <w:sz w:val="19"/>
                          </w:rPr>
                        </w:pPr>
                        <w:r>
                          <w:rPr>
                            <w:w w:val="111"/>
                            <w:sz w:val="19"/>
                          </w:rPr>
                          <w:t>-</w:t>
                        </w:r>
                      </w:p>
                    </w:tc>
                    <w:tc>
                      <w:tcPr>
                        <w:tcW w:w="1134" w:type="dxa"/>
                        <w:tcBorders>
                          <w:right w:val="nil"/>
                        </w:tcBorders>
                        <w:shd w:val="clear" w:color="auto" w:fill="F4F4F4"/>
                      </w:tcPr>
                      <w:p>
                        <w:pPr>
                          <w:pStyle w:val="TableParagraph"/>
                          <w:ind w:right="111"/>
                          <w:jc w:val="right"/>
                          <w:rPr>
                            <w:sz w:val="19"/>
                          </w:rPr>
                        </w:pPr>
                        <w:r>
                          <w:rPr>
                            <w:w w:val="111"/>
                            <w:sz w:val="19"/>
                          </w:rPr>
                          <w:t>-</w:t>
                        </w:r>
                      </w:p>
                    </w:tc>
                  </w:tr>
                  <w:tr>
                    <w:trPr>
                      <w:trHeight w:val="307" w:hRule="atLeast"/>
                    </w:trPr>
                    <w:tc>
                      <w:tcPr>
                        <w:tcW w:w="5131" w:type="dxa"/>
                        <w:vMerge/>
                        <w:tcBorders>
                          <w:top w:val="nil"/>
                          <w:left w:val="nil"/>
                        </w:tcBorders>
                        <w:shd w:val="clear" w:color="auto" w:fill="F4F4F4"/>
                      </w:tcPr>
                      <w:p>
                        <w:pPr>
                          <w:rPr>
                            <w:sz w:val="2"/>
                            <w:szCs w:val="2"/>
                          </w:rPr>
                        </w:pPr>
                      </w:p>
                    </w:tc>
                    <w:tc>
                      <w:tcPr>
                        <w:tcW w:w="1134" w:type="dxa"/>
                        <w:tcBorders>
                          <w:bottom w:val="single" w:sz="4" w:space="0" w:color="000000"/>
                          <w:right w:val="nil"/>
                        </w:tcBorders>
                        <w:shd w:val="clear" w:color="auto" w:fill="FAF9F9"/>
                      </w:tcPr>
                      <w:p>
                        <w:pPr>
                          <w:pStyle w:val="TableParagraph"/>
                          <w:ind w:right="111"/>
                          <w:jc w:val="right"/>
                          <w:rPr>
                            <w:sz w:val="19"/>
                          </w:rPr>
                        </w:pPr>
                        <w:r>
                          <w:rPr>
                            <w:w w:val="111"/>
                            <w:sz w:val="19"/>
                          </w:rPr>
                          <w:t>-</w:t>
                        </w:r>
                      </w:p>
                    </w:tc>
                    <w:tc>
                      <w:tcPr>
                        <w:tcW w:w="1134" w:type="dxa"/>
                        <w:tcBorders>
                          <w:left w:val="nil"/>
                          <w:bottom w:val="single" w:sz="4" w:space="0" w:color="000000"/>
                          <w:right w:val="nil"/>
                        </w:tcBorders>
                        <w:shd w:val="clear" w:color="auto" w:fill="FAF9F9"/>
                      </w:tcPr>
                      <w:p>
                        <w:pPr>
                          <w:pStyle w:val="TableParagraph"/>
                          <w:ind w:right="111"/>
                          <w:jc w:val="right"/>
                          <w:rPr>
                            <w:sz w:val="19"/>
                          </w:rPr>
                        </w:pPr>
                        <w:r>
                          <w:rPr>
                            <w:w w:val="90"/>
                            <w:sz w:val="19"/>
                          </w:rPr>
                          <w:t>(677)</w:t>
                        </w:r>
                      </w:p>
                    </w:tc>
                  </w:tr>
                  <w:tr>
                    <w:trPr>
                      <w:trHeight w:val="294" w:hRule="atLeast"/>
                    </w:trPr>
                    <w:tc>
                      <w:tcPr>
                        <w:tcW w:w="5131" w:type="dxa"/>
                        <w:vMerge w:val="restart"/>
                        <w:tcBorders>
                          <w:left w:val="nil"/>
                        </w:tcBorders>
                        <w:shd w:val="clear" w:color="auto" w:fill="FAF9F9"/>
                      </w:tcPr>
                      <w:p>
                        <w:pPr>
                          <w:pStyle w:val="TableParagraph"/>
                          <w:ind w:left="113"/>
                          <w:rPr>
                            <w:b/>
                            <w:sz w:val="19"/>
                          </w:rPr>
                        </w:pPr>
                        <w:r>
                          <w:rPr>
                            <w:b/>
                            <w:sz w:val="19"/>
                          </w:rPr>
                          <w:t>Fair value at end of period</w:t>
                        </w:r>
                      </w:p>
                      <w:p>
                        <w:pPr>
                          <w:pStyle w:val="TableParagraph"/>
                          <w:spacing w:line="249" w:lineRule="auto" w:before="109"/>
                          <w:ind w:left="113" w:right="862"/>
                          <w:rPr>
                            <w:sz w:val="19"/>
                          </w:rPr>
                        </w:pPr>
                        <w:r>
                          <w:rPr>
                            <w:spacing w:val="-5"/>
                            <w:sz w:val="19"/>
                          </w:rPr>
                          <w:t>Total</w:t>
                        </w:r>
                        <w:r>
                          <w:rPr>
                            <w:spacing w:val="-13"/>
                            <w:sz w:val="19"/>
                          </w:rPr>
                          <w:t> </w:t>
                        </w:r>
                        <w:r>
                          <w:rPr>
                            <w:sz w:val="19"/>
                          </w:rPr>
                          <w:t>losses</w:t>
                        </w:r>
                        <w:r>
                          <w:rPr>
                            <w:spacing w:val="-13"/>
                            <w:sz w:val="19"/>
                          </w:rPr>
                          <w:t> </w:t>
                        </w:r>
                        <w:r>
                          <w:rPr>
                            <w:sz w:val="19"/>
                          </w:rPr>
                          <w:t>for</w:t>
                        </w:r>
                        <w:r>
                          <w:rPr>
                            <w:spacing w:val="-13"/>
                            <w:sz w:val="19"/>
                          </w:rPr>
                          <w:t> </w:t>
                        </w:r>
                        <w:r>
                          <w:rPr>
                            <w:sz w:val="19"/>
                          </w:rPr>
                          <w:t>the</w:t>
                        </w:r>
                        <w:r>
                          <w:rPr>
                            <w:spacing w:val="-13"/>
                            <w:sz w:val="19"/>
                          </w:rPr>
                          <w:t> </w:t>
                        </w:r>
                        <w:r>
                          <w:rPr>
                            <w:sz w:val="19"/>
                          </w:rPr>
                          <w:t>period</w:t>
                        </w:r>
                        <w:r>
                          <w:rPr>
                            <w:spacing w:val="-13"/>
                            <w:sz w:val="19"/>
                          </w:rPr>
                          <w:t> </w:t>
                        </w:r>
                        <w:r>
                          <w:rPr>
                            <w:sz w:val="19"/>
                          </w:rPr>
                          <w:t>included</w:t>
                        </w:r>
                        <w:r>
                          <w:rPr>
                            <w:spacing w:val="-13"/>
                            <w:sz w:val="19"/>
                          </w:rPr>
                          <w:t> </w:t>
                        </w:r>
                        <w:r>
                          <w:rPr>
                            <w:sz w:val="19"/>
                          </w:rPr>
                          <w:t>in</w:t>
                        </w:r>
                        <w:r>
                          <w:rPr>
                            <w:spacing w:val="-13"/>
                            <w:sz w:val="19"/>
                          </w:rPr>
                          <w:t> </w:t>
                        </w:r>
                        <w:r>
                          <w:rPr>
                            <w:sz w:val="19"/>
                          </w:rPr>
                          <w:t>profit</w:t>
                        </w:r>
                        <w:r>
                          <w:rPr>
                            <w:spacing w:val="-13"/>
                            <w:sz w:val="19"/>
                          </w:rPr>
                          <w:t> </w:t>
                        </w:r>
                        <w:r>
                          <w:rPr>
                            <w:sz w:val="19"/>
                          </w:rPr>
                          <w:t>or</w:t>
                        </w:r>
                        <w:r>
                          <w:rPr>
                            <w:spacing w:val="-13"/>
                            <w:sz w:val="19"/>
                          </w:rPr>
                          <w:t> </w:t>
                        </w:r>
                        <w:r>
                          <w:rPr>
                            <w:spacing w:val="-4"/>
                            <w:sz w:val="19"/>
                          </w:rPr>
                          <w:t>loss, </w:t>
                        </w:r>
                        <w:r>
                          <w:rPr>
                            <w:sz w:val="19"/>
                          </w:rPr>
                          <w:t>under 'Revaluation</w:t>
                        </w:r>
                        <w:r>
                          <w:rPr>
                            <w:spacing w:val="-5"/>
                            <w:sz w:val="19"/>
                          </w:rPr>
                          <w:t> </w:t>
                        </w:r>
                        <w:r>
                          <w:rPr>
                            <w:sz w:val="19"/>
                          </w:rPr>
                          <w:t>decrements'</w:t>
                        </w:r>
                      </w:p>
                    </w:tc>
                    <w:tc>
                      <w:tcPr>
                        <w:tcW w:w="1134" w:type="dxa"/>
                        <w:tcBorders>
                          <w:top w:val="single" w:sz="4" w:space="0" w:color="000000"/>
                          <w:bottom w:val="double" w:sz="2" w:space="0" w:color="000000"/>
                        </w:tcBorders>
                        <w:shd w:val="clear" w:color="auto" w:fill="F4F4F4"/>
                      </w:tcPr>
                      <w:p>
                        <w:pPr>
                          <w:pStyle w:val="TableParagraph"/>
                          <w:ind w:right="101"/>
                          <w:jc w:val="right"/>
                          <w:rPr>
                            <w:b/>
                            <w:sz w:val="19"/>
                          </w:rPr>
                        </w:pPr>
                        <w:r>
                          <w:rPr>
                            <w:b/>
                            <w:w w:val="95"/>
                            <w:sz w:val="19"/>
                          </w:rPr>
                          <w:t>81,334</w:t>
                        </w:r>
                      </w:p>
                    </w:tc>
                    <w:tc>
                      <w:tcPr>
                        <w:tcW w:w="1134" w:type="dxa"/>
                        <w:tcBorders>
                          <w:top w:val="single" w:sz="4" w:space="0" w:color="000000"/>
                          <w:bottom w:val="double" w:sz="2" w:space="0" w:color="000000"/>
                          <w:right w:val="nil"/>
                        </w:tcBorders>
                        <w:shd w:val="clear" w:color="auto" w:fill="F4F4F4"/>
                      </w:tcPr>
                      <w:p>
                        <w:pPr>
                          <w:pStyle w:val="TableParagraph"/>
                          <w:ind w:right="111"/>
                          <w:jc w:val="right"/>
                          <w:rPr>
                            <w:b/>
                            <w:sz w:val="19"/>
                          </w:rPr>
                        </w:pPr>
                        <w:r>
                          <w:rPr>
                            <w:b/>
                            <w:w w:val="95"/>
                            <w:sz w:val="19"/>
                          </w:rPr>
                          <w:t>43,925</w:t>
                        </w:r>
                      </w:p>
                    </w:tc>
                  </w:tr>
                  <w:tr>
                    <w:trPr>
                      <w:trHeight w:val="501" w:hRule="atLeast"/>
                    </w:trPr>
                    <w:tc>
                      <w:tcPr>
                        <w:tcW w:w="5131" w:type="dxa"/>
                        <w:vMerge/>
                        <w:tcBorders>
                          <w:top w:val="nil"/>
                          <w:left w:val="nil"/>
                        </w:tcBorders>
                        <w:shd w:val="clear" w:color="auto" w:fill="FAF9F9"/>
                      </w:tcPr>
                      <w:p>
                        <w:pPr>
                          <w:rPr>
                            <w:sz w:val="2"/>
                            <w:szCs w:val="2"/>
                          </w:rPr>
                        </w:pPr>
                      </w:p>
                    </w:tc>
                    <w:tc>
                      <w:tcPr>
                        <w:tcW w:w="1134" w:type="dxa"/>
                        <w:tcBorders>
                          <w:top w:val="double" w:sz="2" w:space="0" w:color="000000"/>
                          <w:right w:val="nil"/>
                        </w:tcBorders>
                        <w:shd w:val="clear" w:color="auto" w:fill="FAF9F9"/>
                      </w:tcPr>
                      <w:p>
                        <w:pPr>
                          <w:pStyle w:val="TableParagraph"/>
                          <w:spacing w:before="20"/>
                          <w:ind w:right="111"/>
                          <w:jc w:val="right"/>
                          <w:rPr>
                            <w:sz w:val="19"/>
                          </w:rPr>
                        </w:pPr>
                        <w:r>
                          <w:rPr>
                            <w:w w:val="95"/>
                            <w:sz w:val="19"/>
                          </w:rPr>
                          <w:t>10,583</w:t>
                        </w:r>
                      </w:p>
                    </w:tc>
                    <w:tc>
                      <w:tcPr>
                        <w:tcW w:w="1134" w:type="dxa"/>
                        <w:tcBorders>
                          <w:top w:val="double" w:sz="2" w:space="0" w:color="000000"/>
                          <w:left w:val="nil"/>
                          <w:right w:val="nil"/>
                        </w:tcBorders>
                        <w:shd w:val="clear" w:color="auto" w:fill="FAF9F9"/>
                      </w:tcPr>
                      <w:p>
                        <w:pPr>
                          <w:pStyle w:val="TableParagraph"/>
                          <w:spacing w:before="20"/>
                          <w:ind w:right="111"/>
                          <w:jc w:val="right"/>
                          <w:rPr>
                            <w:sz w:val="19"/>
                          </w:rPr>
                        </w:pPr>
                        <w:r>
                          <w:rPr>
                            <w:w w:val="95"/>
                            <w:sz w:val="19"/>
                          </w:rPr>
                          <w:t>10,699</w:t>
                        </w:r>
                      </w:p>
                    </w:tc>
                  </w:tr>
                </w:tbl>
                <w:p>
                  <w:pPr>
                    <w:pStyle w:val="BodyText"/>
                  </w:pPr>
                </w:p>
              </w:txbxContent>
            </v:textbox>
            <w10:wrap type="none"/>
          </v:shape>
        </w:pict>
      </w:r>
      <w:r>
        <w:rPr>
          <w:color w:val="6F2770"/>
          <w:position w:val="3"/>
          <w:sz w:val="32"/>
        </w:rPr>
        <w:t>Note</w:t>
      </w:r>
      <w:r>
        <w:rPr>
          <w:color w:val="6F2770"/>
          <w:spacing w:val="-33"/>
          <w:position w:val="3"/>
          <w:sz w:val="32"/>
        </w:rPr>
        <w:t> </w:t>
      </w:r>
      <w:r>
        <w:rPr>
          <w:color w:val="6F2770"/>
          <w:position w:val="3"/>
          <w:sz w:val="32"/>
        </w:rPr>
        <w:t>25.</w:t>
      </w:r>
      <w:r>
        <w:rPr>
          <w:color w:val="6F2770"/>
          <w:spacing w:val="-32"/>
          <w:position w:val="3"/>
          <w:sz w:val="32"/>
        </w:rPr>
        <w:t> </w:t>
      </w:r>
      <w:r>
        <w:rPr>
          <w:color w:val="6F2770"/>
          <w:position w:val="3"/>
          <w:sz w:val="32"/>
        </w:rPr>
        <w:t>Fair</w:t>
      </w:r>
      <w:r>
        <w:rPr>
          <w:color w:val="6F2770"/>
          <w:spacing w:val="-32"/>
          <w:position w:val="3"/>
          <w:sz w:val="32"/>
        </w:rPr>
        <w:t> </w:t>
      </w:r>
      <w:r>
        <w:rPr>
          <w:color w:val="6F2770"/>
          <w:position w:val="3"/>
          <w:sz w:val="32"/>
        </w:rPr>
        <w:t>value</w:t>
      </w:r>
      <w:r>
        <w:rPr>
          <w:color w:val="6F2770"/>
          <w:spacing w:val="-32"/>
          <w:position w:val="3"/>
          <w:sz w:val="32"/>
        </w:rPr>
        <w:t> </w:t>
      </w:r>
      <w:r>
        <w:rPr>
          <w:color w:val="6F2770"/>
          <w:position w:val="3"/>
          <w:sz w:val="32"/>
        </w:rPr>
        <w:t>measurements</w:t>
        <w:tab/>
      </w:r>
      <w:r>
        <w:rPr>
          <w:b/>
          <w:sz w:val="22"/>
        </w:rPr>
        <w:t>Fair</w:t>
      </w:r>
      <w:r>
        <w:rPr>
          <w:b/>
          <w:spacing w:val="-11"/>
          <w:sz w:val="22"/>
        </w:rPr>
        <w:t> </w:t>
      </w:r>
      <w:r>
        <w:rPr>
          <w:b/>
          <w:sz w:val="22"/>
        </w:rPr>
        <w:t>value</w:t>
      </w:r>
      <w:r>
        <w:rPr>
          <w:b/>
          <w:spacing w:val="-11"/>
          <w:sz w:val="22"/>
        </w:rPr>
        <w:t> </w:t>
      </w:r>
      <w:r>
        <w:rPr>
          <w:b/>
          <w:spacing w:val="-3"/>
          <w:sz w:val="22"/>
        </w:rPr>
        <w:t>measurements</w:t>
      </w:r>
      <w:r>
        <w:rPr>
          <w:b/>
          <w:spacing w:val="-11"/>
          <w:sz w:val="22"/>
        </w:rPr>
        <w:t> </w:t>
      </w:r>
      <w:r>
        <w:rPr>
          <w:b/>
          <w:sz w:val="22"/>
        </w:rPr>
        <w:t>using</w:t>
      </w:r>
      <w:r>
        <w:rPr>
          <w:b/>
          <w:spacing w:val="-11"/>
          <w:sz w:val="22"/>
        </w:rPr>
        <w:t> </w:t>
      </w:r>
      <w:r>
        <w:rPr>
          <w:b/>
          <w:sz w:val="22"/>
        </w:rPr>
        <w:t>significant</w:t>
      </w:r>
      <w:r>
        <w:rPr>
          <w:b/>
          <w:spacing w:val="-11"/>
          <w:sz w:val="22"/>
        </w:rPr>
        <w:t> </w:t>
      </w:r>
      <w:r>
        <w:rPr>
          <w:b/>
          <w:sz w:val="22"/>
        </w:rPr>
        <w:t>unobservable</w:t>
      </w:r>
      <w:r>
        <w:rPr>
          <w:b/>
          <w:spacing w:val="-11"/>
          <w:sz w:val="22"/>
        </w:rPr>
        <w:t> </w:t>
      </w:r>
      <w:r>
        <w:rPr>
          <w:b/>
          <w:sz w:val="22"/>
        </w:rPr>
        <w:t>inputs</w:t>
      </w:r>
      <w:r>
        <w:rPr>
          <w:b/>
          <w:spacing w:val="-11"/>
          <w:sz w:val="22"/>
        </w:rPr>
        <w:t> </w:t>
      </w:r>
      <w:r>
        <w:rPr>
          <w:b/>
          <w:sz w:val="22"/>
        </w:rPr>
        <w:t>(Level</w:t>
      </w:r>
      <w:r>
        <w:rPr>
          <w:b/>
          <w:spacing w:val="-11"/>
          <w:sz w:val="22"/>
        </w:rPr>
        <w:t> </w:t>
      </w:r>
      <w:r>
        <w:rPr>
          <w:b/>
          <w:sz w:val="22"/>
        </w:rPr>
        <w:t>3)</w:t>
      </w:r>
    </w:p>
    <w:p>
      <w:pPr>
        <w:pStyle w:val="BodyText"/>
        <w:spacing w:before="4"/>
        <w:rPr>
          <w:b/>
          <w:sz w:val="6"/>
        </w:rPr>
      </w:pP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3"/>
        <w:gridCol w:w="1235"/>
        <w:gridCol w:w="1134"/>
        <w:gridCol w:w="1023"/>
        <w:gridCol w:w="1134"/>
      </w:tblGrid>
      <w:tr>
        <w:trPr>
          <w:trHeight w:val="989" w:hRule="atLeast"/>
        </w:trPr>
        <w:tc>
          <w:tcPr>
            <w:tcW w:w="4108" w:type="dxa"/>
            <w:gridSpan w:val="2"/>
            <w:shd w:val="clear" w:color="auto" w:fill="783A79"/>
          </w:tcPr>
          <w:p>
            <w:pPr>
              <w:pStyle w:val="TableParagraph"/>
              <w:tabs>
                <w:tab w:pos="3246" w:val="left" w:leader="none"/>
              </w:tabs>
              <w:spacing w:line="249" w:lineRule="auto" w:before="42"/>
              <w:ind w:left="113" w:right="222"/>
              <w:rPr>
                <w:b/>
                <w:sz w:val="19"/>
              </w:rPr>
            </w:pPr>
            <w:r>
              <w:rPr>
                <w:b/>
                <w:color w:val="FFFFFF"/>
                <w:sz w:val="19"/>
              </w:rPr>
              <w:t>Assets</w:t>
            </w:r>
            <w:r>
              <w:rPr>
                <w:b/>
                <w:color w:val="FFFFFF"/>
                <w:spacing w:val="-3"/>
                <w:sz w:val="19"/>
              </w:rPr>
              <w:t> </w:t>
            </w:r>
            <w:r>
              <w:rPr>
                <w:b/>
                <w:color w:val="FFFFFF"/>
                <w:sz w:val="19"/>
              </w:rPr>
              <w:t>measured</w:t>
              <w:tab/>
              <w:t>Level </w:t>
            </w:r>
            <w:r>
              <w:rPr>
                <w:b/>
                <w:color w:val="FFFFFF"/>
                <w:spacing w:val="-18"/>
                <w:sz w:val="19"/>
              </w:rPr>
              <w:t>1 </w:t>
            </w:r>
            <w:r>
              <w:rPr>
                <w:b/>
                <w:color w:val="FFFFFF"/>
                <w:sz w:val="19"/>
              </w:rPr>
              <w:t>at fair</w:t>
            </w:r>
            <w:r>
              <w:rPr>
                <w:b/>
                <w:color w:val="FFFFFF"/>
                <w:spacing w:val="-1"/>
                <w:sz w:val="19"/>
              </w:rPr>
              <w:t> </w:t>
            </w:r>
            <w:r>
              <w:rPr>
                <w:b/>
                <w:color w:val="FFFFFF"/>
                <w:sz w:val="19"/>
              </w:rPr>
              <w:t>value:</w:t>
            </w:r>
          </w:p>
          <w:p>
            <w:pPr>
              <w:pStyle w:val="TableParagraph"/>
              <w:spacing w:before="0"/>
              <w:rPr>
                <w:b/>
                <w:sz w:val="20"/>
              </w:rPr>
            </w:pPr>
          </w:p>
          <w:p>
            <w:pPr>
              <w:pStyle w:val="TableParagraph"/>
              <w:tabs>
                <w:tab w:pos="3460" w:val="left" w:leader="none"/>
              </w:tabs>
              <w:spacing w:before="0"/>
              <w:ind w:left="113"/>
              <w:rPr>
                <w:b/>
                <w:sz w:val="19"/>
              </w:rPr>
            </w:pPr>
            <w:r>
              <w:rPr>
                <w:b/>
                <w:color w:val="FFFFFF"/>
                <w:sz w:val="19"/>
              </w:rPr>
              <w:t>2018</w:t>
              <w:tab/>
              <w:t>$000</w:t>
            </w:r>
          </w:p>
        </w:tc>
        <w:tc>
          <w:tcPr>
            <w:tcW w:w="1134" w:type="dxa"/>
            <w:shd w:val="clear" w:color="auto" w:fill="783A79"/>
          </w:tcPr>
          <w:p>
            <w:pPr>
              <w:pStyle w:val="TableParagraph"/>
              <w:spacing w:before="42"/>
              <w:ind w:left="272"/>
              <w:rPr>
                <w:b/>
                <w:sz w:val="19"/>
              </w:rPr>
            </w:pPr>
            <w:r>
              <w:rPr>
                <w:b/>
                <w:color w:val="FFFFFF"/>
                <w:sz w:val="19"/>
              </w:rPr>
              <w:t>Level</w:t>
            </w:r>
            <w:r>
              <w:rPr>
                <w:b/>
                <w:color w:val="FFFFFF"/>
                <w:spacing w:val="-8"/>
                <w:sz w:val="19"/>
              </w:rPr>
              <w:t> </w:t>
            </w:r>
            <w:r>
              <w:rPr>
                <w:b/>
                <w:color w:val="FFFFFF"/>
                <w:sz w:val="19"/>
              </w:rPr>
              <w:t>2</w:t>
            </w:r>
          </w:p>
          <w:p>
            <w:pPr>
              <w:pStyle w:val="TableParagraph"/>
              <w:spacing w:before="0"/>
              <w:rPr>
                <w:b/>
                <w:sz w:val="22"/>
              </w:rPr>
            </w:pPr>
          </w:p>
          <w:p>
            <w:pPr>
              <w:pStyle w:val="TableParagraph"/>
              <w:spacing w:before="6"/>
              <w:rPr>
                <w:b/>
                <w:sz w:val="18"/>
              </w:rPr>
            </w:pPr>
          </w:p>
          <w:p>
            <w:pPr>
              <w:pStyle w:val="TableParagraph"/>
              <w:spacing w:before="0"/>
              <w:ind w:left="486"/>
              <w:rPr>
                <w:b/>
                <w:sz w:val="19"/>
              </w:rPr>
            </w:pPr>
            <w:r>
              <w:rPr>
                <w:b/>
                <w:color w:val="FFFFFF"/>
                <w:sz w:val="19"/>
              </w:rPr>
              <w:t>$000</w:t>
            </w:r>
          </w:p>
        </w:tc>
        <w:tc>
          <w:tcPr>
            <w:tcW w:w="1023" w:type="dxa"/>
            <w:shd w:val="clear" w:color="auto" w:fill="783A79"/>
          </w:tcPr>
          <w:p>
            <w:pPr>
              <w:pStyle w:val="TableParagraph"/>
              <w:spacing w:before="42"/>
              <w:ind w:left="272"/>
              <w:rPr>
                <w:b/>
                <w:sz w:val="19"/>
              </w:rPr>
            </w:pPr>
            <w:r>
              <w:rPr>
                <w:b/>
                <w:color w:val="FFFFFF"/>
                <w:sz w:val="19"/>
              </w:rPr>
              <w:t>Level</w:t>
            </w:r>
            <w:r>
              <w:rPr>
                <w:b/>
                <w:color w:val="FFFFFF"/>
                <w:spacing w:val="-8"/>
                <w:sz w:val="19"/>
              </w:rPr>
              <w:t> </w:t>
            </w:r>
            <w:r>
              <w:rPr>
                <w:b/>
                <w:color w:val="FFFFFF"/>
                <w:sz w:val="19"/>
              </w:rPr>
              <w:t>3</w:t>
            </w:r>
          </w:p>
          <w:p>
            <w:pPr>
              <w:pStyle w:val="TableParagraph"/>
              <w:spacing w:before="0"/>
              <w:rPr>
                <w:b/>
                <w:sz w:val="22"/>
              </w:rPr>
            </w:pPr>
          </w:p>
          <w:p>
            <w:pPr>
              <w:pStyle w:val="TableParagraph"/>
              <w:spacing w:before="6"/>
              <w:rPr>
                <w:b/>
                <w:sz w:val="18"/>
              </w:rPr>
            </w:pPr>
          </w:p>
          <w:p>
            <w:pPr>
              <w:pStyle w:val="TableParagraph"/>
              <w:spacing w:before="0"/>
              <w:ind w:left="486"/>
              <w:rPr>
                <w:b/>
                <w:sz w:val="19"/>
              </w:rPr>
            </w:pPr>
            <w:r>
              <w:rPr>
                <w:b/>
                <w:color w:val="FFFFFF"/>
                <w:sz w:val="19"/>
              </w:rPr>
              <w:t>$000</w:t>
            </w:r>
          </w:p>
        </w:tc>
        <w:tc>
          <w:tcPr>
            <w:tcW w:w="1134" w:type="dxa"/>
            <w:shd w:val="clear" w:color="auto" w:fill="783A79"/>
          </w:tcPr>
          <w:p>
            <w:pPr>
              <w:pStyle w:val="TableParagraph"/>
              <w:spacing w:line="249" w:lineRule="auto" w:before="42"/>
              <w:ind w:left="200" w:right="111" w:hanging="57"/>
              <w:jc w:val="right"/>
              <w:rPr>
                <w:b/>
                <w:sz w:val="19"/>
              </w:rPr>
            </w:pPr>
            <w:r>
              <w:rPr>
                <w:b/>
                <w:color w:val="FFFFFF"/>
                <w:sz w:val="19"/>
              </w:rPr>
              <w:t>Fair</w:t>
            </w:r>
            <w:r>
              <w:rPr>
                <w:b/>
                <w:color w:val="FFFFFF"/>
                <w:spacing w:val="-8"/>
                <w:sz w:val="19"/>
              </w:rPr>
              <w:t> </w:t>
            </w:r>
            <w:r>
              <w:rPr>
                <w:b/>
                <w:color w:val="FFFFFF"/>
                <w:spacing w:val="-4"/>
                <w:sz w:val="19"/>
              </w:rPr>
              <w:t>value</w:t>
            </w:r>
            <w:r>
              <w:rPr>
                <w:b/>
                <w:color w:val="FFFFFF"/>
                <w:w w:val="98"/>
                <w:sz w:val="19"/>
              </w:rPr>
              <w:t> </w:t>
            </w:r>
            <w:r>
              <w:rPr>
                <w:b/>
                <w:color w:val="FFFFFF"/>
                <w:sz w:val="19"/>
              </w:rPr>
              <w:t>At</w:t>
            </w:r>
            <w:r>
              <w:rPr>
                <w:b/>
                <w:color w:val="FFFFFF"/>
                <w:spacing w:val="-2"/>
                <w:sz w:val="19"/>
              </w:rPr>
              <w:t> </w:t>
            </w:r>
            <w:r>
              <w:rPr>
                <w:b/>
                <w:color w:val="FFFFFF"/>
                <w:sz w:val="19"/>
              </w:rPr>
              <w:t>end</w:t>
            </w:r>
            <w:r>
              <w:rPr>
                <w:b/>
                <w:color w:val="FFFFFF"/>
                <w:spacing w:val="-1"/>
                <w:sz w:val="19"/>
              </w:rPr>
              <w:t> </w:t>
            </w:r>
            <w:r>
              <w:rPr>
                <w:b/>
                <w:color w:val="FFFFFF"/>
                <w:spacing w:val="-9"/>
                <w:sz w:val="19"/>
              </w:rPr>
              <w:t>of</w:t>
            </w:r>
            <w:r>
              <w:rPr>
                <w:b/>
                <w:color w:val="FFFFFF"/>
                <w:w w:val="100"/>
                <w:sz w:val="19"/>
              </w:rPr>
              <w:t> </w:t>
            </w:r>
            <w:r>
              <w:rPr>
                <w:b/>
                <w:color w:val="FFFFFF"/>
                <w:w w:val="95"/>
                <w:sz w:val="19"/>
              </w:rPr>
              <w:t>period</w:t>
            </w:r>
          </w:p>
          <w:p>
            <w:pPr>
              <w:pStyle w:val="TableParagraph"/>
              <w:spacing w:before="3"/>
              <w:ind w:right="111"/>
              <w:jc w:val="right"/>
              <w:rPr>
                <w:b/>
                <w:sz w:val="19"/>
              </w:rPr>
            </w:pPr>
            <w:r>
              <w:rPr>
                <w:b/>
                <w:color w:val="FFFFFF"/>
                <w:w w:val="95"/>
                <w:sz w:val="19"/>
              </w:rPr>
              <w:t>$000</w:t>
            </w:r>
          </w:p>
        </w:tc>
      </w:tr>
      <w:tr>
        <w:trPr>
          <w:trHeight w:val="317" w:hRule="atLeast"/>
        </w:trPr>
        <w:tc>
          <w:tcPr>
            <w:tcW w:w="4108" w:type="dxa"/>
            <w:gridSpan w:val="2"/>
          </w:tcPr>
          <w:p>
            <w:pPr>
              <w:pStyle w:val="TableParagraph"/>
              <w:tabs>
                <w:tab w:pos="3813" w:val="left" w:leader="none"/>
              </w:tabs>
              <w:spacing w:before="42"/>
              <w:ind w:left="113"/>
              <w:rPr>
                <w:sz w:val="19"/>
              </w:rPr>
            </w:pPr>
            <w:r>
              <w:rPr>
                <w:sz w:val="19"/>
              </w:rPr>
              <w:t>Land</w:t>
            </w:r>
            <w:r>
              <w:rPr>
                <w:spacing w:val="-12"/>
                <w:sz w:val="19"/>
              </w:rPr>
              <w:t> </w:t>
            </w:r>
            <w:r>
              <w:rPr>
                <w:i/>
                <w:sz w:val="19"/>
              </w:rPr>
              <w:t>(Note</w:t>
            </w:r>
            <w:r>
              <w:rPr>
                <w:i/>
                <w:spacing w:val="-11"/>
                <w:sz w:val="19"/>
              </w:rPr>
              <w:t> </w:t>
            </w:r>
            <w:r>
              <w:rPr>
                <w:i/>
                <w:sz w:val="19"/>
              </w:rPr>
              <w:t>24)</w:t>
              <w:tab/>
            </w:r>
            <w:r>
              <w:rPr>
                <w:sz w:val="19"/>
              </w:rPr>
              <w:t>-</w:t>
            </w:r>
          </w:p>
        </w:tc>
        <w:tc>
          <w:tcPr>
            <w:tcW w:w="1134" w:type="dxa"/>
          </w:tcPr>
          <w:p>
            <w:pPr>
              <w:pStyle w:val="TableParagraph"/>
              <w:spacing w:before="42"/>
              <w:ind w:left="197" w:right="93"/>
              <w:jc w:val="center"/>
              <w:rPr>
                <w:sz w:val="19"/>
              </w:rPr>
            </w:pPr>
            <w:r>
              <w:rPr>
                <w:sz w:val="19"/>
              </w:rPr>
              <w:t>54,185</w:t>
            </w:r>
          </w:p>
        </w:tc>
        <w:tc>
          <w:tcPr>
            <w:tcW w:w="1023" w:type="dxa"/>
          </w:tcPr>
          <w:p>
            <w:pPr>
              <w:pStyle w:val="TableParagraph"/>
              <w:spacing w:before="42"/>
              <w:ind w:right="111"/>
              <w:jc w:val="right"/>
              <w:rPr>
                <w:sz w:val="19"/>
              </w:rPr>
            </w:pPr>
            <w:r>
              <w:rPr>
                <w:w w:val="95"/>
                <w:sz w:val="19"/>
              </w:rPr>
              <w:t>77,044</w:t>
            </w:r>
          </w:p>
        </w:tc>
        <w:tc>
          <w:tcPr>
            <w:tcW w:w="1134" w:type="dxa"/>
            <w:shd w:val="clear" w:color="auto" w:fill="E1E4BB"/>
          </w:tcPr>
          <w:p>
            <w:pPr>
              <w:pStyle w:val="TableParagraph"/>
              <w:spacing w:before="42"/>
              <w:ind w:right="111"/>
              <w:jc w:val="right"/>
              <w:rPr>
                <w:sz w:val="19"/>
              </w:rPr>
            </w:pPr>
            <w:r>
              <w:rPr>
                <w:w w:val="95"/>
                <w:sz w:val="19"/>
              </w:rPr>
              <w:t>131,229</w:t>
            </w:r>
          </w:p>
        </w:tc>
      </w:tr>
      <w:tr>
        <w:trPr>
          <w:trHeight w:val="310" w:hRule="atLeast"/>
        </w:trPr>
        <w:tc>
          <w:tcPr>
            <w:tcW w:w="2873" w:type="dxa"/>
          </w:tcPr>
          <w:p>
            <w:pPr>
              <w:pStyle w:val="TableParagraph"/>
              <w:spacing w:before="52"/>
              <w:ind w:left="113"/>
              <w:rPr>
                <w:i/>
                <w:sz w:val="19"/>
              </w:rPr>
            </w:pPr>
            <w:r>
              <w:rPr>
                <w:sz w:val="19"/>
              </w:rPr>
              <w:t>Buildings </w:t>
            </w:r>
            <w:r>
              <w:rPr>
                <w:i/>
                <w:sz w:val="19"/>
              </w:rPr>
              <w:t>(Note 24)</w:t>
            </w:r>
          </w:p>
        </w:tc>
        <w:tc>
          <w:tcPr>
            <w:tcW w:w="1235" w:type="dxa"/>
            <w:tcBorders>
              <w:bottom w:val="single" w:sz="4" w:space="0" w:color="000000"/>
            </w:tcBorders>
          </w:tcPr>
          <w:p>
            <w:pPr>
              <w:pStyle w:val="TableParagraph"/>
              <w:spacing w:before="52"/>
              <w:ind w:right="222"/>
              <w:jc w:val="right"/>
              <w:rPr>
                <w:sz w:val="19"/>
              </w:rPr>
            </w:pPr>
            <w:r>
              <w:rPr>
                <w:w w:val="111"/>
                <w:sz w:val="19"/>
              </w:rPr>
              <w:t>-</w:t>
            </w:r>
          </w:p>
        </w:tc>
        <w:tc>
          <w:tcPr>
            <w:tcW w:w="1134" w:type="dxa"/>
            <w:tcBorders>
              <w:bottom w:val="single" w:sz="4" w:space="0" w:color="000000"/>
            </w:tcBorders>
          </w:tcPr>
          <w:p>
            <w:pPr>
              <w:pStyle w:val="TableParagraph"/>
              <w:spacing w:before="52"/>
              <w:ind w:left="197" w:right="93"/>
              <w:jc w:val="center"/>
              <w:rPr>
                <w:sz w:val="19"/>
              </w:rPr>
            </w:pPr>
            <w:r>
              <w:rPr>
                <w:sz w:val="19"/>
              </w:rPr>
              <w:t>89,315</w:t>
            </w:r>
          </w:p>
        </w:tc>
        <w:tc>
          <w:tcPr>
            <w:tcW w:w="1023" w:type="dxa"/>
            <w:tcBorders>
              <w:bottom w:val="single" w:sz="4" w:space="0" w:color="000000"/>
            </w:tcBorders>
          </w:tcPr>
          <w:p>
            <w:pPr>
              <w:pStyle w:val="TableParagraph"/>
              <w:spacing w:before="52"/>
              <w:ind w:right="111"/>
              <w:jc w:val="right"/>
              <w:rPr>
                <w:sz w:val="19"/>
              </w:rPr>
            </w:pPr>
            <w:r>
              <w:rPr>
                <w:w w:val="95"/>
                <w:sz w:val="19"/>
              </w:rPr>
              <w:t>34,815</w:t>
            </w:r>
          </w:p>
        </w:tc>
        <w:tc>
          <w:tcPr>
            <w:tcW w:w="1134" w:type="dxa"/>
            <w:tcBorders>
              <w:bottom w:val="single" w:sz="4" w:space="0" w:color="000000"/>
            </w:tcBorders>
            <w:shd w:val="clear" w:color="auto" w:fill="E1E4BB"/>
          </w:tcPr>
          <w:p>
            <w:pPr>
              <w:pStyle w:val="TableParagraph"/>
              <w:spacing w:before="52"/>
              <w:ind w:right="111"/>
              <w:jc w:val="right"/>
              <w:rPr>
                <w:sz w:val="19"/>
              </w:rPr>
            </w:pPr>
            <w:r>
              <w:rPr>
                <w:w w:val="95"/>
                <w:sz w:val="19"/>
              </w:rPr>
              <w:t>124,130</w:t>
            </w:r>
          </w:p>
        </w:tc>
      </w:tr>
      <w:tr>
        <w:trPr>
          <w:trHeight w:val="278" w:hRule="atLeast"/>
        </w:trPr>
        <w:tc>
          <w:tcPr>
            <w:tcW w:w="2873" w:type="dxa"/>
          </w:tcPr>
          <w:p>
            <w:pPr>
              <w:pStyle w:val="TableParagraph"/>
              <w:spacing w:before="0"/>
              <w:rPr>
                <w:rFonts w:ascii="Times New Roman"/>
                <w:sz w:val="20"/>
              </w:rPr>
            </w:pPr>
          </w:p>
        </w:tc>
        <w:tc>
          <w:tcPr>
            <w:tcW w:w="1235" w:type="dxa"/>
            <w:tcBorders>
              <w:top w:val="single" w:sz="4" w:space="0" w:color="000000"/>
              <w:bottom w:val="double" w:sz="2" w:space="0" w:color="000000"/>
            </w:tcBorders>
          </w:tcPr>
          <w:p>
            <w:pPr>
              <w:pStyle w:val="TableParagraph"/>
              <w:spacing w:before="37"/>
              <w:ind w:right="221"/>
              <w:jc w:val="right"/>
              <w:rPr>
                <w:b/>
                <w:sz w:val="19"/>
              </w:rPr>
            </w:pPr>
            <w:r>
              <w:rPr>
                <w:b/>
                <w:w w:val="122"/>
                <w:sz w:val="19"/>
              </w:rPr>
              <w:t>-</w:t>
            </w:r>
          </w:p>
        </w:tc>
        <w:tc>
          <w:tcPr>
            <w:tcW w:w="1134" w:type="dxa"/>
            <w:tcBorders>
              <w:top w:val="single" w:sz="4" w:space="0" w:color="000000"/>
              <w:bottom w:val="double" w:sz="2" w:space="0" w:color="000000"/>
            </w:tcBorders>
          </w:tcPr>
          <w:p>
            <w:pPr>
              <w:pStyle w:val="TableParagraph"/>
              <w:spacing w:before="37"/>
              <w:ind w:left="93" w:right="93"/>
              <w:jc w:val="center"/>
              <w:rPr>
                <w:b/>
                <w:sz w:val="19"/>
              </w:rPr>
            </w:pPr>
            <w:r>
              <w:rPr>
                <w:b/>
                <w:sz w:val="19"/>
              </w:rPr>
              <w:t>143,500</w:t>
            </w:r>
          </w:p>
        </w:tc>
        <w:tc>
          <w:tcPr>
            <w:tcW w:w="1023" w:type="dxa"/>
            <w:tcBorders>
              <w:top w:val="single" w:sz="4" w:space="0" w:color="000000"/>
              <w:bottom w:val="double" w:sz="2" w:space="0" w:color="000000"/>
            </w:tcBorders>
          </w:tcPr>
          <w:p>
            <w:pPr>
              <w:pStyle w:val="TableParagraph"/>
              <w:spacing w:before="37"/>
              <w:ind w:right="111"/>
              <w:jc w:val="right"/>
              <w:rPr>
                <w:b/>
                <w:sz w:val="19"/>
              </w:rPr>
            </w:pPr>
            <w:r>
              <w:rPr>
                <w:b/>
                <w:w w:val="95"/>
                <w:sz w:val="19"/>
              </w:rPr>
              <w:t>111,859</w:t>
            </w:r>
          </w:p>
        </w:tc>
        <w:tc>
          <w:tcPr>
            <w:tcW w:w="1134" w:type="dxa"/>
            <w:tcBorders>
              <w:top w:val="single" w:sz="4" w:space="0" w:color="000000"/>
              <w:bottom w:val="double" w:sz="2" w:space="0" w:color="000000"/>
            </w:tcBorders>
            <w:shd w:val="clear" w:color="auto" w:fill="DFE1B8"/>
          </w:tcPr>
          <w:p>
            <w:pPr>
              <w:pStyle w:val="TableParagraph"/>
              <w:spacing w:before="37"/>
              <w:ind w:right="111"/>
              <w:jc w:val="right"/>
              <w:rPr>
                <w:b/>
                <w:sz w:val="19"/>
              </w:rPr>
            </w:pPr>
            <w:r>
              <w:rPr>
                <w:b/>
                <w:w w:val="95"/>
                <w:sz w:val="19"/>
              </w:rPr>
              <w:t>255,359</w:t>
            </w:r>
          </w:p>
        </w:tc>
      </w:tr>
    </w:tbl>
    <w:p>
      <w:pPr>
        <w:pStyle w:val="BodyText"/>
        <w:spacing w:before="8"/>
        <w:rPr>
          <w:b/>
          <w:sz w:val="25"/>
        </w:rPr>
      </w:pPr>
    </w:p>
    <w:tbl>
      <w:tblPr>
        <w:tblW w:w="0" w:type="auto"/>
        <w:jc w:val="left"/>
        <w:tblInd w:w="7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863"/>
        <w:gridCol w:w="1134"/>
        <w:gridCol w:w="1134"/>
        <w:gridCol w:w="1134"/>
        <w:gridCol w:w="1134"/>
      </w:tblGrid>
      <w:tr>
        <w:trPr>
          <w:trHeight w:val="310" w:hRule="atLeast"/>
        </w:trPr>
        <w:tc>
          <w:tcPr>
            <w:tcW w:w="7399" w:type="dxa"/>
            <w:gridSpan w:val="5"/>
            <w:tcBorders>
              <w:top w:val="nil"/>
              <w:left w:val="nil"/>
              <w:bottom w:val="nil"/>
              <w:right w:val="nil"/>
            </w:tcBorders>
            <w:shd w:val="clear" w:color="auto" w:fill="783A79"/>
          </w:tcPr>
          <w:p>
            <w:pPr>
              <w:pStyle w:val="TableParagraph"/>
              <w:tabs>
                <w:tab w:pos="3461" w:val="left" w:leader="none"/>
                <w:tab w:pos="4595" w:val="left" w:leader="none"/>
                <w:tab w:pos="5729" w:val="left" w:leader="none"/>
                <w:tab w:pos="6863" w:val="left" w:leader="none"/>
              </w:tabs>
              <w:spacing w:before="47"/>
              <w:ind w:left="114"/>
              <w:rPr>
                <w:b/>
                <w:sz w:val="19"/>
              </w:rPr>
            </w:pPr>
            <w:r>
              <w:rPr>
                <w:b/>
                <w:color w:val="FFFFFF"/>
                <w:sz w:val="19"/>
              </w:rPr>
              <w:t>2017</w:t>
              <w:tab/>
              <w:t>$000</w:t>
              <w:tab/>
              <w:t>$000</w:t>
              <w:tab/>
              <w:t>$000</w:t>
              <w:tab/>
              <w:t>$000</w:t>
            </w:r>
          </w:p>
        </w:tc>
      </w:tr>
      <w:tr>
        <w:trPr>
          <w:trHeight w:val="601" w:hRule="atLeast"/>
        </w:trPr>
        <w:tc>
          <w:tcPr>
            <w:tcW w:w="2863" w:type="dxa"/>
            <w:tcBorders>
              <w:top w:val="nil"/>
              <w:left w:val="nil"/>
            </w:tcBorders>
            <w:shd w:val="clear" w:color="auto" w:fill="FAF9F9"/>
          </w:tcPr>
          <w:p>
            <w:pPr>
              <w:pStyle w:val="TableParagraph"/>
              <w:spacing w:before="42"/>
              <w:ind w:left="114"/>
              <w:rPr>
                <w:i/>
                <w:sz w:val="19"/>
              </w:rPr>
            </w:pPr>
            <w:r>
              <w:rPr>
                <w:sz w:val="19"/>
              </w:rPr>
              <w:t>Land </w:t>
            </w:r>
            <w:r>
              <w:rPr>
                <w:i/>
                <w:sz w:val="19"/>
              </w:rPr>
              <w:t>(Note 24)</w:t>
            </w:r>
          </w:p>
          <w:p>
            <w:pPr>
              <w:pStyle w:val="TableParagraph"/>
              <w:spacing w:before="87"/>
              <w:ind w:left="114"/>
              <w:rPr>
                <w:i/>
                <w:sz w:val="19"/>
              </w:rPr>
            </w:pPr>
            <w:r>
              <w:rPr>
                <w:sz w:val="19"/>
              </w:rPr>
              <w:t>Buildings </w:t>
            </w:r>
            <w:r>
              <w:rPr>
                <w:i/>
                <w:sz w:val="19"/>
              </w:rPr>
              <w:t>(Note 24)</w:t>
            </w:r>
          </w:p>
        </w:tc>
        <w:tc>
          <w:tcPr>
            <w:tcW w:w="1134" w:type="dxa"/>
            <w:tcBorders>
              <w:top w:val="nil"/>
              <w:bottom w:val="single" w:sz="4" w:space="0" w:color="000000"/>
            </w:tcBorders>
            <w:shd w:val="clear" w:color="auto" w:fill="FAF9F9"/>
          </w:tcPr>
          <w:p>
            <w:pPr>
              <w:pStyle w:val="TableParagraph"/>
              <w:spacing w:before="42"/>
              <w:ind w:right="100"/>
              <w:jc w:val="right"/>
              <w:rPr>
                <w:sz w:val="19"/>
              </w:rPr>
            </w:pPr>
            <w:r>
              <w:rPr>
                <w:w w:val="111"/>
                <w:sz w:val="19"/>
              </w:rPr>
              <w:t>-</w:t>
            </w:r>
          </w:p>
          <w:p>
            <w:pPr>
              <w:pStyle w:val="TableParagraph"/>
              <w:spacing w:before="87"/>
              <w:ind w:right="100"/>
              <w:jc w:val="right"/>
              <w:rPr>
                <w:sz w:val="19"/>
              </w:rPr>
            </w:pPr>
            <w:r>
              <w:rPr>
                <w:w w:val="111"/>
                <w:sz w:val="19"/>
              </w:rPr>
              <w:t>-</w:t>
            </w:r>
          </w:p>
        </w:tc>
        <w:tc>
          <w:tcPr>
            <w:tcW w:w="1134" w:type="dxa"/>
            <w:tcBorders>
              <w:top w:val="nil"/>
              <w:bottom w:val="single" w:sz="4" w:space="0" w:color="000000"/>
            </w:tcBorders>
            <w:shd w:val="clear" w:color="auto" w:fill="FAF9F9"/>
          </w:tcPr>
          <w:p>
            <w:pPr>
              <w:pStyle w:val="TableParagraph"/>
              <w:spacing w:before="42"/>
              <w:ind w:left="430"/>
              <w:rPr>
                <w:sz w:val="19"/>
              </w:rPr>
            </w:pPr>
            <w:r>
              <w:rPr>
                <w:sz w:val="19"/>
              </w:rPr>
              <w:t>59,076</w:t>
            </w:r>
          </w:p>
          <w:p>
            <w:pPr>
              <w:pStyle w:val="TableParagraph"/>
              <w:spacing w:before="87"/>
              <w:ind w:left="430"/>
              <w:rPr>
                <w:sz w:val="19"/>
              </w:rPr>
            </w:pPr>
            <w:r>
              <w:rPr>
                <w:sz w:val="19"/>
              </w:rPr>
              <w:t>94,147</w:t>
            </w:r>
          </w:p>
        </w:tc>
        <w:tc>
          <w:tcPr>
            <w:tcW w:w="1134" w:type="dxa"/>
            <w:tcBorders>
              <w:top w:val="nil"/>
              <w:bottom w:val="single" w:sz="4" w:space="0" w:color="000000"/>
              <w:right w:val="nil"/>
            </w:tcBorders>
            <w:shd w:val="clear" w:color="auto" w:fill="FAF9F9"/>
          </w:tcPr>
          <w:p>
            <w:pPr>
              <w:pStyle w:val="TableParagraph"/>
              <w:spacing w:before="42"/>
              <w:ind w:left="430"/>
              <w:rPr>
                <w:sz w:val="19"/>
              </w:rPr>
            </w:pPr>
            <w:r>
              <w:rPr>
                <w:sz w:val="19"/>
              </w:rPr>
              <w:t>81,334</w:t>
            </w:r>
          </w:p>
          <w:p>
            <w:pPr>
              <w:pStyle w:val="TableParagraph"/>
              <w:spacing w:before="87"/>
              <w:ind w:left="430"/>
              <w:rPr>
                <w:sz w:val="19"/>
              </w:rPr>
            </w:pPr>
            <w:r>
              <w:rPr>
                <w:sz w:val="19"/>
              </w:rPr>
              <w:t>43,925</w:t>
            </w:r>
          </w:p>
        </w:tc>
        <w:tc>
          <w:tcPr>
            <w:tcW w:w="1134" w:type="dxa"/>
            <w:tcBorders>
              <w:top w:val="nil"/>
              <w:left w:val="nil"/>
              <w:bottom w:val="single" w:sz="4" w:space="0" w:color="000000"/>
              <w:right w:val="nil"/>
            </w:tcBorders>
            <w:shd w:val="clear" w:color="auto" w:fill="E1E4BB"/>
          </w:tcPr>
          <w:p>
            <w:pPr>
              <w:pStyle w:val="TableParagraph"/>
              <w:spacing w:before="42"/>
              <w:ind w:left="334"/>
              <w:rPr>
                <w:sz w:val="19"/>
              </w:rPr>
            </w:pPr>
            <w:r>
              <w:rPr>
                <w:sz w:val="19"/>
              </w:rPr>
              <w:t>140,410</w:t>
            </w:r>
          </w:p>
          <w:p>
            <w:pPr>
              <w:pStyle w:val="TableParagraph"/>
              <w:spacing w:before="87"/>
              <w:ind w:left="334"/>
              <w:rPr>
                <w:sz w:val="19"/>
              </w:rPr>
            </w:pPr>
            <w:r>
              <w:rPr>
                <w:sz w:val="19"/>
              </w:rPr>
              <w:t>138,072</w:t>
            </w:r>
          </w:p>
        </w:tc>
      </w:tr>
      <w:tr>
        <w:trPr>
          <w:trHeight w:val="265" w:hRule="atLeast"/>
        </w:trPr>
        <w:tc>
          <w:tcPr>
            <w:tcW w:w="2863" w:type="dxa"/>
            <w:tcBorders>
              <w:left w:val="nil"/>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F4F4F4"/>
          </w:tcPr>
          <w:p>
            <w:pPr>
              <w:pStyle w:val="TableParagraph"/>
              <w:spacing w:line="213" w:lineRule="exact"/>
              <w:ind w:right="100"/>
              <w:jc w:val="right"/>
              <w:rPr>
                <w:b/>
                <w:sz w:val="19"/>
              </w:rPr>
            </w:pPr>
            <w:r>
              <w:rPr>
                <w:b/>
                <w:w w:val="122"/>
                <w:sz w:val="19"/>
              </w:rPr>
              <w:t>-</w:t>
            </w:r>
          </w:p>
        </w:tc>
        <w:tc>
          <w:tcPr>
            <w:tcW w:w="1134" w:type="dxa"/>
            <w:tcBorders>
              <w:top w:val="single" w:sz="4" w:space="0" w:color="000000"/>
              <w:bottom w:val="single" w:sz="24" w:space="0" w:color="FFFFFF"/>
            </w:tcBorders>
            <w:shd w:val="clear" w:color="auto" w:fill="F4F4F4"/>
          </w:tcPr>
          <w:p>
            <w:pPr>
              <w:pStyle w:val="TableParagraph"/>
              <w:spacing w:line="213" w:lineRule="exact"/>
              <w:ind w:left="325"/>
              <w:rPr>
                <w:b/>
                <w:sz w:val="19"/>
              </w:rPr>
            </w:pPr>
            <w:r>
              <w:rPr>
                <w:b/>
                <w:sz w:val="19"/>
              </w:rPr>
              <w:t>153,223</w:t>
            </w:r>
          </w:p>
        </w:tc>
        <w:tc>
          <w:tcPr>
            <w:tcW w:w="1134" w:type="dxa"/>
            <w:tcBorders>
              <w:top w:val="single" w:sz="4" w:space="0" w:color="000000"/>
              <w:bottom w:val="single" w:sz="24" w:space="0" w:color="FFFFFF"/>
              <w:right w:val="nil"/>
            </w:tcBorders>
            <w:shd w:val="clear" w:color="auto" w:fill="F4F4F4"/>
          </w:tcPr>
          <w:p>
            <w:pPr>
              <w:pStyle w:val="TableParagraph"/>
              <w:spacing w:line="213" w:lineRule="exact"/>
              <w:ind w:left="325"/>
              <w:rPr>
                <w:b/>
                <w:sz w:val="19"/>
              </w:rPr>
            </w:pPr>
            <w:r>
              <w:rPr>
                <w:b/>
                <w:sz w:val="19"/>
              </w:rPr>
              <w:t>125,259</w:t>
            </w:r>
          </w:p>
        </w:tc>
        <w:tc>
          <w:tcPr>
            <w:tcW w:w="1134" w:type="dxa"/>
            <w:tcBorders>
              <w:top w:val="single" w:sz="4" w:space="0" w:color="000000"/>
              <w:left w:val="nil"/>
              <w:bottom w:val="single" w:sz="24" w:space="0" w:color="FFFFFF"/>
              <w:right w:val="nil"/>
            </w:tcBorders>
            <w:shd w:val="clear" w:color="auto" w:fill="DFE1B8"/>
          </w:tcPr>
          <w:p>
            <w:pPr>
              <w:pStyle w:val="TableParagraph"/>
              <w:spacing w:line="213" w:lineRule="exact"/>
              <w:ind w:left="334"/>
              <w:rPr>
                <w:b/>
                <w:sz w:val="19"/>
              </w:rPr>
            </w:pPr>
            <w:r>
              <w:rPr>
                <w:b/>
                <w:sz w:val="19"/>
              </w:rPr>
              <w:t>278,482</w:t>
            </w:r>
          </w:p>
        </w:tc>
      </w:tr>
    </w:tbl>
    <w:p>
      <w:pPr>
        <w:pStyle w:val="BodyText"/>
        <w:spacing w:line="249" w:lineRule="auto" w:before="292"/>
        <w:ind w:left="765" w:right="9276"/>
      </w:pPr>
      <w:r>
        <w:rPr/>
        <w:t>There</w:t>
      </w:r>
      <w:r>
        <w:rPr>
          <w:spacing w:val="-17"/>
        </w:rPr>
        <w:t> </w:t>
      </w:r>
      <w:r>
        <w:rPr/>
        <w:t>were</w:t>
      </w:r>
      <w:r>
        <w:rPr>
          <w:spacing w:val="-16"/>
        </w:rPr>
        <w:t> </w:t>
      </w:r>
      <w:r>
        <w:rPr/>
        <w:t>no</w:t>
      </w:r>
      <w:r>
        <w:rPr>
          <w:spacing w:val="-16"/>
        </w:rPr>
        <w:t> </w:t>
      </w:r>
      <w:r>
        <w:rPr/>
        <w:t>transfers</w:t>
      </w:r>
      <w:r>
        <w:rPr>
          <w:spacing w:val="-16"/>
        </w:rPr>
        <w:t> </w:t>
      </w:r>
      <w:r>
        <w:rPr/>
        <w:t>between</w:t>
      </w:r>
      <w:r>
        <w:rPr>
          <w:spacing w:val="-17"/>
        </w:rPr>
        <w:t> </w:t>
      </w:r>
      <w:r>
        <w:rPr/>
        <w:t>Levels</w:t>
      </w:r>
      <w:r>
        <w:rPr>
          <w:spacing w:val="-16"/>
        </w:rPr>
        <w:t> </w:t>
      </w:r>
      <w:r>
        <w:rPr/>
        <w:t>1,</w:t>
      </w:r>
      <w:r>
        <w:rPr>
          <w:spacing w:val="-16"/>
        </w:rPr>
        <w:t> </w:t>
      </w:r>
      <w:r>
        <w:rPr/>
        <w:t>2</w:t>
      </w:r>
      <w:r>
        <w:rPr>
          <w:spacing w:val="-16"/>
        </w:rPr>
        <w:t> </w:t>
      </w:r>
      <w:r>
        <w:rPr/>
        <w:t>or</w:t>
      </w:r>
      <w:r>
        <w:rPr>
          <w:spacing w:val="-16"/>
        </w:rPr>
        <w:t> </w:t>
      </w:r>
      <w:r>
        <w:rPr/>
        <w:t>3</w:t>
      </w:r>
      <w:r>
        <w:rPr>
          <w:spacing w:val="-17"/>
        </w:rPr>
        <w:t> </w:t>
      </w:r>
      <w:r>
        <w:rPr/>
        <w:t>during</w:t>
      </w:r>
      <w:r>
        <w:rPr>
          <w:spacing w:val="-16"/>
        </w:rPr>
        <w:t> </w:t>
      </w:r>
      <w:r>
        <w:rPr/>
        <w:t>the</w:t>
      </w:r>
      <w:r>
        <w:rPr>
          <w:spacing w:val="-16"/>
        </w:rPr>
        <w:t> </w:t>
      </w:r>
      <w:r>
        <w:rPr/>
        <w:t>current</w:t>
      </w:r>
      <w:r>
        <w:rPr>
          <w:spacing w:val="-16"/>
        </w:rPr>
        <w:t> </w:t>
      </w:r>
      <w:r>
        <w:rPr>
          <w:spacing w:val="-6"/>
        </w:rPr>
        <w:t>and </w:t>
      </w:r>
      <w:r>
        <w:rPr/>
        <w:t>previous</w:t>
      </w:r>
      <w:r>
        <w:rPr>
          <w:spacing w:val="-1"/>
        </w:rPr>
        <w:t> </w:t>
      </w:r>
      <w:r>
        <w:rPr/>
        <w:t>periods.</w:t>
      </w:r>
    </w:p>
    <w:p>
      <w:pPr>
        <w:pStyle w:val="BodyText"/>
        <w:spacing w:before="1"/>
        <w:rPr>
          <w:sz w:val="23"/>
        </w:rPr>
      </w:pPr>
    </w:p>
    <w:p>
      <w:pPr>
        <w:pStyle w:val="Heading6"/>
      </w:pPr>
      <w:r>
        <w:rPr/>
        <w:t>Valuation techniques to derive Level 2 fair values</w:t>
      </w:r>
    </w:p>
    <w:p>
      <w:pPr>
        <w:pStyle w:val="BodyText"/>
        <w:spacing w:before="11"/>
        <w:rPr>
          <w:b/>
          <w:sz w:val="23"/>
        </w:rPr>
      </w:pPr>
    </w:p>
    <w:p>
      <w:pPr>
        <w:pStyle w:val="BodyText"/>
        <w:spacing w:line="249" w:lineRule="auto"/>
        <w:ind w:left="765" w:right="8998"/>
      </w:pPr>
      <w:r>
        <w:rPr/>
        <w:t>Level</w:t>
      </w:r>
      <w:r>
        <w:rPr>
          <w:spacing w:val="-24"/>
        </w:rPr>
        <w:t> </w:t>
      </w:r>
      <w:r>
        <w:rPr/>
        <w:t>2</w:t>
      </w:r>
      <w:r>
        <w:rPr>
          <w:spacing w:val="-23"/>
        </w:rPr>
        <w:t> </w:t>
      </w:r>
      <w:r>
        <w:rPr/>
        <w:t>fair</w:t>
      </w:r>
      <w:r>
        <w:rPr>
          <w:spacing w:val="-23"/>
        </w:rPr>
        <w:t> </w:t>
      </w:r>
      <w:r>
        <w:rPr/>
        <w:t>values</w:t>
      </w:r>
      <w:r>
        <w:rPr>
          <w:spacing w:val="-24"/>
        </w:rPr>
        <w:t> </w:t>
      </w:r>
      <w:r>
        <w:rPr/>
        <w:t>Land</w:t>
      </w:r>
      <w:r>
        <w:rPr>
          <w:spacing w:val="-23"/>
        </w:rPr>
        <w:t> </w:t>
      </w:r>
      <w:r>
        <w:rPr/>
        <w:t>and</w:t>
      </w:r>
      <w:r>
        <w:rPr>
          <w:spacing w:val="-23"/>
        </w:rPr>
        <w:t> </w:t>
      </w:r>
      <w:r>
        <w:rPr/>
        <w:t>Buildings</w:t>
      </w:r>
      <w:r>
        <w:rPr>
          <w:spacing w:val="-23"/>
        </w:rPr>
        <w:t> </w:t>
      </w:r>
      <w:r>
        <w:rPr/>
        <w:t>(office</w:t>
      </w:r>
      <w:r>
        <w:rPr>
          <w:spacing w:val="-24"/>
        </w:rPr>
        <w:t> </w:t>
      </w:r>
      <w:r>
        <w:rPr/>
        <w:t>accommodation)</w:t>
      </w:r>
      <w:r>
        <w:rPr>
          <w:spacing w:val="-23"/>
        </w:rPr>
        <w:t> </w:t>
      </w:r>
      <w:r>
        <w:rPr/>
        <w:t>are</w:t>
      </w:r>
      <w:r>
        <w:rPr>
          <w:spacing w:val="-23"/>
        </w:rPr>
        <w:t> </w:t>
      </w:r>
      <w:r>
        <w:rPr/>
        <w:t>derived using</w:t>
      </w:r>
      <w:r>
        <w:rPr>
          <w:spacing w:val="-21"/>
        </w:rPr>
        <w:t> </w:t>
      </w:r>
      <w:r>
        <w:rPr/>
        <w:t>the</w:t>
      </w:r>
      <w:r>
        <w:rPr>
          <w:spacing w:val="-21"/>
        </w:rPr>
        <w:t> </w:t>
      </w:r>
      <w:r>
        <w:rPr/>
        <w:t>market</w:t>
      </w:r>
      <w:r>
        <w:rPr>
          <w:spacing w:val="-20"/>
        </w:rPr>
        <w:t> </w:t>
      </w:r>
      <w:r>
        <w:rPr/>
        <w:t>approach.</w:t>
      </w:r>
      <w:r>
        <w:rPr>
          <w:spacing w:val="-21"/>
        </w:rPr>
        <w:t> </w:t>
      </w:r>
      <w:r>
        <w:rPr/>
        <w:t>Market</w:t>
      </w:r>
      <w:r>
        <w:rPr>
          <w:spacing w:val="-21"/>
        </w:rPr>
        <w:t> </w:t>
      </w:r>
      <w:r>
        <w:rPr/>
        <w:t>evidence</w:t>
      </w:r>
      <w:r>
        <w:rPr>
          <w:spacing w:val="-20"/>
        </w:rPr>
        <w:t> </w:t>
      </w:r>
      <w:r>
        <w:rPr/>
        <w:t>of</w:t>
      </w:r>
      <w:r>
        <w:rPr>
          <w:spacing w:val="-21"/>
        </w:rPr>
        <w:t> </w:t>
      </w:r>
      <w:r>
        <w:rPr/>
        <w:t>sales</w:t>
      </w:r>
      <w:r>
        <w:rPr>
          <w:spacing w:val="-21"/>
        </w:rPr>
        <w:t> </w:t>
      </w:r>
      <w:r>
        <w:rPr/>
        <w:t>prices</w:t>
      </w:r>
      <w:r>
        <w:rPr>
          <w:spacing w:val="-20"/>
        </w:rPr>
        <w:t> </w:t>
      </w:r>
      <w:r>
        <w:rPr/>
        <w:t>of</w:t>
      </w:r>
      <w:r>
        <w:rPr>
          <w:spacing w:val="-21"/>
        </w:rPr>
        <w:t> </w:t>
      </w:r>
      <w:r>
        <w:rPr/>
        <w:t>comparable land and buildings (office accommodation) in close proximity is used to determine price per square</w:t>
      </w:r>
      <w:r>
        <w:rPr>
          <w:spacing w:val="-7"/>
        </w:rPr>
        <w:t> </w:t>
      </w:r>
      <w:r>
        <w:rPr/>
        <w:t>metre.</w:t>
      </w:r>
    </w:p>
    <w:p>
      <w:pPr>
        <w:pStyle w:val="BodyText"/>
        <w:spacing w:before="3"/>
        <w:rPr>
          <w:sz w:val="23"/>
        </w:rPr>
      </w:pPr>
    </w:p>
    <w:p>
      <w:pPr>
        <w:pStyle w:val="BodyText"/>
        <w:spacing w:line="249" w:lineRule="auto"/>
        <w:ind w:left="765" w:right="8761"/>
      </w:pPr>
      <w:r>
        <w:rPr/>
        <w:t>Non-current assets held for sale have been written down to fair value less costs</w:t>
      </w:r>
      <w:r>
        <w:rPr>
          <w:spacing w:val="-23"/>
        </w:rPr>
        <w:t> </w:t>
      </w:r>
      <w:r>
        <w:rPr/>
        <w:t>to</w:t>
      </w:r>
      <w:r>
        <w:rPr>
          <w:spacing w:val="-23"/>
        </w:rPr>
        <w:t> </w:t>
      </w:r>
      <w:r>
        <w:rPr/>
        <w:t>sell.</w:t>
      </w:r>
      <w:r>
        <w:rPr>
          <w:spacing w:val="-23"/>
        </w:rPr>
        <w:t> </w:t>
      </w:r>
      <w:r>
        <w:rPr/>
        <w:t>Fair</w:t>
      </w:r>
      <w:r>
        <w:rPr>
          <w:spacing w:val="-23"/>
        </w:rPr>
        <w:t> </w:t>
      </w:r>
      <w:r>
        <w:rPr/>
        <w:t>value</w:t>
      </w:r>
      <w:r>
        <w:rPr>
          <w:spacing w:val="-23"/>
        </w:rPr>
        <w:t> </w:t>
      </w:r>
      <w:r>
        <w:rPr/>
        <w:t>has</w:t>
      </w:r>
      <w:r>
        <w:rPr>
          <w:spacing w:val="-23"/>
        </w:rPr>
        <w:t> </w:t>
      </w:r>
      <w:r>
        <w:rPr/>
        <w:t>been</w:t>
      </w:r>
      <w:r>
        <w:rPr>
          <w:spacing w:val="-23"/>
        </w:rPr>
        <w:t> </w:t>
      </w:r>
      <w:r>
        <w:rPr/>
        <w:t>determined</w:t>
      </w:r>
      <w:r>
        <w:rPr>
          <w:spacing w:val="-23"/>
        </w:rPr>
        <w:t> </w:t>
      </w:r>
      <w:r>
        <w:rPr/>
        <w:t>by</w:t>
      </w:r>
      <w:r>
        <w:rPr>
          <w:spacing w:val="-23"/>
        </w:rPr>
        <w:t> </w:t>
      </w:r>
      <w:r>
        <w:rPr/>
        <w:t>reference</w:t>
      </w:r>
      <w:r>
        <w:rPr>
          <w:spacing w:val="-23"/>
        </w:rPr>
        <w:t> </w:t>
      </w:r>
      <w:r>
        <w:rPr/>
        <w:t>to</w:t>
      </w:r>
      <w:r>
        <w:rPr>
          <w:spacing w:val="-23"/>
        </w:rPr>
        <w:t> </w:t>
      </w:r>
      <w:r>
        <w:rPr/>
        <w:t>market</w:t>
      </w:r>
      <w:r>
        <w:rPr>
          <w:spacing w:val="-23"/>
        </w:rPr>
        <w:t> </w:t>
      </w:r>
      <w:r>
        <w:rPr/>
        <w:t>evidence of sales prices of comparable</w:t>
      </w:r>
      <w:r>
        <w:rPr>
          <w:spacing w:val="-8"/>
        </w:rPr>
        <w:t> </w:t>
      </w:r>
      <w:r>
        <w:rPr/>
        <w:t>assets.</w:t>
      </w:r>
    </w:p>
    <w:p>
      <w:pPr>
        <w:spacing w:after="0" w:line="249" w:lineRule="auto"/>
        <w:sectPr>
          <w:footerReference w:type="default" r:id="rId161"/>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ind w:left="785"/>
      </w:pPr>
      <w:r>
        <w:rPr/>
        <w:pict>
          <v:shape style="position:absolute;margin-left:601.348999pt;margin-top:-57.37421pt;width:120.3pt;height:42.55pt;mso-position-horizontal-relative:page;mso-position-vertical-relative:paragraph;z-index:16888"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6912"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6936"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pict>
          <v:group style="position:absolute;margin-left:280.589264pt;margin-top:7.398306pt;width:561.35pt;height:484.55pt;mso-position-horizontal-relative:page;mso-position-vertical-relative:paragraph;z-index:-695656" coordorigin="5612,148" coordsize="11227,9691">
            <v:shape style="position:absolute;left:5611;top:147;width:11227;height:9691" type="#_x0000_t75" stroked="false">
              <v:imagedata r:id="rId40" o:title=""/>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ffffff" stroked="false">
              <v:path arrowok="t"/>
              <v:fill type="solid"/>
            </v:shape>
            <v:shape style="position:absolute;left:16356;top:8864;width:482;height:831" coordorigin="16357,8864" coordsize="482,831" path="m16772,8864l16697,8871,16627,8890,16562,8921,16504,8962,16454,9012,16413,9070,16383,9135,16363,9205,16357,9280,16363,9354,16383,9425,16413,9489,16454,9547,16504,9597,16562,9638,16627,9669,16697,9688,16772,9695,16789,9694,16805,9693,16822,9692,16838,9689,16838,8870,16822,8868,16805,8866,16789,8865,16772,8864xe" filled="true" fillcolor="#aebd37" stroked="false">
              <v:path arrowok="t"/>
              <v:fill opacity="13107f" type="solid"/>
            </v:shape>
            <v:shape style="position:absolute;left:16571;top:9193;width:93;height:171" coordorigin="16571,9194" coordsize="93,171" path="m16590,9194l16582,9194,16571,9204,16571,9212,16638,9279,16638,9281,16571,9347,16571,9355,16579,9363,16582,9364,16589,9364,16592,9363,16655,9300,16662,9291,16664,9281,16664,9279,16662,9269,16655,9259,16590,9194xe" filled="true" fillcolor="#000000" stroked="false">
              <v:path arrowok="t"/>
              <v:fill type="solid"/>
            </v:shape>
            <w10:wrap type="none"/>
          </v:group>
        </w:pict>
      </w:r>
      <w:r>
        <w:rPr>
          <w:color w:val="6F2770"/>
        </w:rPr>
        <w:t>For the year ended 30 June 2018</w:t>
      </w:r>
    </w:p>
    <w:p>
      <w:pPr>
        <w:pStyle w:val="BodyText"/>
        <w:spacing w:before="10"/>
        <w:rPr>
          <w:sz w:val="14"/>
        </w:rPr>
      </w:pPr>
    </w:p>
    <w:p>
      <w:pPr>
        <w:spacing w:after="0"/>
        <w:rPr>
          <w:sz w:val="14"/>
        </w:rPr>
        <w:sectPr>
          <w:footerReference w:type="default" r:id="rId162"/>
          <w:pgSz w:w="16840" w:h="11910" w:orient="landscape"/>
          <w:pgMar w:footer="0" w:header="0" w:top="0" w:bottom="0" w:left="0" w:right="0"/>
        </w:sectPr>
      </w:pPr>
    </w:p>
    <w:p>
      <w:pPr>
        <w:pStyle w:val="Heading6"/>
        <w:spacing w:before="108"/>
      </w:pPr>
      <w:r>
        <w:rPr/>
        <w:t>Valuation processes</w:t>
      </w:r>
    </w:p>
    <w:p>
      <w:pPr>
        <w:pStyle w:val="BodyText"/>
        <w:spacing w:before="11"/>
        <w:ind w:left="765"/>
      </w:pPr>
      <w:r>
        <w:rPr/>
        <w:t>There were no changes in valuation techniques during the period.</w:t>
      </w:r>
    </w:p>
    <w:p>
      <w:pPr>
        <w:pStyle w:val="BodyText"/>
        <w:spacing w:before="11"/>
        <w:rPr>
          <w:sz w:val="23"/>
        </w:rPr>
      </w:pPr>
    </w:p>
    <w:p>
      <w:pPr>
        <w:pStyle w:val="BodyText"/>
        <w:spacing w:line="249" w:lineRule="auto"/>
        <w:ind w:left="765" w:right="123"/>
      </w:pPr>
      <w:r>
        <w:rPr>
          <w:spacing w:val="-3"/>
        </w:rPr>
        <w:t>Transfers </w:t>
      </w:r>
      <w:r>
        <w:rPr/>
        <w:t>in and out of a fair value level are recognised on the date of the event or change in circumstances that caused the </w:t>
      </w:r>
      <w:r>
        <w:rPr>
          <w:spacing w:val="-3"/>
        </w:rPr>
        <w:t>transfer. Transfers </w:t>
      </w:r>
      <w:r>
        <w:rPr/>
        <w:t>are generally limited to assets newly classified as non-current assets held for sale</w:t>
      </w:r>
      <w:r>
        <w:rPr>
          <w:spacing w:val="-24"/>
        </w:rPr>
        <w:t> </w:t>
      </w:r>
      <w:r>
        <w:rPr/>
        <w:t>as</w:t>
      </w:r>
      <w:r>
        <w:rPr>
          <w:spacing w:val="-24"/>
        </w:rPr>
        <w:t> </w:t>
      </w:r>
      <w:r>
        <w:rPr>
          <w:spacing w:val="-5"/>
        </w:rPr>
        <w:t>Treasurer’s</w:t>
      </w:r>
      <w:r>
        <w:rPr>
          <w:spacing w:val="-24"/>
        </w:rPr>
        <w:t> </w:t>
      </w:r>
      <w:r>
        <w:rPr/>
        <w:t>Instructions</w:t>
      </w:r>
      <w:r>
        <w:rPr>
          <w:spacing w:val="-24"/>
        </w:rPr>
        <w:t> </w:t>
      </w:r>
      <w:r>
        <w:rPr/>
        <w:t>require</w:t>
      </w:r>
      <w:r>
        <w:rPr>
          <w:spacing w:val="-24"/>
        </w:rPr>
        <w:t> </w:t>
      </w:r>
      <w:r>
        <w:rPr/>
        <w:t>valuations</w:t>
      </w:r>
      <w:r>
        <w:rPr>
          <w:spacing w:val="-24"/>
        </w:rPr>
        <w:t> </w:t>
      </w:r>
      <w:r>
        <w:rPr/>
        <w:t>of</w:t>
      </w:r>
      <w:r>
        <w:rPr>
          <w:spacing w:val="-23"/>
        </w:rPr>
        <w:t> </w:t>
      </w:r>
      <w:r>
        <w:rPr/>
        <w:t>land</w:t>
      </w:r>
      <w:r>
        <w:rPr>
          <w:spacing w:val="-24"/>
        </w:rPr>
        <w:t> </w:t>
      </w:r>
      <w:r>
        <w:rPr/>
        <w:t>and</w:t>
      </w:r>
      <w:r>
        <w:rPr>
          <w:spacing w:val="-24"/>
        </w:rPr>
        <w:t> </w:t>
      </w:r>
      <w:r>
        <w:rPr/>
        <w:t>buildings</w:t>
      </w:r>
      <w:r>
        <w:rPr>
          <w:spacing w:val="-24"/>
        </w:rPr>
        <w:t> </w:t>
      </w:r>
      <w:r>
        <w:rPr/>
        <w:t>to</w:t>
      </w:r>
      <w:r>
        <w:rPr>
          <w:spacing w:val="-24"/>
        </w:rPr>
        <w:t> </w:t>
      </w:r>
      <w:r>
        <w:rPr>
          <w:spacing w:val="-8"/>
        </w:rPr>
        <w:t>be </w:t>
      </w:r>
      <w:r>
        <w:rPr/>
        <w:t>categorised</w:t>
      </w:r>
      <w:r>
        <w:rPr>
          <w:spacing w:val="-26"/>
        </w:rPr>
        <w:t> </w:t>
      </w:r>
      <w:r>
        <w:rPr/>
        <w:t>within</w:t>
      </w:r>
      <w:r>
        <w:rPr>
          <w:spacing w:val="-25"/>
        </w:rPr>
        <w:t> </w:t>
      </w:r>
      <w:r>
        <w:rPr/>
        <w:t>Level</w:t>
      </w:r>
      <w:r>
        <w:rPr>
          <w:spacing w:val="-25"/>
        </w:rPr>
        <w:t> </w:t>
      </w:r>
      <w:r>
        <w:rPr/>
        <w:t>3</w:t>
      </w:r>
      <w:r>
        <w:rPr>
          <w:spacing w:val="-26"/>
        </w:rPr>
        <w:t> </w:t>
      </w:r>
      <w:r>
        <w:rPr/>
        <w:t>where</w:t>
      </w:r>
      <w:r>
        <w:rPr>
          <w:spacing w:val="-25"/>
        </w:rPr>
        <w:t> </w:t>
      </w:r>
      <w:r>
        <w:rPr/>
        <w:t>the</w:t>
      </w:r>
      <w:r>
        <w:rPr>
          <w:spacing w:val="-25"/>
        </w:rPr>
        <w:t> </w:t>
      </w:r>
      <w:r>
        <w:rPr/>
        <w:t>valuations</w:t>
      </w:r>
      <w:r>
        <w:rPr>
          <w:spacing w:val="-26"/>
        </w:rPr>
        <w:t> </w:t>
      </w:r>
      <w:r>
        <w:rPr/>
        <w:t>will</w:t>
      </w:r>
      <w:r>
        <w:rPr>
          <w:spacing w:val="-25"/>
        </w:rPr>
        <w:t> </w:t>
      </w:r>
      <w:r>
        <w:rPr/>
        <w:t>utilise</w:t>
      </w:r>
      <w:r>
        <w:rPr>
          <w:spacing w:val="-25"/>
        </w:rPr>
        <w:t> </w:t>
      </w:r>
      <w:r>
        <w:rPr/>
        <w:t>significant</w:t>
      </w:r>
      <w:r>
        <w:rPr>
          <w:spacing w:val="-26"/>
        </w:rPr>
        <w:t> </w:t>
      </w:r>
      <w:r>
        <w:rPr/>
        <w:t>Level</w:t>
      </w:r>
      <w:r>
        <w:rPr>
          <w:spacing w:val="-25"/>
        </w:rPr>
        <w:t> </w:t>
      </w:r>
      <w:r>
        <w:rPr/>
        <w:t>3 inputs on a recurring</w:t>
      </w:r>
      <w:r>
        <w:rPr>
          <w:spacing w:val="-5"/>
        </w:rPr>
        <w:t> </w:t>
      </w:r>
      <w:r>
        <w:rPr/>
        <w:t>basis.</w:t>
      </w:r>
    </w:p>
    <w:p>
      <w:pPr>
        <w:pStyle w:val="BodyText"/>
        <w:spacing w:before="5"/>
        <w:rPr>
          <w:sz w:val="23"/>
        </w:rPr>
      </w:pPr>
    </w:p>
    <w:p>
      <w:pPr>
        <w:spacing w:before="0"/>
        <w:ind w:left="765" w:right="0" w:firstLine="0"/>
        <w:jc w:val="left"/>
        <w:rPr>
          <w:i/>
          <w:sz w:val="22"/>
        </w:rPr>
      </w:pPr>
      <w:r>
        <w:rPr>
          <w:i/>
          <w:color w:val="6F2770"/>
          <w:sz w:val="22"/>
        </w:rPr>
        <w:t>Land (Level 3 fair values)</w:t>
      </w:r>
    </w:p>
    <w:p>
      <w:pPr>
        <w:pStyle w:val="BodyText"/>
        <w:spacing w:line="249" w:lineRule="auto" w:before="11"/>
        <w:ind w:left="765" w:right="-16"/>
      </w:pPr>
      <w:r>
        <w:rPr/>
        <w:t>Fair value for restricted use land is based on comparison with market evidence</w:t>
      </w:r>
      <w:r>
        <w:rPr>
          <w:spacing w:val="-22"/>
        </w:rPr>
        <w:t> </w:t>
      </w:r>
      <w:r>
        <w:rPr/>
        <w:t>for</w:t>
      </w:r>
      <w:r>
        <w:rPr>
          <w:spacing w:val="-21"/>
        </w:rPr>
        <w:t> </w:t>
      </w:r>
      <w:r>
        <w:rPr/>
        <w:t>land</w:t>
      </w:r>
      <w:r>
        <w:rPr>
          <w:spacing w:val="-22"/>
        </w:rPr>
        <w:t> </w:t>
      </w:r>
      <w:r>
        <w:rPr/>
        <w:t>with</w:t>
      </w:r>
      <w:r>
        <w:rPr>
          <w:spacing w:val="-21"/>
        </w:rPr>
        <w:t> </w:t>
      </w:r>
      <w:r>
        <w:rPr/>
        <w:t>low</w:t>
      </w:r>
      <w:r>
        <w:rPr>
          <w:spacing w:val="-22"/>
        </w:rPr>
        <w:t> </w:t>
      </w:r>
      <w:r>
        <w:rPr/>
        <w:t>level</w:t>
      </w:r>
      <w:r>
        <w:rPr>
          <w:spacing w:val="-21"/>
        </w:rPr>
        <w:t> </w:t>
      </w:r>
      <w:r>
        <w:rPr/>
        <w:t>utility</w:t>
      </w:r>
      <w:r>
        <w:rPr>
          <w:spacing w:val="-22"/>
        </w:rPr>
        <w:t> </w:t>
      </w:r>
      <w:r>
        <w:rPr/>
        <w:t>(high</w:t>
      </w:r>
      <w:r>
        <w:rPr>
          <w:spacing w:val="-21"/>
        </w:rPr>
        <w:t> </w:t>
      </w:r>
      <w:r>
        <w:rPr/>
        <w:t>restricted</w:t>
      </w:r>
      <w:r>
        <w:rPr>
          <w:spacing w:val="-22"/>
        </w:rPr>
        <w:t> </w:t>
      </w:r>
      <w:r>
        <w:rPr/>
        <w:t>use</w:t>
      </w:r>
      <w:r>
        <w:rPr>
          <w:spacing w:val="-21"/>
        </w:rPr>
        <w:t> </w:t>
      </w:r>
      <w:r>
        <w:rPr/>
        <w:t>land).</w:t>
      </w:r>
      <w:r>
        <w:rPr>
          <w:spacing w:val="-22"/>
        </w:rPr>
        <w:t> </w:t>
      </w:r>
      <w:r>
        <w:rPr/>
        <w:t>The</w:t>
      </w:r>
      <w:r>
        <w:rPr>
          <w:spacing w:val="-21"/>
        </w:rPr>
        <w:t> </w:t>
      </w:r>
      <w:r>
        <w:rPr/>
        <w:t>relevant comparators</w:t>
      </w:r>
      <w:r>
        <w:rPr>
          <w:spacing w:val="-22"/>
        </w:rPr>
        <w:t> </w:t>
      </w:r>
      <w:r>
        <w:rPr/>
        <w:t>of</w:t>
      </w:r>
      <w:r>
        <w:rPr>
          <w:spacing w:val="-22"/>
        </w:rPr>
        <w:t> </w:t>
      </w:r>
      <w:r>
        <w:rPr/>
        <w:t>land</w:t>
      </w:r>
      <w:r>
        <w:rPr>
          <w:spacing w:val="-22"/>
        </w:rPr>
        <w:t> </w:t>
      </w:r>
      <w:r>
        <w:rPr/>
        <w:t>with</w:t>
      </w:r>
      <w:r>
        <w:rPr>
          <w:spacing w:val="-22"/>
        </w:rPr>
        <w:t> </w:t>
      </w:r>
      <w:r>
        <w:rPr/>
        <w:t>low</w:t>
      </w:r>
      <w:r>
        <w:rPr>
          <w:spacing w:val="-22"/>
        </w:rPr>
        <w:t> </w:t>
      </w:r>
      <w:r>
        <w:rPr/>
        <w:t>level</w:t>
      </w:r>
      <w:r>
        <w:rPr>
          <w:spacing w:val="-22"/>
        </w:rPr>
        <w:t> </w:t>
      </w:r>
      <w:r>
        <w:rPr/>
        <w:t>utility</w:t>
      </w:r>
      <w:r>
        <w:rPr>
          <w:spacing w:val="-22"/>
        </w:rPr>
        <w:t> </w:t>
      </w:r>
      <w:r>
        <w:rPr/>
        <w:t>is</w:t>
      </w:r>
      <w:r>
        <w:rPr>
          <w:spacing w:val="-22"/>
        </w:rPr>
        <w:t> </w:t>
      </w:r>
      <w:r>
        <w:rPr/>
        <w:t>selected</w:t>
      </w:r>
      <w:r>
        <w:rPr>
          <w:spacing w:val="-22"/>
        </w:rPr>
        <w:t> </w:t>
      </w:r>
      <w:r>
        <w:rPr/>
        <w:t>by</w:t>
      </w:r>
      <w:r>
        <w:rPr>
          <w:spacing w:val="-22"/>
        </w:rPr>
        <w:t> </w:t>
      </w:r>
      <w:r>
        <w:rPr/>
        <w:t>the</w:t>
      </w:r>
      <w:r>
        <w:rPr>
          <w:spacing w:val="-22"/>
        </w:rPr>
        <w:t> </w:t>
      </w:r>
      <w:r>
        <w:rPr/>
        <w:t>Western</w:t>
      </w:r>
      <w:r>
        <w:rPr>
          <w:spacing w:val="-22"/>
        </w:rPr>
        <w:t> </w:t>
      </w:r>
      <w:r>
        <w:rPr/>
        <w:t>Australian Land</w:t>
      </w:r>
      <w:r>
        <w:rPr>
          <w:spacing w:val="-40"/>
        </w:rPr>
        <w:t> </w:t>
      </w:r>
      <w:r>
        <w:rPr/>
        <w:t>Information</w:t>
      </w:r>
      <w:r>
        <w:rPr>
          <w:spacing w:val="-40"/>
        </w:rPr>
        <w:t> </w:t>
      </w:r>
      <w:r>
        <w:rPr/>
        <w:t>Authority</w:t>
      </w:r>
      <w:r>
        <w:rPr>
          <w:spacing w:val="-39"/>
        </w:rPr>
        <w:t> </w:t>
      </w:r>
      <w:r>
        <w:rPr/>
        <w:t>(Valuations</w:t>
      </w:r>
      <w:r>
        <w:rPr>
          <w:spacing w:val="-40"/>
        </w:rPr>
        <w:t> </w:t>
      </w:r>
      <w:r>
        <w:rPr/>
        <w:t>and</w:t>
      </w:r>
      <w:r>
        <w:rPr>
          <w:spacing w:val="-40"/>
        </w:rPr>
        <w:t> </w:t>
      </w:r>
      <w:r>
        <w:rPr/>
        <w:t>Property</w:t>
      </w:r>
      <w:r>
        <w:rPr>
          <w:spacing w:val="-39"/>
        </w:rPr>
        <w:t> </w:t>
      </w:r>
      <w:r>
        <w:rPr/>
        <w:t>Analytics)</w:t>
      </w:r>
      <w:r>
        <w:rPr>
          <w:spacing w:val="-40"/>
        </w:rPr>
        <w:t> </w:t>
      </w:r>
      <w:r>
        <w:rPr/>
        <w:t>and</w:t>
      </w:r>
      <w:r>
        <w:rPr>
          <w:spacing w:val="-39"/>
        </w:rPr>
        <w:t> </w:t>
      </w:r>
      <w:r>
        <w:rPr/>
        <w:t>represents the</w:t>
      </w:r>
      <w:r>
        <w:rPr>
          <w:spacing w:val="-15"/>
        </w:rPr>
        <w:t> </w:t>
      </w:r>
      <w:r>
        <w:rPr/>
        <w:t>application</w:t>
      </w:r>
      <w:r>
        <w:rPr>
          <w:spacing w:val="-14"/>
        </w:rPr>
        <w:t> </w:t>
      </w:r>
      <w:r>
        <w:rPr/>
        <w:t>of</w:t>
      </w:r>
      <w:r>
        <w:rPr>
          <w:spacing w:val="-15"/>
        </w:rPr>
        <w:t> </w:t>
      </w:r>
      <w:r>
        <w:rPr/>
        <w:t>a</w:t>
      </w:r>
      <w:r>
        <w:rPr>
          <w:spacing w:val="-14"/>
        </w:rPr>
        <w:t> </w:t>
      </w:r>
      <w:r>
        <w:rPr/>
        <w:t>significant</w:t>
      </w:r>
      <w:r>
        <w:rPr>
          <w:spacing w:val="-14"/>
        </w:rPr>
        <w:t> </w:t>
      </w:r>
      <w:r>
        <w:rPr/>
        <w:t>Level</w:t>
      </w:r>
      <w:r>
        <w:rPr>
          <w:spacing w:val="-15"/>
        </w:rPr>
        <w:t> </w:t>
      </w:r>
      <w:r>
        <w:rPr/>
        <w:t>3</w:t>
      </w:r>
      <w:r>
        <w:rPr>
          <w:spacing w:val="-14"/>
        </w:rPr>
        <w:t> </w:t>
      </w:r>
      <w:r>
        <w:rPr/>
        <w:t>input</w:t>
      </w:r>
      <w:r>
        <w:rPr>
          <w:spacing w:val="-14"/>
        </w:rPr>
        <w:t> </w:t>
      </w:r>
      <w:r>
        <w:rPr/>
        <w:t>in</w:t>
      </w:r>
      <w:r>
        <w:rPr>
          <w:spacing w:val="-15"/>
        </w:rPr>
        <w:t> </w:t>
      </w:r>
      <w:r>
        <w:rPr/>
        <w:t>this</w:t>
      </w:r>
      <w:r>
        <w:rPr>
          <w:spacing w:val="-14"/>
        </w:rPr>
        <w:t> </w:t>
      </w:r>
      <w:r>
        <w:rPr/>
        <w:t>valuation</w:t>
      </w:r>
      <w:r>
        <w:rPr>
          <w:spacing w:val="-14"/>
        </w:rPr>
        <w:t> </w:t>
      </w:r>
      <w:r>
        <w:rPr/>
        <w:t>methodology.</w:t>
      </w:r>
    </w:p>
    <w:p>
      <w:pPr>
        <w:pStyle w:val="BodyText"/>
        <w:spacing w:line="249" w:lineRule="auto" w:before="4"/>
        <w:ind w:left="765" w:right="47"/>
      </w:pPr>
      <w:r>
        <w:rPr/>
        <w:t>The fair value measurement is sensitive to values of comparator land, with higher</w:t>
      </w:r>
      <w:r>
        <w:rPr>
          <w:spacing w:val="-26"/>
        </w:rPr>
        <w:t> </w:t>
      </w:r>
      <w:r>
        <w:rPr/>
        <w:t>values</w:t>
      </w:r>
      <w:r>
        <w:rPr>
          <w:spacing w:val="-26"/>
        </w:rPr>
        <w:t> </w:t>
      </w:r>
      <w:r>
        <w:rPr/>
        <w:t>of</w:t>
      </w:r>
      <w:r>
        <w:rPr>
          <w:spacing w:val="-26"/>
        </w:rPr>
        <w:t> </w:t>
      </w:r>
      <w:r>
        <w:rPr/>
        <w:t>comparator</w:t>
      </w:r>
      <w:r>
        <w:rPr>
          <w:spacing w:val="-26"/>
        </w:rPr>
        <w:t> </w:t>
      </w:r>
      <w:r>
        <w:rPr/>
        <w:t>land</w:t>
      </w:r>
      <w:r>
        <w:rPr>
          <w:spacing w:val="-25"/>
        </w:rPr>
        <w:t> </w:t>
      </w:r>
      <w:r>
        <w:rPr/>
        <w:t>correlating</w:t>
      </w:r>
      <w:r>
        <w:rPr>
          <w:spacing w:val="-26"/>
        </w:rPr>
        <w:t> </w:t>
      </w:r>
      <w:r>
        <w:rPr/>
        <w:t>with</w:t>
      </w:r>
      <w:r>
        <w:rPr>
          <w:spacing w:val="-26"/>
        </w:rPr>
        <w:t> </w:t>
      </w:r>
      <w:r>
        <w:rPr/>
        <w:t>higher</w:t>
      </w:r>
      <w:r>
        <w:rPr>
          <w:spacing w:val="-26"/>
        </w:rPr>
        <w:t> </w:t>
      </w:r>
      <w:r>
        <w:rPr/>
        <w:t>estimated</w:t>
      </w:r>
      <w:r>
        <w:rPr>
          <w:spacing w:val="-25"/>
        </w:rPr>
        <w:t> </w:t>
      </w:r>
      <w:r>
        <w:rPr/>
        <w:t>fair</w:t>
      </w:r>
      <w:r>
        <w:rPr>
          <w:spacing w:val="-26"/>
        </w:rPr>
        <w:t> </w:t>
      </w:r>
      <w:r>
        <w:rPr>
          <w:spacing w:val="-3"/>
        </w:rPr>
        <w:t>values </w:t>
      </w:r>
      <w:r>
        <w:rPr/>
        <w:t>of</w:t>
      </w:r>
      <w:r>
        <w:rPr>
          <w:spacing w:val="-1"/>
        </w:rPr>
        <w:t> </w:t>
      </w:r>
      <w:r>
        <w:rPr/>
        <w:t>land.</w:t>
      </w:r>
    </w:p>
    <w:p>
      <w:pPr>
        <w:pStyle w:val="BodyText"/>
        <w:spacing w:before="2"/>
        <w:rPr>
          <w:sz w:val="23"/>
        </w:rPr>
      </w:pPr>
    </w:p>
    <w:p>
      <w:pPr>
        <w:spacing w:before="1"/>
        <w:ind w:left="765" w:right="0" w:firstLine="0"/>
        <w:jc w:val="left"/>
        <w:rPr>
          <w:i/>
          <w:sz w:val="22"/>
        </w:rPr>
      </w:pPr>
      <w:r>
        <w:rPr>
          <w:i/>
          <w:color w:val="6F2770"/>
          <w:sz w:val="22"/>
        </w:rPr>
        <w:t>Buildings (Level 3 fair values)</w:t>
      </w:r>
    </w:p>
    <w:p>
      <w:pPr>
        <w:pStyle w:val="BodyText"/>
        <w:spacing w:line="249" w:lineRule="auto" w:before="11"/>
        <w:ind w:left="765" w:right="284"/>
      </w:pPr>
      <w:r>
        <w:rPr/>
        <w:t>Fair</w:t>
      </w:r>
      <w:r>
        <w:rPr>
          <w:spacing w:val="-28"/>
        </w:rPr>
        <w:t> </w:t>
      </w:r>
      <w:r>
        <w:rPr/>
        <w:t>value</w:t>
      </w:r>
      <w:r>
        <w:rPr>
          <w:spacing w:val="-28"/>
        </w:rPr>
        <w:t> </w:t>
      </w:r>
      <w:r>
        <w:rPr/>
        <w:t>for</w:t>
      </w:r>
      <w:r>
        <w:rPr>
          <w:spacing w:val="-28"/>
        </w:rPr>
        <w:t> </w:t>
      </w:r>
      <w:r>
        <w:rPr/>
        <w:t>existing</w:t>
      </w:r>
      <w:r>
        <w:rPr>
          <w:spacing w:val="-28"/>
        </w:rPr>
        <w:t> </w:t>
      </w:r>
      <w:r>
        <w:rPr/>
        <w:t>use</w:t>
      </w:r>
      <w:r>
        <w:rPr>
          <w:spacing w:val="-28"/>
        </w:rPr>
        <w:t> </w:t>
      </w:r>
      <w:r>
        <w:rPr/>
        <w:t>specialised</w:t>
      </w:r>
      <w:r>
        <w:rPr>
          <w:spacing w:val="-28"/>
        </w:rPr>
        <w:t> </w:t>
      </w:r>
      <w:r>
        <w:rPr/>
        <w:t>buildings</w:t>
      </w:r>
      <w:r>
        <w:rPr>
          <w:spacing w:val="-27"/>
        </w:rPr>
        <w:t> </w:t>
      </w:r>
      <w:r>
        <w:rPr/>
        <w:t>is</w:t>
      </w:r>
      <w:r>
        <w:rPr>
          <w:spacing w:val="-28"/>
        </w:rPr>
        <w:t> </w:t>
      </w:r>
      <w:r>
        <w:rPr/>
        <w:t>determined</w:t>
      </w:r>
      <w:r>
        <w:rPr>
          <w:spacing w:val="-28"/>
        </w:rPr>
        <w:t> </w:t>
      </w:r>
      <w:r>
        <w:rPr/>
        <w:t>by</w:t>
      </w:r>
      <w:r>
        <w:rPr>
          <w:spacing w:val="-28"/>
        </w:rPr>
        <w:t> </w:t>
      </w:r>
      <w:r>
        <w:rPr/>
        <w:t>reference to</w:t>
      </w:r>
      <w:r>
        <w:rPr>
          <w:spacing w:val="-16"/>
        </w:rPr>
        <w:t> </w:t>
      </w:r>
      <w:r>
        <w:rPr/>
        <w:t>the</w:t>
      </w:r>
      <w:r>
        <w:rPr>
          <w:spacing w:val="-16"/>
        </w:rPr>
        <w:t> </w:t>
      </w:r>
      <w:r>
        <w:rPr/>
        <w:t>cost</w:t>
      </w:r>
      <w:r>
        <w:rPr>
          <w:spacing w:val="-15"/>
        </w:rPr>
        <w:t> </w:t>
      </w:r>
      <w:r>
        <w:rPr/>
        <w:t>of</w:t>
      </w:r>
      <w:r>
        <w:rPr>
          <w:spacing w:val="-16"/>
        </w:rPr>
        <w:t> </w:t>
      </w:r>
      <w:r>
        <w:rPr/>
        <w:t>replacing</w:t>
      </w:r>
      <w:r>
        <w:rPr>
          <w:spacing w:val="-15"/>
        </w:rPr>
        <w:t> </w:t>
      </w:r>
      <w:r>
        <w:rPr/>
        <w:t>the</w:t>
      </w:r>
      <w:r>
        <w:rPr>
          <w:spacing w:val="-16"/>
        </w:rPr>
        <w:t> </w:t>
      </w:r>
      <w:r>
        <w:rPr/>
        <w:t>remaining</w:t>
      </w:r>
      <w:r>
        <w:rPr>
          <w:spacing w:val="-15"/>
        </w:rPr>
        <w:t> </w:t>
      </w:r>
      <w:r>
        <w:rPr/>
        <w:t>future</w:t>
      </w:r>
      <w:r>
        <w:rPr>
          <w:spacing w:val="-16"/>
        </w:rPr>
        <w:t> </w:t>
      </w:r>
      <w:r>
        <w:rPr/>
        <w:t>economic</w:t>
      </w:r>
      <w:r>
        <w:rPr>
          <w:spacing w:val="-15"/>
        </w:rPr>
        <w:t> </w:t>
      </w:r>
      <w:r>
        <w:rPr/>
        <w:t>benefits</w:t>
      </w:r>
      <w:r>
        <w:rPr>
          <w:spacing w:val="-16"/>
        </w:rPr>
        <w:t> </w:t>
      </w:r>
      <w:r>
        <w:rPr/>
        <w:t>embodied in</w:t>
      </w:r>
      <w:r>
        <w:rPr>
          <w:spacing w:val="-18"/>
        </w:rPr>
        <w:t> </w:t>
      </w:r>
      <w:r>
        <w:rPr/>
        <w:t>the</w:t>
      </w:r>
      <w:r>
        <w:rPr>
          <w:spacing w:val="-18"/>
        </w:rPr>
        <w:t> </w:t>
      </w:r>
      <w:r>
        <w:rPr/>
        <w:t>asset,</w:t>
      </w:r>
      <w:r>
        <w:rPr>
          <w:spacing w:val="-18"/>
        </w:rPr>
        <w:t> </w:t>
      </w:r>
      <w:r>
        <w:rPr/>
        <w:t>i.e.</w:t>
      </w:r>
      <w:r>
        <w:rPr>
          <w:spacing w:val="-17"/>
        </w:rPr>
        <w:t> </w:t>
      </w:r>
      <w:r>
        <w:rPr/>
        <w:t>the</w:t>
      </w:r>
      <w:r>
        <w:rPr>
          <w:spacing w:val="-18"/>
        </w:rPr>
        <w:t> </w:t>
      </w:r>
      <w:r>
        <w:rPr/>
        <w:t>current</w:t>
      </w:r>
      <w:r>
        <w:rPr>
          <w:spacing w:val="-18"/>
        </w:rPr>
        <w:t> </w:t>
      </w:r>
      <w:r>
        <w:rPr/>
        <w:t>replacement</w:t>
      </w:r>
      <w:r>
        <w:rPr>
          <w:spacing w:val="-17"/>
        </w:rPr>
        <w:t> </w:t>
      </w:r>
      <w:r>
        <w:rPr/>
        <w:t>cost.</w:t>
      </w:r>
      <w:r>
        <w:rPr>
          <w:spacing w:val="-18"/>
        </w:rPr>
        <w:t> </w:t>
      </w:r>
      <w:r>
        <w:rPr/>
        <w:t>Current</w:t>
      </w:r>
      <w:r>
        <w:rPr>
          <w:spacing w:val="-18"/>
        </w:rPr>
        <w:t> </w:t>
      </w:r>
      <w:r>
        <w:rPr/>
        <w:t>replacement</w:t>
      </w:r>
      <w:r>
        <w:rPr>
          <w:spacing w:val="-17"/>
        </w:rPr>
        <w:t> </w:t>
      </w:r>
      <w:r>
        <w:rPr/>
        <w:t>cost</w:t>
      </w:r>
      <w:r>
        <w:rPr>
          <w:spacing w:val="-18"/>
        </w:rPr>
        <w:t> </w:t>
      </w:r>
      <w:r>
        <w:rPr>
          <w:spacing w:val="-9"/>
        </w:rPr>
        <w:t>is </w:t>
      </w:r>
      <w:r>
        <w:rPr/>
        <w:t>generally</w:t>
      </w:r>
      <w:r>
        <w:rPr>
          <w:spacing w:val="-24"/>
        </w:rPr>
        <w:t> </w:t>
      </w:r>
      <w:r>
        <w:rPr/>
        <w:t>determined</w:t>
      </w:r>
      <w:r>
        <w:rPr>
          <w:spacing w:val="-23"/>
        </w:rPr>
        <w:t> </w:t>
      </w:r>
      <w:r>
        <w:rPr/>
        <w:t>by</w:t>
      </w:r>
      <w:r>
        <w:rPr>
          <w:spacing w:val="-23"/>
        </w:rPr>
        <w:t> </w:t>
      </w:r>
      <w:r>
        <w:rPr/>
        <w:t>reference</w:t>
      </w:r>
      <w:r>
        <w:rPr>
          <w:spacing w:val="-24"/>
        </w:rPr>
        <w:t> </w:t>
      </w:r>
      <w:r>
        <w:rPr/>
        <w:t>to</w:t>
      </w:r>
      <w:r>
        <w:rPr>
          <w:spacing w:val="-23"/>
        </w:rPr>
        <w:t> </w:t>
      </w:r>
      <w:r>
        <w:rPr/>
        <w:t>the</w:t>
      </w:r>
      <w:r>
        <w:rPr>
          <w:spacing w:val="-23"/>
        </w:rPr>
        <w:t> </w:t>
      </w:r>
      <w:r>
        <w:rPr/>
        <w:t>market</w:t>
      </w:r>
      <w:r>
        <w:rPr>
          <w:spacing w:val="-23"/>
        </w:rPr>
        <w:t> </w:t>
      </w:r>
      <w:r>
        <w:rPr/>
        <w:t>observable</w:t>
      </w:r>
      <w:r>
        <w:rPr>
          <w:spacing w:val="-24"/>
        </w:rPr>
        <w:t> </w:t>
      </w:r>
      <w:r>
        <w:rPr/>
        <w:t>replacement cost</w:t>
      </w:r>
      <w:r>
        <w:rPr>
          <w:spacing w:val="-13"/>
        </w:rPr>
        <w:t> </w:t>
      </w:r>
      <w:r>
        <w:rPr/>
        <w:t>of</w:t>
      </w:r>
      <w:r>
        <w:rPr>
          <w:spacing w:val="-12"/>
        </w:rPr>
        <w:t> </w:t>
      </w:r>
      <w:r>
        <w:rPr/>
        <w:t>a</w:t>
      </w:r>
      <w:r>
        <w:rPr>
          <w:spacing w:val="-12"/>
        </w:rPr>
        <w:t> </w:t>
      </w:r>
      <w:r>
        <w:rPr/>
        <w:t>substitute</w:t>
      </w:r>
      <w:r>
        <w:rPr>
          <w:spacing w:val="-12"/>
        </w:rPr>
        <w:t> </w:t>
      </w:r>
      <w:r>
        <w:rPr/>
        <w:t>asset</w:t>
      </w:r>
      <w:r>
        <w:rPr>
          <w:spacing w:val="-12"/>
        </w:rPr>
        <w:t> </w:t>
      </w:r>
      <w:r>
        <w:rPr/>
        <w:t>of</w:t>
      </w:r>
      <w:r>
        <w:rPr>
          <w:spacing w:val="-12"/>
        </w:rPr>
        <w:t> </w:t>
      </w:r>
      <w:r>
        <w:rPr/>
        <w:t>comparable</w:t>
      </w:r>
      <w:r>
        <w:rPr>
          <w:spacing w:val="-12"/>
        </w:rPr>
        <w:t> </w:t>
      </w:r>
      <w:r>
        <w:rPr/>
        <w:t>utility</w:t>
      </w:r>
      <w:r>
        <w:rPr>
          <w:spacing w:val="-12"/>
        </w:rPr>
        <w:t> </w:t>
      </w:r>
      <w:r>
        <w:rPr/>
        <w:t>and</w:t>
      </w:r>
      <w:r>
        <w:rPr>
          <w:spacing w:val="-12"/>
        </w:rPr>
        <w:t> </w:t>
      </w:r>
      <w:r>
        <w:rPr/>
        <w:t>the</w:t>
      </w:r>
      <w:r>
        <w:rPr>
          <w:spacing w:val="-12"/>
        </w:rPr>
        <w:t> </w:t>
      </w:r>
      <w:r>
        <w:rPr/>
        <w:t>gross</w:t>
      </w:r>
      <w:r>
        <w:rPr>
          <w:spacing w:val="-12"/>
        </w:rPr>
        <w:t> </w:t>
      </w:r>
      <w:r>
        <w:rPr/>
        <w:t>project</w:t>
      </w:r>
      <w:r>
        <w:rPr>
          <w:spacing w:val="-12"/>
        </w:rPr>
        <w:t> </w:t>
      </w:r>
      <w:r>
        <w:rPr/>
        <w:t>size specifications, adjusted for obsolescence. Obsolescence encompasses physical deterioration, functional (technological) obsolescence and economic (external)</w:t>
      </w:r>
      <w:r>
        <w:rPr>
          <w:spacing w:val="-4"/>
        </w:rPr>
        <w:t> </w:t>
      </w:r>
      <w:r>
        <w:rPr/>
        <w:t>obsolescence.</w:t>
      </w:r>
    </w:p>
    <w:p>
      <w:pPr>
        <w:pStyle w:val="BodyText"/>
        <w:spacing w:line="249" w:lineRule="auto" w:before="108"/>
        <w:ind w:left="532" w:right="979"/>
      </w:pPr>
      <w:r>
        <w:rPr/>
        <w:br w:type="column"/>
      </w:r>
      <w:r>
        <w:rPr/>
        <w:t>Valuation</w:t>
      </w:r>
      <w:r>
        <w:rPr>
          <w:spacing w:val="-27"/>
        </w:rPr>
        <w:t> </w:t>
      </w:r>
      <w:r>
        <w:rPr/>
        <w:t>using</w:t>
      </w:r>
      <w:r>
        <w:rPr>
          <w:spacing w:val="-27"/>
        </w:rPr>
        <w:t> </w:t>
      </w:r>
      <w:r>
        <w:rPr/>
        <w:t>current</w:t>
      </w:r>
      <w:r>
        <w:rPr>
          <w:spacing w:val="-27"/>
        </w:rPr>
        <w:t> </w:t>
      </w:r>
      <w:r>
        <w:rPr/>
        <w:t>replacement</w:t>
      </w:r>
      <w:r>
        <w:rPr>
          <w:spacing w:val="-27"/>
        </w:rPr>
        <w:t> </w:t>
      </w:r>
      <w:r>
        <w:rPr/>
        <w:t>cost</w:t>
      </w:r>
      <w:r>
        <w:rPr>
          <w:spacing w:val="-27"/>
        </w:rPr>
        <w:t> </w:t>
      </w:r>
      <w:r>
        <w:rPr/>
        <w:t>utilises</w:t>
      </w:r>
      <w:r>
        <w:rPr>
          <w:spacing w:val="-27"/>
        </w:rPr>
        <w:t> </w:t>
      </w:r>
      <w:r>
        <w:rPr/>
        <w:t>the</w:t>
      </w:r>
      <w:r>
        <w:rPr>
          <w:spacing w:val="-27"/>
        </w:rPr>
        <w:t> </w:t>
      </w:r>
      <w:r>
        <w:rPr/>
        <w:t>significant</w:t>
      </w:r>
      <w:r>
        <w:rPr>
          <w:spacing w:val="-27"/>
        </w:rPr>
        <w:t> </w:t>
      </w:r>
      <w:r>
        <w:rPr/>
        <w:t>Level</w:t>
      </w:r>
      <w:r>
        <w:rPr>
          <w:spacing w:val="-26"/>
        </w:rPr>
        <w:t> </w:t>
      </w:r>
      <w:r>
        <w:rPr/>
        <w:t>3</w:t>
      </w:r>
      <w:r>
        <w:rPr>
          <w:spacing w:val="-27"/>
        </w:rPr>
        <w:t> </w:t>
      </w:r>
      <w:r>
        <w:rPr>
          <w:spacing w:val="-3"/>
        </w:rPr>
        <w:t>input, </w:t>
      </w:r>
      <w:r>
        <w:rPr/>
        <w:t>consumed economic benefit/obsolescence of asset which is estimated by the</w:t>
      </w:r>
      <w:r>
        <w:rPr>
          <w:spacing w:val="-29"/>
        </w:rPr>
        <w:t> </w:t>
      </w:r>
      <w:r>
        <w:rPr/>
        <w:t>Western</w:t>
      </w:r>
      <w:r>
        <w:rPr>
          <w:spacing w:val="-28"/>
        </w:rPr>
        <w:t> </w:t>
      </w:r>
      <w:r>
        <w:rPr/>
        <w:t>Australian</w:t>
      </w:r>
      <w:r>
        <w:rPr>
          <w:spacing w:val="-28"/>
        </w:rPr>
        <w:t> </w:t>
      </w:r>
      <w:r>
        <w:rPr/>
        <w:t>Land</w:t>
      </w:r>
      <w:r>
        <w:rPr>
          <w:spacing w:val="-28"/>
        </w:rPr>
        <w:t> </w:t>
      </w:r>
      <w:r>
        <w:rPr/>
        <w:t>Information</w:t>
      </w:r>
      <w:r>
        <w:rPr>
          <w:spacing w:val="-28"/>
        </w:rPr>
        <w:t> </w:t>
      </w:r>
      <w:r>
        <w:rPr/>
        <w:t>Authority</w:t>
      </w:r>
      <w:r>
        <w:rPr>
          <w:spacing w:val="-28"/>
        </w:rPr>
        <w:t> </w:t>
      </w:r>
      <w:r>
        <w:rPr/>
        <w:t>(Valuations</w:t>
      </w:r>
      <w:r>
        <w:rPr>
          <w:spacing w:val="-28"/>
        </w:rPr>
        <w:t> </w:t>
      </w:r>
      <w:r>
        <w:rPr/>
        <w:t>and</w:t>
      </w:r>
      <w:r>
        <w:rPr>
          <w:spacing w:val="-28"/>
        </w:rPr>
        <w:t> </w:t>
      </w:r>
      <w:r>
        <w:rPr/>
        <w:t>Property Analytics). The fair value measurement is sensitive to the estimate of consumption/obsolescence, with higher values of the estimate correlating with lower estimated fair values of</w:t>
      </w:r>
      <w:r>
        <w:rPr>
          <w:spacing w:val="-16"/>
        </w:rPr>
        <w:t> </w:t>
      </w:r>
      <w:r>
        <w:rPr/>
        <w:t>buildings.</w:t>
      </w:r>
    </w:p>
    <w:p>
      <w:pPr>
        <w:pStyle w:val="BodyText"/>
        <w:spacing w:before="5"/>
        <w:rPr>
          <w:sz w:val="23"/>
        </w:rPr>
      </w:pPr>
    </w:p>
    <w:p>
      <w:pPr>
        <w:pStyle w:val="Heading6"/>
        <w:ind w:left="532"/>
      </w:pPr>
      <w:r>
        <w:rPr/>
        <w:t>Basis of Valuation</w:t>
      </w:r>
    </w:p>
    <w:p>
      <w:pPr>
        <w:pStyle w:val="BodyText"/>
        <w:spacing w:line="249" w:lineRule="auto" w:before="11"/>
        <w:ind w:left="532" w:right="861"/>
        <w:jc w:val="both"/>
      </w:pPr>
      <w:r>
        <w:rPr/>
        <w:t>In</w:t>
      </w:r>
      <w:r>
        <w:rPr>
          <w:spacing w:val="-24"/>
        </w:rPr>
        <w:t> </w:t>
      </w:r>
      <w:r>
        <w:rPr>
          <w:spacing w:val="-3"/>
        </w:rPr>
        <w:t>the</w:t>
      </w:r>
      <w:r>
        <w:rPr>
          <w:spacing w:val="-23"/>
        </w:rPr>
        <w:t> </w:t>
      </w:r>
      <w:r>
        <w:rPr>
          <w:spacing w:val="-4"/>
        </w:rPr>
        <w:t>absence</w:t>
      </w:r>
      <w:r>
        <w:rPr>
          <w:spacing w:val="-23"/>
        </w:rPr>
        <w:t> </w:t>
      </w:r>
      <w:r>
        <w:rPr/>
        <w:t>of</w:t>
      </w:r>
      <w:r>
        <w:rPr>
          <w:spacing w:val="-23"/>
        </w:rPr>
        <w:t> </w:t>
      </w:r>
      <w:r>
        <w:rPr>
          <w:spacing w:val="-4"/>
        </w:rPr>
        <w:t>market-based</w:t>
      </w:r>
      <w:r>
        <w:rPr>
          <w:spacing w:val="-23"/>
        </w:rPr>
        <w:t> </w:t>
      </w:r>
      <w:r>
        <w:rPr>
          <w:spacing w:val="-4"/>
        </w:rPr>
        <w:t>evidence,</w:t>
      </w:r>
      <w:r>
        <w:rPr>
          <w:spacing w:val="-23"/>
        </w:rPr>
        <w:t> </w:t>
      </w:r>
      <w:r>
        <w:rPr>
          <w:spacing w:val="-3"/>
        </w:rPr>
        <w:t>due</w:t>
      </w:r>
      <w:r>
        <w:rPr>
          <w:spacing w:val="-24"/>
        </w:rPr>
        <w:t> </w:t>
      </w:r>
      <w:r>
        <w:rPr/>
        <w:t>to</w:t>
      </w:r>
      <w:r>
        <w:rPr>
          <w:spacing w:val="-23"/>
        </w:rPr>
        <w:t> </w:t>
      </w:r>
      <w:r>
        <w:rPr>
          <w:spacing w:val="-3"/>
        </w:rPr>
        <w:t>the</w:t>
      </w:r>
      <w:r>
        <w:rPr>
          <w:spacing w:val="-23"/>
        </w:rPr>
        <w:t> </w:t>
      </w:r>
      <w:r>
        <w:rPr>
          <w:spacing w:val="-4"/>
        </w:rPr>
        <w:t>specialised</w:t>
      </w:r>
      <w:r>
        <w:rPr>
          <w:spacing w:val="-23"/>
        </w:rPr>
        <w:t> </w:t>
      </w:r>
      <w:r>
        <w:rPr>
          <w:spacing w:val="-4"/>
        </w:rPr>
        <w:t>nature</w:t>
      </w:r>
      <w:r>
        <w:rPr>
          <w:spacing w:val="-23"/>
        </w:rPr>
        <w:t> </w:t>
      </w:r>
      <w:r>
        <w:rPr/>
        <w:t>of</w:t>
      </w:r>
      <w:r>
        <w:rPr>
          <w:spacing w:val="-23"/>
        </w:rPr>
        <w:t> </w:t>
      </w:r>
      <w:r>
        <w:rPr>
          <w:spacing w:val="-4"/>
        </w:rPr>
        <w:t>some non-financial</w:t>
      </w:r>
      <w:r>
        <w:rPr>
          <w:spacing w:val="-29"/>
        </w:rPr>
        <w:t> </w:t>
      </w:r>
      <w:r>
        <w:rPr>
          <w:spacing w:val="-4"/>
        </w:rPr>
        <w:t>assets,</w:t>
      </w:r>
      <w:r>
        <w:rPr>
          <w:spacing w:val="-28"/>
        </w:rPr>
        <w:t> </w:t>
      </w:r>
      <w:r>
        <w:rPr>
          <w:spacing w:val="-4"/>
        </w:rPr>
        <w:t>these</w:t>
      </w:r>
      <w:r>
        <w:rPr>
          <w:spacing w:val="-28"/>
        </w:rPr>
        <w:t> </w:t>
      </w:r>
      <w:r>
        <w:rPr>
          <w:spacing w:val="-4"/>
        </w:rPr>
        <w:t>assets</w:t>
      </w:r>
      <w:r>
        <w:rPr>
          <w:spacing w:val="-28"/>
        </w:rPr>
        <w:t> </w:t>
      </w:r>
      <w:r>
        <w:rPr>
          <w:spacing w:val="-4"/>
        </w:rPr>
        <w:t>are</w:t>
      </w:r>
      <w:r>
        <w:rPr>
          <w:spacing w:val="-28"/>
        </w:rPr>
        <w:t> </w:t>
      </w:r>
      <w:r>
        <w:rPr>
          <w:spacing w:val="-4"/>
        </w:rPr>
        <w:t>valued</w:t>
      </w:r>
      <w:r>
        <w:rPr>
          <w:spacing w:val="-29"/>
        </w:rPr>
        <w:t> </w:t>
      </w:r>
      <w:r>
        <w:rPr/>
        <w:t>at</w:t>
      </w:r>
      <w:r>
        <w:rPr>
          <w:spacing w:val="-28"/>
        </w:rPr>
        <w:t> </w:t>
      </w:r>
      <w:r>
        <w:rPr>
          <w:spacing w:val="-4"/>
        </w:rPr>
        <w:t>Level</w:t>
      </w:r>
      <w:r>
        <w:rPr>
          <w:spacing w:val="-28"/>
        </w:rPr>
        <w:t> </w:t>
      </w:r>
      <w:r>
        <w:rPr/>
        <w:t>3</w:t>
      </w:r>
      <w:r>
        <w:rPr>
          <w:spacing w:val="-28"/>
        </w:rPr>
        <w:t> </w:t>
      </w:r>
      <w:r>
        <w:rPr/>
        <w:t>of</w:t>
      </w:r>
      <w:r>
        <w:rPr>
          <w:spacing w:val="-28"/>
        </w:rPr>
        <w:t> </w:t>
      </w:r>
      <w:r>
        <w:rPr>
          <w:spacing w:val="-3"/>
        </w:rPr>
        <w:t>the</w:t>
      </w:r>
      <w:r>
        <w:rPr>
          <w:spacing w:val="-28"/>
        </w:rPr>
        <w:t> </w:t>
      </w:r>
      <w:r>
        <w:rPr>
          <w:spacing w:val="-3"/>
        </w:rPr>
        <w:t>fair</w:t>
      </w:r>
      <w:r>
        <w:rPr>
          <w:spacing w:val="-29"/>
        </w:rPr>
        <w:t> </w:t>
      </w:r>
      <w:r>
        <w:rPr>
          <w:spacing w:val="-4"/>
        </w:rPr>
        <w:t>value</w:t>
      </w:r>
      <w:r>
        <w:rPr>
          <w:spacing w:val="-28"/>
        </w:rPr>
        <w:t> </w:t>
      </w:r>
      <w:r>
        <w:rPr>
          <w:spacing w:val="-5"/>
        </w:rPr>
        <w:t>hierarchy </w:t>
      </w:r>
      <w:r>
        <w:rPr/>
        <w:t>on</w:t>
      </w:r>
      <w:r>
        <w:rPr>
          <w:spacing w:val="-18"/>
        </w:rPr>
        <w:t> </w:t>
      </w:r>
      <w:r>
        <w:rPr/>
        <w:t>an</w:t>
      </w:r>
      <w:r>
        <w:rPr>
          <w:spacing w:val="-18"/>
        </w:rPr>
        <w:t> </w:t>
      </w:r>
      <w:r>
        <w:rPr>
          <w:spacing w:val="-4"/>
        </w:rPr>
        <w:t>existing</w:t>
      </w:r>
      <w:r>
        <w:rPr>
          <w:spacing w:val="-18"/>
        </w:rPr>
        <w:t> </w:t>
      </w:r>
      <w:r>
        <w:rPr>
          <w:spacing w:val="-3"/>
        </w:rPr>
        <w:t>use</w:t>
      </w:r>
      <w:r>
        <w:rPr>
          <w:spacing w:val="-18"/>
        </w:rPr>
        <w:t> </w:t>
      </w:r>
      <w:r>
        <w:rPr>
          <w:spacing w:val="-4"/>
        </w:rPr>
        <w:t>basis.</w:t>
      </w:r>
      <w:r>
        <w:rPr>
          <w:spacing w:val="-18"/>
        </w:rPr>
        <w:t> </w:t>
      </w:r>
      <w:r>
        <w:rPr>
          <w:spacing w:val="-3"/>
        </w:rPr>
        <w:t>The</w:t>
      </w:r>
      <w:r>
        <w:rPr>
          <w:spacing w:val="-18"/>
        </w:rPr>
        <w:t> </w:t>
      </w:r>
      <w:r>
        <w:rPr>
          <w:spacing w:val="-4"/>
        </w:rPr>
        <w:t>existing</w:t>
      </w:r>
      <w:r>
        <w:rPr>
          <w:spacing w:val="-18"/>
        </w:rPr>
        <w:t> </w:t>
      </w:r>
      <w:r>
        <w:rPr>
          <w:spacing w:val="-3"/>
        </w:rPr>
        <w:t>use</w:t>
      </w:r>
      <w:r>
        <w:rPr>
          <w:spacing w:val="-18"/>
        </w:rPr>
        <w:t> </w:t>
      </w:r>
      <w:r>
        <w:rPr>
          <w:spacing w:val="-4"/>
        </w:rPr>
        <w:t>basis</w:t>
      </w:r>
      <w:r>
        <w:rPr>
          <w:spacing w:val="-17"/>
        </w:rPr>
        <w:t> </w:t>
      </w:r>
      <w:r>
        <w:rPr>
          <w:spacing w:val="-4"/>
        </w:rPr>
        <w:t>recognises</w:t>
      </w:r>
      <w:r>
        <w:rPr>
          <w:spacing w:val="-18"/>
        </w:rPr>
        <w:t> </w:t>
      </w:r>
      <w:r>
        <w:rPr>
          <w:spacing w:val="-3"/>
        </w:rPr>
        <w:t>that</w:t>
      </w:r>
      <w:r>
        <w:rPr>
          <w:spacing w:val="-18"/>
        </w:rPr>
        <w:t> </w:t>
      </w:r>
      <w:r>
        <w:rPr>
          <w:spacing w:val="-5"/>
        </w:rPr>
        <w:t>restrictions</w:t>
      </w:r>
    </w:p>
    <w:p>
      <w:pPr>
        <w:pStyle w:val="BodyText"/>
        <w:spacing w:line="249" w:lineRule="auto" w:before="3"/>
        <w:ind w:left="532" w:right="979"/>
      </w:pPr>
      <w:r>
        <w:rPr/>
        <w:t>or</w:t>
      </w:r>
      <w:r>
        <w:rPr>
          <w:spacing w:val="-21"/>
        </w:rPr>
        <w:t> </w:t>
      </w:r>
      <w:r>
        <w:rPr>
          <w:spacing w:val="-4"/>
        </w:rPr>
        <w:t>limitations</w:t>
      </w:r>
      <w:r>
        <w:rPr>
          <w:spacing w:val="-21"/>
        </w:rPr>
        <w:t> </w:t>
      </w:r>
      <w:r>
        <w:rPr>
          <w:spacing w:val="-3"/>
        </w:rPr>
        <w:t>have</w:t>
      </w:r>
      <w:r>
        <w:rPr>
          <w:spacing w:val="-21"/>
        </w:rPr>
        <w:t> </w:t>
      </w:r>
      <w:r>
        <w:rPr>
          <w:spacing w:val="-3"/>
        </w:rPr>
        <w:t>been</w:t>
      </w:r>
      <w:r>
        <w:rPr>
          <w:spacing w:val="-21"/>
        </w:rPr>
        <w:t> </w:t>
      </w:r>
      <w:r>
        <w:rPr>
          <w:spacing w:val="-4"/>
        </w:rPr>
        <w:t>placed</w:t>
      </w:r>
      <w:r>
        <w:rPr>
          <w:spacing w:val="-21"/>
        </w:rPr>
        <w:t> </w:t>
      </w:r>
      <w:r>
        <w:rPr/>
        <w:t>on</w:t>
      </w:r>
      <w:r>
        <w:rPr>
          <w:spacing w:val="-21"/>
        </w:rPr>
        <w:t> </w:t>
      </w:r>
      <w:r>
        <w:rPr>
          <w:spacing w:val="-4"/>
        </w:rPr>
        <w:t>their</w:t>
      </w:r>
      <w:r>
        <w:rPr>
          <w:spacing w:val="-21"/>
        </w:rPr>
        <w:t> </w:t>
      </w:r>
      <w:r>
        <w:rPr>
          <w:spacing w:val="-3"/>
        </w:rPr>
        <w:t>use</w:t>
      </w:r>
      <w:r>
        <w:rPr>
          <w:spacing w:val="-21"/>
        </w:rPr>
        <w:t> </w:t>
      </w:r>
      <w:r>
        <w:rPr>
          <w:spacing w:val="-3"/>
        </w:rPr>
        <w:t>and</w:t>
      </w:r>
      <w:r>
        <w:rPr>
          <w:spacing w:val="-21"/>
        </w:rPr>
        <w:t> </w:t>
      </w:r>
      <w:r>
        <w:rPr>
          <w:spacing w:val="-4"/>
        </w:rPr>
        <w:t>disposal</w:t>
      </w:r>
      <w:r>
        <w:rPr>
          <w:spacing w:val="-21"/>
        </w:rPr>
        <w:t> </w:t>
      </w:r>
      <w:r>
        <w:rPr>
          <w:spacing w:val="-3"/>
        </w:rPr>
        <w:t>when</w:t>
      </w:r>
      <w:r>
        <w:rPr>
          <w:spacing w:val="-21"/>
        </w:rPr>
        <w:t> </w:t>
      </w:r>
      <w:r>
        <w:rPr>
          <w:spacing w:val="-3"/>
        </w:rPr>
        <w:t>they</w:t>
      </w:r>
      <w:r>
        <w:rPr>
          <w:spacing w:val="-21"/>
        </w:rPr>
        <w:t> </w:t>
      </w:r>
      <w:r>
        <w:rPr>
          <w:spacing w:val="-4"/>
        </w:rPr>
        <w:t>are</w:t>
      </w:r>
      <w:r>
        <w:rPr>
          <w:spacing w:val="-20"/>
        </w:rPr>
        <w:t> </w:t>
      </w:r>
      <w:r>
        <w:rPr>
          <w:spacing w:val="-4"/>
        </w:rPr>
        <w:t>not determined</w:t>
      </w:r>
      <w:r>
        <w:rPr>
          <w:spacing w:val="-25"/>
        </w:rPr>
        <w:t> </w:t>
      </w:r>
      <w:r>
        <w:rPr/>
        <w:t>to</w:t>
      </w:r>
      <w:r>
        <w:rPr>
          <w:spacing w:val="-24"/>
        </w:rPr>
        <w:t> </w:t>
      </w:r>
      <w:r>
        <w:rPr/>
        <w:t>be</w:t>
      </w:r>
      <w:r>
        <w:rPr>
          <w:spacing w:val="-25"/>
        </w:rPr>
        <w:t> </w:t>
      </w:r>
      <w:r>
        <w:rPr>
          <w:spacing w:val="-4"/>
        </w:rPr>
        <w:t>surplus</w:t>
      </w:r>
      <w:r>
        <w:rPr>
          <w:spacing w:val="-24"/>
        </w:rPr>
        <w:t> </w:t>
      </w:r>
      <w:r>
        <w:rPr/>
        <w:t>to</w:t>
      </w:r>
      <w:r>
        <w:rPr>
          <w:spacing w:val="-25"/>
        </w:rPr>
        <w:t> </w:t>
      </w:r>
      <w:r>
        <w:rPr>
          <w:spacing w:val="-5"/>
        </w:rPr>
        <w:t>requirements.</w:t>
      </w:r>
      <w:r>
        <w:rPr>
          <w:spacing w:val="-24"/>
        </w:rPr>
        <w:t> </w:t>
      </w:r>
      <w:r>
        <w:rPr>
          <w:spacing w:val="-4"/>
        </w:rPr>
        <w:t>These</w:t>
      </w:r>
      <w:r>
        <w:rPr>
          <w:spacing w:val="-24"/>
        </w:rPr>
        <w:t> </w:t>
      </w:r>
      <w:r>
        <w:rPr>
          <w:spacing w:val="-4"/>
        </w:rPr>
        <w:t>restrictions</w:t>
      </w:r>
      <w:r>
        <w:rPr>
          <w:spacing w:val="-25"/>
        </w:rPr>
        <w:t> </w:t>
      </w:r>
      <w:r>
        <w:rPr>
          <w:spacing w:val="-4"/>
        </w:rPr>
        <w:t>are</w:t>
      </w:r>
      <w:r>
        <w:rPr>
          <w:spacing w:val="-24"/>
        </w:rPr>
        <w:t> </w:t>
      </w:r>
      <w:r>
        <w:rPr>
          <w:spacing w:val="-4"/>
        </w:rPr>
        <w:t>imposed</w:t>
      </w:r>
      <w:r>
        <w:rPr>
          <w:spacing w:val="-25"/>
        </w:rPr>
        <w:t> </w:t>
      </w:r>
      <w:r>
        <w:rPr>
          <w:spacing w:val="-4"/>
        </w:rPr>
        <w:t>by virtue</w:t>
      </w:r>
      <w:r>
        <w:rPr>
          <w:spacing w:val="-16"/>
        </w:rPr>
        <w:t> </w:t>
      </w:r>
      <w:r>
        <w:rPr/>
        <w:t>of</w:t>
      </w:r>
      <w:r>
        <w:rPr>
          <w:spacing w:val="-16"/>
        </w:rPr>
        <w:t> </w:t>
      </w:r>
      <w:r>
        <w:rPr>
          <w:spacing w:val="-3"/>
        </w:rPr>
        <w:t>the</w:t>
      </w:r>
      <w:r>
        <w:rPr>
          <w:spacing w:val="-16"/>
        </w:rPr>
        <w:t> </w:t>
      </w:r>
      <w:r>
        <w:rPr>
          <w:spacing w:val="-4"/>
        </w:rPr>
        <w:t>assets</w:t>
      </w:r>
      <w:r>
        <w:rPr>
          <w:spacing w:val="-16"/>
        </w:rPr>
        <w:t> </w:t>
      </w:r>
      <w:r>
        <w:rPr>
          <w:spacing w:val="-4"/>
        </w:rPr>
        <w:t>being</w:t>
      </w:r>
      <w:r>
        <w:rPr>
          <w:spacing w:val="-16"/>
        </w:rPr>
        <w:t> </w:t>
      </w:r>
      <w:r>
        <w:rPr>
          <w:spacing w:val="-3"/>
        </w:rPr>
        <w:t>held</w:t>
      </w:r>
      <w:r>
        <w:rPr>
          <w:spacing w:val="-15"/>
        </w:rPr>
        <w:t> </w:t>
      </w:r>
      <w:r>
        <w:rPr/>
        <w:t>to</w:t>
      </w:r>
      <w:r>
        <w:rPr>
          <w:spacing w:val="-16"/>
        </w:rPr>
        <w:t> </w:t>
      </w:r>
      <w:r>
        <w:rPr>
          <w:spacing w:val="-4"/>
        </w:rPr>
        <w:t>deliver</w:t>
      </w:r>
      <w:r>
        <w:rPr>
          <w:spacing w:val="-16"/>
        </w:rPr>
        <w:t> </w:t>
      </w:r>
      <w:r>
        <w:rPr/>
        <w:t>a</w:t>
      </w:r>
      <w:r>
        <w:rPr>
          <w:spacing w:val="-16"/>
        </w:rPr>
        <w:t> </w:t>
      </w:r>
      <w:r>
        <w:rPr>
          <w:spacing w:val="-3"/>
        </w:rPr>
        <w:t>specific</w:t>
      </w:r>
      <w:r>
        <w:rPr>
          <w:spacing w:val="-16"/>
        </w:rPr>
        <w:t> </w:t>
      </w:r>
      <w:r>
        <w:rPr>
          <w:spacing w:val="-4"/>
        </w:rPr>
        <w:t>community</w:t>
      </w:r>
      <w:r>
        <w:rPr>
          <w:spacing w:val="-15"/>
        </w:rPr>
        <w:t> </w:t>
      </w:r>
      <w:r>
        <w:rPr>
          <w:spacing w:val="-4"/>
        </w:rPr>
        <w:t>service.</w:t>
      </w:r>
    </w:p>
    <w:p>
      <w:pPr>
        <w:pStyle w:val="BodyText"/>
        <w:spacing w:before="2"/>
        <w:rPr>
          <w:sz w:val="23"/>
        </w:rPr>
      </w:pPr>
    </w:p>
    <w:p>
      <w:pPr>
        <w:pStyle w:val="Heading6"/>
        <w:ind w:left="532"/>
      </w:pPr>
      <w:r>
        <w:rPr/>
        <w:t>Amendments to AASB 136</w:t>
      </w:r>
    </w:p>
    <w:p>
      <w:pPr>
        <w:spacing w:line="249" w:lineRule="auto" w:before="11"/>
        <w:ind w:left="532" w:right="785" w:firstLine="0"/>
        <w:jc w:val="left"/>
        <w:rPr>
          <w:sz w:val="22"/>
        </w:rPr>
      </w:pPr>
      <w:r>
        <w:rPr>
          <w:sz w:val="22"/>
        </w:rPr>
        <w:t>Mandatory</w:t>
      </w:r>
      <w:r>
        <w:rPr>
          <w:spacing w:val="-23"/>
          <w:sz w:val="22"/>
        </w:rPr>
        <w:t> </w:t>
      </w:r>
      <w:r>
        <w:rPr>
          <w:sz w:val="22"/>
        </w:rPr>
        <w:t>application</w:t>
      </w:r>
      <w:r>
        <w:rPr>
          <w:spacing w:val="-22"/>
          <w:sz w:val="22"/>
        </w:rPr>
        <w:t> </w:t>
      </w:r>
      <w:r>
        <w:rPr>
          <w:sz w:val="22"/>
        </w:rPr>
        <w:t>of</w:t>
      </w:r>
      <w:r>
        <w:rPr>
          <w:spacing w:val="-22"/>
          <w:sz w:val="22"/>
        </w:rPr>
        <w:t> </w:t>
      </w:r>
      <w:r>
        <w:rPr>
          <w:sz w:val="22"/>
        </w:rPr>
        <w:t>AASB</w:t>
      </w:r>
      <w:r>
        <w:rPr>
          <w:spacing w:val="-23"/>
          <w:sz w:val="22"/>
        </w:rPr>
        <w:t> </w:t>
      </w:r>
      <w:r>
        <w:rPr>
          <w:sz w:val="22"/>
        </w:rPr>
        <w:t>2016-4</w:t>
      </w:r>
      <w:r>
        <w:rPr>
          <w:spacing w:val="-22"/>
          <w:sz w:val="22"/>
        </w:rPr>
        <w:t> </w:t>
      </w:r>
      <w:r>
        <w:rPr>
          <w:i/>
          <w:sz w:val="22"/>
        </w:rPr>
        <w:t>Amendments</w:t>
      </w:r>
      <w:r>
        <w:rPr>
          <w:i/>
          <w:spacing w:val="-22"/>
          <w:sz w:val="22"/>
        </w:rPr>
        <w:t> </w:t>
      </w:r>
      <w:r>
        <w:rPr>
          <w:i/>
          <w:sz w:val="22"/>
        </w:rPr>
        <w:t>to</w:t>
      </w:r>
      <w:r>
        <w:rPr>
          <w:i/>
          <w:spacing w:val="-22"/>
          <w:sz w:val="22"/>
        </w:rPr>
        <w:t> </w:t>
      </w:r>
      <w:r>
        <w:rPr>
          <w:i/>
          <w:sz w:val="22"/>
        </w:rPr>
        <w:t>Australian</w:t>
      </w:r>
      <w:r>
        <w:rPr>
          <w:i/>
          <w:spacing w:val="-23"/>
          <w:sz w:val="22"/>
        </w:rPr>
        <w:t> </w:t>
      </w:r>
      <w:r>
        <w:rPr>
          <w:i/>
          <w:sz w:val="22"/>
        </w:rPr>
        <w:t>Accounting </w:t>
      </w:r>
      <w:r>
        <w:rPr>
          <w:i/>
          <w:sz w:val="22"/>
        </w:rPr>
        <w:t>Standards</w:t>
      </w:r>
      <w:r>
        <w:rPr>
          <w:i/>
          <w:spacing w:val="-31"/>
          <w:sz w:val="22"/>
        </w:rPr>
        <w:t> </w:t>
      </w:r>
      <w:r>
        <w:rPr>
          <w:i/>
          <w:sz w:val="22"/>
        </w:rPr>
        <w:t>-</w:t>
      </w:r>
      <w:r>
        <w:rPr>
          <w:i/>
          <w:spacing w:val="-31"/>
          <w:sz w:val="22"/>
        </w:rPr>
        <w:t> </w:t>
      </w:r>
      <w:r>
        <w:rPr>
          <w:i/>
          <w:sz w:val="22"/>
        </w:rPr>
        <w:t>Recoverable</w:t>
      </w:r>
      <w:r>
        <w:rPr>
          <w:i/>
          <w:spacing w:val="-31"/>
          <w:sz w:val="22"/>
        </w:rPr>
        <w:t> </w:t>
      </w:r>
      <w:r>
        <w:rPr>
          <w:i/>
          <w:sz w:val="22"/>
        </w:rPr>
        <w:t>Amount</w:t>
      </w:r>
      <w:r>
        <w:rPr>
          <w:i/>
          <w:spacing w:val="-31"/>
          <w:sz w:val="22"/>
        </w:rPr>
        <w:t> </w:t>
      </w:r>
      <w:r>
        <w:rPr>
          <w:i/>
          <w:sz w:val="22"/>
        </w:rPr>
        <w:t>of</w:t>
      </w:r>
      <w:r>
        <w:rPr>
          <w:i/>
          <w:spacing w:val="-30"/>
          <w:sz w:val="22"/>
        </w:rPr>
        <w:t> </w:t>
      </w:r>
      <w:r>
        <w:rPr>
          <w:i/>
          <w:sz w:val="22"/>
        </w:rPr>
        <w:t>Non-Cash-Generating</w:t>
      </w:r>
      <w:r>
        <w:rPr>
          <w:i/>
          <w:spacing w:val="-31"/>
          <w:sz w:val="22"/>
        </w:rPr>
        <w:t> </w:t>
      </w:r>
      <w:r>
        <w:rPr>
          <w:i/>
          <w:sz w:val="22"/>
        </w:rPr>
        <w:t>Specialised</w:t>
      </w:r>
      <w:r>
        <w:rPr>
          <w:i/>
          <w:spacing w:val="-31"/>
          <w:sz w:val="22"/>
        </w:rPr>
        <w:t> </w:t>
      </w:r>
      <w:r>
        <w:rPr>
          <w:i/>
          <w:sz w:val="22"/>
        </w:rPr>
        <w:t>Assets of Not-for-Profit Entities </w:t>
      </w:r>
      <w:r>
        <w:rPr>
          <w:sz w:val="22"/>
        </w:rPr>
        <w:t>has no financial impact for the Department as the Department is classified as not-for-profit and regularly revalues specialised infrastructure</w:t>
      </w:r>
      <w:r>
        <w:rPr>
          <w:spacing w:val="-25"/>
          <w:sz w:val="22"/>
        </w:rPr>
        <w:t> </w:t>
      </w:r>
      <w:r>
        <w:rPr>
          <w:spacing w:val="-3"/>
          <w:sz w:val="22"/>
        </w:rPr>
        <w:t>property,</w:t>
      </w:r>
      <w:r>
        <w:rPr>
          <w:spacing w:val="-25"/>
          <w:sz w:val="22"/>
        </w:rPr>
        <w:t> </w:t>
      </w:r>
      <w:r>
        <w:rPr>
          <w:sz w:val="22"/>
        </w:rPr>
        <w:t>plant</w:t>
      </w:r>
      <w:r>
        <w:rPr>
          <w:spacing w:val="-24"/>
          <w:sz w:val="22"/>
        </w:rPr>
        <w:t> </w:t>
      </w:r>
      <w:r>
        <w:rPr>
          <w:sz w:val="22"/>
        </w:rPr>
        <w:t>and</w:t>
      </w:r>
      <w:r>
        <w:rPr>
          <w:spacing w:val="-25"/>
          <w:sz w:val="22"/>
        </w:rPr>
        <w:t> </w:t>
      </w:r>
      <w:r>
        <w:rPr>
          <w:sz w:val="22"/>
        </w:rPr>
        <w:t>equipment</w:t>
      </w:r>
      <w:r>
        <w:rPr>
          <w:spacing w:val="-24"/>
          <w:sz w:val="22"/>
        </w:rPr>
        <w:t> </w:t>
      </w:r>
      <w:r>
        <w:rPr>
          <w:sz w:val="22"/>
        </w:rPr>
        <w:t>assets.</w:t>
      </w:r>
      <w:r>
        <w:rPr>
          <w:spacing w:val="-25"/>
          <w:sz w:val="22"/>
        </w:rPr>
        <w:t> </w:t>
      </w:r>
      <w:r>
        <w:rPr>
          <w:sz w:val="22"/>
        </w:rPr>
        <w:t>Therefore,</w:t>
      </w:r>
      <w:r>
        <w:rPr>
          <w:spacing w:val="-25"/>
          <w:sz w:val="22"/>
        </w:rPr>
        <w:t> </w:t>
      </w:r>
      <w:r>
        <w:rPr>
          <w:sz w:val="22"/>
        </w:rPr>
        <w:t>fair</w:t>
      </w:r>
      <w:r>
        <w:rPr>
          <w:spacing w:val="-24"/>
          <w:sz w:val="22"/>
        </w:rPr>
        <w:t> </w:t>
      </w:r>
      <w:r>
        <w:rPr>
          <w:sz w:val="22"/>
        </w:rPr>
        <w:t>value</w:t>
      </w:r>
      <w:r>
        <w:rPr>
          <w:spacing w:val="-25"/>
          <w:sz w:val="22"/>
        </w:rPr>
        <w:t> </w:t>
      </w:r>
      <w:r>
        <w:rPr>
          <w:sz w:val="22"/>
        </w:rPr>
        <w:t>of</w:t>
      </w:r>
      <w:r>
        <w:rPr>
          <w:spacing w:val="-24"/>
          <w:sz w:val="22"/>
        </w:rPr>
        <w:t> </w:t>
      </w:r>
      <w:r>
        <w:rPr>
          <w:sz w:val="22"/>
        </w:rPr>
        <w:t>the recoverable amount of such assets is expected to be materially the same as fair</w:t>
      </w:r>
      <w:r>
        <w:rPr>
          <w:spacing w:val="-1"/>
          <w:sz w:val="22"/>
        </w:rPr>
        <w:t> </w:t>
      </w:r>
      <w:r>
        <w:rPr>
          <w:sz w:val="22"/>
        </w:rPr>
        <w:t>value.</w:t>
      </w:r>
    </w:p>
    <w:p>
      <w:pPr>
        <w:spacing w:after="0" w:line="249" w:lineRule="auto"/>
        <w:jc w:val="left"/>
        <w:rPr>
          <w:sz w:val="22"/>
        </w:rPr>
        <w:sectPr>
          <w:type w:val="continuous"/>
          <w:pgSz w:w="16840" w:h="11910" w:orient="landscape"/>
          <w:pgMar w:top="1100" w:bottom="280" w:left="0" w:right="0"/>
          <w:cols w:num="2" w:equalWidth="0">
            <w:col w:w="8059" w:space="40"/>
            <w:col w:w="8741"/>
          </w:cols>
        </w:sectPr>
      </w:pPr>
    </w:p>
    <w:p>
      <w:pPr>
        <w:pStyle w:val="BodyText"/>
        <w:rPr>
          <w:sz w:val="20"/>
        </w:rPr>
      </w:pPr>
    </w:p>
    <w:p>
      <w:pPr>
        <w:pStyle w:val="BodyText"/>
        <w:rPr>
          <w:sz w:val="20"/>
        </w:rPr>
      </w:pPr>
    </w:p>
    <w:p>
      <w:pPr>
        <w:pStyle w:val="BodyText"/>
        <w:spacing w:before="3"/>
        <w:rPr>
          <w:sz w:val="19"/>
        </w:rPr>
      </w:pPr>
    </w:p>
    <w:p>
      <w:pPr>
        <w:tabs>
          <w:tab w:pos="1227" w:val="left" w:leader="none"/>
          <w:tab w:pos="5951" w:val="left" w:leader="none"/>
          <w:tab w:pos="16072" w:val="left" w:leader="none"/>
        </w:tabs>
        <w:spacing w:before="108"/>
        <w:ind w:left="765" w:right="0" w:firstLine="0"/>
        <w:jc w:val="left"/>
        <w:rPr>
          <w:b/>
          <w:sz w:val="20"/>
        </w:rPr>
      </w:pPr>
      <w:r>
        <w:rPr/>
        <w:pict>
          <v:group style="position:absolute;margin-left:0pt;margin-top:-9.455017pt;width:24.1pt;height:41.55pt;mso-position-horizontal-relative:page;mso-position-vertical-relative:paragraph;z-index:16864"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66</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pStyle w:val="BodyText"/>
        <w:rPr>
          <w:sz w:val="20"/>
        </w:rPr>
      </w:pPr>
      <w:bookmarkStart w:name="_bookmark32" w:id="33"/>
      <w:bookmarkEnd w:id="33"/>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b/>
          <w:sz w:val="21"/>
        </w:rPr>
      </w:pPr>
    </w:p>
    <w:p>
      <w:pPr>
        <w:pStyle w:val="Heading1"/>
      </w:pPr>
      <w:r>
        <w:rPr/>
        <w:pict>
          <v:group style="position:absolute;margin-left:120.271004pt;margin-top:-57.37421pt;width:721.65pt;height:42.55pt;mso-position-horizontal-relative:page;mso-position-vertical-relative:paragraph;z-index:17200"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Heading5"/>
        <w:spacing w:before="257"/>
      </w:pPr>
      <w:r>
        <w:rPr/>
        <w:pict>
          <v:shape style="position:absolute;margin-left:431.574799pt;margin-top:16.434002pt;width:369.95pt;height:260.9pt;mso-position-horizontal-relative:page;mso-position-vertical-relative:paragraph;z-index:172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3"/>
                    <w:gridCol w:w="1049"/>
                    <w:gridCol w:w="1162"/>
                    <w:gridCol w:w="1049"/>
                    <w:gridCol w:w="936"/>
                  </w:tblGrid>
                  <w:tr>
                    <w:trPr>
                      <w:trHeight w:val="766" w:hRule="atLeast"/>
                    </w:trPr>
                    <w:tc>
                      <w:tcPr>
                        <w:tcW w:w="4252" w:type="dxa"/>
                        <w:gridSpan w:val="2"/>
                        <w:shd w:val="clear" w:color="auto" w:fill="783A79"/>
                      </w:tcPr>
                      <w:p>
                        <w:pPr>
                          <w:pStyle w:val="TableParagraph"/>
                          <w:spacing w:before="47"/>
                          <w:ind w:right="111"/>
                          <w:jc w:val="right"/>
                          <w:rPr>
                            <w:b/>
                            <w:sz w:val="19"/>
                          </w:rPr>
                        </w:pPr>
                        <w:r>
                          <w:rPr>
                            <w:b/>
                            <w:color w:val="FFFFFF"/>
                            <w:w w:val="95"/>
                            <w:sz w:val="19"/>
                          </w:rPr>
                          <w:t>Licences</w:t>
                        </w:r>
                      </w:p>
                      <w:p>
                        <w:pPr>
                          <w:pStyle w:val="TableParagraph"/>
                          <w:spacing w:before="8"/>
                          <w:rPr>
                            <w:b/>
                            <w:sz w:val="20"/>
                          </w:rPr>
                        </w:pPr>
                      </w:p>
                      <w:p>
                        <w:pPr>
                          <w:pStyle w:val="TableParagraph"/>
                          <w:spacing w:before="0"/>
                          <w:ind w:right="111"/>
                          <w:jc w:val="right"/>
                          <w:rPr>
                            <w:b/>
                            <w:sz w:val="19"/>
                          </w:rPr>
                        </w:pPr>
                        <w:r>
                          <w:rPr>
                            <w:b/>
                            <w:color w:val="FFFFFF"/>
                            <w:w w:val="95"/>
                            <w:sz w:val="19"/>
                          </w:rPr>
                          <w:t>$000</w:t>
                        </w:r>
                      </w:p>
                    </w:tc>
                    <w:tc>
                      <w:tcPr>
                        <w:tcW w:w="1162" w:type="dxa"/>
                        <w:shd w:val="clear" w:color="auto" w:fill="783A79"/>
                      </w:tcPr>
                      <w:p>
                        <w:pPr>
                          <w:pStyle w:val="TableParagraph"/>
                          <w:spacing w:line="249" w:lineRule="auto" w:before="47"/>
                          <w:ind w:left="257" w:right="104" w:hanging="117"/>
                          <w:rPr>
                            <w:b/>
                            <w:sz w:val="19"/>
                          </w:rPr>
                        </w:pPr>
                        <w:r>
                          <w:rPr>
                            <w:b/>
                            <w:color w:val="FFFFFF"/>
                            <w:sz w:val="19"/>
                          </w:rPr>
                          <w:t>Computer </w:t>
                        </w:r>
                        <w:r>
                          <w:rPr>
                            <w:b/>
                            <w:color w:val="FFFFFF"/>
                            <w:spacing w:val="-1"/>
                            <w:sz w:val="19"/>
                          </w:rPr>
                          <w:t>software</w:t>
                        </w:r>
                      </w:p>
                      <w:p>
                        <w:pPr>
                          <w:pStyle w:val="TableParagraph"/>
                          <w:spacing w:before="2"/>
                          <w:ind w:left="626"/>
                          <w:rPr>
                            <w:b/>
                            <w:sz w:val="19"/>
                          </w:rPr>
                        </w:pPr>
                        <w:r>
                          <w:rPr>
                            <w:b/>
                            <w:color w:val="FFFFFF"/>
                            <w:sz w:val="19"/>
                          </w:rPr>
                          <w:t>$000</w:t>
                        </w:r>
                      </w:p>
                    </w:tc>
                    <w:tc>
                      <w:tcPr>
                        <w:tcW w:w="1049" w:type="dxa"/>
                        <w:shd w:val="clear" w:color="auto" w:fill="783A79"/>
                      </w:tcPr>
                      <w:p>
                        <w:pPr>
                          <w:pStyle w:val="TableParagraph"/>
                          <w:spacing w:line="249" w:lineRule="auto" w:before="47"/>
                          <w:ind w:left="133" w:right="99" w:firstLine="116"/>
                          <w:rPr>
                            <w:b/>
                            <w:sz w:val="19"/>
                          </w:rPr>
                        </w:pPr>
                        <w:r>
                          <w:rPr>
                            <w:b/>
                            <w:color w:val="FFFFFF"/>
                            <w:sz w:val="19"/>
                          </w:rPr>
                          <w:t>Work </w:t>
                        </w:r>
                        <w:r>
                          <w:rPr>
                            <w:b/>
                            <w:color w:val="FFFFFF"/>
                            <w:spacing w:val="-8"/>
                            <w:sz w:val="19"/>
                          </w:rPr>
                          <w:t>in </w:t>
                        </w:r>
                        <w:r>
                          <w:rPr>
                            <w:b/>
                            <w:color w:val="FFFFFF"/>
                            <w:spacing w:val="-1"/>
                            <w:w w:val="95"/>
                            <w:sz w:val="19"/>
                          </w:rPr>
                          <w:t>progress</w:t>
                        </w:r>
                      </w:p>
                      <w:p>
                        <w:pPr>
                          <w:pStyle w:val="TableParagraph"/>
                          <w:spacing w:before="2"/>
                          <w:ind w:left="513"/>
                          <w:rPr>
                            <w:b/>
                            <w:sz w:val="19"/>
                          </w:rPr>
                        </w:pPr>
                        <w:r>
                          <w:rPr>
                            <w:b/>
                            <w:color w:val="FFFFFF"/>
                            <w:sz w:val="19"/>
                          </w:rPr>
                          <w:t>$000</w:t>
                        </w:r>
                      </w:p>
                    </w:tc>
                    <w:tc>
                      <w:tcPr>
                        <w:tcW w:w="936" w:type="dxa"/>
                        <w:shd w:val="clear" w:color="auto" w:fill="783A79"/>
                      </w:tcPr>
                      <w:p>
                        <w:pPr>
                          <w:pStyle w:val="TableParagraph"/>
                          <w:spacing w:before="47"/>
                          <w:ind w:left="385"/>
                          <w:rPr>
                            <w:b/>
                            <w:sz w:val="19"/>
                          </w:rPr>
                        </w:pPr>
                        <w:r>
                          <w:rPr>
                            <w:b/>
                            <w:color w:val="FFFFFF"/>
                            <w:spacing w:val="-5"/>
                            <w:sz w:val="19"/>
                          </w:rPr>
                          <w:t>Total</w:t>
                        </w:r>
                      </w:p>
                      <w:p>
                        <w:pPr>
                          <w:pStyle w:val="TableParagraph"/>
                          <w:spacing w:before="8"/>
                          <w:rPr>
                            <w:b/>
                            <w:sz w:val="20"/>
                          </w:rPr>
                        </w:pPr>
                      </w:p>
                      <w:p>
                        <w:pPr>
                          <w:pStyle w:val="TableParagraph"/>
                          <w:spacing w:before="0"/>
                          <w:ind w:left="399"/>
                          <w:rPr>
                            <w:b/>
                            <w:sz w:val="19"/>
                          </w:rPr>
                        </w:pPr>
                        <w:r>
                          <w:rPr>
                            <w:b/>
                            <w:color w:val="FFFFFF"/>
                            <w:sz w:val="19"/>
                          </w:rPr>
                          <w:t>$000</w:t>
                        </w:r>
                      </w:p>
                    </w:tc>
                  </w:tr>
                  <w:tr>
                    <w:trPr>
                      <w:trHeight w:val="295" w:hRule="atLeast"/>
                    </w:trPr>
                    <w:tc>
                      <w:tcPr>
                        <w:tcW w:w="3203" w:type="dxa"/>
                        <w:tcBorders>
                          <w:right w:val="single" w:sz="8" w:space="0" w:color="FFFFFF"/>
                        </w:tcBorders>
                        <w:shd w:val="clear" w:color="auto" w:fill="F4F4F4"/>
                      </w:tcPr>
                      <w:p>
                        <w:pPr>
                          <w:pStyle w:val="TableParagraph"/>
                          <w:spacing w:before="42"/>
                          <w:ind w:left="113"/>
                          <w:rPr>
                            <w:b/>
                            <w:sz w:val="19"/>
                          </w:rPr>
                        </w:pPr>
                        <w:r>
                          <w:rPr>
                            <w:b/>
                            <w:sz w:val="19"/>
                          </w:rPr>
                          <w:t>2018</w:t>
                        </w:r>
                      </w:p>
                    </w:tc>
                    <w:tc>
                      <w:tcPr>
                        <w:tcW w:w="1049"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162"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left w:val="single" w:sz="8" w:space="0" w:color="FFFFFF"/>
                        </w:tcBorders>
                        <w:shd w:val="clear" w:color="auto" w:fill="F4F4F4"/>
                      </w:tcPr>
                      <w:p>
                        <w:pPr>
                          <w:pStyle w:val="TableParagraph"/>
                          <w:spacing w:before="0"/>
                          <w:rPr>
                            <w:rFonts w:ascii="Times New Roman"/>
                            <w:sz w:val="20"/>
                          </w:rPr>
                        </w:pPr>
                      </w:p>
                    </w:tc>
                    <w:tc>
                      <w:tcPr>
                        <w:tcW w:w="936" w:type="dxa"/>
                        <w:shd w:val="clear" w:color="auto" w:fill="E1E4BB"/>
                      </w:tcPr>
                      <w:p>
                        <w:pPr>
                          <w:pStyle w:val="TableParagraph"/>
                          <w:spacing w:before="0"/>
                          <w:rPr>
                            <w:rFonts w:ascii="Times New Roman"/>
                            <w:sz w:val="20"/>
                          </w:rPr>
                        </w:pPr>
                      </w:p>
                    </w:tc>
                  </w:tr>
                  <w:tr>
                    <w:trPr>
                      <w:trHeight w:val="325" w:hRule="atLeast"/>
                    </w:trPr>
                    <w:tc>
                      <w:tcPr>
                        <w:tcW w:w="3203" w:type="dxa"/>
                        <w:shd w:val="clear" w:color="auto" w:fill="FFFFFF"/>
                      </w:tcPr>
                      <w:p>
                        <w:pPr>
                          <w:pStyle w:val="TableParagraph"/>
                          <w:spacing w:before="52"/>
                          <w:ind w:left="113"/>
                          <w:rPr>
                            <w:sz w:val="19"/>
                          </w:rPr>
                        </w:pPr>
                        <w:r>
                          <w:rPr>
                            <w:sz w:val="19"/>
                          </w:rPr>
                          <w:t>Carrying amount at start of period</w:t>
                        </w:r>
                      </w:p>
                    </w:tc>
                    <w:tc>
                      <w:tcPr>
                        <w:tcW w:w="1049" w:type="dxa"/>
                        <w:shd w:val="clear" w:color="auto" w:fill="FFFFFF"/>
                      </w:tcPr>
                      <w:p>
                        <w:pPr>
                          <w:pStyle w:val="TableParagraph"/>
                          <w:spacing w:before="52"/>
                          <w:ind w:right="111"/>
                          <w:jc w:val="right"/>
                          <w:rPr>
                            <w:sz w:val="19"/>
                          </w:rPr>
                        </w:pPr>
                        <w:r>
                          <w:rPr>
                            <w:w w:val="111"/>
                            <w:sz w:val="19"/>
                          </w:rPr>
                          <w:t>-</w:t>
                        </w:r>
                      </w:p>
                    </w:tc>
                    <w:tc>
                      <w:tcPr>
                        <w:tcW w:w="1162" w:type="dxa"/>
                        <w:shd w:val="clear" w:color="auto" w:fill="FFFFFF"/>
                      </w:tcPr>
                      <w:p>
                        <w:pPr>
                          <w:pStyle w:val="TableParagraph"/>
                          <w:spacing w:before="52"/>
                          <w:ind w:right="114"/>
                          <w:jc w:val="right"/>
                          <w:rPr>
                            <w:sz w:val="19"/>
                          </w:rPr>
                        </w:pPr>
                        <w:r>
                          <w:rPr>
                            <w:w w:val="95"/>
                            <w:sz w:val="19"/>
                          </w:rPr>
                          <w:t>20,762</w:t>
                        </w:r>
                      </w:p>
                    </w:tc>
                    <w:tc>
                      <w:tcPr>
                        <w:tcW w:w="1049" w:type="dxa"/>
                        <w:shd w:val="clear" w:color="auto" w:fill="FFFFFF"/>
                      </w:tcPr>
                      <w:p>
                        <w:pPr>
                          <w:pStyle w:val="TableParagraph"/>
                          <w:spacing w:before="52"/>
                          <w:ind w:right="114"/>
                          <w:jc w:val="right"/>
                          <w:rPr>
                            <w:sz w:val="19"/>
                          </w:rPr>
                        </w:pPr>
                        <w:r>
                          <w:rPr>
                            <w:w w:val="95"/>
                            <w:sz w:val="19"/>
                          </w:rPr>
                          <w:t>11,043</w:t>
                        </w:r>
                      </w:p>
                    </w:tc>
                    <w:tc>
                      <w:tcPr>
                        <w:tcW w:w="936" w:type="dxa"/>
                        <w:shd w:val="clear" w:color="auto" w:fill="E1E4BB"/>
                      </w:tcPr>
                      <w:p>
                        <w:pPr>
                          <w:pStyle w:val="TableParagraph"/>
                          <w:spacing w:before="52"/>
                          <w:ind w:right="115"/>
                          <w:jc w:val="right"/>
                          <w:rPr>
                            <w:b/>
                            <w:sz w:val="19"/>
                          </w:rPr>
                        </w:pPr>
                        <w:r>
                          <w:rPr>
                            <w:b/>
                            <w:w w:val="95"/>
                            <w:sz w:val="19"/>
                          </w:rPr>
                          <w:t>31,805</w:t>
                        </w:r>
                      </w:p>
                    </w:tc>
                  </w:tr>
                  <w:tr>
                    <w:trPr>
                      <w:trHeight w:val="285" w:hRule="atLeast"/>
                    </w:trPr>
                    <w:tc>
                      <w:tcPr>
                        <w:tcW w:w="3203" w:type="dxa"/>
                        <w:tcBorders>
                          <w:bottom w:val="single" w:sz="8" w:space="0" w:color="FFFFFF"/>
                          <w:right w:val="single" w:sz="8" w:space="0" w:color="FFFFFF"/>
                        </w:tcBorders>
                        <w:shd w:val="clear" w:color="auto" w:fill="F4F4F4"/>
                      </w:tcPr>
                      <w:p>
                        <w:pPr>
                          <w:pStyle w:val="TableParagraph"/>
                          <w:ind w:left="113"/>
                          <w:rPr>
                            <w:sz w:val="19"/>
                          </w:rPr>
                        </w:pPr>
                        <w:r>
                          <w:rPr>
                            <w:sz w:val="19"/>
                          </w:rPr>
                          <w:t>Additions</w:t>
                        </w:r>
                      </w:p>
                    </w:tc>
                    <w:tc>
                      <w:tcPr>
                        <w:tcW w:w="1049" w:type="dxa"/>
                        <w:tcBorders>
                          <w:left w:val="single" w:sz="8" w:space="0" w:color="FFFFFF"/>
                          <w:bottom w:val="single" w:sz="8" w:space="0" w:color="FFFFFF"/>
                          <w:right w:val="single" w:sz="8" w:space="0" w:color="FFFFFF"/>
                        </w:tcBorders>
                        <w:shd w:val="clear" w:color="auto" w:fill="F4F4F4"/>
                      </w:tcPr>
                      <w:p>
                        <w:pPr>
                          <w:pStyle w:val="TableParagraph"/>
                          <w:ind w:right="101"/>
                          <w:jc w:val="right"/>
                          <w:rPr>
                            <w:sz w:val="19"/>
                          </w:rPr>
                        </w:pPr>
                        <w:r>
                          <w:rPr>
                            <w:w w:val="111"/>
                            <w:sz w:val="19"/>
                          </w:rPr>
                          <w:t>-</w:t>
                        </w:r>
                      </w:p>
                    </w:tc>
                    <w:tc>
                      <w:tcPr>
                        <w:tcW w:w="1162" w:type="dxa"/>
                        <w:tcBorders>
                          <w:left w:val="single" w:sz="8" w:space="0" w:color="FFFFFF"/>
                          <w:bottom w:val="single" w:sz="8" w:space="0" w:color="FFFFFF"/>
                          <w:right w:val="single" w:sz="8" w:space="0" w:color="FFFFFF"/>
                        </w:tcBorders>
                        <w:shd w:val="clear" w:color="auto" w:fill="F4F4F4"/>
                      </w:tcPr>
                      <w:p>
                        <w:pPr>
                          <w:pStyle w:val="TableParagraph"/>
                          <w:ind w:right="104"/>
                          <w:jc w:val="right"/>
                          <w:rPr>
                            <w:sz w:val="19"/>
                          </w:rPr>
                        </w:pPr>
                        <w:r>
                          <w:rPr>
                            <w:w w:val="95"/>
                            <w:sz w:val="19"/>
                          </w:rPr>
                          <w:t>239</w:t>
                        </w:r>
                      </w:p>
                    </w:tc>
                    <w:tc>
                      <w:tcPr>
                        <w:tcW w:w="1049" w:type="dxa"/>
                        <w:tcBorders>
                          <w:left w:val="single" w:sz="8" w:space="0" w:color="FFFFFF"/>
                          <w:bottom w:val="single" w:sz="8" w:space="0" w:color="FFFFFF"/>
                        </w:tcBorders>
                        <w:shd w:val="clear" w:color="auto" w:fill="F4F4F4"/>
                      </w:tcPr>
                      <w:p>
                        <w:pPr>
                          <w:pStyle w:val="TableParagraph"/>
                          <w:ind w:right="114"/>
                          <w:jc w:val="right"/>
                          <w:rPr>
                            <w:sz w:val="19"/>
                          </w:rPr>
                        </w:pPr>
                        <w:r>
                          <w:rPr>
                            <w:w w:val="95"/>
                            <w:sz w:val="19"/>
                          </w:rPr>
                          <w:t>6,786</w:t>
                        </w:r>
                      </w:p>
                    </w:tc>
                    <w:tc>
                      <w:tcPr>
                        <w:tcW w:w="936" w:type="dxa"/>
                        <w:shd w:val="clear" w:color="auto" w:fill="E1E4BB"/>
                      </w:tcPr>
                      <w:p>
                        <w:pPr>
                          <w:pStyle w:val="TableParagraph"/>
                          <w:ind w:right="115"/>
                          <w:jc w:val="right"/>
                          <w:rPr>
                            <w:b/>
                            <w:sz w:val="19"/>
                          </w:rPr>
                        </w:pPr>
                        <w:r>
                          <w:rPr>
                            <w:b/>
                            <w:w w:val="95"/>
                            <w:sz w:val="19"/>
                          </w:rPr>
                          <w:t>7,025</w:t>
                        </w:r>
                      </w:p>
                    </w:tc>
                  </w:tr>
                  <w:tr>
                    <w:trPr>
                      <w:trHeight w:val="253" w:hRule="atLeast"/>
                    </w:trPr>
                    <w:tc>
                      <w:tcPr>
                        <w:tcW w:w="3203" w:type="dxa"/>
                        <w:shd w:val="clear" w:color="auto" w:fill="FFFFFF"/>
                      </w:tcPr>
                      <w:p>
                        <w:pPr>
                          <w:pStyle w:val="TableParagraph"/>
                          <w:spacing w:line="201" w:lineRule="exact"/>
                          <w:ind w:left="112"/>
                          <w:rPr>
                            <w:sz w:val="19"/>
                          </w:rPr>
                        </w:pPr>
                        <w:r>
                          <w:rPr>
                            <w:sz w:val="19"/>
                          </w:rPr>
                          <w:t>Transfers to computer software</w:t>
                        </w:r>
                      </w:p>
                    </w:tc>
                    <w:tc>
                      <w:tcPr>
                        <w:tcW w:w="1049" w:type="dxa"/>
                        <w:shd w:val="clear" w:color="auto" w:fill="FFFFFF"/>
                      </w:tcPr>
                      <w:p>
                        <w:pPr>
                          <w:pStyle w:val="TableParagraph"/>
                          <w:spacing w:line="201" w:lineRule="exact"/>
                          <w:ind w:right="111"/>
                          <w:jc w:val="right"/>
                          <w:rPr>
                            <w:sz w:val="19"/>
                          </w:rPr>
                        </w:pPr>
                        <w:r>
                          <w:rPr>
                            <w:w w:val="111"/>
                            <w:sz w:val="19"/>
                          </w:rPr>
                          <w:t>-</w:t>
                        </w:r>
                      </w:p>
                    </w:tc>
                    <w:tc>
                      <w:tcPr>
                        <w:tcW w:w="1162" w:type="dxa"/>
                        <w:shd w:val="clear" w:color="auto" w:fill="FFFFFF"/>
                      </w:tcPr>
                      <w:p>
                        <w:pPr>
                          <w:pStyle w:val="TableParagraph"/>
                          <w:spacing w:line="201" w:lineRule="exact"/>
                          <w:ind w:right="114"/>
                          <w:jc w:val="right"/>
                          <w:rPr>
                            <w:sz w:val="19"/>
                          </w:rPr>
                        </w:pPr>
                        <w:r>
                          <w:rPr>
                            <w:w w:val="95"/>
                            <w:sz w:val="19"/>
                          </w:rPr>
                          <w:t>5,947</w:t>
                        </w:r>
                      </w:p>
                    </w:tc>
                    <w:tc>
                      <w:tcPr>
                        <w:tcW w:w="1049" w:type="dxa"/>
                        <w:shd w:val="clear" w:color="auto" w:fill="FFFFFF"/>
                      </w:tcPr>
                      <w:p>
                        <w:pPr>
                          <w:pStyle w:val="TableParagraph"/>
                          <w:spacing w:line="201" w:lineRule="exact"/>
                          <w:ind w:right="114"/>
                          <w:jc w:val="right"/>
                          <w:rPr>
                            <w:sz w:val="19"/>
                          </w:rPr>
                        </w:pPr>
                        <w:r>
                          <w:rPr>
                            <w:w w:val="90"/>
                            <w:sz w:val="19"/>
                          </w:rPr>
                          <w:t>(5,947)</w:t>
                        </w:r>
                      </w:p>
                    </w:tc>
                    <w:tc>
                      <w:tcPr>
                        <w:tcW w:w="936" w:type="dxa"/>
                        <w:shd w:val="clear" w:color="auto" w:fill="E1E4BB"/>
                      </w:tcPr>
                      <w:p>
                        <w:pPr>
                          <w:pStyle w:val="TableParagraph"/>
                          <w:spacing w:line="201" w:lineRule="exact"/>
                          <w:ind w:right="112"/>
                          <w:jc w:val="right"/>
                          <w:rPr>
                            <w:b/>
                            <w:sz w:val="19"/>
                          </w:rPr>
                        </w:pPr>
                        <w:r>
                          <w:rPr>
                            <w:b/>
                            <w:w w:val="122"/>
                            <w:sz w:val="19"/>
                          </w:rPr>
                          <w:t>-</w:t>
                        </w:r>
                      </w:p>
                    </w:tc>
                  </w:tr>
                  <w:tr>
                    <w:trPr>
                      <w:trHeight w:val="260" w:hRule="atLeast"/>
                    </w:trPr>
                    <w:tc>
                      <w:tcPr>
                        <w:tcW w:w="3203" w:type="dxa"/>
                        <w:shd w:val="clear" w:color="auto" w:fill="FFFFFF"/>
                      </w:tcPr>
                      <w:p>
                        <w:pPr>
                          <w:pStyle w:val="TableParagraph"/>
                          <w:spacing w:before="7"/>
                          <w:ind w:left="112"/>
                          <w:rPr>
                            <w:sz w:val="19"/>
                          </w:rPr>
                        </w:pPr>
                        <w:r>
                          <w:rPr>
                            <w:sz w:val="19"/>
                          </w:rPr>
                          <w:t>and licence</w:t>
                        </w:r>
                      </w:p>
                    </w:tc>
                    <w:tc>
                      <w:tcPr>
                        <w:tcW w:w="1049" w:type="dxa"/>
                        <w:shd w:val="clear" w:color="auto" w:fill="FFFFFF"/>
                      </w:tcPr>
                      <w:p>
                        <w:pPr>
                          <w:pStyle w:val="TableParagraph"/>
                          <w:spacing w:before="0"/>
                          <w:rPr>
                            <w:rFonts w:ascii="Times New Roman"/>
                            <w:sz w:val="18"/>
                          </w:rPr>
                        </w:pPr>
                      </w:p>
                    </w:tc>
                    <w:tc>
                      <w:tcPr>
                        <w:tcW w:w="1162" w:type="dxa"/>
                        <w:shd w:val="clear" w:color="auto" w:fill="FFFFFF"/>
                      </w:tcPr>
                      <w:p>
                        <w:pPr>
                          <w:pStyle w:val="TableParagraph"/>
                          <w:spacing w:before="0"/>
                          <w:rPr>
                            <w:rFonts w:ascii="Times New Roman"/>
                            <w:sz w:val="18"/>
                          </w:rPr>
                        </w:pPr>
                      </w:p>
                    </w:tc>
                    <w:tc>
                      <w:tcPr>
                        <w:tcW w:w="1049" w:type="dxa"/>
                        <w:shd w:val="clear" w:color="auto" w:fill="FFFFFF"/>
                      </w:tcPr>
                      <w:p>
                        <w:pPr>
                          <w:pStyle w:val="TableParagraph"/>
                          <w:spacing w:before="0"/>
                          <w:rPr>
                            <w:rFonts w:ascii="Times New Roman"/>
                            <w:sz w:val="18"/>
                          </w:rPr>
                        </w:pPr>
                      </w:p>
                    </w:tc>
                    <w:tc>
                      <w:tcPr>
                        <w:tcW w:w="936" w:type="dxa"/>
                        <w:shd w:val="clear" w:color="auto" w:fill="E1E4BB"/>
                      </w:tcPr>
                      <w:p>
                        <w:pPr>
                          <w:pStyle w:val="TableParagraph"/>
                          <w:spacing w:before="0"/>
                          <w:rPr>
                            <w:rFonts w:ascii="Times New Roman"/>
                            <w:sz w:val="18"/>
                          </w:rPr>
                        </w:pPr>
                      </w:p>
                    </w:tc>
                  </w:tr>
                  <w:tr>
                    <w:trPr>
                      <w:trHeight w:val="290" w:hRule="atLeast"/>
                    </w:trPr>
                    <w:tc>
                      <w:tcPr>
                        <w:tcW w:w="3203" w:type="dxa"/>
                        <w:tcBorders>
                          <w:top w:val="single" w:sz="8" w:space="0" w:color="FFFFFF"/>
                          <w:right w:val="single" w:sz="8" w:space="0" w:color="FFFFFF"/>
                        </w:tcBorders>
                        <w:shd w:val="clear" w:color="auto" w:fill="F4F4F4"/>
                      </w:tcPr>
                      <w:p>
                        <w:pPr>
                          <w:pStyle w:val="TableParagraph"/>
                          <w:ind w:left="112"/>
                          <w:rPr>
                            <w:sz w:val="19"/>
                          </w:rPr>
                        </w:pPr>
                        <w:r>
                          <w:rPr>
                            <w:sz w:val="19"/>
                          </w:rPr>
                          <w:t>Amortisation expense</w:t>
                        </w:r>
                      </w:p>
                    </w:tc>
                    <w:tc>
                      <w:tcPr>
                        <w:tcW w:w="1049"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102"/>
                          <w:jc w:val="right"/>
                          <w:rPr>
                            <w:sz w:val="19"/>
                          </w:rPr>
                        </w:pPr>
                        <w:r>
                          <w:rPr>
                            <w:w w:val="111"/>
                            <w:sz w:val="19"/>
                          </w:rPr>
                          <w:t>-</w:t>
                        </w:r>
                      </w:p>
                    </w:tc>
                    <w:tc>
                      <w:tcPr>
                        <w:tcW w:w="1162"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104"/>
                          <w:jc w:val="right"/>
                          <w:rPr>
                            <w:sz w:val="19"/>
                          </w:rPr>
                        </w:pPr>
                        <w:r>
                          <w:rPr>
                            <w:w w:val="90"/>
                            <w:sz w:val="19"/>
                          </w:rPr>
                          <w:t>(4,367)</w:t>
                        </w:r>
                      </w:p>
                    </w:tc>
                    <w:tc>
                      <w:tcPr>
                        <w:tcW w:w="1049" w:type="dxa"/>
                        <w:tcBorders>
                          <w:top w:val="single" w:sz="8" w:space="0" w:color="FFFFFF"/>
                          <w:left w:val="single" w:sz="8" w:space="0" w:color="FFFFFF"/>
                          <w:bottom w:val="single" w:sz="4" w:space="0" w:color="000000"/>
                        </w:tcBorders>
                        <w:shd w:val="clear" w:color="auto" w:fill="F4F4F4"/>
                      </w:tcPr>
                      <w:p>
                        <w:pPr>
                          <w:pStyle w:val="TableParagraph"/>
                          <w:ind w:right="112"/>
                          <w:jc w:val="right"/>
                          <w:rPr>
                            <w:sz w:val="19"/>
                          </w:rPr>
                        </w:pPr>
                        <w:r>
                          <w:rPr>
                            <w:w w:val="111"/>
                            <w:sz w:val="19"/>
                          </w:rPr>
                          <w:t>-</w:t>
                        </w:r>
                      </w:p>
                    </w:tc>
                    <w:tc>
                      <w:tcPr>
                        <w:tcW w:w="936" w:type="dxa"/>
                        <w:tcBorders>
                          <w:bottom w:val="single" w:sz="4" w:space="0" w:color="000000"/>
                        </w:tcBorders>
                        <w:shd w:val="clear" w:color="auto" w:fill="E1E4BB"/>
                      </w:tcPr>
                      <w:p>
                        <w:pPr>
                          <w:pStyle w:val="TableParagraph"/>
                          <w:ind w:right="115"/>
                          <w:jc w:val="right"/>
                          <w:rPr>
                            <w:b/>
                            <w:sz w:val="19"/>
                          </w:rPr>
                        </w:pPr>
                        <w:r>
                          <w:rPr>
                            <w:b/>
                            <w:w w:val="95"/>
                            <w:sz w:val="19"/>
                          </w:rPr>
                          <w:t>(4,367)</w:t>
                        </w:r>
                      </w:p>
                    </w:tc>
                  </w:tr>
                  <w:tr>
                    <w:trPr>
                      <w:trHeight w:val="268" w:hRule="atLeast"/>
                    </w:trPr>
                    <w:tc>
                      <w:tcPr>
                        <w:tcW w:w="3203" w:type="dxa"/>
                        <w:shd w:val="clear" w:color="auto" w:fill="FFFFFF"/>
                      </w:tcPr>
                      <w:p>
                        <w:pPr>
                          <w:pStyle w:val="TableParagraph"/>
                          <w:spacing w:line="211" w:lineRule="exact" w:before="37"/>
                          <w:ind w:left="112"/>
                          <w:rPr>
                            <w:b/>
                            <w:sz w:val="19"/>
                          </w:rPr>
                        </w:pPr>
                        <w:r>
                          <w:rPr>
                            <w:b/>
                            <w:sz w:val="19"/>
                          </w:rPr>
                          <w:t>Carrying amount at end of period</w:t>
                        </w:r>
                      </w:p>
                    </w:tc>
                    <w:tc>
                      <w:tcPr>
                        <w:tcW w:w="1049" w:type="dxa"/>
                        <w:tcBorders>
                          <w:top w:val="single" w:sz="4" w:space="0" w:color="000000"/>
                          <w:bottom w:val="double" w:sz="2" w:space="0" w:color="000000"/>
                        </w:tcBorders>
                        <w:shd w:val="clear" w:color="auto" w:fill="FFFFFF"/>
                      </w:tcPr>
                      <w:p>
                        <w:pPr>
                          <w:pStyle w:val="TableParagraph"/>
                          <w:spacing w:line="211" w:lineRule="exact" w:before="37"/>
                          <w:ind w:right="112"/>
                          <w:jc w:val="right"/>
                          <w:rPr>
                            <w:b/>
                            <w:sz w:val="19"/>
                          </w:rPr>
                        </w:pPr>
                        <w:r>
                          <w:rPr>
                            <w:b/>
                            <w:w w:val="122"/>
                            <w:sz w:val="19"/>
                          </w:rPr>
                          <w:t>-</w:t>
                        </w:r>
                      </w:p>
                    </w:tc>
                    <w:tc>
                      <w:tcPr>
                        <w:tcW w:w="1162" w:type="dxa"/>
                        <w:tcBorders>
                          <w:top w:val="single" w:sz="4" w:space="0" w:color="000000"/>
                          <w:bottom w:val="double" w:sz="2" w:space="0" w:color="000000"/>
                        </w:tcBorders>
                        <w:shd w:val="clear" w:color="auto" w:fill="FFFFFF"/>
                      </w:tcPr>
                      <w:p>
                        <w:pPr>
                          <w:pStyle w:val="TableParagraph"/>
                          <w:spacing w:line="211" w:lineRule="exact" w:before="37"/>
                          <w:ind w:right="114"/>
                          <w:jc w:val="right"/>
                          <w:rPr>
                            <w:b/>
                            <w:sz w:val="19"/>
                          </w:rPr>
                        </w:pPr>
                        <w:r>
                          <w:rPr>
                            <w:b/>
                            <w:w w:val="95"/>
                            <w:sz w:val="19"/>
                          </w:rPr>
                          <w:t>22,581</w:t>
                        </w:r>
                      </w:p>
                    </w:tc>
                    <w:tc>
                      <w:tcPr>
                        <w:tcW w:w="1049" w:type="dxa"/>
                        <w:tcBorders>
                          <w:top w:val="single" w:sz="4" w:space="0" w:color="000000"/>
                          <w:bottom w:val="double" w:sz="2" w:space="0" w:color="000000"/>
                        </w:tcBorders>
                        <w:shd w:val="clear" w:color="auto" w:fill="FFFFFF"/>
                      </w:tcPr>
                      <w:p>
                        <w:pPr>
                          <w:pStyle w:val="TableParagraph"/>
                          <w:spacing w:line="211" w:lineRule="exact" w:before="37"/>
                          <w:ind w:right="115"/>
                          <w:jc w:val="right"/>
                          <w:rPr>
                            <w:b/>
                            <w:sz w:val="19"/>
                          </w:rPr>
                        </w:pPr>
                        <w:r>
                          <w:rPr>
                            <w:b/>
                            <w:w w:val="95"/>
                            <w:sz w:val="19"/>
                          </w:rPr>
                          <w:t>11,882</w:t>
                        </w:r>
                      </w:p>
                    </w:tc>
                    <w:tc>
                      <w:tcPr>
                        <w:tcW w:w="936" w:type="dxa"/>
                        <w:tcBorders>
                          <w:top w:val="single" w:sz="4" w:space="0" w:color="000000"/>
                          <w:bottom w:val="double" w:sz="2" w:space="0" w:color="000000"/>
                        </w:tcBorders>
                        <w:shd w:val="clear" w:color="auto" w:fill="E1E4BB"/>
                      </w:tcPr>
                      <w:p>
                        <w:pPr>
                          <w:pStyle w:val="TableParagraph"/>
                          <w:spacing w:line="211" w:lineRule="exact" w:before="37"/>
                          <w:ind w:right="115"/>
                          <w:jc w:val="right"/>
                          <w:rPr>
                            <w:b/>
                            <w:sz w:val="19"/>
                          </w:rPr>
                        </w:pPr>
                        <w:r>
                          <w:rPr>
                            <w:b/>
                            <w:w w:val="95"/>
                            <w:sz w:val="19"/>
                          </w:rPr>
                          <w:t>34,463</w:t>
                        </w:r>
                      </w:p>
                    </w:tc>
                  </w:tr>
                  <w:tr>
                    <w:trPr>
                      <w:trHeight w:val="283"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top w:val="double" w:sz="2" w:space="0" w:color="000000"/>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62" w:type="dxa"/>
                        <w:tcBorders>
                          <w:top w:val="double" w:sz="2" w:space="0" w:color="000000"/>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top w:val="double" w:sz="2" w:space="0" w:color="000000"/>
                          <w:left w:val="single" w:sz="8" w:space="0" w:color="FFFFFF"/>
                          <w:bottom w:val="single" w:sz="8" w:space="0" w:color="FFFFFF"/>
                        </w:tcBorders>
                        <w:shd w:val="clear" w:color="auto" w:fill="F4F4F4"/>
                      </w:tcPr>
                      <w:p>
                        <w:pPr>
                          <w:pStyle w:val="TableParagraph"/>
                          <w:spacing w:before="0"/>
                          <w:rPr>
                            <w:rFonts w:ascii="Times New Roman"/>
                            <w:sz w:val="20"/>
                          </w:rPr>
                        </w:pPr>
                      </w:p>
                    </w:tc>
                    <w:tc>
                      <w:tcPr>
                        <w:tcW w:w="936" w:type="dxa"/>
                        <w:tcBorders>
                          <w:top w:val="double" w:sz="2" w:space="0" w:color="000000"/>
                        </w:tcBorders>
                        <w:shd w:val="clear" w:color="auto" w:fill="E1E4BB"/>
                      </w:tcPr>
                      <w:p>
                        <w:pPr>
                          <w:pStyle w:val="TableParagraph"/>
                          <w:spacing w:before="0"/>
                          <w:rPr>
                            <w:rFonts w:ascii="Times New Roman"/>
                            <w:sz w:val="20"/>
                          </w:rPr>
                        </w:pPr>
                      </w:p>
                    </w:tc>
                  </w:tr>
                  <w:tr>
                    <w:trPr>
                      <w:trHeight w:val="285" w:hRule="atLeast"/>
                    </w:trPr>
                    <w:tc>
                      <w:tcPr>
                        <w:tcW w:w="6463" w:type="dxa"/>
                        <w:gridSpan w:val="4"/>
                        <w:shd w:val="clear" w:color="auto" w:fill="FFFFFF"/>
                      </w:tcPr>
                      <w:p>
                        <w:pPr>
                          <w:pStyle w:val="TableParagraph"/>
                          <w:ind w:left="112"/>
                          <w:rPr>
                            <w:b/>
                            <w:sz w:val="19"/>
                          </w:rPr>
                        </w:pPr>
                        <w:r>
                          <w:rPr>
                            <w:b/>
                            <w:sz w:val="19"/>
                          </w:rPr>
                          <w:t>2017</w:t>
                        </w:r>
                      </w:p>
                    </w:tc>
                    <w:tc>
                      <w:tcPr>
                        <w:tcW w:w="936" w:type="dxa"/>
                        <w:shd w:val="clear" w:color="auto" w:fill="E1E4BB"/>
                      </w:tcPr>
                      <w:p>
                        <w:pPr>
                          <w:pStyle w:val="TableParagraph"/>
                          <w:spacing w:before="0"/>
                          <w:rPr>
                            <w:rFonts w:ascii="Times New Roman"/>
                            <w:sz w:val="20"/>
                          </w:rPr>
                        </w:pPr>
                      </w:p>
                    </w:tc>
                  </w:tr>
                  <w:tr>
                    <w:trPr>
                      <w:trHeight w:val="285"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ind w:left="112"/>
                          <w:rPr>
                            <w:sz w:val="19"/>
                          </w:rPr>
                        </w:pPr>
                        <w:r>
                          <w:rPr>
                            <w:sz w:val="19"/>
                          </w:rPr>
                          <w:t>Carrying amount at start of period</w:t>
                        </w:r>
                      </w:p>
                    </w:tc>
                    <w:tc>
                      <w:tcPr>
                        <w:tcW w:w="1049"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5"/>
                          <w:jc w:val="right"/>
                          <w:rPr>
                            <w:sz w:val="19"/>
                          </w:rPr>
                        </w:pPr>
                        <w:r>
                          <w:rPr>
                            <w:w w:val="95"/>
                            <w:sz w:val="19"/>
                          </w:rPr>
                          <w:t>725</w:t>
                        </w:r>
                      </w:p>
                    </w:tc>
                    <w:tc>
                      <w:tcPr>
                        <w:tcW w:w="116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5"/>
                          <w:jc w:val="right"/>
                          <w:rPr>
                            <w:sz w:val="19"/>
                          </w:rPr>
                        </w:pPr>
                        <w:r>
                          <w:rPr>
                            <w:w w:val="95"/>
                            <w:sz w:val="19"/>
                          </w:rPr>
                          <w:t>22,306</w:t>
                        </w:r>
                      </w:p>
                    </w:tc>
                    <w:tc>
                      <w:tcPr>
                        <w:tcW w:w="1049" w:type="dxa"/>
                        <w:tcBorders>
                          <w:top w:val="single" w:sz="8" w:space="0" w:color="FFFFFF"/>
                          <w:left w:val="single" w:sz="8" w:space="0" w:color="FFFFFF"/>
                          <w:bottom w:val="single" w:sz="8" w:space="0" w:color="FFFFFF"/>
                        </w:tcBorders>
                        <w:shd w:val="clear" w:color="auto" w:fill="F4F4F4"/>
                      </w:tcPr>
                      <w:p>
                        <w:pPr>
                          <w:pStyle w:val="TableParagraph"/>
                          <w:ind w:right="115"/>
                          <w:jc w:val="right"/>
                          <w:rPr>
                            <w:sz w:val="19"/>
                          </w:rPr>
                        </w:pPr>
                        <w:r>
                          <w:rPr>
                            <w:w w:val="95"/>
                            <w:sz w:val="19"/>
                          </w:rPr>
                          <w:t>6,485</w:t>
                        </w:r>
                      </w:p>
                    </w:tc>
                    <w:tc>
                      <w:tcPr>
                        <w:tcW w:w="936" w:type="dxa"/>
                        <w:shd w:val="clear" w:color="auto" w:fill="E1E4BB"/>
                      </w:tcPr>
                      <w:p>
                        <w:pPr>
                          <w:pStyle w:val="TableParagraph"/>
                          <w:ind w:right="117"/>
                          <w:jc w:val="right"/>
                          <w:rPr>
                            <w:b/>
                            <w:sz w:val="19"/>
                          </w:rPr>
                        </w:pPr>
                        <w:r>
                          <w:rPr>
                            <w:b/>
                            <w:w w:val="95"/>
                            <w:sz w:val="19"/>
                          </w:rPr>
                          <w:t>29,516</w:t>
                        </w:r>
                      </w:p>
                    </w:tc>
                  </w:tr>
                  <w:tr>
                    <w:trPr>
                      <w:trHeight w:val="285" w:hRule="atLeast"/>
                    </w:trPr>
                    <w:tc>
                      <w:tcPr>
                        <w:tcW w:w="3203" w:type="dxa"/>
                        <w:shd w:val="clear" w:color="auto" w:fill="FFFFFF"/>
                      </w:tcPr>
                      <w:p>
                        <w:pPr>
                          <w:pStyle w:val="TableParagraph"/>
                          <w:ind w:left="112"/>
                          <w:rPr>
                            <w:sz w:val="19"/>
                          </w:rPr>
                        </w:pPr>
                        <w:r>
                          <w:rPr>
                            <w:sz w:val="19"/>
                          </w:rPr>
                          <w:t>Additions</w:t>
                        </w:r>
                      </w:p>
                    </w:tc>
                    <w:tc>
                      <w:tcPr>
                        <w:tcW w:w="1049" w:type="dxa"/>
                        <w:shd w:val="clear" w:color="auto" w:fill="FFFFFF"/>
                      </w:tcPr>
                      <w:p>
                        <w:pPr>
                          <w:pStyle w:val="TableParagraph"/>
                          <w:ind w:right="112"/>
                          <w:jc w:val="right"/>
                          <w:rPr>
                            <w:sz w:val="19"/>
                          </w:rPr>
                        </w:pPr>
                        <w:r>
                          <w:rPr>
                            <w:w w:val="111"/>
                            <w:sz w:val="19"/>
                          </w:rPr>
                          <w:t>-</w:t>
                        </w:r>
                      </w:p>
                    </w:tc>
                    <w:tc>
                      <w:tcPr>
                        <w:tcW w:w="1162" w:type="dxa"/>
                        <w:shd w:val="clear" w:color="auto" w:fill="FFFFFF"/>
                      </w:tcPr>
                      <w:p>
                        <w:pPr>
                          <w:pStyle w:val="TableParagraph"/>
                          <w:ind w:right="115"/>
                          <w:jc w:val="right"/>
                          <w:rPr>
                            <w:sz w:val="19"/>
                          </w:rPr>
                        </w:pPr>
                        <w:r>
                          <w:rPr>
                            <w:w w:val="95"/>
                            <w:sz w:val="19"/>
                          </w:rPr>
                          <w:t>1,127</w:t>
                        </w:r>
                      </w:p>
                    </w:tc>
                    <w:tc>
                      <w:tcPr>
                        <w:tcW w:w="1049" w:type="dxa"/>
                        <w:shd w:val="clear" w:color="auto" w:fill="FFFFFF"/>
                      </w:tcPr>
                      <w:p>
                        <w:pPr>
                          <w:pStyle w:val="TableParagraph"/>
                          <w:ind w:right="115"/>
                          <w:jc w:val="right"/>
                          <w:rPr>
                            <w:sz w:val="19"/>
                          </w:rPr>
                        </w:pPr>
                        <w:r>
                          <w:rPr>
                            <w:w w:val="95"/>
                            <w:sz w:val="19"/>
                          </w:rPr>
                          <w:t>6,148</w:t>
                        </w:r>
                      </w:p>
                    </w:tc>
                    <w:tc>
                      <w:tcPr>
                        <w:tcW w:w="936" w:type="dxa"/>
                        <w:shd w:val="clear" w:color="auto" w:fill="E1E4BB"/>
                      </w:tcPr>
                      <w:p>
                        <w:pPr>
                          <w:pStyle w:val="TableParagraph"/>
                          <w:ind w:right="116"/>
                          <w:jc w:val="right"/>
                          <w:rPr>
                            <w:b/>
                            <w:sz w:val="19"/>
                          </w:rPr>
                        </w:pPr>
                        <w:r>
                          <w:rPr>
                            <w:b/>
                            <w:w w:val="95"/>
                            <w:sz w:val="19"/>
                          </w:rPr>
                          <w:t>7,275</w:t>
                        </w:r>
                      </w:p>
                    </w:tc>
                  </w:tr>
                  <w:tr>
                    <w:trPr>
                      <w:trHeight w:val="253" w:hRule="atLeast"/>
                    </w:trPr>
                    <w:tc>
                      <w:tcPr>
                        <w:tcW w:w="3203" w:type="dxa"/>
                        <w:tcBorders>
                          <w:top w:val="single" w:sz="8" w:space="0" w:color="FFFFFF"/>
                          <w:right w:val="single" w:sz="8" w:space="0" w:color="FFFFFF"/>
                        </w:tcBorders>
                        <w:shd w:val="clear" w:color="auto" w:fill="F4F4F4"/>
                      </w:tcPr>
                      <w:p>
                        <w:pPr>
                          <w:pStyle w:val="TableParagraph"/>
                          <w:spacing w:line="201" w:lineRule="exact"/>
                          <w:ind w:left="111"/>
                          <w:rPr>
                            <w:sz w:val="19"/>
                          </w:rPr>
                        </w:pPr>
                        <w:r>
                          <w:rPr>
                            <w:sz w:val="19"/>
                          </w:rPr>
                          <w:t>Transfers to computer software</w:t>
                        </w:r>
                      </w:p>
                    </w:tc>
                    <w:tc>
                      <w:tcPr>
                        <w:tcW w:w="1049" w:type="dxa"/>
                        <w:tcBorders>
                          <w:top w:val="single" w:sz="8" w:space="0" w:color="FFFFFF"/>
                          <w:left w:val="single" w:sz="8" w:space="0" w:color="FFFFFF"/>
                          <w:right w:val="single" w:sz="8" w:space="0" w:color="FFFFFF"/>
                        </w:tcBorders>
                        <w:shd w:val="clear" w:color="auto" w:fill="F4F4F4"/>
                      </w:tcPr>
                      <w:p>
                        <w:pPr>
                          <w:pStyle w:val="TableParagraph"/>
                          <w:spacing w:line="201" w:lineRule="exact"/>
                          <w:ind w:right="102"/>
                          <w:jc w:val="right"/>
                          <w:rPr>
                            <w:sz w:val="19"/>
                          </w:rPr>
                        </w:pPr>
                        <w:r>
                          <w:rPr>
                            <w:w w:val="111"/>
                            <w:sz w:val="19"/>
                          </w:rPr>
                          <w:t>-</w:t>
                        </w:r>
                      </w:p>
                    </w:tc>
                    <w:tc>
                      <w:tcPr>
                        <w:tcW w:w="1162" w:type="dxa"/>
                        <w:tcBorders>
                          <w:top w:val="single" w:sz="8" w:space="0" w:color="FFFFFF"/>
                          <w:left w:val="single" w:sz="8" w:space="0" w:color="FFFFFF"/>
                          <w:right w:val="single" w:sz="8" w:space="0" w:color="FFFFFF"/>
                        </w:tcBorders>
                        <w:shd w:val="clear" w:color="auto" w:fill="F4F4F4"/>
                      </w:tcPr>
                      <w:p>
                        <w:pPr>
                          <w:pStyle w:val="TableParagraph"/>
                          <w:spacing w:line="201" w:lineRule="exact"/>
                          <w:ind w:right="105"/>
                          <w:jc w:val="right"/>
                          <w:rPr>
                            <w:sz w:val="19"/>
                          </w:rPr>
                        </w:pPr>
                        <w:r>
                          <w:rPr>
                            <w:w w:val="95"/>
                            <w:sz w:val="19"/>
                          </w:rPr>
                          <w:t>1,590</w:t>
                        </w:r>
                      </w:p>
                    </w:tc>
                    <w:tc>
                      <w:tcPr>
                        <w:tcW w:w="1049" w:type="dxa"/>
                        <w:tcBorders>
                          <w:top w:val="single" w:sz="8" w:space="0" w:color="FFFFFF"/>
                          <w:left w:val="single" w:sz="8" w:space="0" w:color="FFFFFF"/>
                        </w:tcBorders>
                        <w:shd w:val="clear" w:color="auto" w:fill="F4F4F4"/>
                      </w:tcPr>
                      <w:p>
                        <w:pPr>
                          <w:pStyle w:val="TableParagraph"/>
                          <w:spacing w:line="201" w:lineRule="exact"/>
                          <w:ind w:right="115"/>
                          <w:jc w:val="right"/>
                          <w:rPr>
                            <w:sz w:val="19"/>
                          </w:rPr>
                        </w:pPr>
                        <w:r>
                          <w:rPr>
                            <w:w w:val="90"/>
                            <w:sz w:val="19"/>
                          </w:rPr>
                          <w:t>(1,590)</w:t>
                        </w:r>
                      </w:p>
                    </w:tc>
                    <w:tc>
                      <w:tcPr>
                        <w:tcW w:w="936" w:type="dxa"/>
                        <w:shd w:val="clear" w:color="auto" w:fill="E1E4BB"/>
                      </w:tcPr>
                      <w:p>
                        <w:pPr>
                          <w:pStyle w:val="TableParagraph"/>
                          <w:spacing w:line="201" w:lineRule="exact"/>
                          <w:ind w:right="113"/>
                          <w:jc w:val="right"/>
                          <w:rPr>
                            <w:b/>
                            <w:sz w:val="19"/>
                          </w:rPr>
                        </w:pPr>
                        <w:r>
                          <w:rPr>
                            <w:b/>
                            <w:w w:val="122"/>
                            <w:sz w:val="19"/>
                          </w:rPr>
                          <w:t>-</w:t>
                        </w:r>
                      </w:p>
                    </w:tc>
                  </w:tr>
                  <w:tr>
                    <w:trPr>
                      <w:trHeight w:val="260" w:hRule="atLeast"/>
                    </w:trPr>
                    <w:tc>
                      <w:tcPr>
                        <w:tcW w:w="3203" w:type="dxa"/>
                        <w:tcBorders>
                          <w:bottom w:val="single" w:sz="8" w:space="0" w:color="FFFFFF"/>
                          <w:right w:val="single" w:sz="8" w:space="0" w:color="FFFFFF"/>
                        </w:tcBorders>
                        <w:shd w:val="clear" w:color="auto" w:fill="F4F4F4"/>
                      </w:tcPr>
                      <w:p>
                        <w:pPr>
                          <w:pStyle w:val="TableParagraph"/>
                          <w:spacing w:before="7"/>
                          <w:ind w:left="111"/>
                          <w:rPr>
                            <w:sz w:val="19"/>
                          </w:rPr>
                        </w:pPr>
                        <w:r>
                          <w:rPr>
                            <w:sz w:val="19"/>
                          </w:rPr>
                          <w:t>and licence</w:t>
                        </w:r>
                      </w:p>
                    </w:tc>
                    <w:tc>
                      <w:tcPr>
                        <w:tcW w:w="1049" w:type="dxa"/>
                        <w:tcBorders>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1162" w:type="dxa"/>
                        <w:tcBorders>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1049"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936" w:type="dxa"/>
                        <w:shd w:val="clear" w:color="auto" w:fill="E1E4BB"/>
                      </w:tcPr>
                      <w:p>
                        <w:pPr>
                          <w:pStyle w:val="TableParagraph"/>
                          <w:spacing w:before="0"/>
                          <w:rPr>
                            <w:rFonts w:ascii="Times New Roman"/>
                            <w:sz w:val="18"/>
                          </w:rPr>
                        </w:pPr>
                      </w:p>
                    </w:tc>
                  </w:tr>
                  <w:tr>
                    <w:trPr>
                      <w:trHeight w:val="285" w:hRule="atLeast"/>
                    </w:trPr>
                    <w:tc>
                      <w:tcPr>
                        <w:tcW w:w="3203" w:type="dxa"/>
                        <w:shd w:val="clear" w:color="auto" w:fill="FFFFFF"/>
                      </w:tcPr>
                      <w:p>
                        <w:pPr>
                          <w:pStyle w:val="TableParagraph"/>
                          <w:ind w:left="111"/>
                          <w:rPr>
                            <w:sz w:val="19"/>
                          </w:rPr>
                        </w:pPr>
                        <w:r>
                          <w:rPr>
                            <w:sz w:val="19"/>
                          </w:rPr>
                          <w:t>Amortisation expense</w:t>
                        </w:r>
                      </w:p>
                    </w:tc>
                    <w:tc>
                      <w:tcPr>
                        <w:tcW w:w="1049" w:type="dxa"/>
                        <w:tcBorders>
                          <w:bottom w:val="single" w:sz="4" w:space="0" w:color="000000"/>
                        </w:tcBorders>
                        <w:shd w:val="clear" w:color="auto" w:fill="FFFFFF"/>
                      </w:tcPr>
                      <w:p>
                        <w:pPr>
                          <w:pStyle w:val="TableParagraph"/>
                          <w:ind w:right="115"/>
                          <w:jc w:val="right"/>
                          <w:rPr>
                            <w:sz w:val="19"/>
                          </w:rPr>
                        </w:pPr>
                        <w:r>
                          <w:rPr>
                            <w:w w:val="90"/>
                            <w:sz w:val="19"/>
                          </w:rPr>
                          <w:t>(725)</w:t>
                        </w:r>
                      </w:p>
                    </w:tc>
                    <w:tc>
                      <w:tcPr>
                        <w:tcW w:w="1162" w:type="dxa"/>
                        <w:tcBorders>
                          <w:bottom w:val="single" w:sz="4" w:space="0" w:color="000000"/>
                        </w:tcBorders>
                        <w:shd w:val="clear" w:color="auto" w:fill="FFFFFF"/>
                      </w:tcPr>
                      <w:p>
                        <w:pPr>
                          <w:pStyle w:val="TableParagraph"/>
                          <w:ind w:right="115"/>
                          <w:jc w:val="right"/>
                          <w:rPr>
                            <w:sz w:val="19"/>
                          </w:rPr>
                        </w:pPr>
                        <w:r>
                          <w:rPr>
                            <w:w w:val="90"/>
                            <w:sz w:val="19"/>
                          </w:rPr>
                          <w:t>(4,261)</w:t>
                        </w:r>
                      </w:p>
                    </w:tc>
                    <w:tc>
                      <w:tcPr>
                        <w:tcW w:w="1049" w:type="dxa"/>
                        <w:tcBorders>
                          <w:bottom w:val="single" w:sz="4" w:space="0" w:color="000000"/>
                        </w:tcBorders>
                        <w:shd w:val="clear" w:color="auto" w:fill="FFFFFF"/>
                      </w:tcPr>
                      <w:p>
                        <w:pPr>
                          <w:pStyle w:val="TableParagraph"/>
                          <w:ind w:right="113"/>
                          <w:jc w:val="right"/>
                          <w:rPr>
                            <w:sz w:val="19"/>
                          </w:rPr>
                        </w:pPr>
                        <w:r>
                          <w:rPr>
                            <w:w w:val="111"/>
                            <w:sz w:val="19"/>
                          </w:rPr>
                          <w:t>-</w:t>
                        </w:r>
                      </w:p>
                    </w:tc>
                    <w:tc>
                      <w:tcPr>
                        <w:tcW w:w="936" w:type="dxa"/>
                        <w:tcBorders>
                          <w:bottom w:val="single" w:sz="4" w:space="0" w:color="000000"/>
                        </w:tcBorders>
                        <w:shd w:val="clear" w:color="auto" w:fill="E1E4BB"/>
                      </w:tcPr>
                      <w:p>
                        <w:pPr>
                          <w:pStyle w:val="TableParagraph"/>
                          <w:ind w:right="116"/>
                          <w:jc w:val="right"/>
                          <w:rPr>
                            <w:b/>
                            <w:sz w:val="19"/>
                          </w:rPr>
                        </w:pPr>
                        <w:r>
                          <w:rPr>
                            <w:b/>
                            <w:w w:val="95"/>
                            <w:sz w:val="19"/>
                          </w:rPr>
                          <w:t>(4,986)</w:t>
                        </w:r>
                      </w:p>
                    </w:tc>
                  </w:tr>
                  <w:tr>
                    <w:trPr>
                      <w:trHeight w:val="243"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spacing w:line="191" w:lineRule="exact"/>
                          <w:ind w:left="111"/>
                          <w:rPr>
                            <w:b/>
                            <w:sz w:val="19"/>
                          </w:rPr>
                        </w:pPr>
                        <w:r>
                          <w:rPr>
                            <w:b/>
                            <w:sz w:val="19"/>
                          </w:rPr>
                          <w:t>Carrying amount at end of period</w:t>
                        </w:r>
                      </w:p>
                    </w:tc>
                    <w:tc>
                      <w:tcPr>
                        <w:tcW w:w="1049" w:type="dxa"/>
                        <w:tcBorders>
                          <w:top w:val="single" w:sz="4" w:space="0" w:color="000000"/>
                          <w:left w:val="single" w:sz="8" w:space="0" w:color="FFFFFF"/>
                          <w:bottom w:val="single" w:sz="34" w:space="0" w:color="FFFFFF"/>
                          <w:right w:val="single" w:sz="8" w:space="0" w:color="FFFFFF"/>
                        </w:tcBorders>
                        <w:shd w:val="clear" w:color="auto" w:fill="F4F4F4"/>
                      </w:tcPr>
                      <w:p>
                        <w:pPr>
                          <w:pStyle w:val="TableParagraph"/>
                          <w:spacing w:line="191" w:lineRule="exact"/>
                          <w:ind w:right="103"/>
                          <w:jc w:val="right"/>
                          <w:rPr>
                            <w:b/>
                            <w:sz w:val="19"/>
                          </w:rPr>
                        </w:pPr>
                        <w:r>
                          <w:rPr>
                            <w:b/>
                            <w:w w:val="122"/>
                            <w:sz w:val="19"/>
                          </w:rPr>
                          <w:t>-</w:t>
                        </w:r>
                      </w:p>
                    </w:tc>
                    <w:tc>
                      <w:tcPr>
                        <w:tcW w:w="1162" w:type="dxa"/>
                        <w:tcBorders>
                          <w:top w:val="single" w:sz="4" w:space="0" w:color="000000"/>
                          <w:left w:val="single" w:sz="8" w:space="0" w:color="FFFFFF"/>
                          <w:bottom w:val="single" w:sz="34" w:space="0" w:color="FFFFFF"/>
                          <w:right w:val="single" w:sz="8" w:space="0" w:color="FFFFFF"/>
                        </w:tcBorders>
                        <w:shd w:val="clear" w:color="auto" w:fill="F4F4F4"/>
                      </w:tcPr>
                      <w:p>
                        <w:pPr>
                          <w:pStyle w:val="TableParagraph"/>
                          <w:spacing w:line="191" w:lineRule="exact"/>
                          <w:ind w:right="105"/>
                          <w:jc w:val="right"/>
                          <w:rPr>
                            <w:b/>
                            <w:sz w:val="19"/>
                          </w:rPr>
                        </w:pPr>
                        <w:r>
                          <w:rPr>
                            <w:b/>
                            <w:w w:val="95"/>
                            <w:sz w:val="19"/>
                          </w:rPr>
                          <w:t>20,762</w:t>
                        </w:r>
                      </w:p>
                    </w:tc>
                    <w:tc>
                      <w:tcPr>
                        <w:tcW w:w="1049" w:type="dxa"/>
                        <w:tcBorders>
                          <w:top w:val="single" w:sz="4" w:space="0" w:color="000000"/>
                          <w:left w:val="single" w:sz="8" w:space="0" w:color="FFFFFF"/>
                          <w:bottom w:val="single" w:sz="34" w:space="0" w:color="FFFFFF"/>
                        </w:tcBorders>
                        <w:shd w:val="clear" w:color="auto" w:fill="F4F4F4"/>
                      </w:tcPr>
                      <w:p>
                        <w:pPr>
                          <w:pStyle w:val="TableParagraph"/>
                          <w:spacing w:line="191" w:lineRule="exact"/>
                          <w:ind w:right="116"/>
                          <w:jc w:val="right"/>
                          <w:rPr>
                            <w:b/>
                            <w:sz w:val="19"/>
                          </w:rPr>
                        </w:pPr>
                        <w:r>
                          <w:rPr>
                            <w:b/>
                            <w:w w:val="95"/>
                            <w:sz w:val="19"/>
                          </w:rPr>
                          <w:t>11,043</w:t>
                        </w:r>
                      </w:p>
                    </w:tc>
                    <w:tc>
                      <w:tcPr>
                        <w:tcW w:w="936" w:type="dxa"/>
                        <w:tcBorders>
                          <w:top w:val="single" w:sz="4" w:space="0" w:color="000000"/>
                          <w:bottom w:val="single" w:sz="34" w:space="0" w:color="FFFFFF"/>
                        </w:tcBorders>
                        <w:shd w:val="clear" w:color="auto" w:fill="DFE1B8"/>
                      </w:tcPr>
                      <w:p>
                        <w:pPr>
                          <w:pStyle w:val="TableParagraph"/>
                          <w:spacing w:line="191" w:lineRule="exact"/>
                          <w:ind w:right="116"/>
                          <w:jc w:val="right"/>
                          <w:rPr>
                            <w:b/>
                            <w:sz w:val="19"/>
                          </w:rPr>
                        </w:pPr>
                        <w:r>
                          <w:rPr>
                            <w:b/>
                            <w:w w:val="95"/>
                            <w:sz w:val="19"/>
                          </w:rPr>
                          <w:t>31,805</w:t>
                        </w:r>
                      </w:p>
                    </w:tc>
                  </w:tr>
                </w:tbl>
                <w:p>
                  <w:pPr>
                    <w:pStyle w:val="BodyText"/>
                  </w:pPr>
                </w:p>
              </w:txbxContent>
            </v:textbox>
            <w10:wrap type="none"/>
          </v:shape>
        </w:pict>
      </w:r>
      <w:r>
        <w:rPr>
          <w:color w:val="6F2770"/>
        </w:rPr>
        <w:t>Note 26. Intangible assets</w:t>
      </w:r>
    </w:p>
    <w:p>
      <w:pPr>
        <w:pStyle w:val="BodyText"/>
        <w:spacing w:before="10"/>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6F2770"/>
                <w:sz w:val="19"/>
              </w:rPr>
              <w:t>Licences</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39"/>
              <w:rPr>
                <w:sz w:val="19"/>
              </w:rPr>
            </w:pPr>
            <w:r>
              <w:rPr>
                <w:sz w:val="19"/>
              </w:rPr>
              <w:t>13,782</w:t>
            </w:r>
          </w:p>
          <w:p>
            <w:pPr>
              <w:pStyle w:val="TableParagraph"/>
              <w:spacing w:before="88"/>
              <w:ind w:left="347"/>
              <w:rPr>
                <w:sz w:val="19"/>
              </w:rPr>
            </w:pPr>
            <w:r>
              <w:rPr>
                <w:sz w:val="19"/>
              </w:rPr>
              <w:t>(13,782)</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13,782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(13,782)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122"/>
                <w:sz w:val="19"/>
              </w:rPr>
              <w:t>-</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122"/>
                <w:sz w:val="19"/>
              </w:rPr>
              <w:t>-</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Computer software</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left="333"/>
              <w:rPr>
                <w:sz w:val="19"/>
              </w:rPr>
            </w:pPr>
            <w:r>
              <w:rPr>
                <w:sz w:val="19"/>
              </w:rPr>
              <w:t>188,831</w:t>
            </w:r>
          </w:p>
          <w:p>
            <w:pPr>
              <w:pStyle w:val="TableParagraph"/>
              <w:spacing w:before="88"/>
              <w:ind w:left="241"/>
              <w:rPr>
                <w:sz w:val="19"/>
              </w:rPr>
            </w:pPr>
            <w:r>
              <w:rPr>
                <w:sz w:val="19"/>
              </w:rPr>
              <w:t>(166,250)</w:t>
            </w: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182,645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(161,883)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22,581</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20,762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Work in progress</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left="439"/>
              <w:rPr>
                <w:sz w:val="19"/>
              </w:rPr>
            </w:pPr>
            <w:r>
              <w:rPr>
                <w:sz w:val="19"/>
              </w:rPr>
              <w:t>11,882</w:t>
            </w: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11,043</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11,882</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11,043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w:t>
            </w:r>
          </w:p>
        </w:tc>
        <w:tc>
          <w:tcPr>
            <w:tcW w:w="1134" w:type="dxa"/>
            <w:vMerge w:val="restart"/>
            <w:tcBorders>
              <w:top w:val="single" w:sz="4" w:space="0" w:color="000000"/>
              <w:bottom w:val="single" w:sz="4" w:space="0" w:color="000000"/>
            </w:tcBorders>
            <w:shd w:val="clear" w:color="auto" w:fill="DFE1B8"/>
          </w:tcPr>
          <w:p>
            <w:pPr>
              <w:pStyle w:val="TableParagraph"/>
              <w:spacing w:before="4"/>
              <w:rPr>
                <w:sz w:val="29"/>
              </w:rPr>
            </w:pPr>
          </w:p>
          <w:p>
            <w:pPr>
              <w:pStyle w:val="TableParagraph"/>
              <w:spacing w:before="0"/>
              <w:ind w:left="333"/>
              <w:rPr>
                <w:sz w:val="19"/>
              </w:rPr>
            </w:pPr>
            <w:r>
              <w:rPr>
                <w:sz w:val="19"/>
              </w:rPr>
              <w:t>214,495</w:t>
            </w:r>
          </w:p>
          <w:p>
            <w:pPr>
              <w:pStyle w:val="TableParagraph"/>
              <w:spacing w:before="87"/>
              <w:ind w:left="241"/>
              <w:rPr>
                <w:sz w:val="19"/>
              </w:rPr>
            </w:pPr>
            <w:r>
              <w:rPr>
                <w:sz w:val="19"/>
              </w:rPr>
              <w:t>(180,032)</w:t>
            </w:r>
          </w:p>
        </w:tc>
        <w:tc>
          <w:tcPr>
            <w:tcW w:w="1134" w:type="dxa"/>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At cost</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207,470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(175,665)</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4" w:lineRule="exact"/>
              <w:ind w:right="111"/>
              <w:jc w:val="right"/>
              <w:rPr>
                <w:b/>
                <w:sz w:val="19"/>
              </w:rPr>
            </w:pPr>
            <w:r>
              <w:rPr>
                <w:b/>
                <w:w w:val="95"/>
                <w:sz w:val="19"/>
              </w:rPr>
              <w:t>34,463</w:t>
            </w:r>
          </w:p>
        </w:tc>
        <w:tc>
          <w:tcPr>
            <w:tcW w:w="1134" w:type="dxa"/>
            <w:tcBorders>
              <w:top w:val="single" w:sz="4" w:space="0" w:color="000000"/>
              <w:bottom w:val="single" w:sz="24" w:space="0" w:color="FFFFFF"/>
            </w:tcBorders>
            <w:shd w:val="clear" w:color="auto" w:fill="F4F4F4"/>
          </w:tcPr>
          <w:p>
            <w:pPr>
              <w:pStyle w:val="TableParagraph"/>
              <w:spacing w:line="214" w:lineRule="exact"/>
              <w:ind w:right="111"/>
              <w:jc w:val="right"/>
              <w:rPr>
                <w:b/>
                <w:sz w:val="19"/>
              </w:rPr>
            </w:pPr>
            <w:r>
              <w:rPr>
                <w:b/>
                <w:w w:val="95"/>
                <w:sz w:val="19"/>
              </w:rPr>
              <w:t>31,805</w:t>
            </w:r>
          </w:p>
        </w:tc>
      </w:tr>
    </w:tbl>
    <w:p>
      <w:pPr>
        <w:spacing w:after="0" w:line="214" w:lineRule="exact"/>
        <w:jc w:val="right"/>
        <w:rPr>
          <w:sz w:val="19"/>
        </w:rPr>
        <w:sectPr>
          <w:footerReference w:type="default" r:id="rId163"/>
          <w:pgSz w:w="16840" w:h="11910" w:orient="landscape"/>
          <w:pgMar w:footer="0" w:header="0" w:top="0" w:bottom="0" w:left="0" w:right="0"/>
        </w:sectPr>
      </w:pPr>
    </w:p>
    <w:p>
      <w:pPr>
        <w:pStyle w:val="BodyText"/>
        <w:spacing w:line="20" w:lineRule="exact"/>
        <w:ind w:left="5891" w:right="-29"/>
        <w:rPr>
          <w:sz w:val="2"/>
        </w:rPr>
      </w:pPr>
      <w:r>
        <w:rPr>
          <w:sz w:val="2"/>
        </w:rPr>
        <w:pict>
          <v:group style="width:113.4pt;height:.550pt;mso-position-horizontal-relative:char;mso-position-vertical-relative:line" coordorigin="0,0" coordsize="2268,11">
            <v:line style="position:absolute" from="0,5" to="1134,5" stroked="true" strokeweight=".501pt" strokecolor="#000000">
              <v:stroke dashstyle="solid"/>
            </v:line>
            <v:line style="position:absolute" from="1134,5" to="2268,5" stroked="true" strokeweight=".501pt" strokecolor="#000000">
              <v:stroke dashstyle="solid"/>
            </v:line>
          </v:group>
        </w:pict>
      </w:r>
      <w:r>
        <w:rPr>
          <w:sz w:val="2"/>
        </w:rPr>
      </w:r>
    </w:p>
    <w:p>
      <w:pPr>
        <w:pStyle w:val="BodyText"/>
        <w:spacing w:before="11"/>
        <w:rPr>
          <w:sz w:val="21"/>
        </w:rPr>
      </w:pPr>
    </w:p>
    <w:p>
      <w:pPr>
        <w:pStyle w:val="BodyText"/>
        <w:spacing w:line="249" w:lineRule="auto"/>
        <w:ind w:left="765" w:right="-7"/>
      </w:pPr>
      <w:r>
        <w:rPr/>
        <w:pict>
          <v:group style="position:absolute;margin-left:0pt;margin-top:-75.744553pt;width:97.4pt;height:238.9pt;mso-position-horizontal-relative:page;mso-position-vertical-relative:paragraph;z-index:-695464" coordorigin="0,-1515" coordsize="1948,4778">
            <v:shape style="position:absolute;left:0;top:-1515;width:1948;height:4778" type="#_x0000_t75" stroked="false">
              <v:imagedata r:id="rId46" o:title=""/>
            </v:shape>
            <v:shape style="position:absolute;left:0;top:2289;width:482;height:831" coordorigin="0,2289" coordsize="482,831" path="m66,2289l49,2289,33,2291,16,2292,0,2295,0,3114,16,3116,33,3118,49,3119,66,3119,140,3113,211,3093,275,3063,333,3022,383,2972,424,2914,455,2849,474,2779,481,2704,474,2630,455,2559,424,2495,383,2437,333,2387,275,2346,211,2315,140,2296,66,2289xe" filled="true" fillcolor="#ffffff" stroked="false">
              <v:path arrowok="t"/>
              <v:fill type="solid"/>
            </v:shape>
            <v:shape style="position:absolute;left:0;top:2289;width:482;height:831" coordorigin="0,2289" coordsize="482,831" path="m66,2289l49,2289,33,2291,16,2292,0,2295,0,3114,16,3116,33,3118,49,3119,66,3119,140,3113,211,3093,275,3063,333,3022,383,2972,424,2914,455,2849,474,2779,481,2704,474,2630,455,2559,424,2495,383,2437,333,2387,275,2346,211,2315,140,2296,66,2289xe" filled="true" fillcolor="#aebd37" stroked="false">
              <v:path arrowok="t"/>
              <v:fill opacity="13107f" type="solid"/>
            </v:shape>
            <v:shape style="position:absolute;left:174;top:2618;width:93;height:171" coordorigin="174,2618" coordsize="93,171" path="m256,2618l248,2618,182,2684,176,2693,174,2703,174,2705,176,2715,182,2725,245,2788,249,2789,256,2789,259,2788,267,2780,267,2772,200,2705,200,2703,267,2637,267,2628,256,2618xe" filled="true" fillcolor="#000000" stroked="false">
              <v:path arrowok="t"/>
              <v:fill type="solid"/>
            </v:shape>
            <w10:wrap type="none"/>
          </v:group>
        </w:pict>
      </w:r>
      <w:r>
        <w:rPr/>
        <w:t>Reconciliations</w:t>
      </w:r>
      <w:r>
        <w:rPr>
          <w:spacing w:val="-22"/>
        </w:rPr>
        <w:t> </w:t>
      </w:r>
      <w:r>
        <w:rPr/>
        <w:t>of</w:t>
      </w:r>
      <w:r>
        <w:rPr>
          <w:spacing w:val="-22"/>
        </w:rPr>
        <w:t> </w:t>
      </w:r>
      <w:r>
        <w:rPr/>
        <w:t>the</w:t>
      </w:r>
      <w:r>
        <w:rPr>
          <w:spacing w:val="-21"/>
        </w:rPr>
        <w:t> </w:t>
      </w:r>
      <w:r>
        <w:rPr/>
        <w:t>carrying</w:t>
      </w:r>
      <w:r>
        <w:rPr>
          <w:spacing w:val="-22"/>
        </w:rPr>
        <w:t> </w:t>
      </w:r>
      <w:r>
        <w:rPr/>
        <w:t>amounts</w:t>
      </w:r>
      <w:r>
        <w:rPr>
          <w:spacing w:val="-22"/>
        </w:rPr>
        <w:t> </w:t>
      </w:r>
      <w:r>
        <w:rPr/>
        <w:t>of</w:t>
      </w:r>
      <w:r>
        <w:rPr>
          <w:spacing w:val="-21"/>
        </w:rPr>
        <w:t> </w:t>
      </w:r>
      <w:r>
        <w:rPr/>
        <w:t>intangibles</w:t>
      </w:r>
      <w:r>
        <w:rPr>
          <w:spacing w:val="-22"/>
        </w:rPr>
        <w:t> </w:t>
      </w:r>
      <w:r>
        <w:rPr/>
        <w:t>at</w:t>
      </w:r>
      <w:r>
        <w:rPr>
          <w:spacing w:val="-22"/>
        </w:rPr>
        <w:t> </w:t>
      </w:r>
      <w:r>
        <w:rPr/>
        <w:t>the</w:t>
      </w:r>
      <w:r>
        <w:rPr>
          <w:spacing w:val="-21"/>
        </w:rPr>
        <w:t> </w:t>
      </w:r>
      <w:r>
        <w:rPr/>
        <w:t>beginning</w:t>
      </w:r>
      <w:r>
        <w:rPr>
          <w:spacing w:val="-22"/>
        </w:rPr>
        <w:t> </w:t>
      </w:r>
      <w:r>
        <w:rPr/>
        <w:t>and</w:t>
      </w:r>
      <w:r>
        <w:rPr>
          <w:spacing w:val="-21"/>
        </w:rPr>
        <w:t> </w:t>
      </w:r>
      <w:r>
        <w:rPr>
          <w:spacing w:val="-5"/>
        </w:rPr>
        <w:t>end </w:t>
      </w:r>
      <w:r>
        <w:rPr/>
        <w:t>of the reporting period are set out in the table</w:t>
      </w:r>
      <w:r>
        <w:rPr>
          <w:spacing w:val="-25"/>
        </w:rPr>
        <w:t> </w:t>
      </w:r>
      <w:r>
        <w:rPr>
          <w:spacing w:val="-3"/>
        </w:rPr>
        <w:t>below.</w:t>
      </w:r>
    </w:p>
    <w:p>
      <w:pPr>
        <w:pStyle w:val="Heading5"/>
        <w:spacing w:before="8"/>
        <w:ind w:left="385"/>
      </w:pPr>
      <w:r>
        <w:rPr/>
        <w:br w:type="column"/>
      </w:r>
      <w:r>
        <w:rPr>
          <w:color w:val="6F2770"/>
        </w:rPr>
        <w:t>Note 27. Impairment of assets</w:t>
      </w:r>
    </w:p>
    <w:p>
      <w:pPr>
        <w:pStyle w:val="BodyText"/>
        <w:spacing w:line="249" w:lineRule="auto" w:before="254"/>
        <w:ind w:left="385" w:right="942"/>
      </w:pPr>
      <w:r>
        <w:rPr/>
        <w:t>There</w:t>
      </w:r>
      <w:r>
        <w:rPr>
          <w:spacing w:val="-17"/>
        </w:rPr>
        <w:t> </w:t>
      </w:r>
      <w:r>
        <w:rPr/>
        <w:t>were</w:t>
      </w:r>
      <w:r>
        <w:rPr>
          <w:spacing w:val="-17"/>
        </w:rPr>
        <w:t> </w:t>
      </w:r>
      <w:r>
        <w:rPr/>
        <w:t>no</w:t>
      </w:r>
      <w:r>
        <w:rPr>
          <w:spacing w:val="-16"/>
        </w:rPr>
        <w:t> </w:t>
      </w:r>
      <w:r>
        <w:rPr/>
        <w:t>indications</w:t>
      </w:r>
      <w:r>
        <w:rPr>
          <w:spacing w:val="-17"/>
        </w:rPr>
        <w:t> </w:t>
      </w:r>
      <w:r>
        <w:rPr/>
        <w:t>of</w:t>
      </w:r>
      <w:r>
        <w:rPr>
          <w:spacing w:val="-16"/>
        </w:rPr>
        <w:t> </w:t>
      </w:r>
      <w:r>
        <w:rPr/>
        <w:t>impairment</w:t>
      </w:r>
      <w:r>
        <w:rPr>
          <w:spacing w:val="-17"/>
        </w:rPr>
        <w:t> </w:t>
      </w:r>
      <w:r>
        <w:rPr/>
        <w:t>to</w:t>
      </w:r>
      <w:r>
        <w:rPr>
          <w:spacing w:val="-16"/>
        </w:rPr>
        <w:t> </w:t>
      </w:r>
      <w:r>
        <w:rPr>
          <w:spacing w:val="-3"/>
        </w:rPr>
        <w:t>property,</w:t>
      </w:r>
      <w:r>
        <w:rPr>
          <w:spacing w:val="-17"/>
        </w:rPr>
        <w:t> </w:t>
      </w:r>
      <w:r>
        <w:rPr/>
        <w:t>plant,</w:t>
      </w:r>
      <w:r>
        <w:rPr>
          <w:spacing w:val="-16"/>
        </w:rPr>
        <w:t> </w:t>
      </w:r>
      <w:r>
        <w:rPr/>
        <w:t>equipment,</w:t>
      </w:r>
      <w:r>
        <w:rPr>
          <w:spacing w:val="-17"/>
        </w:rPr>
        <w:t> </w:t>
      </w:r>
      <w:r>
        <w:rPr>
          <w:spacing w:val="-4"/>
        </w:rPr>
        <w:t>motor </w:t>
      </w:r>
      <w:r>
        <w:rPr/>
        <w:t>vehicles or intangible assets at 30 June</w:t>
      </w:r>
      <w:r>
        <w:rPr>
          <w:spacing w:val="-18"/>
        </w:rPr>
        <w:t> </w:t>
      </w:r>
      <w:r>
        <w:rPr/>
        <w:t>2018.</w:t>
      </w:r>
    </w:p>
    <w:p>
      <w:pPr>
        <w:pStyle w:val="BodyText"/>
        <w:spacing w:before="1"/>
        <w:rPr>
          <w:sz w:val="23"/>
        </w:rPr>
      </w:pPr>
    </w:p>
    <w:p>
      <w:pPr>
        <w:pStyle w:val="BodyText"/>
        <w:spacing w:line="249" w:lineRule="auto"/>
        <w:ind w:left="385" w:right="920"/>
      </w:pPr>
      <w:r>
        <w:rPr/>
        <w:t>The</w:t>
      </w:r>
      <w:r>
        <w:rPr>
          <w:spacing w:val="-23"/>
        </w:rPr>
        <w:t> </w:t>
      </w:r>
      <w:r>
        <w:rPr/>
        <w:t>Department</w:t>
      </w:r>
      <w:r>
        <w:rPr>
          <w:spacing w:val="-22"/>
        </w:rPr>
        <w:t> </w:t>
      </w:r>
      <w:r>
        <w:rPr/>
        <w:t>held</w:t>
      </w:r>
      <w:r>
        <w:rPr>
          <w:spacing w:val="-23"/>
        </w:rPr>
        <w:t> </w:t>
      </w:r>
      <w:r>
        <w:rPr/>
        <w:t>no</w:t>
      </w:r>
      <w:r>
        <w:rPr>
          <w:spacing w:val="-22"/>
        </w:rPr>
        <w:t> </w:t>
      </w:r>
      <w:r>
        <w:rPr/>
        <w:t>goodwill</w:t>
      </w:r>
      <w:r>
        <w:rPr>
          <w:spacing w:val="-22"/>
        </w:rPr>
        <w:t> </w:t>
      </w:r>
      <w:r>
        <w:rPr/>
        <w:t>or</w:t>
      </w:r>
      <w:r>
        <w:rPr>
          <w:spacing w:val="-23"/>
        </w:rPr>
        <w:t> </w:t>
      </w:r>
      <w:r>
        <w:rPr/>
        <w:t>intangible</w:t>
      </w:r>
      <w:r>
        <w:rPr>
          <w:spacing w:val="-22"/>
        </w:rPr>
        <w:t> </w:t>
      </w:r>
      <w:r>
        <w:rPr/>
        <w:t>assets</w:t>
      </w:r>
      <w:r>
        <w:rPr>
          <w:spacing w:val="-23"/>
        </w:rPr>
        <w:t> </w:t>
      </w:r>
      <w:r>
        <w:rPr/>
        <w:t>with</w:t>
      </w:r>
      <w:r>
        <w:rPr>
          <w:spacing w:val="-22"/>
        </w:rPr>
        <w:t> </w:t>
      </w:r>
      <w:r>
        <w:rPr/>
        <w:t>an</w:t>
      </w:r>
      <w:r>
        <w:rPr>
          <w:spacing w:val="-22"/>
        </w:rPr>
        <w:t> </w:t>
      </w:r>
      <w:r>
        <w:rPr/>
        <w:t>indefinite</w:t>
      </w:r>
      <w:r>
        <w:rPr>
          <w:spacing w:val="-23"/>
        </w:rPr>
        <w:t> </w:t>
      </w:r>
      <w:r>
        <w:rPr>
          <w:spacing w:val="-3"/>
        </w:rPr>
        <w:t>useful </w:t>
      </w:r>
      <w:r>
        <w:rPr/>
        <w:t>life</w:t>
      </w:r>
      <w:r>
        <w:rPr>
          <w:spacing w:val="-14"/>
        </w:rPr>
        <w:t> </w:t>
      </w:r>
      <w:r>
        <w:rPr/>
        <w:t>during</w:t>
      </w:r>
      <w:r>
        <w:rPr>
          <w:spacing w:val="-14"/>
        </w:rPr>
        <w:t> </w:t>
      </w:r>
      <w:r>
        <w:rPr/>
        <w:t>the</w:t>
      </w:r>
      <w:r>
        <w:rPr>
          <w:spacing w:val="-14"/>
        </w:rPr>
        <w:t> </w:t>
      </w:r>
      <w:r>
        <w:rPr/>
        <w:t>reporting</w:t>
      </w:r>
      <w:r>
        <w:rPr>
          <w:spacing w:val="-13"/>
        </w:rPr>
        <w:t> </w:t>
      </w:r>
      <w:r>
        <w:rPr/>
        <w:t>period.</w:t>
      </w:r>
      <w:r>
        <w:rPr>
          <w:spacing w:val="-14"/>
        </w:rPr>
        <w:t> </w:t>
      </w:r>
      <w:r>
        <w:rPr/>
        <w:t>At</w:t>
      </w:r>
      <w:r>
        <w:rPr>
          <w:spacing w:val="-14"/>
        </w:rPr>
        <w:t> </w:t>
      </w:r>
      <w:r>
        <w:rPr/>
        <w:t>the</w:t>
      </w:r>
      <w:r>
        <w:rPr>
          <w:spacing w:val="-13"/>
        </w:rPr>
        <w:t> </w:t>
      </w:r>
      <w:r>
        <w:rPr/>
        <w:t>end</w:t>
      </w:r>
      <w:r>
        <w:rPr>
          <w:spacing w:val="-14"/>
        </w:rPr>
        <w:t> </w:t>
      </w:r>
      <w:r>
        <w:rPr/>
        <w:t>of</w:t>
      </w:r>
      <w:r>
        <w:rPr>
          <w:spacing w:val="-14"/>
        </w:rPr>
        <w:t> </w:t>
      </w:r>
      <w:r>
        <w:rPr/>
        <w:t>the</w:t>
      </w:r>
      <w:r>
        <w:rPr>
          <w:spacing w:val="-13"/>
        </w:rPr>
        <w:t> </w:t>
      </w:r>
      <w:r>
        <w:rPr/>
        <w:t>reporting</w:t>
      </w:r>
      <w:r>
        <w:rPr>
          <w:spacing w:val="-14"/>
        </w:rPr>
        <w:t> </w:t>
      </w:r>
      <w:r>
        <w:rPr/>
        <w:t>period</w:t>
      </w:r>
      <w:r>
        <w:rPr>
          <w:spacing w:val="-14"/>
        </w:rPr>
        <w:t> </w:t>
      </w:r>
      <w:r>
        <w:rPr/>
        <w:t>there</w:t>
      </w:r>
      <w:r>
        <w:rPr>
          <w:spacing w:val="-13"/>
        </w:rPr>
        <w:t> </w:t>
      </w:r>
      <w:r>
        <w:rPr/>
        <w:t>were no intangible assets not yet available for</w:t>
      </w:r>
      <w:r>
        <w:rPr>
          <w:spacing w:val="-21"/>
        </w:rPr>
        <w:t> </w:t>
      </w:r>
      <w:r>
        <w:rPr/>
        <w:t>use.</w:t>
      </w:r>
    </w:p>
    <w:p>
      <w:pPr>
        <w:spacing w:after="0" w:line="249" w:lineRule="auto"/>
        <w:sectPr>
          <w:type w:val="continuous"/>
          <w:pgSz w:w="16840" w:h="11910" w:orient="landscape"/>
          <w:pgMar w:top="1100" w:bottom="280" w:left="0" w:right="0"/>
          <w:cols w:num="2" w:equalWidth="0">
            <w:col w:w="8206" w:space="40"/>
            <w:col w:w="8594"/>
          </w:cols>
        </w:sectPr>
      </w:pPr>
    </w:p>
    <w:p>
      <w:pPr>
        <w:pStyle w:val="BodyText"/>
        <w:rPr>
          <w:sz w:val="20"/>
        </w:rPr>
      </w:pPr>
    </w:p>
    <w:p>
      <w:pPr>
        <w:pStyle w:val="BodyText"/>
        <w:rPr>
          <w:sz w:val="27"/>
        </w:rPr>
      </w:pPr>
    </w:p>
    <w:p>
      <w:pPr>
        <w:tabs>
          <w:tab w:pos="10886" w:val="left" w:leader="none"/>
          <w:tab w:pos="11199" w:val="left" w:leader="none"/>
          <w:tab w:pos="15849"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17224"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ffffff" stroked="false">
              <v:path arrowok="t"/>
              <v:fill type="solid"/>
            </v:shape>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67</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pict>
          <v:group style="position:absolute;margin-left:294.803192pt;margin-top:527.756897pt;width:113.4pt;height:.550pt;mso-position-horizontal-relative:page;mso-position-vertical-relative:page;z-index:17368" coordorigin="5896,10555" coordsize="2268,11">
            <v:line style="position:absolute" from="5896,10560" to="7030,10560" stroked="true" strokeweight=".501pt" strokecolor="#000000">
              <v:stroke dashstyle="solid"/>
            </v:line>
            <v:line style="position:absolute" from="7030,10560" to="8164,10560" stroked="true" strokeweight=".501pt" strokecolor="#000000">
              <v:stroke dashstyle="solid"/>
            </v:line>
            <w10:wrap type="none"/>
          </v:group>
        </w:pict>
      </w:r>
      <w:bookmarkStart w:name="_bookmark33" w:id="34"/>
      <w:bookmarkEnd w:id="34"/>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ind w:left="785"/>
      </w:pPr>
      <w:r>
        <w:rPr/>
        <w:pict>
          <v:shape style="position:absolute;margin-left:601.348999pt;margin-top:-57.37421pt;width:120.3pt;height:42.55pt;mso-position-horizontal-relative:page;mso-position-vertical-relative:paragraph;z-index:1739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741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744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10"/>
        <w:rPr>
          <w:sz w:val="12"/>
        </w:rPr>
      </w:pPr>
    </w:p>
    <w:p>
      <w:pPr>
        <w:pStyle w:val="Heading5"/>
        <w:tabs>
          <w:tab w:pos="8631" w:val="left" w:leader="none"/>
        </w:tabs>
      </w:pPr>
      <w:r>
        <w:rPr/>
        <w:pict>
          <v:shape style="position:absolute;margin-left:431.575012pt;margin-top:27.7882pt;width:369.95pt;height:354.85pt;mso-position-horizontal-relative:page;mso-position-vertical-relative:paragraph;z-index:174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6F2770"/>
                            <w:sz w:val="19"/>
                          </w:rPr>
                          <w:t>Current</w:t>
                        </w:r>
                      </w:p>
                    </w:tc>
                    <w:tc>
                      <w:tcPr>
                        <w:tcW w:w="1134" w:type="dxa"/>
                        <w:shd w:val="clear" w:color="auto" w:fill="E1E4BB"/>
                      </w:tcPr>
                      <w:p>
                        <w:pPr>
                          <w:pStyle w:val="TableParagraph"/>
                          <w:spacing w:before="0"/>
                          <w:rPr>
                            <w:rFonts w:ascii="Times New Roman"/>
                            <w:sz w:val="20"/>
                          </w:rPr>
                        </w:pP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Employee benefits provision</w:t>
                        </w: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Annual leave</w:t>
                        </w:r>
                        <w:r>
                          <w:rPr>
                            <w:position w:val="6"/>
                            <w:sz w:val="10"/>
                          </w:rPr>
                          <w:t>(a)</w:t>
                        </w:r>
                      </w:p>
                    </w:tc>
                    <w:tc>
                      <w:tcPr>
                        <w:tcW w:w="1134" w:type="dxa"/>
                        <w:shd w:val="clear" w:color="auto" w:fill="E1E4BB"/>
                      </w:tcPr>
                      <w:p>
                        <w:pPr>
                          <w:pStyle w:val="TableParagraph"/>
                          <w:ind w:right="111"/>
                          <w:jc w:val="right"/>
                          <w:rPr>
                            <w:sz w:val="19"/>
                          </w:rPr>
                        </w:pPr>
                        <w:r>
                          <w:rPr>
                            <w:w w:val="95"/>
                            <w:sz w:val="19"/>
                          </w:rPr>
                          <w:t>8,876</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10,063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271"/>
                          <w:rPr>
                            <w:sz w:val="10"/>
                          </w:rPr>
                        </w:pPr>
                        <w:r>
                          <w:rPr>
                            <w:sz w:val="19"/>
                          </w:rPr>
                          <w:t>Long service leave</w:t>
                        </w:r>
                        <w:r>
                          <w:rPr>
                            <w:position w:val="6"/>
                            <w:sz w:val="10"/>
                          </w:rPr>
                          <w:t>(b)</w:t>
                        </w:r>
                      </w:p>
                    </w:tc>
                    <w:tc>
                      <w:tcPr>
                        <w:tcW w:w="1134" w:type="dxa"/>
                        <w:shd w:val="clear" w:color="auto" w:fill="E1E4BB"/>
                      </w:tcPr>
                      <w:p>
                        <w:pPr>
                          <w:pStyle w:val="TableParagraph"/>
                          <w:ind w:right="111"/>
                          <w:jc w:val="right"/>
                          <w:rPr>
                            <w:sz w:val="19"/>
                          </w:rPr>
                        </w:pPr>
                        <w:r>
                          <w:rPr>
                            <w:w w:val="95"/>
                            <w:sz w:val="19"/>
                          </w:rPr>
                          <w:t>17,015</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17,447</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54"/>
                          <w:ind w:left="296"/>
                          <w:rPr>
                            <w:sz w:val="10"/>
                          </w:rPr>
                        </w:pPr>
                        <w:r>
                          <w:rPr>
                            <w:sz w:val="19"/>
                          </w:rPr>
                          <w:t>Deferred salary scheme</w:t>
                        </w:r>
                        <w:r>
                          <w:rPr>
                            <w:position w:val="6"/>
                            <w:sz w:val="10"/>
                          </w:rPr>
                          <w:t>(e)</w:t>
                        </w:r>
                      </w:p>
                    </w:tc>
                    <w:tc>
                      <w:tcPr>
                        <w:tcW w:w="1134" w:type="dxa"/>
                        <w:shd w:val="clear" w:color="auto" w:fill="E1E4BB"/>
                      </w:tcPr>
                      <w:p>
                        <w:pPr>
                          <w:pStyle w:val="TableParagraph"/>
                          <w:ind w:right="111"/>
                          <w:jc w:val="right"/>
                          <w:rPr>
                            <w:sz w:val="19"/>
                          </w:rPr>
                        </w:pPr>
                        <w:r>
                          <w:rPr>
                            <w:w w:val="95"/>
                            <w:sz w:val="19"/>
                          </w:rPr>
                          <w:t>228</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245</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54"/>
                          <w:ind w:left="296"/>
                          <w:rPr>
                            <w:sz w:val="19"/>
                          </w:rPr>
                        </w:pPr>
                        <w:r>
                          <w:rPr>
                            <w:sz w:val="19"/>
                          </w:rPr>
                          <w:t>Purchased leave</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46</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111</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DFE1B8"/>
                      </w:tcPr>
                      <w:p>
                        <w:pPr>
                          <w:pStyle w:val="TableParagraph"/>
                          <w:ind w:right="111"/>
                          <w:jc w:val="right"/>
                          <w:rPr>
                            <w:sz w:val="19"/>
                          </w:rPr>
                        </w:pPr>
                        <w:r>
                          <w:rPr>
                            <w:w w:val="95"/>
                            <w:sz w:val="19"/>
                          </w:rPr>
                          <w:t>26,165</w:t>
                        </w:r>
                      </w:p>
                    </w:tc>
                    <w:tc>
                      <w:tcPr>
                        <w:tcW w:w="1134" w:type="dxa"/>
                        <w:tcBorders>
                          <w:top w:val="single" w:sz="4" w:space="0" w:color="000000"/>
                          <w:bottom w:val="single" w:sz="4" w:space="0" w:color="000000"/>
                        </w:tcBorders>
                        <w:shd w:val="clear" w:color="auto" w:fill="F4F4F4"/>
                      </w:tcPr>
                      <w:p>
                        <w:pPr>
                          <w:pStyle w:val="TableParagraph"/>
                          <w:ind w:right="111"/>
                          <w:jc w:val="right"/>
                          <w:rPr>
                            <w:sz w:val="19"/>
                          </w:rPr>
                        </w:pPr>
                        <w:r>
                          <w:rPr>
                            <w:w w:val="95"/>
                            <w:sz w:val="19"/>
                          </w:rPr>
                          <w:t>27,866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Other provisions</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right="111"/>
                          <w:jc w:val="right"/>
                          <w:rPr>
                            <w:sz w:val="19"/>
                          </w:rPr>
                        </w:pPr>
                        <w:r>
                          <w:rPr>
                            <w:w w:val="95"/>
                            <w:sz w:val="19"/>
                          </w:rPr>
                          <w:t>47</w:t>
                        </w:r>
                      </w:p>
                    </w:tc>
                    <w:tc>
                      <w:tcPr>
                        <w:tcW w:w="1134" w:type="dxa"/>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Employment on-costs</w:t>
                        </w:r>
                        <w:r>
                          <w:rPr>
                            <w:position w:val="6"/>
                            <w:sz w:val="10"/>
                          </w:rPr>
                          <w:t>(c)</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50</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47</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50</w:t>
                        </w:r>
                      </w:p>
                    </w:tc>
                  </w:tr>
                  <w:tr>
                    <w:trPr>
                      <w:trHeight w:val="294"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double" w:sz="2" w:space="0" w:color="58595B"/>
                        </w:tcBorders>
                        <w:shd w:val="clear" w:color="auto" w:fill="DFE1B8"/>
                      </w:tcPr>
                      <w:p>
                        <w:pPr>
                          <w:pStyle w:val="TableParagraph"/>
                          <w:ind w:right="111"/>
                          <w:jc w:val="right"/>
                          <w:rPr>
                            <w:b/>
                            <w:sz w:val="19"/>
                          </w:rPr>
                        </w:pPr>
                        <w:r>
                          <w:rPr>
                            <w:b/>
                            <w:w w:val="95"/>
                            <w:sz w:val="19"/>
                          </w:rPr>
                          <w:t>26,212</w:t>
                        </w:r>
                      </w:p>
                    </w:tc>
                    <w:tc>
                      <w:tcPr>
                        <w:tcW w:w="1134" w:type="dxa"/>
                        <w:tcBorders>
                          <w:top w:val="single" w:sz="4" w:space="0" w:color="000000"/>
                          <w:bottom w:val="double" w:sz="2" w:space="0" w:color="58595B"/>
                        </w:tcBorders>
                        <w:shd w:val="clear" w:color="auto" w:fill="F4F4F4"/>
                      </w:tcPr>
                      <w:p>
                        <w:pPr>
                          <w:pStyle w:val="TableParagraph"/>
                          <w:ind w:right="111"/>
                          <w:jc w:val="right"/>
                          <w:rPr>
                            <w:b/>
                            <w:sz w:val="19"/>
                          </w:rPr>
                        </w:pPr>
                        <w:r>
                          <w:rPr>
                            <w:b/>
                            <w:w w:val="95"/>
                            <w:sz w:val="19"/>
                          </w:rPr>
                          <w:t>27,916</w:t>
                        </w:r>
                      </w:p>
                    </w:tc>
                  </w:tr>
                  <w:tr>
                    <w:trPr>
                      <w:trHeight w:val="273"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vMerge w:val="restart"/>
                        <w:tcBorders>
                          <w:top w:val="double" w:sz="2" w:space="0" w:color="58595B"/>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78"/>
                          <w:ind w:left="544"/>
                          <w:rPr>
                            <w:sz w:val="19"/>
                          </w:rPr>
                        </w:pPr>
                        <w:r>
                          <w:rPr>
                            <w:sz w:val="19"/>
                          </w:rPr>
                          <w:t>4,809</w:t>
                        </w:r>
                      </w:p>
                    </w:tc>
                    <w:tc>
                      <w:tcPr>
                        <w:tcW w:w="1134" w:type="dxa"/>
                        <w:tcBorders>
                          <w:top w:val="double" w:sz="2" w:space="0" w:color="58595B"/>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Non-current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Employee benefits provision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Long service leave</w:t>
                        </w:r>
                        <w:r>
                          <w:rPr>
                            <w:position w:val="6"/>
                            <w:sz w:val="10"/>
                          </w:rPr>
                          <w:t>(b)</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5,825</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4,809</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5,825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 provisions</w:t>
                        </w:r>
                      </w:p>
                    </w:tc>
                    <w:tc>
                      <w:tcPr>
                        <w:tcW w:w="1134" w:type="dxa"/>
                        <w:tcBorders>
                          <w:top w:val="single" w:sz="4" w:space="0" w:color="000000"/>
                        </w:tcBorders>
                        <w:shd w:val="clear" w:color="auto" w:fill="E1E4BB"/>
                      </w:tcPr>
                      <w:p>
                        <w:pPr>
                          <w:pStyle w:val="TableParagraph"/>
                          <w:spacing w:before="0"/>
                          <w:rPr>
                            <w:rFonts w:ascii="Times New Roman"/>
                            <w:sz w:val="20"/>
                          </w:rPr>
                        </w:pP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271"/>
                          <w:rPr>
                            <w:sz w:val="10"/>
                          </w:rPr>
                        </w:pPr>
                        <w:r>
                          <w:rPr>
                            <w:sz w:val="19"/>
                          </w:rPr>
                          <w:t>Employment on-costs</w:t>
                        </w:r>
                        <w:r>
                          <w:rPr>
                            <w:position w:val="6"/>
                            <w:sz w:val="10"/>
                          </w:rPr>
                          <w:t>(c)</w:t>
                        </w:r>
                      </w:p>
                    </w:tc>
                    <w:tc>
                      <w:tcPr>
                        <w:tcW w:w="1134" w:type="dxa"/>
                        <w:shd w:val="clear" w:color="auto" w:fill="E1E4BB"/>
                      </w:tcPr>
                      <w:p>
                        <w:pPr>
                          <w:pStyle w:val="TableParagraph"/>
                          <w:ind w:right="111"/>
                          <w:jc w:val="right"/>
                          <w:rPr>
                            <w:sz w:val="19"/>
                          </w:rPr>
                        </w:pPr>
                        <w:r>
                          <w:rPr>
                            <w:w w:val="99"/>
                            <w:sz w:val="19"/>
                          </w:rPr>
                          <w:t>9</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Restoration costs</w:t>
                        </w:r>
                        <w:r>
                          <w:rPr>
                            <w:position w:val="6"/>
                            <w:sz w:val="10"/>
                          </w:rPr>
                          <w:t>(d)</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534</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524</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543</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535</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5,352</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6,360</w:t>
                        </w:r>
                      </w:p>
                    </w:tc>
                  </w:tr>
                </w:tbl>
                <w:p>
                  <w:pPr>
                    <w:pStyle w:val="BodyText"/>
                  </w:pPr>
                </w:p>
              </w:txbxContent>
            </v:textbox>
            <w10:wrap type="none"/>
          </v:shape>
        </w:pict>
      </w:r>
      <w:r>
        <w:rPr>
          <w:color w:val="6F2770"/>
        </w:rPr>
        <w:t>Note</w:t>
      </w:r>
      <w:r>
        <w:rPr>
          <w:color w:val="6F2770"/>
          <w:spacing w:val="-21"/>
        </w:rPr>
        <w:t> </w:t>
      </w:r>
      <w:r>
        <w:rPr>
          <w:color w:val="6F2770"/>
        </w:rPr>
        <w:t>28.</w:t>
      </w:r>
      <w:r>
        <w:rPr>
          <w:color w:val="6F2770"/>
          <w:spacing w:val="-21"/>
        </w:rPr>
        <w:t> </w:t>
      </w:r>
      <w:r>
        <w:rPr>
          <w:color w:val="6F2770"/>
        </w:rPr>
        <w:t>Payables</w:t>
        <w:tab/>
        <w:t>Note 30.</w:t>
      </w:r>
      <w:r>
        <w:rPr>
          <w:color w:val="6F2770"/>
          <w:spacing w:val="-2"/>
        </w:rPr>
        <w:t> </w:t>
      </w:r>
      <w:r>
        <w:rPr>
          <w:color w:val="6F2770"/>
        </w:rPr>
        <w:t>Provisions</w:t>
      </w:r>
    </w:p>
    <w:p>
      <w:pPr>
        <w:pStyle w:val="BodyText"/>
        <w:spacing w:before="10"/>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6F2770"/>
                <w:sz w:val="19"/>
              </w:rPr>
              <w:t>Current</w:t>
            </w:r>
          </w:p>
        </w:tc>
        <w:tc>
          <w:tcPr>
            <w:tcW w:w="1134" w:type="dxa"/>
            <w:shd w:val="clear" w:color="auto" w:fill="E1E4BB"/>
          </w:tcPr>
          <w:p>
            <w:pPr>
              <w:pStyle w:val="TableParagraph"/>
              <w:spacing w:before="0"/>
              <w:rPr>
                <w:rFonts w:ascii="Times New Roman"/>
                <w:sz w:val="20"/>
              </w:rPr>
            </w:pP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Trade payables</w:t>
            </w:r>
          </w:p>
        </w:tc>
        <w:tc>
          <w:tcPr>
            <w:tcW w:w="1134" w:type="dxa"/>
            <w:shd w:val="clear" w:color="auto" w:fill="E1E4BB"/>
          </w:tcPr>
          <w:p>
            <w:pPr>
              <w:pStyle w:val="TableParagraph"/>
              <w:ind w:right="111"/>
              <w:jc w:val="right"/>
              <w:rPr>
                <w:sz w:val="19"/>
              </w:rPr>
            </w:pPr>
            <w:r>
              <w:rPr>
                <w:w w:val="95"/>
                <w:sz w:val="19"/>
              </w:rPr>
              <w:t>2,103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2,772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GST payable</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2,266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Accrued salaries</w:t>
            </w:r>
          </w:p>
        </w:tc>
        <w:tc>
          <w:tcPr>
            <w:tcW w:w="1134" w:type="dxa"/>
            <w:shd w:val="clear" w:color="auto" w:fill="E1E4BB"/>
          </w:tcPr>
          <w:p>
            <w:pPr>
              <w:pStyle w:val="TableParagraph"/>
              <w:ind w:right="111"/>
              <w:jc w:val="right"/>
              <w:rPr>
                <w:sz w:val="19"/>
              </w:rPr>
            </w:pPr>
            <w:r>
              <w:rPr>
                <w:w w:val="95"/>
                <w:sz w:val="19"/>
              </w:rPr>
              <w:t>440</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812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Accrued expenses</w:t>
            </w:r>
          </w:p>
        </w:tc>
        <w:tc>
          <w:tcPr>
            <w:tcW w:w="1134" w:type="dxa"/>
            <w:shd w:val="clear" w:color="auto" w:fill="E1E4BB"/>
          </w:tcPr>
          <w:p>
            <w:pPr>
              <w:pStyle w:val="TableParagraph"/>
              <w:ind w:right="111"/>
              <w:jc w:val="right"/>
              <w:rPr>
                <w:sz w:val="19"/>
              </w:rPr>
            </w:pPr>
            <w:r>
              <w:rPr>
                <w:w w:val="95"/>
                <w:sz w:val="19"/>
              </w:rPr>
              <w:t>56,098</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65,770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Interest - Western Australian Treasury Corporation (WATC)</w:t>
            </w:r>
          </w:p>
        </w:tc>
        <w:tc>
          <w:tcPr>
            <w:tcW w:w="1134" w:type="dxa"/>
            <w:shd w:val="clear" w:color="auto" w:fill="E1E4BB"/>
          </w:tcPr>
          <w:p>
            <w:pPr>
              <w:pStyle w:val="TableParagraph"/>
              <w:ind w:right="111"/>
              <w:jc w:val="right"/>
              <w:rPr>
                <w:sz w:val="19"/>
              </w:rPr>
            </w:pPr>
            <w:r>
              <w:rPr>
                <w:w w:val="95"/>
                <w:sz w:val="19"/>
              </w:rPr>
              <w:t>40</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82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w:t>
            </w:r>
          </w:p>
        </w:tc>
        <w:tc>
          <w:tcPr>
            <w:tcW w:w="1134" w:type="dxa"/>
            <w:shd w:val="clear" w:color="auto" w:fill="E1E4BB"/>
          </w:tcPr>
          <w:p>
            <w:pPr>
              <w:pStyle w:val="TableParagraph"/>
              <w:ind w:right="111"/>
              <w:jc w:val="right"/>
              <w:rPr>
                <w:sz w:val="19"/>
              </w:rPr>
            </w:pPr>
            <w:r>
              <w:rPr>
                <w:w w:val="95"/>
                <w:sz w:val="19"/>
              </w:rPr>
              <w:t>241</w:t>
            </w:r>
          </w:p>
        </w:tc>
        <w:tc>
          <w:tcPr>
            <w:tcW w:w="1134" w:type="dxa"/>
            <w:tcBorders>
              <w:top w:val="single" w:sz="8" w:space="0" w:color="FFFFFF"/>
            </w:tcBorders>
            <w:shd w:val="clear" w:color="auto" w:fill="FAF9F9"/>
          </w:tcPr>
          <w:p>
            <w:pPr>
              <w:pStyle w:val="TableParagraph"/>
              <w:ind w:right="111"/>
              <w:jc w:val="right"/>
              <w:rPr>
                <w:sz w:val="19"/>
              </w:rPr>
            </w:pPr>
            <w:r>
              <w:rPr>
                <w:w w:val="95"/>
                <w:sz w:val="19"/>
              </w:rPr>
              <w:t>93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Overbillings</w:t>
            </w:r>
            <w:r>
              <w:rPr>
                <w:position w:val="6"/>
                <w:sz w:val="10"/>
              </w:rPr>
              <w:t>(a)</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53,848</w:t>
            </w:r>
          </w:p>
        </w:tc>
        <w:tc>
          <w:tcPr>
            <w:tcW w:w="1134" w:type="dxa"/>
            <w:tcBorders>
              <w:bottom w:val="single" w:sz="4" w:space="0" w:color="000000"/>
            </w:tcBorders>
            <w:shd w:val="clear" w:color="auto" w:fill="FAF9F9"/>
          </w:tcPr>
          <w:p>
            <w:pPr>
              <w:pStyle w:val="TableParagraph"/>
              <w:ind w:right="111"/>
              <w:jc w:val="right"/>
              <w:rPr>
                <w:sz w:val="19"/>
              </w:rPr>
            </w:pPr>
            <w:r>
              <w:rPr>
                <w:w w:val="95"/>
                <w:sz w:val="19"/>
              </w:rPr>
              <w:t>43,818</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112,770</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115,613</w:t>
            </w:r>
          </w:p>
        </w:tc>
      </w:tr>
    </w:tbl>
    <w:p>
      <w:pPr>
        <w:spacing w:before="71"/>
        <w:ind w:left="765" w:right="0" w:firstLine="0"/>
        <w:jc w:val="left"/>
        <w:rPr>
          <w:sz w:val="15"/>
        </w:rPr>
      </w:pPr>
      <w:r>
        <w:rPr>
          <w:sz w:val="15"/>
        </w:rPr>
        <w:t>(a) Billings to clients less contract costs incurred.</w:t>
      </w:r>
    </w:p>
    <w:p>
      <w:pPr>
        <w:pStyle w:val="BodyText"/>
        <w:rPr>
          <w:sz w:val="18"/>
        </w:rPr>
      </w:pPr>
    </w:p>
    <w:p>
      <w:pPr>
        <w:pStyle w:val="Heading5"/>
        <w:spacing w:before="118"/>
      </w:pPr>
      <w:r>
        <w:rPr>
          <w:color w:val="6F2770"/>
        </w:rPr>
        <w:t>Note 29. Borrowings</w:t>
      </w:r>
    </w:p>
    <w:p>
      <w:pPr>
        <w:pStyle w:val="BodyText"/>
        <w:spacing w:before="9"/>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6F2770"/>
                <w:sz w:val="19"/>
              </w:rPr>
              <w:t>Current</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18" w:right="93"/>
              <w:jc w:val="center"/>
              <w:rPr>
                <w:sz w:val="19"/>
              </w:rPr>
            </w:pPr>
            <w:r>
              <w:rPr>
                <w:sz w:val="19"/>
              </w:rPr>
              <w:t>18,078</w:t>
            </w:r>
          </w:p>
          <w:p>
            <w:pPr>
              <w:pStyle w:val="TableParagraph"/>
              <w:spacing w:before="88"/>
              <w:ind w:left="523" w:right="93"/>
              <w:jc w:val="center"/>
              <w:rPr>
                <w:sz w:val="19"/>
              </w:rPr>
            </w:pPr>
            <w:r>
              <w:rPr>
                <w:sz w:val="19"/>
              </w:rPr>
              <w:t>5,835</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WATC - Western Australian Treasury Corporation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18,416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Heritage Maintenance Payments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5,624</w:t>
            </w:r>
          </w:p>
        </w:tc>
      </w:tr>
      <w:tr>
        <w:trPr>
          <w:trHeight w:val="273"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double" w:sz="2" w:space="0" w:color="000000"/>
            </w:tcBorders>
            <w:shd w:val="clear" w:color="auto" w:fill="E1E4BB"/>
          </w:tcPr>
          <w:p>
            <w:pPr>
              <w:pStyle w:val="TableParagraph"/>
              <w:ind w:right="111"/>
              <w:jc w:val="right"/>
              <w:rPr>
                <w:b/>
                <w:sz w:val="19"/>
              </w:rPr>
            </w:pPr>
            <w:r>
              <w:rPr>
                <w:b/>
                <w:w w:val="95"/>
                <w:sz w:val="19"/>
              </w:rPr>
              <w:t>23,913</w:t>
            </w:r>
          </w:p>
        </w:tc>
        <w:tc>
          <w:tcPr>
            <w:tcW w:w="1134" w:type="dxa"/>
            <w:tcBorders>
              <w:top w:val="single" w:sz="4" w:space="0" w:color="000000"/>
              <w:bottom w:val="double" w:sz="2" w:space="0" w:color="000000"/>
            </w:tcBorders>
            <w:shd w:val="clear" w:color="auto" w:fill="FAF9F9"/>
          </w:tcPr>
          <w:p>
            <w:pPr>
              <w:pStyle w:val="TableParagraph"/>
              <w:ind w:right="111"/>
              <w:jc w:val="right"/>
              <w:rPr>
                <w:b/>
                <w:sz w:val="19"/>
              </w:rPr>
            </w:pPr>
            <w:r>
              <w:rPr>
                <w:b/>
                <w:w w:val="95"/>
                <w:sz w:val="19"/>
              </w:rPr>
              <w:t>24,040</w:t>
            </w:r>
          </w:p>
        </w:tc>
      </w:tr>
      <w:tr>
        <w:trPr>
          <w:trHeight w:val="273" w:hRule="atLeast"/>
        </w:trPr>
        <w:tc>
          <w:tcPr>
            <w:tcW w:w="5131" w:type="dxa"/>
            <w:tcBorders>
              <w:top w:val="single" w:sz="8" w:space="0" w:color="FFFFFF"/>
              <w:bottom w:val="single" w:sz="8" w:space="0" w:color="FFFFFF"/>
            </w:tcBorders>
            <w:shd w:val="clear" w:color="auto" w:fill="F4F4F4"/>
          </w:tcPr>
          <w:p>
            <w:pPr>
              <w:pStyle w:val="TableParagraph"/>
              <w:spacing w:before="20"/>
              <w:ind w:left="113"/>
              <w:rPr>
                <w:i/>
                <w:sz w:val="19"/>
              </w:rPr>
            </w:pPr>
            <w:r>
              <w:rPr>
                <w:i/>
                <w:color w:val="6F2770"/>
                <w:sz w:val="19"/>
              </w:rPr>
              <w:t>Non-current</w:t>
            </w:r>
          </w:p>
        </w:tc>
        <w:tc>
          <w:tcPr>
            <w:tcW w:w="1134" w:type="dxa"/>
            <w:vMerge w:val="restart"/>
            <w:tcBorders>
              <w:top w:val="double" w:sz="2" w:space="0" w:color="000000"/>
              <w:bottom w:val="single" w:sz="4" w:space="0" w:color="000000"/>
            </w:tcBorders>
            <w:shd w:val="clear" w:color="auto" w:fill="E1E4BB"/>
          </w:tcPr>
          <w:p>
            <w:pPr>
              <w:pStyle w:val="TableParagraph"/>
              <w:spacing w:before="3"/>
              <w:rPr>
                <w:sz w:val="28"/>
              </w:rPr>
            </w:pPr>
          </w:p>
          <w:p>
            <w:pPr>
              <w:pStyle w:val="TableParagraph"/>
              <w:spacing w:before="0"/>
              <w:ind w:left="523" w:right="93"/>
              <w:jc w:val="center"/>
              <w:rPr>
                <w:sz w:val="19"/>
              </w:rPr>
            </w:pPr>
            <w:r>
              <w:rPr>
                <w:sz w:val="19"/>
              </w:rPr>
              <w:t>6,277</w:t>
            </w:r>
          </w:p>
          <w:p>
            <w:pPr>
              <w:pStyle w:val="TableParagraph"/>
              <w:spacing w:before="88"/>
              <w:ind w:left="418" w:right="93"/>
              <w:jc w:val="center"/>
              <w:rPr>
                <w:sz w:val="19"/>
              </w:rPr>
            </w:pPr>
            <w:r>
              <w:rPr>
                <w:sz w:val="19"/>
              </w:rPr>
              <w:t>49,728</w:t>
            </w:r>
          </w:p>
        </w:tc>
        <w:tc>
          <w:tcPr>
            <w:tcW w:w="1134" w:type="dxa"/>
            <w:tcBorders>
              <w:top w:val="double" w:sz="2"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WATC - Western Australian Treasury Corporation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29,055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Heritage Maintenance Payments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48,721</w:t>
            </w:r>
          </w:p>
        </w:tc>
      </w:tr>
      <w:tr>
        <w:trPr>
          <w:trHeight w:val="26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E1E4BB"/>
          </w:tcPr>
          <w:p>
            <w:pPr>
              <w:pStyle w:val="TableParagraph"/>
              <w:spacing w:line="213" w:lineRule="exact"/>
              <w:ind w:right="111"/>
              <w:jc w:val="right"/>
              <w:rPr>
                <w:b/>
                <w:sz w:val="19"/>
              </w:rPr>
            </w:pPr>
            <w:r>
              <w:rPr>
                <w:b/>
                <w:w w:val="95"/>
                <w:sz w:val="19"/>
              </w:rPr>
              <w:t>56,005</w:t>
            </w:r>
          </w:p>
        </w:tc>
        <w:tc>
          <w:tcPr>
            <w:tcW w:w="1134" w:type="dxa"/>
            <w:tcBorders>
              <w:top w:val="single" w:sz="4" w:space="0" w:color="000000"/>
              <w:bottom w:val="single" w:sz="24" w:space="0" w:color="FFFFFF"/>
            </w:tcBorders>
            <w:shd w:val="clear" w:color="auto" w:fill="FAF9F9"/>
          </w:tcPr>
          <w:p>
            <w:pPr>
              <w:pStyle w:val="TableParagraph"/>
              <w:spacing w:line="213" w:lineRule="exact"/>
              <w:ind w:right="111"/>
              <w:jc w:val="right"/>
              <w:rPr>
                <w:b/>
                <w:sz w:val="19"/>
              </w:rPr>
            </w:pPr>
            <w:r>
              <w:rPr>
                <w:b/>
                <w:w w:val="95"/>
                <w:sz w:val="19"/>
              </w:rPr>
              <w:t>77,776</w:t>
            </w:r>
          </w:p>
        </w:tc>
      </w:tr>
    </w:tbl>
    <w:p>
      <w:pPr>
        <w:spacing w:after="0" w:line="213" w:lineRule="exact"/>
        <w:jc w:val="right"/>
        <w:rPr>
          <w:sz w:val="19"/>
        </w:rPr>
        <w:sectPr>
          <w:footerReference w:type="default" r:id="rId164"/>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bookmarkStart w:name="_bookmark34" w:id="35"/>
      <w:bookmarkEnd w:id="35"/>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shape style="position:absolute;margin-left:601.348999pt;margin-top:-57.37421pt;width:120.3pt;height:42.55pt;mso-position-horizontal-relative:page;mso-position-vertical-relative:paragraph;z-index:17584"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7608"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763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spacing w:before="1"/>
        <w:rPr>
          <w:sz w:val="15"/>
        </w:rPr>
      </w:pPr>
    </w:p>
    <w:p>
      <w:pPr>
        <w:spacing w:after="0"/>
        <w:rPr>
          <w:sz w:val="15"/>
        </w:rPr>
        <w:sectPr>
          <w:footerReference w:type="default" r:id="rId165"/>
          <w:pgSz w:w="16840" w:h="11910" w:orient="landscape"/>
          <w:pgMar w:footer="774" w:header="0" w:top="0" w:bottom="960" w:left="0" w:right="0"/>
        </w:sectPr>
      </w:pPr>
    </w:p>
    <w:p>
      <w:pPr>
        <w:pStyle w:val="ListParagraph"/>
        <w:numPr>
          <w:ilvl w:val="0"/>
          <w:numId w:val="13"/>
        </w:numPr>
        <w:tabs>
          <w:tab w:pos="958" w:val="left" w:leader="none"/>
        </w:tabs>
        <w:spacing w:line="249" w:lineRule="auto" w:before="122" w:after="47"/>
        <w:ind w:left="973" w:right="18" w:hanging="208"/>
        <w:jc w:val="left"/>
        <w:rPr>
          <w:sz w:val="15"/>
        </w:rPr>
      </w:pPr>
      <w:r>
        <w:rPr>
          <w:sz w:val="15"/>
        </w:rPr>
        <w:t>Annual</w:t>
      </w:r>
      <w:r>
        <w:rPr>
          <w:spacing w:val="-15"/>
          <w:sz w:val="15"/>
        </w:rPr>
        <w:t> </w:t>
      </w:r>
      <w:r>
        <w:rPr>
          <w:sz w:val="15"/>
        </w:rPr>
        <w:t>leave</w:t>
      </w:r>
      <w:r>
        <w:rPr>
          <w:spacing w:val="-15"/>
          <w:sz w:val="15"/>
        </w:rPr>
        <w:t> </w:t>
      </w:r>
      <w:r>
        <w:rPr>
          <w:sz w:val="15"/>
        </w:rPr>
        <w:t>liabilities</w:t>
      </w:r>
      <w:r>
        <w:rPr>
          <w:spacing w:val="-15"/>
          <w:sz w:val="15"/>
        </w:rPr>
        <w:t> </w:t>
      </w:r>
      <w:r>
        <w:rPr>
          <w:sz w:val="15"/>
        </w:rPr>
        <w:t>have</w:t>
      </w:r>
      <w:r>
        <w:rPr>
          <w:spacing w:val="-15"/>
          <w:sz w:val="15"/>
        </w:rPr>
        <w:t> </w:t>
      </w:r>
      <w:r>
        <w:rPr>
          <w:sz w:val="15"/>
        </w:rPr>
        <w:t>been</w:t>
      </w:r>
      <w:r>
        <w:rPr>
          <w:spacing w:val="-14"/>
          <w:sz w:val="15"/>
        </w:rPr>
        <w:t> </w:t>
      </w:r>
      <w:r>
        <w:rPr>
          <w:sz w:val="15"/>
        </w:rPr>
        <w:t>classified</w:t>
      </w:r>
      <w:r>
        <w:rPr>
          <w:spacing w:val="-15"/>
          <w:sz w:val="15"/>
        </w:rPr>
        <w:t> </w:t>
      </w:r>
      <w:r>
        <w:rPr>
          <w:sz w:val="15"/>
        </w:rPr>
        <w:t>as</w:t>
      </w:r>
      <w:r>
        <w:rPr>
          <w:spacing w:val="-15"/>
          <w:sz w:val="15"/>
        </w:rPr>
        <w:t> </w:t>
      </w:r>
      <w:r>
        <w:rPr>
          <w:sz w:val="15"/>
        </w:rPr>
        <w:t>current</w:t>
      </w:r>
      <w:r>
        <w:rPr>
          <w:spacing w:val="-15"/>
          <w:sz w:val="15"/>
        </w:rPr>
        <w:t> </w:t>
      </w:r>
      <w:r>
        <w:rPr>
          <w:sz w:val="15"/>
        </w:rPr>
        <w:t>as</w:t>
      </w:r>
      <w:r>
        <w:rPr>
          <w:spacing w:val="-14"/>
          <w:sz w:val="15"/>
        </w:rPr>
        <w:t> </w:t>
      </w:r>
      <w:r>
        <w:rPr>
          <w:sz w:val="15"/>
        </w:rPr>
        <w:t>there</w:t>
      </w:r>
      <w:r>
        <w:rPr>
          <w:spacing w:val="-15"/>
          <w:sz w:val="15"/>
        </w:rPr>
        <w:t> </w:t>
      </w:r>
      <w:r>
        <w:rPr>
          <w:sz w:val="15"/>
        </w:rPr>
        <w:t>is</w:t>
      </w:r>
      <w:r>
        <w:rPr>
          <w:spacing w:val="-15"/>
          <w:sz w:val="15"/>
        </w:rPr>
        <w:t> </w:t>
      </w:r>
      <w:r>
        <w:rPr>
          <w:sz w:val="15"/>
        </w:rPr>
        <w:t>no</w:t>
      </w:r>
      <w:r>
        <w:rPr>
          <w:spacing w:val="-15"/>
          <w:sz w:val="15"/>
        </w:rPr>
        <w:t> </w:t>
      </w:r>
      <w:r>
        <w:rPr>
          <w:sz w:val="15"/>
        </w:rPr>
        <w:t>unconditional</w:t>
      </w:r>
      <w:r>
        <w:rPr>
          <w:spacing w:val="-15"/>
          <w:sz w:val="15"/>
        </w:rPr>
        <w:t> </w:t>
      </w:r>
      <w:r>
        <w:rPr>
          <w:sz w:val="15"/>
        </w:rPr>
        <w:t>right</w:t>
      </w:r>
      <w:r>
        <w:rPr>
          <w:spacing w:val="-14"/>
          <w:sz w:val="15"/>
        </w:rPr>
        <w:t> </w:t>
      </w:r>
      <w:r>
        <w:rPr>
          <w:sz w:val="15"/>
        </w:rPr>
        <w:t>to</w:t>
      </w:r>
      <w:r>
        <w:rPr>
          <w:spacing w:val="-15"/>
          <w:sz w:val="15"/>
        </w:rPr>
        <w:t> </w:t>
      </w:r>
      <w:r>
        <w:rPr>
          <w:sz w:val="15"/>
        </w:rPr>
        <w:t>defer</w:t>
      </w:r>
      <w:r>
        <w:rPr>
          <w:spacing w:val="-15"/>
          <w:sz w:val="15"/>
        </w:rPr>
        <w:t> </w:t>
      </w:r>
      <w:r>
        <w:rPr>
          <w:sz w:val="15"/>
        </w:rPr>
        <w:t>settlement</w:t>
      </w:r>
      <w:r>
        <w:rPr>
          <w:spacing w:val="-15"/>
          <w:sz w:val="15"/>
        </w:rPr>
        <w:t> </w:t>
      </w:r>
      <w:r>
        <w:rPr>
          <w:sz w:val="15"/>
        </w:rPr>
        <w:t>for</w:t>
      </w:r>
      <w:r>
        <w:rPr>
          <w:spacing w:val="-14"/>
          <w:sz w:val="15"/>
        </w:rPr>
        <w:t> </w:t>
      </w:r>
      <w:r>
        <w:rPr>
          <w:sz w:val="15"/>
        </w:rPr>
        <w:t>at least</w:t>
      </w:r>
      <w:r>
        <w:rPr>
          <w:spacing w:val="-13"/>
          <w:sz w:val="15"/>
        </w:rPr>
        <w:t> </w:t>
      </w:r>
      <w:r>
        <w:rPr>
          <w:sz w:val="15"/>
        </w:rPr>
        <w:t>12</w:t>
      </w:r>
      <w:r>
        <w:rPr>
          <w:spacing w:val="-13"/>
          <w:sz w:val="15"/>
        </w:rPr>
        <w:t> </w:t>
      </w:r>
      <w:r>
        <w:rPr>
          <w:sz w:val="15"/>
        </w:rPr>
        <w:t>months</w:t>
      </w:r>
      <w:r>
        <w:rPr>
          <w:spacing w:val="-13"/>
          <w:sz w:val="15"/>
        </w:rPr>
        <w:t> </w:t>
      </w:r>
      <w:r>
        <w:rPr>
          <w:sz w:val="15"/>
        </w:rPr>
        <w:t>after</w:t>
      </w:r>
      <w:r>
        <w:rPr>
          <w:spacing w:val="-13"/>
          <w:sz w:val="15"/>
        </w:rPr>
        <w:t> </w:t>
      </w:r>
      <w:r>
        <w:rPr>
          <w:sz w:val="15"/>
        </w:rPr>
        <w:t>the</w:t>
      </w:r>
      <w:r>
        <w:rPr>
          <w:spacing w:val="-13"/>
          <w:sz w:val="15"/>
        </w:rPr>
        <w:t> </w:t>
      </w:r>
      <w:r>
        <w:rPr>
          <w:sz w:val="15"/>
        </w:rPr>
        <w:t>reporting</w:t>
      </w:r>
      <w:r>
        <w:rPr>
          <w:spacing w:val="-13"/>
          <w:sz w:val="15"/>
        </w:rPr>
        <w:t> </w:t>
      </w:r>
      <w:r>
        <w:rPr>
          <w:sz w:val="15"/>
        </w:rPr>
        <w:t>period.</w:t>
      </w:r>
      <w:r>
        <w:rPr>
          <w:spacing w:val="-13"/>
          <w:sz w:val="15"/>
        </w:rPr>
        <w:t> </w:t>
      </w:r>
      <w:r>
        <w:rPr>
          <w:sz w:val="15"/>
        </w:rPr>
        <w:t>Assessments</w:t>
      </w:r>
      <w:r>
        <w:rPr>
          <w:spacing w:val="-13"/>
          <w:sz w:val="15"/>
        </w:rPr>
        <w:t> </w:t>
      </w:r>
      <w:r>
        <w:rPr>
          <w:sz w:val="15"/>
        </w:rPr>
        <w:t>indicate</w:t>
      </w:r>
      <w:r>
        <w:rPr>
          <w:spacing w:val="-13"/>
          <w:sz w:val="15"/>
        </w:rPr>
        <w:t> </w:t>
      </w:r>
      <w:r>
        <w:rPr>
          <w:sz w:val="15"/>
        </w:rPr>
        <w:t>that</w:t>
      </w:r>
      <w:r>
        <w:rPr>
          <w:spacing w:val="-13"/>
          <w:sz w:val="15"/>
        </w:rPr>
        <w:t> </w:t>
      </w:r>
      <w:r>
        <w:rPr>
          <w:sz w:val="15"/>
        </w:rPr>
        <w:t>actual</w:t>
      </w:r>
      <w:r>
        <w:rPr>
          <w:spacing w:val="-13"/>
          <w:sz w:val="15"/>
        </w:rPr>
        <w:t> </w:t>
      </w:r>
      <w:r>
        <w:rPr>
          <w:sz w:val="15"/>
        </w:rPr>
        <w:t>settlement</w:t>
      </w:r>
      <w:r>
        <w:rPr>
          <w:spacing w:val="-13"/>
          <w:sz w:val="15"/>
        </w:rPr>
        <w:t> </w:t>
      </w:r>
      <w:r>
        <w:rPr>
          <w:sz w:val="15"/>
        </w:rPr>
        <w:t>of</w:t>
      </w:r>
      <w:r>
        <w:rPr>
          <w:spacing w:val="-13"/>
          <w:sz w:val="15"/>
        </w:rPr>
        <w:t> </w:t>
      </w:r>
      <w:r>
        <w:rPr>
          <w:sz w:val="15"/>
        </w:rPr>
        <w:t>the</w:t>
      </w:r>
      <w:r>
        <w:rPr>
          <w:spacing w:val="-13"/>
          <w:sz w:val="15"/>
        </w:rPr>
        <w:t> </w:t>
      </w:r>
      <w:r>
        <w:rPr>
          <w:sz w:val="15"/>
        </w:rPr>
        <w:t>liabilities</w:t>
      </w:r>
      <w:r>
        <w:rPr>
          <w:spacing w:val="-13"/>
          <w:sz w:val="15"/>
        </w:rPr>
        <w:t> </w:t>
      </w:r>
      <w:r>
        <w:rPr>
          <w:sz w:val="15"/>
        </w:rPr>
        <w:t>will</w:t>
      </w:r>
      <w:r>
        <w:rPr>
          <w:spacing w:val="-13"/>
          <w:sz w:val="15"/>
        </w:rPr>
        <w:t> </w:t>
      </w:r>
      <w:r>
        <w:rPr>
          <w:spacing w:val="-4"/>
          <w:sz w:val="15"/>
        </w:rPr>
        <w:t>occur </w:t>
      </w:r>
      <w:r>
        <w:rPr>
          <w:sz w:val="15"/>
        </w:rPr>
        <w:t>as</w:t>
      </w:r>
      <w:r>
        <w:rPr>
          <w:spacing w:val="-1"/>
          <w:sz w:val="15"/>
        </w:rPr>
        <w:t> </w:t>
      </w:r>
      <w:r>
        <w:rPr>
          <w:sz w:val="15"/>
        </w:rPr>
        <w:t>follows: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544"/>
              <w:rPr>
                <w:sz w:val="19"/>
              </w:rPr>
            </w:pPr>
            <w:r>
              <w:rPr>
                <w:sz w:val="19"/>
              </w:rPr>
              <w:t>6,496</w:t>
            </w:r>
          </w:p>
          <w:p>
            <w:pPr>
              <w:pStyle w:val="TableParagraph"/>
              <w:spacing w:before="87"/>
              <w:ind w:left="544"/>
              <w:rPr>
                <w:sz w:val="19"/>
              </w:rPr>
            </w:pPr>
            <w:r>
              <w:rPr>
                <w:sz w:val="19"/>
              </w:rPr>
              <w:t>2,380</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7,519</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2,544</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DFE1B8"/>
          </w:tcPr>
          <w:p>
            <w:pPr>
              <w:pStyle w:val="TableParagraph"/>
              <w:ind w:left="544"/>
              <w:rPr>
                <w:b/>
                <w:sz w:val="19"/>
              </w:rPr>
            </w:pPr>
            <w:r>
              <w:rPr>
                <w:b/>
                <w:sz w:val="19"/>
              </w:rPr>
              <w:t>8,876</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10,063</w:t>
            </w:r>
          </w:p>
        </w:tc>
      </w:tr>
    </w:tbl>
    <w:p>
      <w:pPr>
        <w:pStyle w:val="BodyText"/>
        <w:spacing w:before="8"/>
        <w:rPr>
          <w:sz w:val="20"/>
        </w:rPr>
      </w:pPr>
    </w:p>
    <w:p>
      <w:pPr>
        <w:pStyle w:val="ListParagraph"/>
        <w:numPr>
          <w:ilvl w:val="0"/>
          <w:numId w:val="13"/>
        </w:numPr>
        <w:tabs>
          <w:tab w:pos="966" w:val="left" w:leader="none"/>
        </w:tabs>
        <w:spacing w:line="249" w:lineRule="auto" w:before="0" w:after="47"/>
        <w:ind w:left="973" w:right="140" w:hanging="208"/>
        <w:jc w:val="left"/>
        <w:rPr>
          <w:sz w:val="15"/>
        </w:rPr>
      </w:pPr>
      <w:r>
        <w:rPr>
          <w:sz w:val="15"/>
        </w:rPr>
        <w:t>Long service leave liabilities have been classified as current where there is no unconditional right to defer settlement</w:t>
      </w:r>
      <w:r>
        <w:rPr>
          <w:spacing w:val="-12"/>
          <w:sz w:val="15"/>
        </w:rPr>
        <w:t> </w:t>
      </w:r>
      <w:r>
        <w:rPr>
          <w:sz w:val="15"/>
        </w:rPr>
        <w:t>for</w:t>
      </w:r>
      <w:r>
        <w:rPr>
          <w:spacing w:val="-11"/>
          <w:sz w:val="15"/>
        </w:rPr>
        <w:t> </w:t>
      </w:r>
      <w:r>
        <w:rPr>
          <w:sz w:val="15"/>
        </w:rPr>
        <w:t>at</w:t>
      </w:r>
      <w:r>
        <w:rPr>
          <w:spacing w:val="-12"/>
          <w:sz w:val="15"/>
        </w:rPr>
        <w:t> </w:t>
      </w:r>
      <w:r>
        <w:rPr>
          <w:sz w:val="15"/>
        </w:rPr>
        <w:t>least</w:t>
      </w:r>
      <w:r>
        <w:rPr>
          <w:spacing w:val="-11"/>
          <w:sz w:val="15"/>
        </w:rPr>
        <w:t> </w:t>
      </w:r>
      <w:r>
        <w:rPr>
          <w:sz w:val="15"/>
        </w:rPr>
        <w:t>12</w:t>
      </w:r>
      <w:r>
        <w:rPr>
          <w:spacing w:val="-11"/>
          <w:sz w:val="15"/>
        </w:rPr>
        <w:t> </w:t>
      </w:r>
      <w:r>
        <w:rPr>
          <w:sz w:val="15"/>
        </w:rPr>
        <w:t>months</w:t>
      </w:r>
      <w:r>
        <w:rPr>
          <w:spacing w:val="-12"/>
          <w:sz w:val="15"/>
        </w:rPr>
        <w:t> </w:t>
      </w:r>
      <w:r>
        <w:rPr>
          <w:sz w:val="15"/>
        </w:rPr>
        <w:t>after</w:t>
      </w:r>
      <w:r>
        <w:rPr>
          <w:spacing w:val="-11"/>
          <w:sz w:val="15"/>
        </w:rPr>
        <w:t> </w:t>
      </w:r>
      <w:r>
        <w:rPr>
          <w:sz w:val="15"/>
        </w:rPr>
        <w:t>the</w:t>
      </w:r>
      <w:r>
        <w:rPr>
          <w:spacing w:val="-12"/>
          <w:sz w:val="15"/>
        </w:rPr>
        <w:t> </w:t>
      </w:r>
      <w:r>
        <w:rPr>
          <w:sz w:val="15"/>
        </w:rPr>
        <w:t>reporting</w:t>
      </w:r>
      <w:r>
        <w:rPr>
          <w:spacing w:val="-11"/>
          <w:sz w:val="15"/>
        </w:rPr>
        <w:t> </w:t>
      </w:r>
      <w:r>
        <w:rPr>
          <w:sz w:val="15"/>
        </w:rPr>
        <w:t>period.</w:t>
      </w:r>
      <w:r>
        <w:rPr>
          <w:spacing w:val="-11"/>
          <w:sz w:val="15"/>
        </w:rPr>
        <w:t> </w:t>
      </w:r>
      <w:r>
        <w:rPr>
          <w:sz w:val="15"/>
        </w:rPr>
        <w:t>Assessments</w:t>
      </w:r>
      <w:r>
        <w:rPr>
          <w:spacing w:val="-12"/>
          <w:sz w:val="15"/>
        </w:rPr>
        <w:t> </w:t>
      </w:r>
      <w:r>
        <w:rPr>
          <w:sz w:val="15"/>
        </w:rPr>
        <w:t>indicate</w:t>
      </w:r>
      <w:r>
        <w:rPr>
          <w:spacing w:val="-11"/>
          <w:sz w:val="15"/>
        </w:rPr>
        <w:t> </w:t>
      </w:r>
      <w:r>
        <w:rPr>
          <w:sz w:val="15"/>
        </w:rPr>
        <w:t>that</w:t>
      </w:r>
      <w:r>
        <w:rPr>
          <w:spacing w:val="-12"/>
          <w:sz w:val="15"/>
        </w:rPr>
        <w:t> </w:t>
      </w:r>
      <w:r>
        <w:rPr>
          <w:sz w:val="15"/>
        </w:rPr>
        <w:t>actual</w:t>
      </w:r>
      <w:r>
        <w:rPr>
          <w:spacing w:val="-11"/>
          <w:sz w:val="15"/>
        </w:rPr>
        <w:t> </w:t>
      </w:r>
      <w:r>
        <w:rPr>
          <w:sz w:val="15"/>
        </w:rPr>
        <w:t>settlement</w:t>
      </w:r>
      <w:r>
        <w:rPr>
          <w:spacing w:val="-11"/>
          <w:sz w:val="15"/>
        </w:rPr>
        <w:t> </w:t>
      </w:r>
      <w:r>
        <w:rPr>
          <w:sz w:val="15"/>
        </w:rPr>
        <w:t>of</w:t>
      </w:r>
      <w:r>
        <w:rPr>
          <w:spacing w:val="-12"/>
          <w:sz w:val="15"/>
        </w:rPr>
        <w:t> </w:t>
      </w:r>
      <w:r>
        <w:rPr>
          <w:spacing w:val="-6"/>
          <w:sz w:val="15"/>
        </w:rPr>
        <w:t>the </w:t>
      </w:r>
      <w:r>
        <w:rPr>
          <w:sz w:val="15"/>
        </w:rPr>
        <w:t>liabilities will occur as</w:t>
      </w:r>
      <w:r>
        <w:rPr>
          <w:spacing w:val="-3"/>
          <w:sz w:val="15"/>
        </w:rPr>
        <w:t> </w:t>
      </w:r>
      <w:r>
        <w:rPr>
          <w:sz w:val="15"/>
        </w:rPr>
        <w:t>follows: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523" w:right="93"/>
              <w:jc w:val="center"/>
              <w:rPr>
                <w:sz w:val="19"/>
              </w:rPr>
            </w:pPr>
            <w:r>
              <w:rPr>
                <w:sz w:val="19"/>
              </w:rPr>
              <w:t>6,782</w:t>
            </w:r>
          </w:p>
          <w:p>
            <w:pPr>
              <w:pStyle w:val="TableParagraph"/>
              <w:spacing w:before="87"/>
              <w:ind w:left="418" w:right="93"/>
              <w:jc w:val="center"/>
              <w:rPr>
                <w:sz w:val="19"/>
              </w:rPr>
            </w:pPr>
            <w:r>
              <w:rPr>
                <w:sz w:val="19"/>
              </w:rPr>
              <w:t>15,042</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7,048</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16,224</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DFE1B8"/>
          </w:tcPr>
          <w:p>
            <w:pPr>
              <w:pStyle w:val="TableParagraph"/>
              <w:ind w:left="439"/>
              <w:rPr>
                <w:b/>
                <w:sz w:val="19"/>
              </w:rPr>
            </w:pPr>
            <w:r>
              <w:rPr>
                <w:b/>
                <w:sz w:val="19"/>
              </w:rPr>
              <w:t>21,824</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23,272</w:t>
            </w:r>
          </w:p>
        </w:tc>
      </w:tr>
    </w:tbl>
    <w:p>
      <w:pPr>
        <w:pStyle w:val="ListParagraph"/>
        <w:numPr>
          <w:ilvl w:val="0"/>
          <w:numId w:val="13"/>
        </w:numPr>
        <w:tabs>
          <w:tab w:pos="958" w:val="left" w:leader="none"/>
        </w:tabs>
        <w:spacing w:line="249" w:lineRule="auto" w:before="85" w:after="0"/>
        <w:ind w:left="973" w:right="0" w:hanging="208"/>
        <w:jc w:val="left"/>
        <w:rPr>
          <w:sz w:val="15"/>
        </w:rPr>
      </w:pPr>
      <w:r>
        <w:rPr>
          <w:sz w:val="15"/>
        </w:rPr>
        <w:t>The settlement of annual and long service leave liabilities gives rise to the payment of employment on-costs including</w:t>
      </w:r>
      <w:r>
        <w:rPr>
          <w:spacing w:val="-17"/>
          <w:sz w:val="15"/>
        </w:rPr>
        <w:t> </w:t>
      </w:r>
      <w:r>
        <w:rPr>
          <w:sz w:val="15"/>
        </w:rPr>
        <w:t>workers’</w:t>
      </w:r>
      <w:r>
        <w:rPr>
          <w:spacing w:val="-17"/>
          <w:sz w:val="15"/>
        </w:rPr>
        <w:t> </w:t>
      </w:r>
      <w:r>
        <w:rPr>
          <w:sz w:val="15"/>
        </w:rPr>
        <w:t>compensation</w:t>
      </w:r>
      <w:r>
        <w:rPr>
          <w:spacing w:val="-17"/>
          <w:sz w:val="15"/>
        </w:rPr>
        <w:t> </w:t>
      </w:r>
      <w:r>
        <w:rPr>
          <w:sz w:val="15"/>
        </w:rPr>
        <w:t>insurance.</w:t>
      </w:r>
      <w:r>
        <w:rPr>
          <w:spacing w:val="-17"/>
          <w:sz w:val="15"/>
        </w:rPr>
        <w:t> </w:t>
      </w:r>
      <w:r>
        <w:rPr>
          <w:sz w:val="15"/>
        </w:rPr>
        <w:t>The</w:t>
      </w:r>
      <w:r>
        <w:rPr>
          <w:spacing w:val="-17"/>
          <w:sz w:val="15"/>
        </w:rPr>
        <w:t> </w:t>
      </w:r>
      <w:r>
        <w:rPr>
          <w:sz w:val="15"/>
        </w:rPr>
        <w:t>provision</w:t>
      </w:r>
      <w:r>
        <w:rPr>
          <w:spacing w:val="-17"/>
          <w:sz w:val="15"/>
        </w:rPr>
        <w:t> </w:t>
      </w:r>
      <w:r>
        <w:rPr>
          <w:sz w:val="15"/>
        </w:rPr>
        <w:t>is</w:t>
      </w:r>
      <w:r>
        <w:rPr>
          <w:spacing w:val="-17"/>
          <w:sz w:val="15"/>
        </w:rPr>
        <w:t> </w:t>
      </w:r>
      <w:r>
        <w:rPr>
          <w:sz w:val="15"/>
        </w:rPr>
        <w:t>the</w:t>
      </w:r>
      <w:r>
        <w:rPr>
          <w:spacing w:val="-17"/>
          <w:sz w:val="15"/>
        </w:rPr>
        <w:t> </w:t>
      </w:r>
      <w:r>
        <w:rPr>
          <w:sz w:val="15"/>
        </w:rPr>
        <w:t>present</w:t>
      </w:r>
      <w:r>
        <w:rPr>
          <w:spacing w:val="-17"/>
          <w:sz w:val="15"/>
        </w:rPr>
        <w:t> </w:t>
      </w:r>
      <w:r>
        <w:rPr>
          <w:sz w:val="15"/>
        </w:rPr>
        <w:t>value</w:t>
      </w:r>
      <w:r>
        <w:rPr>
          <w:spacing w:val="-17"/>
          <w:sz w:val="15"/>
        </w:rPr>
        <w:t> </w:t>
      </w:r>
      <w:r>
        <w:rPr>
          <w:sz w:val="15"/>
        </w:rPr>
        <w:t>of</w:t>
      </w:r>
      <w:r>
        <w:rPr>
          <w:spacing w:val="-17"/>
          <w:sz w:val="15"/>
        </w:rPr>
        <w:t> </w:t>
      </w:r>
      <w:r>
        <w:rPr>
          <w:sz w:val="15"/>
        </w:rPr>
        <w:t>expected</w:t>
      </w:r>
      <w:r>
        <w:rPr>
          <w:spacing w:val="-17"/>
          <w:sz w:val="15"/>
        </w:rPr>
        <w:t> </w:t>
      </w:r>
      <w:r>
        <w:rPr>
          <w:sz w:val="15"/>
        </w:rPr>
        <w:t>future</w:t>
      </w:r>
      <w:r>
        <w:rPr>
          <w:spacing w:val="-17"/>
          <w:sz w:val="15"/>
        </w:rPr>
        <w:t> </w:t>
      </w:r>
      <w:r>
        <w:rPr>
          <w:sz w:val="15"/>
        </w:rPr>
        <w:t>payments.</w:t>
      </w:r>
      <w:r>
        <w:rPr>
          <w:spacing w:val="-17"/>
          <w:sz w:val="15"/>
        </w:rPr>
        <w:t> </w:t>
      </w:r>
      <w:r>
        <w:rPr>
          <w:sz w:val="15"/>
        </w:rPr>
        <w:t>The associated expense, apart from the unwinding of the discount (finance cost), is disclosed in Note 13 ‘Other expenses’.</w:t>
      </w:r>
    </w:p>
    <w:p>
      <w:pPr>
        <w:pStyle w:val="BodyText"/>
        <w:spacing w:before="10"/>
        <w:rPr>
          <w:sz w:val="15"/>
        </w:rPr>
      </w:pPr>
    </w:p>
    <w:p>
      <w:pPr>
        <w:pStyle w:val="ListParagraph"/>
        <w:numPr>
          <w:ilvl w:val="0"/>
          <w:numId w:val="13"/>
        </w:numPr>
        <w:tabs>
          <w:tab w:pos="966" w:val="left" w:leader="none"/>
        </w:tabs>
        <w:spacing w:line="240" w:lineRule="auto" w:before="0" w:after="0"/>
        <w:ind w:left="965" w:right="0" w:hanging="200"/>
        <w:jc w:val="left"/>
        <w:rPr>
          <w:sz w:val="15"/>
        </w:rPr>
      </w:pPr>
      <w:r>
        <w:rPr>
          <w:sz w:val="15"/>
        </w:rPr>
        <w:t>This</w:t>
      </w:r>
      <w:r>
        <w:rPr>
          <w:spacing w:val="-8"/>
          <w:sz w:val="15"/>
        </w:rPr>
        <w:t> </w:t>
      </w:r>
      <w:r>
        <w:rPr>
          <w:sz w:val="15"/>
        </w:rPr>
        <w:t>provision</w:t>
      </w:r>
      <w:r>
        <w:rPr>
          <w:spacing w:val="-7"/>
          <w:sz w:val="15"/>
        </w:rPr>
        <w:t> </w:t>
      </w:r>
      <w:r>
        <w:rPr>
          <w:sz w:val="15"/>
        </w:rPr>
        <w:t>is</w:t>
      </w:r>
      <w:r>
        <w:rPr>
          <w:spacing w:val="-7"/>
          <w:sz w:val="15"/>
        </w:rPr>
        <w:t> </w:t>
      </w:r>
      <w:r>
        <w:rPr>
          <w:sz w:val="15"/>
        </w:rPr>
        <w:t>for</w:t>
      </w:r>
      <w:r>
        <w:rPr>
          <w:spacing w:val="-7"/>
          <w:sz w:val="15"/>
        </w:rPr>
        <w:t> </w:t>
      </w:r>
      <w:r>
        <w:rPr>
          <w:sz w:val="15"/>
        </w:rPr>
        <w:t>the</w:t>
      </w:r>
      <w:r>
        <w:rPr>
          <w:spacing w:val="-7"/>
          <w:sz w:val="15"/>
        </w:rPr>
        <w:t> </w:t>
      </w:r>
      <w:r>
        <w:rPr>
          <w:sz w:val="15"/>
        </w:rPr>
        <w:t>rehabilitation</w:t>
      </w:r>
      <w:r>
        <w:rPr>
          <w:spacing w:val="-7"/>
          <w:sz w:val="15"/>
        </w:rPr>
        <w:t> </w:t>
      </w:r>
      <w:r>
        <w:rPr>
          <w:sz w:val="15"/>
        </w:rPr>
        <w:t>of</w:t>
      </w:r>
      <w:r>
        <w:rPr>
          <w:spacing w:val="-8"/>
          <w:sz w:val="15"/>
        </w:rPr>
        <w:t> </w:t>
      </w:r>
      <w:r>
        <w:rPr>
          <w:sz w:val="15"/>
        </w:rPr>
        <w:t>the</w:t>
      </w:r>
      <w:r>
        <w:rPr>
          <w:spacing w:val="-7"/>
          <w:sz w:val="15"/>
        </w:rPr>
        <w:t> </w:t>
      </w:r>
      <w:r>
        <w:rPr>
          <w:sz w:val="15"/>
        </w:rPr>
        <w:t>Mt</w:t>
      </w:r>
      <w:r>
        <w:rPr>
          <w:spacing w:val="-7"/>
          <w:sz w:val="15"/>
        </w:rPr>
        <w:t> </w:t>
      </w:r>
      <w:r>
        <w:rPr>
          <w:sz w:val="15"/>
        </w:rPr>
        <w:t>Walton</w:t>
      </w:r>
      <w:r>
        <w:rPr>
          <w:spacing w:val="-7"/>
          <w:sz w:val="15"/>
        </w:rPr>
        <w:t> </w:t>
      </w:r>
      <w:r>
        <w:rPr>
          <w:sz w:val="15"/>
        </w:rPr>
        <w:t>East</w:t>
      </w:r>
      <w:r>
        <w:rPr>
          <w:spacing w:val="-7"/>
          <w:sz w:val="15"/>
        </w:rPr>
        <w:t> </w:t>
      </w:r>
      <w:r>
        <w:rPr>
          <w:sz w:val="15"/>
        </w:rPr>
        <w:t>Intractable</w:t>
      </w:r>
      <w:r>
        <w:rPr>
          <w:spacing w:val="-7"/>
          <w:sz w:val="15"/>
        </w:rPr>
        <w:t> </w:t>
      </w:r>
      <w:r>
        <w:rPr>
          <w:sz w:val="15"/>
        </w:rPr>
        <w:t>Waste</w:t>
      </w:r>
      <w:r>
        <w:rPr>
          <w:spacing w:val="-7"/>
          <w:sz w:val="15"/>
        </w:rPr>
        <w:t> </w:t>
      </w:r>
      <w:r>
        <w:rPr>
          <w:sz w:val="15"/>
        </w:rPr>
        <w:t>Disposal</w:t>
      </w:r>
      <w:r>
        <w:rPr>
          <w:spacing w:val="-8"/>
          <w:sz w:val="15"/>
        </w:rPr>
        <w:t> </w:t>
      </w:r>
      <w:r>
        <w:rPr>
          <w:sz w:val="15"/>
        </w:rPr>
        <w:t>Facility</w:t>
      </w:r>
      <w:r>
        <w:rPr>
          <w:spacing w:val="-7"/>
          <w:sz w:val="15"/>
        </w:rPr>
        <w:t> </w:t>
      </w:r>
      <w:r>
        <w:rPr>
          <w:sz w:val="15"/>
        </w:rPr>
        <w:t>site.</w:t>
      </w:r>
    </w:p>
    <w:p>
      <w:pPr>
        <w:pStyle w:val="BodyText"/>
        <w:spacing w:before="4"/>
        <w:rPr>
          <w:sz w:val="16"/>
        </w:rPr>
      </w:pPr>
    </w:p>
    <w:p>
      <w:pPr>
        <w:pStyle w:val="ListParagraph"/>
        <w:numPr>
          <w:ilvl w:val="0"/>
          <w:numId w:val="13"/>
        </w:numPr>
        <w:tabs>
          <w:tab w:pos="958" w:val="left" w:leader="none"/>
        </w:tabs>
        <w:spacing w:line="249" w:lineRule="auto" w:before="0" w:after="0"/>
        <w:ind w:left="973" w:right="222" w:hanging="208"/>
        <w:jc w:val="left"/>
        <w:rPr>
          <w:sz w:val="15"/>
        </w:rPr>
      </w:pPr>
      <w:r>
        <w:rPr>
          <w:sz w:val="15"/>
        </w:rPr>
        <w:t>Deferred</w:t>
      </w:r>
      <w:r>
        <w:rPr>
          <w:spacing w:val="-18"/>
          <w:sz w:val="15"/>
        </w:rPr>
        <w:t> </w:t>
      </w:r>
      <w:r>
        <w:rPr>
          <w:sz w:val="15"/>
        </w:rPr>
        <w:t>salary</w:t>
      </w:r>
      <w:r>
        <w:rPr>
          <w:spacing w:val="-18"/>
          <w:sz w:val="15"/>
        </w:rPr>
        <w:t> </w:t>
      </w:r>
      <w:r>
        <w:rPr>
          <w:sz w:val="15"/>
        </w:rPr>
        <w:t>scheme</w:t>
      </w:r>
      <w:r>
        <w:rPr>
          <w:spacing w:val="-17"/>
          <w:sz w:val="15"/>
        </w:rPr>
        <w:t> </w:t>
      </w:r>
      <w:r>
        <w:rPr>
          <w:sz w:val="15"/>
        </w:rPr>
        <w:t>liabilities</w:t>
      </w:r>
      <w:r>
        <w:rPr>
          <w:spacing w:val="-18"/>
          <w:sz w:val="15"/>
        </w:rPr>
        <w:t> </w:t>
      </w:r>
      <w:r>
        <w:rPr>
          <w:sz w:val="15"/>
        </w:rPr>
        <w:t>have</w:t>
      </w:r>
      <w:r>
        <w:rPr>
          <w:spacing w:val="-17"/>
          <w:sz w:val="15"/>
        </w:rPr>
        <w:t> </w:t>
      </w:r>
      <w:r>
        <w:rPr>
          <w:sz w:val="15"/>
        </w:rPr>
        <w:t>been</w:t>
      </w:r>
      <w:r>
        <w:rPr>
          <w:spacing w:val="-18"/>
          <w:sz w:val="15"/>
        </w:rPr>
        <w:t> </w:t>
      </w:r>
      <w:r>
        <w:rPr>
          <w:sz w:val="15"/>
        </w:rPr>
        <w:t>classified</w:t>
      </w:r>
      <w:r>
        <w:rPr>
          <w:spacing w:val="-17"/>
          <w:sz w:val="15"/>
        </w:rPr>
        <w:t> </w:t>
      </w:r>
      <w:r>
        <w:rPr>
          <w:sz w:val="15"/>
        </w:rPr>
        <w:t>as</w:t>
      </w:r>
      <w:r>
        <w:rPr>
          <w:spacing w:val="-18"/>
          <w:sz w:val="15"/>
        </w:rPr>
        <w:t> </w:t>
      </w:r>
      <w:r>
        <w:rPr>
          <w:sz w:val="15"/>
        </w:rPr>
        <w:t>current</w:t>
      </w:r>
      <w:r>
        <w:rPr>
          <w:spacing w:val="-17"/>
          <w:sz w:val="15"/>
        </w:rPr>
        <w:t> </w:t>
      </w:r>
      <w:r>
        <w:rPr>
          <w:sz w:val="15"/>
        </w:rPr>
        <w:t>where</w:t>
      </w:r>
      <w:r>
        <w:rPr>
          <w:spacing w:val="-18"/>
          <w:sz w:val="15"/>
        </w:rPr>
        <w:t> </w:t>
      </w:r>
      <w:r>
        <w:rPr>
          <w:sz w:val="15"/>
        </w:rPr>
        <w:t>there</w:t>
      </w:r>
      <w:r>
        <w:rPr>
          <w:spacing w:val="-17"/>
          <w:sz w:val="15"/>
        </w:rPr>
        <w:t> </w:t>
      </w:r>
      <w:r>
        <w:rPr>
          <w:sz w:val="15"/>
        </w:rPr>
        <w:t>is</w:t>
      </w:r>
      <w:r>
        <w:rPr>
          <w:spacing w:val="-18"/>
          <w:sz w:val="15"/>
        </w:rPr>
        <w:t> </w:t>
      </w:r>
      <w:r>
        <w:rPr>
          <w:sz w:val="15"/>
        </w:rPr>
        <w:t>no</w:t>
      </w:r>
      <w:r>
        <w:rPr>
          <w:spacing w:val="-18"/>
          <w:sz w:val="15"/>
        </w:rPr>
        <w:t> </w:t>
      </w:r>
      <w:r>
        <w:rPr>
          <w:sz w:val="15"/>
        </w:rPr>
        <w:t>unconditional</w:t>
      </w:r>
      <w:r>
        <w:rPr>
          <w:spacing w:val="-17"/>
          <w:sz w:val="15"/>
        </w:rPr>
        <w:t> </w:t>
      </w:r>
      <w:r>
        <w:rPr>
          <w:sz w:val="15"/>
        </w:rPr>
        <w:t>right</w:t>
      </w:r>
      <w:r>
        <w:rPr>
          <w:spacing w:val="-18"/>
          <w:sz w:val="15"/>
        </w:rPr>
        <w:t> </w:t>
      </w:r>
      <w:r>
        <w:rPr>
          <w:sz w:val="15"/>
        </w:rPr>
        <w:t>to</w:t>
      </w:r>
      <w:r>
        <w:rPr>
          <w:spacing w:val="-17"/>
          <w:sz w:val="15"/>
        </w:rPr>
        <w:t> </w:t>
      </w:r>
      <w:r>
        <w:rPr>
          <w:spacing w:val="-3"/>
          <w:sz w:val="15"/>
        </w:rPr>
        <w:t>defer </w:t>
      </w:r>
      <w:r>
        <w:rPr>
          <w:sz w:val="15"/>
        </w:rPr>
        <w:t>settlement for at least 12 months after the end of the reporting period. Actual settlement of the liabilities is expected to occur as</w:t>
      </w:r>
      <w:r>
        <w:rPr>
          <w:spacing w:val="-1"/>
          <w:sz w:val="15"/>
        </w:rPr>
        <w:t> </w:t>
      </w:r>
      <w:r>
        <w:rPr>
          <w:sz w:val="15"/>
        </w:rPr>
        <w:t>follows:</w:t>
      </w:r>
    </w:p>
    <w:p>
      <w:pPr>
        <w:spacing w:before="108"/>
        <w:ind w:left="405" w:right="0" w:firstLine="0"/>
        <w:jc w:val="left"/>
        <w:rPr>
          <w:b/>
          <w:sz w:val="19"/>
        </w:rPr>
      </w:pPr>
      <w:r>
        <w:rPr/>
        <w:br w:type="column"/>
      </w:r>
      <w:r>
        <w:rPr>
          <w:b/>
          <w:sz w:val="19"/>
        </w:rPr>
        <w:t>Movements in other provisions</w:t>
      </w:r>
    </w:p>
    <w:p>
      <w:pPr>
        <w:pStyle w:val="BodyText"/>
        <w:spacing w:before="10"/>
        <w:rPr>
          <w:b/>
          <w:sz w:val="3"/>
        </w:rPr>
      </w:pPr>
    </w:p>
    <w:tbl>
      <w:tblPr>
        <w:tblW w:w="0" w:type="auto"/>
        <w:jc w:val="left"/>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28" w:hRule="atLeast"/>
        </w:trPr>
        <w:tc>
          <w:tcPr>
            <w:tcW w:w="6265" w:type="dxa"/>
            <w:gridSpan w:val="2"/>
            <w:shd w:val="clear" w:color="auto" w:fill="783A79"/>
          </w:tcPr>
          <w:p>
            <w:pPr>
              <w:pStyle w:val="TableParagraph"/>
              <w:spacing w:before="42"/>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2"/>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6F2770"/>
                <w:sz w:val="19"/>
              </w:rPr>
              <w:t>Remediation costs provisions</w:t>
            </w:r>
          </w:p>
        </w:tc>
        <w:tc>
          <w:tcPr>
            <w:tcW w:w="1134" w:type="dxa"/>
            <w:shd w:val="clear" w:color="auto" w:fill="E1E4BB"/>
          </w:tcPr>
          <w:p>
            <w:pPr>
              <w:pStyle w:val="TableParagraph"/>
              <w:spacing w:before="0"/>
              <w:rPr>
                <w:rFonts w:ascii="Times New Roman"/>
                <w:sz w:val="18"/>
              </w:rPr>
            </w:pP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Carrying amount at start of period</w:t>
            </w:r>
          </w:p>
        </w:tc>
        <w:tc>
          <w:tcPr>
            <w:tcW w:w="1134" w:type="dxa"/>
            <w:shd w:val="clear" w:color="auto" w:fill="E1E4BB"/>
          </w:tcPr>
          <w:p>
            <w:pPr>
              <w:pStyle w:val="TableParagraph"/>
              <w:ind w:right="111"/>
              <w:jc w:val="right"/>
              <w:rPr>
                <w:sz w:val="19"/>
              </w:rPr>
            </w:pPr>
            <w:r>
              <w:rPr>
                <w:w w:val="95"/>
                <w:sz w:val="19"/>
              </w:rPr>
              <w:t>525</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517</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Additional provisions recognised</w:t>
            </w:r>
          </w:p>
        </w:tc>
        <w:tc>
          <w:tcPr>
            <w:tcW w:w="1134" w:type="dxa"/>
            <w:shd w:val="clear" w:color="auto" w:fill="E1E4BB"/>
          </w:tcPr>
          <w:p>
            <w:pPr>
              <w:pStyle w:val="TableParagraph"/>
              <w:ind w:right="111"/>
              <w:jc w:val="right"/>
              <w:rPr>
                <w:sz w:val="19"/>
              </w:rPr>
            </w:pPr>
            <w:r>
              <w:rPr>
                <w:w w:val="99"/>
                <w:sz w:val="19"/>
              </w:rPr>
              <w:t>9</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9"/>
                <w:sz w:val="19"/>
              </w:rPr>
              <w:t>8</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Payments/other sacrifices of economic benefits</w:t>
            </w:r>
          </w:p>
        </w:tc>
        <w:tc>
          <w:tcPr>
            <w:tcW w:w="1134" w:type="dxa"/>
            <w:tcBorders>
              <w:bottom w:val="single" w:sz="4" w:space="0" w:color="000000"/>
            </w:tcBorders>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Carrying amount at end of period</w:t>
            </w: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534</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525</w:t>
            </w:r>
          </w:p>
        </w:tc>
      </w:tr>
      <w:tr>
        <w:trPr>
          <w:trHeight w:val="290" w:hRule="atLeast"/>
        </w:trPr>
        <w:tc>
          <w:tcPr>
            <w:tcW w:w="5131" w:type="dxa"/>
            <w:tcBorders>
              <w:top w:val="single" w:sz="8" w:space="0" w:color="FFFFFF"/>
              <w:bottom w:val="single" w:sz="4" w:space="0" w:color="FFFFFF"/>
            </w:tcBorders>
            <w:shd w:val="clear" w:color="auto" w:fill="FAF9F9"/>
          </w:tcPr>
          <w:p>
            <w:pPr>
              <w:pStyle w:val="TableParagraph"/>
              <w:ind w:left="113"/>
              <w:rPr>
                <w:i/>
                <w:sz w:val="19"/>
              </w:rPr>
            </w:pPr>
            <w:r>
              <w:rPr>
                <w:i/>
                <w:color w:val="6F2770"/>
                <w:sz w:val="19"/>
              </w:rPr>
              <w:t>Employment on-cost provision</w:t>
            </w:r>
          </w:p>
        </w:tc>
        <w:tc>
          <w:tcPr>
            <w:tcW w:w="1134" w:type="dxa"/>
            <w:tcBorders>
              <w:top w:val="single" w:sz="4" w:space="0" w:color="000000"/>
            </w:tcBorders>
            <w:shd w:val="clear" w:color="auto" w:fill="E1E4BB"/>
          </w:tcPr>
          <w:p>
            <w:pPr>
              <w:pStyle w:val="TableParagraph"/>
              <w:spacing w:before="0"/>
              <w:rPr>
                <w:rFonts w:ascii="Times New Roman"/>
                <w:sz w:val="18"/>
              </w:rPr>
            </w:pPr>
          </w:p>
        </w:tc>
        <w:tc>
          <w:tcPr>
            <w:tcW w:w="1134" w:type="dxa"/>
            <w:tcBorders>
              <w:top w:val="single" w:sz="4" w:space="0" w:color="000000"/>
              <w:bottom w:val="single" w:sz="4" w:space="0" w:color="FFFFFF"/>
            </w:tcBorders>
            <w:shd w:val="clear" w:color="auto" w:fill="FAF9F9"/>
          </w:tcPr>
          <w:p>
            <w:pPr>
              <w:pStyle w:val="TableParagraph"/>
              <w:spacing w:before="0"/>
              <w:rPr>
                <w:rFonts w:ascii="Times New Roman"/>
                <w:sz w:val="18"/>
              </w:rPr>
            </w:pPr>
          </w:p>
        </w:tc>
      </w:tr>
      <w:tr>
        <w:trPr>
          <w:trHeight w:val="290" w:hRule="atLeast"/>
        </w:trPr>
        <w:tc>
          <w:tcPr>
            <w:tcW w:w="5131" w:type="dxa"/>
            <w:tcBorders>
              <w:top w:val="single" w:sz="4" w:space="0" w:color="FFFFFF"/>
              <w:bottom w:val="single" w:sz="8" w:space="0" w:color="FFFFFF"/>
            </w:tcBorders>
            <w:shd w:val="clear" w:color="auto" w:fill="F4F4F4"/>
          </w:tcPr>
          <w:p>
            <w:pPr>
              <w:pStyle w:val="TableParagraph"/>
              <w:spacing w:before="37"/>
              <w:ind w:left="113"/>
              <w:rPr>
                <w:sz w:val="19"/>
              </w:rPr>
            </w:pPr>
            <w:r>
              <w:rPr>
                <w:sz w:val="19"/>
              </w:rPr>
              <w:t>Carrying amount at start of period</w:t>
            </w:r>
          </w:p>
        </w:tc>
        <w:tc>
          <w:tcPr>
            <w:tcW w:w="1134" w:type="dxa"/>
            <w:shd w:val="clear" w:color="auto" w:fill="E1E4BB"/>
          </w:tcPr>
          <w:p>
            <w:pPr>
              <w:pStyle w:val="TableParagraph"/>
              <w:spacing w:before="37"/>
              <w:ind w:right="111"/>
              <w:jc w:val="right"/>
              <w:rPr>
                <w:sz w:val="19"/>
              </w:rPr>
            </w:pPr>
            <w:r>
              <w:rPr>
                <w:w w:val="95"/>
                <w:sz w:val="19"/>
              </w:rPr>
              <w:t>61</w:t>
            </w:r>
          </w:p>
        </w:tc>
        <w:tc>
          <w:tcPr>
            <w:tcW w:w="1134" w:type="dxa"/>
            <w:tcBorders>
              <w:top w:val="single" w:sz="4" w:space="0" w:color="FFFFFF"/>
              <w:bottom w:val="single" w:sz="8" w:space="0" w:color="FFFFFF"/>
            </w:tcBorders>
            <w:shd w:val="clear" w:color="auto" w:fill="F4F4F4"/>
          </w:tcPr>
          <w:p>
            <w:pPr>
              <w:pStyle w:val="TableParagraph"/>
              <w:spacing w:before="37"/>
              <w:ind w:right="111"/>
              <w:jc w:val="right"/>
              <w:rPr>
                <w:sz w:val="19"/>
              </w:rPr>
            </w:pPr>
            <w:r>
              <w:rPr>
                <w:w w:val="95"/>
                <w:sz w:val="19"/>
              </w:rPr>
              <w:t>62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Additional provisions recognised</w:t>
            </w:r>
          </w:p>
        </w:tc>
        <w:tc>
          <w:tcPr>
            <w:tcW w:w="1134" w:type="dxa"/>
            <w:shd w:val="clear" w:color="auto" w:fill="E1E4BB"/>
          </w:tcPr>
          <w:p>
            <w:pPr>
              <w:pStyle w:val="TableParagraph"/>
              <w:ind w:right="111"/>
              <w:jc w:val="right"/>
              <w:rPr>
                <w:sz w:val="19"/>
              </w:rPr>
            </w:pPr>
            <w:r>
              <w:rPr>
                <w:w w:val="95"/>
                <w:sz w:val="19"/>
              </w:rPr>
              <w:t>11</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Payments/other sacrifices of economic benefits</w:t>
            </w:r>
          </w:p>
        </w:tc>
        <w:tc>
          <w:tcPr>
            <w:tcW w:w="1134" w:type="dxa"/>
            <w:tcBorders>
              <w:bottom w:val="single" w:sz="4" w:space="0" w:color="000000"/>
            </w:tcBorders>
            <w:shd w:val="clear" w:color="auto" w:fill="E1E4BB"/>
          </w:tcPr>
          <w:p>
            <w:pPr>
              <w:pStyle w:val="TableParagraph"/>
              <w:ind w:right="111"/>
              <w:jc w:val="right"/>
              <w:rPr>
                <w:sz w:val="19"/>
              </w:rPr>
            </w:pPr>
            <w:r>
              <w:rPr>
                <w:w w:val="85"/>
                <w:sz w:val="19"/>
              </w:rPr>
              <w:t>(16)</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85"/>
                <w:sz w:val="19"/>
              </w:rPr>
              <w:t>(26)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Carrying amount at end of period</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56</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61</w:t>
            </w:r>
          </w:p>
        </w:tc>
      </w:tr>
    </w:tbl>
    <w:p>
      <w:pPr>
        <w:pStyle w:val="BodyText"/>
        <w:spacing w:before="10"/>
        <w:rPr>
          <w:b/>
          <w:sz w:val="30"/>
        </w:rPr>
      </w:pPr>
    </w:p>
    <w:p>
      <w:pPr>
        <w:pStyle w:val="Heading5"/>
        <w:spacing w:before="0"/>
        <w:ind w:left="385"/>
      </w:pPr>
      <w:r>
        <w:rPr/>
        <w:pict>
          <v:shape style="position:absolute;margin-left:431.575012pt;margin-top:22.338314pt;width:369.95pt;height:135.550pt;mso-position-horizontal-relative:page;mso-position-vertical-relative:paragraph;z-index:176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6F2770"/>
                            <w:sz w:val="19"/>
                          </w:rPr>
                          <w:t>Current</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39"/>
                          <w:rPr>
                            <w:sz w:val="19"/>
                          </w:rPr>
                        </w:pPr>
                        <w:r>
                          <w:rPr>
                            <w:sz w:val="19"/>
                          </w:rPr>
                          <w:t>16,771</w:t>
                        </w: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Lease incentives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13,604</w:t>
                        </w:r>
                      </w:p>
                    </w:tc>
                  </w:tr>
                  <w:tr>
                    <w:trPr>
                      <w:trHeight w:val="273"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double" w:sz="2" w:space="0" w:color="000000"/>
                        </w:tcBorders>
                        <w:shd w:val="clear" w:color="auto" w:fill="DFE1B8"/>
                      </w:tcPr>
                      <w:p>
                        <w:pPr>
                          <w:pStyle w:val="TableParagraph"/>
                          <w:ind w:right="111"/>
                          <w:jc w:val="right"/>
                          <w:rPr>
                            <w:b/>
                            <w:sz w:val="19"/>
                          </w:rPr>
                        </w:pPr>
                        <w:r>
                          <w:rPr>
                            <w:b/>
                            <w:w w:val="95"/>
                            <w:sz w:val="19"/>
                          </w:rPr>
                          <w:t>16,771</w:t>
                        </w:r>
                      </w:p>
                    </w:tc>
                    <w:tc>
                      <w:tcPr>
                        <w:tcW w:w="1134" w:type="dxa"/>
                        <w:tcBorders>
                          <w:top w:val="single" w:sz="4" w:space="0" w:color="000000"/>
                          <w:bottom w:val="double" w:sz="2" w:space="0" w:color="000000"/>
                        </w:tcBorders>
                        <w:shd w:val="clear" w:color="auto" w:fill="F4F4F4"/>
                      </w:tcPr>
                      <w:p>
                        <w:pPr>
                          <w:pStyle w:val="TableParagraph"/>
                          <w:ind w:right="111"/>
                          <w:jc w:val="right"/>
                          <w:rPr>
                            <w:b/>
                            <w:sz w:val="19"/>
                          </w:rPr>
                        </w:pPr>
                        <w:r>
                          <w:rPr>
                            <w:b/>
                            <w:w w:val="95"/>
                            <w:sz w:val="19"/>
                          </w:rPr>
                          <w:t>13,064</w:t>
                        </w:r>
                      </w:p>
                    </w:tc>
                  </w:tr>
                  <w:tr>
                    <w:trPr>
                      <w:trHeight w:val="294"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vMerge w:val="restart"/>
                        <w:tcBorders>
                          <w:top w:val="double" w:sz="2" w:space="0" w:color="000000"/>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147"/>
                          <w:ind w:left="333"/>
                          <w:rPr>
                            <w:sz w:val="19"/>
                          </w:rPr>
                        </w:pPr>
                        <w:r>
                          <w:rPr>
                            <w:sz w:val="19"/>
                          </w:rPr>
                          <w:t>131,249</w:t>
                        </w:r>
                      </w:p>
                    </w:tc>
                    <w:tc>
                      <w:tcPr>
                        <w:tcW w:w="1134" w:type="dxa"/>
                        <w:tcBorders>
                          <w:top w:val="double" w:sz="2" w:space="0" w:color="000000"/>
                          <w:bottom w:val="single" w:sz="8" w:space="0" w:color="FFFFFF"/>
                        </w:tcBorders>
                        <w:shd w:val="clear" w:color="auto" w:fill="FAF9F9"/>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Non-current</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Lease incentives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101,251</w:t>
                        </w:r>
                      </w:p>
                    </w:tc>
                  </w:tr>
                  <w:tr>
                    <w:trPr>
                      <w:trHeight w:val="273"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double" w:sz="2" w:space="0" w:color="000000"/>
                        </w:tcBorders>
                        <w:shd w:val="clear" w:color="auto" w:fill="DFE1B8"/>
                      </w:tcPr>
                      <w:p>
                        <w:pPr>
                          <w:pStyle w:val="TableParagraph"/>
                          <w:ind w:right="111"/>
                          <w:jc w:val="right"/>
                          <w:rPr>
                            <w:b/>
                            <w:sz w:val="19"/>
                          </w:rPr>
                        </w:pPr>
                        <w:r>
                          <w:rPr>
                            <w:b/>
                            <w:w w:val="95"/>
                            <w:sz w:val="19"/>
                          </w:rPr>
                          <w:t>131,249</w:t>
                        </w:r>
                      </w:p>
                    </w:tc>
                    <w:tc>
                      <w:tcPr>
                        <w:tcW w:w="1134" w:type="dxa"/>
                        <w:tcBorders>
                          <w:top w:val="single" w:sz="4" w:space="0" w:color="000000"/>
                          <w:bottom w:val="double" w:sz="2" w:space="0" w:color="000000"/>
                        </w:tcBorders>
                        <w:shd w:val="clear" w:color="auto" w:fill="F4F4F4"/>
                      </w:tcPr>
                      <w:p>
                        <w:pPr>
                          <w:pStyle w:val="TableParagraph"/>
                          <w:ind w:right="111"/>
                          <w:jc w:val="right"/>
                          <w:rPr>
                            <w:b/>
                            <w:sz w:val="19"/>
                          </w:rPr>
                        </w:pPr>
                        <w:r>
                          <w:rPr>
                            <w:b/>
                            <w:w w:val="95"/>
                            <w:sz w:val="19"/>
                          </w:rPr>
                          <w:t>101,251</w:t>
                        </w:r>
                      </w:p>
                    </w:tc>
                  </w:tr>
                </w:tbl>
                <w:p>
                  <w:pPr>
                    <w:pStyle w:val="BodyText"/>
                  </w:pPr>
                </w:p>
              </w:txbxContent>
            </v:textbox>
            <w10:wrap type="none"/>
          </v:shape>
        </w:pict>
      </w:r>
      <w:r>
        <w:rPr>
          <w:color w:val="6F2770"/>
        </w:rPr>
        <w:t>Note 31. Lease incentives</w:t>
      </w:r>
    </w:p>
    <w:p>
      <w:pPr>
        <w:spacing w:after="0"/>
        <w:sectPr>
          <w:type w:val="continuous"/>
          <w:pgSz w:w="16840" w:h="11910" w:orient="landscape"/>
          <w:pgMar w:top="1100" w:bottom="280" w:left="0" w:right="0"/>
          <w:cols w:num="2" w:equalWidth="0">
            <w:col w:w="8207" w:space="40"/>
            <w:col w:w="8593"/>
          </w:cols>
        </w:sectPr>
      </w:pPr>
    </w:p>
    <w:p>
      <w:pPr>
        <w:pStyle w:val="BodyText"/>
        <w:spacing w:before="1"/>
        <w:rPr>
          <w:sz w:val="5"/>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703"/>
              <w:rPr>
                <w:sz w:val="19"/>
              </w:rPr>
            </w:pPr>
            <w:r>
              <w:rPr>
                <w:sz w:val="19"/>
              </w:rPr>
              <w:t>108</w:t>
            </w:r>
          </w:p>
          <w:p>
            <w:pPr>
              <w:pStyle w:val="TableParagraph"/>
              <w:spacing w:before="87"/>
              <w:ind w:left="703"/>
              <w:rPr>
                <w:sz w:val="19"/>
              </w:rPr>
            </w:pPr>
            <w:r>
              <w:rPr>
                <w:sz w:val="19"/>
              </w:rPr>
              <w:t>120</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129</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116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DFE1B8"/>
          </w:tcPr>
          <w:p>
            <w:pPr>
              <w:pStyle w:val="TableParagraph"/>
              <w:ind w:left="703"/>
              <w:rPr>
                <w:b/>
                <w:sz w:val="19"/>
              </w:rPr>
            </w:pPr>
            <w:r>
              <w:rPr>
                <w:b/>
                <w:sz w:val="19"/>
              </w:rPr>
              <w:t>228</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245</w:t>
            </w:r>
          </w:p>
        </w:tc>
      </w:tr>
    </w:tbl>
    <w:p>
      <w:pPr>
        <w:spacing w:after="0"/>
        <w:jc w:val="right"/>
        <w:rPr>
          <w:sz w:val="19"/>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35" w:id="36"/>
      <w:bookmarkEnd w:id="36"/>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ind w:left="785"/>
      </w:pPr>
      <w:r>
        <w:rPr/>
        <w:pict>
          <v:shape style="position:absolute;margin-left:601.348999pt;margin-top:-57.37421pt;width:120.3pt;height:42.55pt;mso-position-horizontal-relative:page;mso-position-vertical-relative:paragraph;z-index:17776"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7800"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7824"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3"/>
        <w:rPr>
          <w:sz w:val="19"/>
        </w:rPr>
      </w:pPr>
    </w:p>
    <w:p>
      <w:pPr>
        <w:spacing w:after="0"/>
        <w:rPr>
          <w:sz w:val="19"/>
        </w:rPr>
        <w:sectPr>
          <w:footerReference w:type="default" r:id="rId166"/>
          <w:pgSz w:w="16840" w:h="11910" w:orient="landscape"/>
          <w:pgMar w:footer="774" w:header="0" w:top="0" w:bottom="960" w:left="0" w:right="0"/>
        </w:sectPr>
      </w:pPr>
    </w:p>
    <w:p>
      <w:pPr>
        <w:pStyle w:val="Heading5"/>
        <w:ind w:left="785"/>
      </w:pPr>
      <w:r>
        <w:rPr>
          <w:color w:val="6F2770"/>
        </w:rPr>
        <w:t>Note 32. Other liabilities</w:t>
      </w:r>
    </w:p>
    <w:p>
      <w:pPr>
        <w:pStyle w:val="BodyText"/>
        <w:spacing w:before="10"/>
        <w:rPr>
          <w:sz w:val="6"/>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6F2770"/>
                <w:sz w:val="19"/>
              </w:rPr>
              <w:t>Current</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39"/>
              <w:rPr>
                <w:sz w:val="19"/>
              </w:rPr>
            </w:pPr>
            <w:r>
              <w:rPr>
                <w:sz w:val="19"/>
              </w:rPr>
              <w:t>23,058</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Unearned revenue</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24,055</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left="439"/>
              <w:rPr>
                <w:b/>
                <w:sz w:val="19"/>
              </w:rPr>
            </w:pPr>
            <w:r>
              <w:rPr>
                <w:b/>
                <w:sz w:val="19"/>
              </w:rPr>
              <w:t>23,058</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24,055</w:t>
            </w:r>
          </w:p>
        </w:tc>
      </w:tr>
    </w:tbl>
    <w:p>
      <w:pPr>
        <w:spacing w:before="285"/>
        <w:ind w:left="785" w:right="0" w:firstLine="0"/>
        <w:jc w:val="left"/>
        <w:rPr>
          <w:sz w:val="32"/>
        </w:rPr>
      </w:pPr>
      <w:r>
        <w:rPr>
          <w:color w:val="6F2770"/>
          <w:sz w:val="32"/>
        </w:rPr>
        <w:t>Note 33. Equity</w:t>
      </w:r>
    </w:p>
    <w:p>
      <w:pPr>
        <w:pStyle w:val="BodyText"/>
        <w:spacing w:line="249" w:lineRule="auto" w:before="254"/>
        <w:ind w:left="785"/>
      </w:pPr>
      <w:r>
        <w:rPr/>
        <w:t>The</w:t>
      </w:r>
      <w:r>
        <w:rPr>
          <w:spacing w:val="-36"/>
        </w:rPr>
        <w:t> </w:t>
      </w:r>
      <w:r>
        <w:rPr/>
        <w:t>Western</w:t>
      </w:r>
      <w:r>
        <w:rPr>
          <w:spacing w:val="-36"/>
        </w:rPr>
        <w:t> </w:t>
      </w:r>
      <w:r>
        <w:rPr/>
        <w:t>Australian</w:t>
      </w:r>
      <w:r>
        <w:rPr>
          <w:spacing w:val="-36"/>
        </w:rPr>
        <w:t> </w:t>
      </w:r>
      <w:r>
        <w:rPr/>
        <w:t>Government</w:t>
      </w:r>
      <w:r>
        <w:rPr>
          <w:spacing w:val="-36"/>
        </w:rPr>
        <w:t> </w:t>
      </w:r>
      <w:r>
        <w:rPr/>
        <w:t>holds</w:t>
      </w:r>
      <w:r>
        <w:rPr>
          <w:spacing w:val="-36"/>
        </w:rPr>
        <w:t> </w:t>
      </w:r>
      <w:r>
        <w:rPr/>
        <w:t>the</w:t>
      </w:r>
      <w:r>
        <w:rPr>
          <w:spacing w:val="-35"/>
        </w:rPr>
        <w:t> </w:t>
      </w:r>
      <w:r>
        <w:rPr/>
        <w:t>equity</w:t>
      </w:r>
      <w:r>
        <w:rPr>
          <w:spacing w:val="-36"/>
        </w:rPr>
        <w:t> </w:t>
      </w:r>
      <w:r>
        <w:rPr>
          <w:spacing w:val="-3"/>
        </w:rPr>
        <w:t>interest</w:t>
      </w:r>
      <w:r>
        <w:rPr>
          <w:spacing w:val="-36"/>
        </w:rPr>
        <w:t> </w:t>
      </w:r>
      <w:r>
        <w:rPr/>
        <w:t>in</w:t>
      </w:r>
      <w:r>
        <w:rPr>
          <w:spacing w:val="-36"/>
        </w:rPr>
        <w:t> </w:t>
      </w:r>
      <w:r>
        <w:rPr/>
        <w:t>the</w:t>
      </w:r>
      <w:r>
        <w:rPr>
          <w:spacing w:val="-36"/>
        </w:rPr>
        <w:t> </w:t>
      </w:r>
      <w:r>
        <w:rPr/>
        <w:t>Department on behalf of the </w:t>
      </w:r>
      <w:r>
        <w:rPr>
          <w:spacing w:val="-4"/>
        </w:rPr>
        <w:t>community. </w:t>
      </w:r>
      <w:r>
        <w:rPr/>
        <w:t>Equity </w:t>
      </w:r>
      <w:r>
        <w:rPr>
          <w:spacing w:val="-3"/>
        </w:rPr>
        <w:t>represents </w:t>
      </w:r>
      <w:r>
        <w:rPr/>
        <w:t>the </w:t>
      </w:r>
      <w:r>
        <w:rPr>
          <w:spacing w:val="-3"/>
        </w:rPr>
        <w:t>residual interest </w:t>
      </w:r>
      <w:r>
        <w:rPr/>
        <w:t>in the </w:t>
      </w:r>
      <w:r>
        <w:rPr>
          <w:spacing w:val="-2"/>
        </w:rPr>
        <w:t>net </w:t>
      </w:r>
      <w:r>
        <w:rPr/>
        <w:t>assets of the</w:t>
      </w:r>
      <w:r>
        <w:rPr>
          <w:spacing w:val="-13"/>
        </w:rPr>
        <w:t> </w:t>
      </w:r>
      <w:r>
        <w:rPr/>
        <w:t>Department.</w:t>
      </w:r>
    </w:p>
    <w:p>
      <w:pPr>
        <w:pStyle w:val="BodyText"/>
        <w:spacing w:before="10"/>
        <w:rPr>
          <w:sz w:val="23"/>
        </w:rPr>
      </w:pPr>
    </w:p>
    <w:p>
      <w:pPr>
        <w:spacing w:before="0"/>
        <w:ind w:left="805" w:right="0" w:firstLine="0"/>
        <w:jc w:val="left"/>
        <w:rPr>
          <w:b/>
          <w:sz w:val="19"/>
        </w:rPr>
      </w:pPr>
      <w:r>
        <w:rPr/>
        <w:pict>
          <v:shape style="position:absolute;margin-left:39.768002pt;margin-top:13.163095pt;width:369.95pt;height:191.5pt;mso-position-horizontal-relative:page;mso-position-vertical-relative:paragraph;z-index:178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8" w:hRule="atLeast"/>
                    </w:trPr>
                    <w:tc>
                      <w:tcPr>
                        <w:tcW w:w="6265" w:type="dxa"/>
                        <w:gridSpan w:val="2"/>
                        <w:shd w:val="clear" w:color="auto" w:fill="783A79"/>
                      </w:tcPr>
                      <w:p>
                        <w:pPr>
                          <w:pStyle w:val="TableParagraph"/>
                          <w:spacing w:before="42"/>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2"/>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Balance at start of period</w:t>
                        </w:r>
                      </w:p>
                    </w:tc>
                    <w:tc>
                      <w:tcPr>
                        <w:tcW w:w="1134" w:type="dxa"/>
                        <w:shd w:val="clear" w:color="auto" w:fill="E1E4BB"/>
                      </w:tcPr>
                      <w:p>
                        <w:pPr>
                          <w:pStyle w:val="TableParagraph"/>
                          <w:spacing w:before="37"/>
                          <w:ind w:right="111"/>
                          <w:jc w:val="right"/>
                          <w:rPr>
                            <w:sz w:val="19"/>
                          </w:rPr>
                        </w:pPr>
                        <w:r>
                          <w:rPr>
                            <w:w w:val="95"/>
                            <w:sz w:val="19"/>
                          </w:rPr>
                          <w:t>1,055,928</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1,026,944</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Contributions by owners</w:t>
                        </w: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Capital appropriations</w:t>
                        </w:r>
                      </w:p>
                    </w:tc>
                    <w:tc>
                      <w:tcPr>
                        <w:tcW w:w="1134" w:type="dxa"/>
                        <w:shd w:val="clear" w:color="auto" w:fill="E1E4BB"/>
                      </w:tcPr>
                      <w:p>
                        <w:pPr>
                          <w:pStyle w:val="TableParagraph"/>
                          <w:ind w:right="111"/>
                          <w:jc w:val="right"/>
                          <w:rPr>
                            <w:sz w:val="19"/>
                          </w:rPr>
                        </w:pPr>
                        <w:r>
                          <w:rPr>
                            <w:w w:val="95"/>
                            <w:sz w:val="19"/>
                          </w:rPr>
                          <w:t>14,902</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28,763</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6F2770"/>
                            <w:sz w:val="19"/>
                          </w:rPr>
                          <w:t>Other contributions by owners</w:t>
                        </w: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52" w:hRule="atLeast"/>
                    </w:trPr>
                    <w:tc>
                      <w:tcPr>
                        <w:tcW w:w="5131" w:type="dxa"/>
                        <w:tcBorders>
                          <w:top w:val="single" w:sz="8" w:space="0" w:color="FFFFFF"/>
                        </w:tcBorders>
                        <w:shd w:val="clear" w:color="auto" w:fill="F4F4F4"/>
                      </w:tcPr>
                      <w:p>
                        <w:pPr>
                          <w:pStyle w:val="TableParagraph"/>
                          <w:spacing w:line="201" w:lineRule="exact"/>
                          <w:ind w:left="113"/>
                          <w:rPr>
                            <w:sz w:val="19"/>
                          </w:rPr>
                        </w:pPr>
                        <w:r>
                          <w:rPr>
                            <w:sz w:val="19"/>
                          </w:rPr>
                          <w:t>Transfer of Strategic Projects (excluding Asset Sales) from</w:t>
                        </w:r>
                      </w:p>
                    </w:tc>
                    <w:tc>
                      <w:tcPr>
                        <w:tcW w:w="1134" w:type="dxa"/>
                        <w:shd w:val="clear" w:color="auto" w:fill="E1E4BB"/>
                      </w:tcPr>
                      <w:p>
                        <w:pPr>
                          <w:pStyle w:val="TableParagraph"/>
                          <w:spacing w:line="201" w:lineRule="exact"/>
                          <w:ind w:right="111"/>
                          <w:jc w:val="right"/>
                          <w:rPr>
                            <w:sz w:val="19"/>
                          </w:rPr>
                        </w:pPr>
                        <w:r>
                          <w:rPr>
                            <w:w w:val="95"/>
                            <w:sz w:val="19"/>
                          </w:rPr>
                          <w:t>32</w:t>
                        </w:r>
                      </w:p>
                    </w:tc>
                    <w:tc>
                      <w:tcPr>
                        <w:tcW w:w="1134" w:type="dxa"/>
                        <w:tcBorders>
                          <w:top w:val="single" w:sz="8" w:space="0" w:color="FFFFFF"/>
                        </w:tcBorders>
                        <w:shd w:val="clear" w:color="auto" w:fill="F4F4F4"/>
                      </w:tcPr>
                      <w:p>
                        <w:pPr>
                          <w:pStyle w:val="TableParagraph"/>
                          <w:spacing w:line="201" w:lineRule="exact"/>
                          <w:ind w:right="111"/>
                          <w:jc w:val="right"/>
                          <w:rPr>
                            <w:sz w:val="19"/>
                          </w:rPr>
                        </w:pPr>
                        <w:r>
                          <w:rPr>
                            <w:w w:val="111"/>
                            <w:sz w:val="19"/>
                          </w:rPr>
                          <w:t>-</w:t>
                        </w:r>
                      </w:p>
                    </w:tc>
                  </w:tr>
                  <w:tr>
                    <w:trPr>
                      <w:trHeight w:val="260" w:hRule="atLeast"/>
                    </w:trPr>
                    <w:tc>
                      <w:tcPr>
                        <w:tcW w:w="5131" w:type="dxa"/>
                        <w:tcBorders>
                          <w:bottom w:val="single" w:sz="8" w:space="0" w:color="FFFFFF"/>
                        </w:tcBorders>
                        <w:shd w:val="clear" w:color="auto" w:fill="F4F4F4"/>
                      </w:tcPr>
                      <w:p>
                        <w:pPr>
                          <w:pStyle w:val="TableParagraph"/>
                          <w:spacing w:before="7"/>
                          <w:ind w:left="113"/>
                          <w:rPr>
                            <w:sz w:val="19"/>
                          </w:rPr>
                        </w:pPr>
                        <w:r>
                          <w:rPr>
                            <w:sz w:val="19"/>
                          </w:rPr>
                          <w:t>Department of Treasury</w:t>
                        </w:r>
                      </w:p>
                    </w:tc>
                    <w:tc>
                      <w:tcPr>
                        <w:tcW w:w="1134" w:type="dxa"/>
                        <w:shd w:val="clear" w:color="auto" w:fill="E1E4BB"/>
                      </w:tcPr>
                      <w:p>
                        <w:pPr>
                          <w:pStyle w:val="TableParagraph"/>
                          <w:spacing w:before="0"/>
                          <w:rPr>
                            <w:rFonts w:ascii="Times New Roman"/>
                            <w:sz w:val="18"/>
                          </w:rPr>
                        </w:pP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Funding from Treasury Administered</w:t>
                        </w:r>
                      </w:p>
                    </w:tc>
                    <w:tc>
                      <w:tcPr>
                        <w:tcW w:w="1134" w:type="dxa"/>
                        <w:shd w:val="clear" w:color="auto" w:fill="E1E4BB"/>
                      </w:tcPr>
                      <w:p>
                        <w:pPr>
                          <w:pStyle w:val="TableParagraph"/>
                          <w:ind w:right="111"/>
                          <w:jc w:val="right"/>
                          <w:rPr>
                            <w:sz w:val="19"/>
                          </w:rPr>
                        </w:pPr>
                        <w:r>
                          <w:rPr>
                            <w:w w:val="95"/>
                            <w:sz w:val="19"/>
                          </w:rPr>
                          <w:t>200</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Regional Infrastructure and Headworks Fund</w:t>
                        </w:r>
                      </w:p>
                    </w:tc>
                    <w:tc>
                      <w:tcPr>
                        <w:tcW w:w="1134" w:type="dxa"/>
                        <w:tcBorders>
                          <w:bottom w:val="single" w:sz="4" w:space="0" w:color="000000"/>
                        </w:tcBorders>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245</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 contributions by owners</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232</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245</w:t>
                        </w:r>
                      </w:p>
                    </w:tc>
                  </w:tr>
                </w:tbl>
                <w:p>
                  <w:pPr>
                    <w:pStyle w:val="BodyText"/>
                  </w:pPr>
                </w:p>
              </w:txbxContent>
            </v:textbox>
            <w10:wrap type="none"/>
          </v:shape>
        </w:pict>
      </w:r>
      <w:r>
        <w:rPr>
          <w:b/>
          <w:sz w:val="19"/>
        </w:rPr>
        <w:t>Contributed equity</w:t>
      </w:r>
    </w:p>
    <w:p>
      <w:pPr>
        <w:pStyle w:val="BodyText"/>
        <w:spacing w:before="5"/>
        <w:rPr>
          <w:b/>
          <w:sz w:val="19"/>
        </w:rPr>
      </w:pPr>
      <w:r>
        <w:rPr/>
        <w:br w:type="column"/>
      </w:r>
      <w:r>
        <w:rPr>
          <w:b/>
          <w:sz w:val="19"/>
        </w:rPr>
      </w:r>
    </w:p>
    <w:p>
      <w:pPr>
        <w:spacing w:before="0"/>
        <w:ind w:left="417" w:right="0" w:firstLine="0"/>
        <w:jc w:val="left"/>
        <w:rPr>
          <w:b/>
          <w:sz w:val="19"/>
        </w:rPr>
      </w:pPr>
      <w:r>
        <w:rPr>
          <w:b/>
          <w:sz w:val="19"/>
        </w:rPr>
        <w:t>Contributed equity</w:t>
      </w:r>
    </w:p>
    <w:p>
      <w:pPr>
        <w:pStyle w:val="BodyText"/>
        <w:spacing w:before="10"/>
        <w:rPr>
          <w:b/>
          <w:sz w:val="3"/>
        </w:r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23" w:hRule="atLeast"/>
        </w:trPr>
        <w:tc>
          <w:tcPr>
            <w:tcW w:w="7399" w:type="dxa"/>
            <w:gridSpan w:val="3"/>
            <w:tcBorders>
              <w:bottom w:val="single" w:sz="8" w:space="0" w:color="FFFFFF"/>
            </w:tcBorders>
            <w:shd w:val="clear" w:color="auto" w:fill="783A79"/>
          </w:tcPr>
          <w:p>
            <w:pPr>
              <w:pStyle w:val="TableParagraph"/>
              <w:tabs>
                <w:tab w:pos="1133" w:val="left" w:leader="none"/>
              </w:tabs>
              <w:spacing w:before="42"/>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6F2770"/>
                <w:sz w:val="19"/>
              </w:rPr>
              <w:t>Distributions to owners</w:t>
            </w:r>
          </w:p>
        </w:tc>
        <w:tc>
          <w:tcPr>
            <w:tcW w:w="1134" w:type="dxa"/>
            <w:vMerge w:val="restart"/>
            <w:tcBorders>
              <w:top w:val="single" w:sz="8" w:space="0" w:color="FFFFFF"/>
              <w:bottom w:val="single" w:sz="4" w:space="0" w:color="000000"/>
            </w:tcBorders>
            <w:shd w:val="clear" w:color="auto" w:fill="DFE1B8"/>
          </w:tcPr>
          <w:p>
            <w:pPr>
              <w:pStyle w:val="TableParagraph"/>
              <w:spacing w:before="4"/>
              <w:rPr>
                <w:b/>
                <w:sz w:val="29"/>
              </w:rPr>
            </w:pPr>
          </w:p>
          <w:p>
            <w:pPr>
              <w:pStyle w:val="TableParagraph"/>
              <w:spacing w:before="0"/>
              <w:ind w:left="611"/>
              <w:rPr>
                <w:sz w:val="19"/>
              </w:rPr>
            </w:pPr>
            <w:r>
              <w:rPr>
                <w:sz w:val="19"/>
              </w:rPr>
              <w:t>(421)</w:t>
            </w:r>
          </w:p>
          <w:p>
            <w:pPr>
              <w:pStyle w:val="TableParagraph"/>
              <w:spacing w:before="5"/>
              <w:rPr>
                <w:b/>
                <w:sz w:val="27"/>
              </w:rPr>
            </w:pPr>
          </w:p>
          <w:p>
            <w:pPr>
              <w:pStyle w:val="TableParagraph"/>
              <w:spacing w:line="336" w:lineRule="auto" w:before="0"/>
              <w:ind w:left="717" w:right="92" w:firstLine="232"/>
              <w:rPr>
                <w:sz w:val="19"/>
              </w:rPr>
            </w:pPr>
            <w:r>
              <w:rPr>
                <w:sz w:val="19"/>
              </w:rPr>
              <w:t>- </w:t>
            </w:r>
            <w:r>
              <w:rPr>
                <w:w w:val="90"/>
                <w:sz w:val="19"/>
              </w:rPr>
              <w:t>(37)</w:t>
            </w:r>
          </w:p>
          <w:p>
            <w:pPr>
              <w:pStyle w:val="TableParagraph"/>
              <w:spacing w:before="9"/>
              <w:rPr>
                <w:b/>
                <w:sz w:val="19"/>
              </w:rPr>
            </w:pPr>
          </w:p>
          <w:p>
            <w:pPr>
              <w:pStyle w:val="TableParagraph"/>
              <w:spacing w:before="0"/>
              <w:ind w:left="611"/>
              <w:rPr>
                <w:sz w:val="19"/>
              </w:rPr>
            </w:pPr>
            <w:r>
              <w:rPr>
                <w:sz w:val="19"/>
              </w:rPr>
              <w:t>(480)</w:t>
            </w:r>
          </w:p>
          <w:p>
            <w:pPr>
              <w:pStyle w:val="TableParagraph"/>
              <w:spacing w:before="88"/>
              <w:ind w:left="347"/>
              <w:rPr>
                <w:sz w:val="19"/>
              </w:rPr>
            </w:pPr>
            <w:r>
              <w:rPr>
                <w:sz w:val="19"/>
              </w:rPr>
              <w:t>(14,105)</w:t>
            </w: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513" w:hRule="atLeast"/>
        </w:trPr>
        <w:tc>
          <w:tcPr>
            <w:tcW w:w="5131" w:type="dxa"/>
            <w:tcBorders>
              <w:top w:val="single" w:sz="8" w:space="0" w:color="FFFFFF"/>
              <w:bottom w:val="single" w:sz="8" w:space="0" w:color="FFFFFF"/>
            </w:tcBorders>
            <w:shd w:val="clear" w:color="auto" w:fill="F4F4F4"/>
          </w:tcPr>
          <w:p>
            <w:pPr>
              <w:pStyle w:val="TableParagraph"/>
              <w:spacing w:line="249" w:lineRule="auto"/>
              <w:ind w:left="113" w:right="231"/>
              <w:rPr>
                <w:sz w:val="19"/>
              </w:rPr>
            </w:pPr>
            <w:r>
              <w:rPr>
                <w:sz w:val="19"/>
              </w:rPr>
              <w:t>Return</w:t>
            </w:r>
            <w:r>
              <w:rPr>
                <w:spacing w:val="-22"/>
                <w:sz w:val="19"/>
              </w:rPr>
              <w:t> </w:t>
            </w:r>
            <w:r>
              <w:rPr>
                <w:sz w:val="19"/>
              </w:rPr>
              <w:t>Regional</w:t>
            </w:r>
            <w:r>
              <w:rPr>
                <w:spacing w:val="-21"/>
                <w:sz w:val="19"/>
              </w:rPr>
              <w:t> </w:t>
            </w:r>
            <w:r>
              <w:rPr>
                <w:sz w:val="19"/>
              </w:rPr>
              <w:t>Infrastructure</w:t>
            </w:r>
            <w:r>
              <w:rPr>
                <w:spacing w:val="-21"/>
                <w:sz w:val="19"/>
              </w:rPr>
              <w:t> </w:t>
            </w:r>
            <w:r>
              <w:rPr>
                <w:sz w:val="19"/>
              </w:rPr>
              <w:t>and</w:t>
            </w:r>
            <w:r>
              <w:rPr>
                <w:spacing w:val="-21"/>
                <w:sz w:val="19"/>
              </w:rPr>
              <w:t> </w:t>
            </w:r>
            <w:r>
              <w:rPr>
                <w:sz w:val="19"/>
              </w:rPr>
              <w:t>Headworks</w:t>
            </w:r>
            <w:r>
              <w:rPr>
                <w:spacing w:val="-21"/>
                <w:sz w:val="19"/>
              </w:rPr>
              <w:t> </w:t>
            </w:r>
            <w:r>
              <w:rPr>
                <w:sz w:val="19"/>
              </w:rPr>
              <w:t>Fund</w:t>
            </w:r>
            <w:r>
              <w:rPr>
                <w:spacing w:val="-21"/>
                <w:sz w:val="19"/>
              </w:rPr>
              <w:t> </w:t>
            </w:r>
            <w:r>
              <w:rPr>
                <w:sz w:val="19"/>
              </w:rPr>
              <w:t>to</w:t>
            </w:r>
            <w:r>
              <w:rPr>
                <w:spacing w:val="-21"/>
                <w:sz w:val="19"/>
              </w:rPr>
              <w:t> </w:t>
            </w:r>
            <w:r>
              <w:rPr>
                <w:spacing w:val="-6"/>
                <w:sz w:val="19"/>
              </w:rPr>
              <w:t>the </w:t>
            </w:r>
            <w:r>
              <w:rPr>
                <w:sz w:val="19"/>
              </w:rPr>
              <w:t>Department of</w:t>
            </w:r>
            <w:r>
              <w:rPr>
                <w:spacing w:val="-3"/>
                <w:sz w:val="19"/>
              </w:rPr>
              <w:t> Treasury</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Transfer of Fremantle Prison to State Heritage Office</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85"/>
                <w:sz w:val="19"/>
              </w:rPr>
              <w:t>(24)</w:t>
            </w:r>
          </w:p>
        </w:tc>
      </w:tr>
      <w:tr>
        <w:trPr>
          <w:trHeight w:val="513" w:hRule="atLeast"/>
        </w:trPr>
        <w:tc>
          <w:tcPr>
            <w:tcW w:w="5131" w:type="dxa"/>
            <w:tcBorders>
              <w:top w:val="single" w:sz="8" w:space="0" w:color="FFFFFF"/>
              <w:bottom w:val="single" w:sz="8" w:space="0" w:color="FFFFFF"/>
            </w:tcBorders>
            <w:shd w:val="clear" w:color="auto" w:fill="F4F4F4"/>
          </w:tcPr>
          <w:p>
            <w:pPr>
              <w:pStyle w:val="TableParagraph"/>
              <w:spacing w:line="249" w:lineRule="auto"/>
              <w:ind w:left="113" w:right="355"/>
              <w:rPr>
                <w:sz w:val="19"/>
              </w:rPr>
            </w:pPr>
            <w:r>
              <w:rPr>
                <w:spacing w:val="-3"/>
                <w:sz w:val="19"/>
              </w:rPr>
              <w:t>Transfer</w:t>
            </w:r>
            <w:r>
              <w:rPr>
                <w:spacing w:val="-21"/>
                <w:sz w:val="19"/>
              </w:rPr>
              <w:t> </w:t>
            </w:r>
            <w:r>
              <w:rPr>
                <w:sz w:val="19"/>
              </w:rPr>
              <w:t>of</w:t>
            </w:r>
            <w:r>
              <w:rPr>
                <w:spacing w:val="-20"/>
                <w:sz w:val="19"/>
              </w:rPr>
              <w:t> </w:t>
            </w:r>
            <w:r>
              <w:rPr>
                <w:sz w:val="19"/>
              </w:rPr>
              <w:t>Public</w:t>
            </w:r>
            <w:r>
              <w:rPr>
                <w:spacing w:val="-21"/>
                <w:sz w:val="19"/>
              </w:rPr>
              <w:t> </w:t>
            </w:r>
            <w:r>
              <w:rPr>
                <w:sz w:val="19"/>
              </w:rPr>
              <w:t>Utilities</w:t>
            </w:r>
            <w:r>
              <w:rPr>
                <w:spacing w:val="-20"/>
                <w:sz w:val="19"/>
              </w:rPr>
              <w:t> </w:t>
            </w:r>
            <w:r>
              <w:rPr>
                <w:sz w:val="19"/>
              </w:rPr>
              <w:t>Office</w:t>
            </w:r>
            <w:r>
              <w:rPr>
                <w:spacing w:val="-20"/>
                <w:sz w:val="19"/>
              </w:rPr>
              <w:t> </w:t>
            </w:r>
            <w:r>
              <w:rPr>
                <w:sz w:val="19"/>
              </w:rPr>
              <w:t>and</w:t>
            </w:r>
            <w:r>
              <w:rPr>
                <w:spacing w:val="-21"/>
                <w:sz w:val="19"/>
              </w:rPr>
              <w:t> </w:t>
            </w:r>
            <w:r>
              <w:rPr>
                <w:sz w:val="19"/>
              </w:rPr>
              <w:t>Economic</w:t>
            </w:r>
            <w:r>
              <w:rPr>
                <w:spacing w:val="-20"/>
                <w:sz w:val="19"/>
              </w:rPr>
              <w:t> </w:t>
            </w:r>
            <w:r>
              <w:rPr>
                <w:sz w:val="19"/>
              </w:rPr>
              <w:t>Reform</w:t>
            </w:r>
            <w:r>
              <w:rPr>
                <w:spacing w:val="-21"/>
                <w:sz w:val="19"/>
              </w:rPr>
              <w:t> </w:t>
            </w:r>
            <w:r>
              <w:rPr>
                <w:spacing w:val="-8"/>
                <w:sz w:val="19"/>
              </w:rPr>
              <w:t>to </w:t>
            </w:r>
            <w:r>
              <w:rPr>
                <w:sz w:val="19"/>
              </w:rPr>
              <w:t>the Department of</w:t>
            </w:r>
            <w:r>
              <w:rPr>
                <w:spacing w:val="-5"/>
                <w:sz w:val="19"/>
              </w:rPr>
              <w:t> </w:t>
            </w:r>
            <w:r>
              <w:rPr>
                <w:spacing w:val="-3"/>
                <w:sz w:val="19"/>
              </w:rPr>
              <w:t>Treasury</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Transfer Optus Stadium land to VenuesWest</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111"/>
                <w:sz w:val="19"/>
              </w:rPr>
              <w:t>-</w:t>
            </w:r>
          </w:p>
        </w:tc>
      </w:tr>
      <w:tr>
        <w:trPr>
          <w:trHeight w:val="513" w:hRule="atLeast"/>
        </w:trPr>
        <w:tc>
          <w:tcPr>
            <w:tcW w:w="5131" w:type="dxa"/>
            <w:tcBorders>
              <w:top w:val="single" w:sz="8" w:space="0" w:color="FFFFFF"/>
              <w:bottom w:val="single" w:sz="8" w:space="0" w:color="FFFFFF"/>
            </w:tcBorders>
            <w:shd w:val="clear" w:color="auto" w:fill="F4F4F4"/>
          </w:tcPr>
          <w:p>
            <w:pPr>
              <w:pStyle w:val="TableParagraph"/>
              <w:spacing w:line="249" w:lineRule="auto"/>
              <w:ind w:left="113" w:right="218"/>
              <w:rPr>
                <w:sz w:val="19"/>
              </w:rPr>
            </w:pPr>
            <w:r>
              <w:rPr>
                <w:spacing w:val="-3"/>
                <w:sz w:val="19"/>
              </w:rPr>
              <w:t>Transfer</w:t>
            </w:r>
            <w:r>
              <w:rPr>
                <w:spacing w:val="-20"/>
                <w:sz w:val="19"/>
              </w:rPr>
              <w:t> </w:t>
            </w:r>
            <w:r>
              <w:rPr>
                <w:sz w:val="19"/>
              </w:rPr>
              <w:t>of</w:t>
            </w:r>
            <w:r>
              <w:rPr>
                <w:spacing w:val="-20"/>
                <w:sz w:val="19"/>
              </w:rPr>
              <w:t> </w:t>
            </w:r>
            <w:r>
              <w:rPr>
                <w:sz w:val="19"/>
              </w:rPr>
              <w:t>the</w:t>
            </w:r>
            <w:r>
              <w:rPr>
                <w:spacing w:val="-20"/>
                <w:sz w:val="19"/>
              </w:rPr>
              <w:t> </w:t>
            </w:r>
            <w:r>
              <w:rPr>
                <w:sz w:val="19"/>
              </w:rPr>
              <w:t>Sunset</w:t>
            </w:r>
            <w:r>
              <w:rPr>
                <w:spacing w:val="-20"/>
                <w:sz w:val="19"/>
              </w:rPr>
              <w:t> </w:t>
            </w:r>
            <w:r>
              <w:rPr>
                <w:sz w:val="19"/>
              </w:rPr>
              <w:t>Heritage</w:t>
            </w:r>
            <w:r>
              <w:rPr>
                <w:spacing w:val="-20"/>
                <w:sz w:val="19"/>
              </w:rPr>
              <w:t> </w:t>
            </w:r>
            <w:r>
              <w:rPr>
                <w:sz w:val="19"/>
              </w:rPr>
              <w:t>Precinct</w:t>
            </w:r>
            <w:r>
              <w:rPr>
                <w:spacing w:val="-20"/>
                <w:sz w:val="19"/>
              </w:rPr>
              <w:t> </w:t>
            </w:r>
            <w:r>
              <w:rPr>
                <w:sz w:val="19"/>
              </w:rPr>
              <w:t>to</w:t>
            </w:r>
            <w:r>
              <w:rPr>
                <w:spacing w:val="-20"/>
                <w:sz w:val="19"/>
              </w:rPr>
              <w:t> </w:t>
            </w:r>
            <w:r>
              <w:rPr>
                <w:sz w:val="19"/>
              </w:rPr>
              <w:t>the</w:t>
            </w:r>
            <w:r>
              <w:rPr>
                <w:spacing w:val="-20"/>
                <w:sz w:val="19"/>
              </w:rPr>
              <w:t> </w:t>
            </w:r>
            <w:r>
              <w:rPr>
                <w:sz w:val="19"/>
              </w:rPr>
              <w:t>Department of</w:t>
            </w:r>
            <w:r>
              <w:rPr>
                <w:spacing w:val="-8"/>
                <w:sz w:val="19"/>
              </w:rPr>
              <w:t> </w:t>
            </w:r>
            <w:r>
              <w:rPr>
                <w:sz w:val="19"/>
              </w:rPr>
              <w:t>Local</w:t>
            </w:r>
            <w:r>
              <w:rPr>
                <w:spacing w:val="-7"/>
                <w:sz w:val="19"/>
              </w:rPr>
              <w:t> </w:t>
            </w:r>
            <w:r>
              <w:rPr>
                <w:sz w:val="19"/>
              </w:rPr>
              <w:t>Government,</w:t>
            </w:r>
            <w:r>
              <w:rPr>
                <w:spacing w:val="-7"/>
                <w:sz w:val="19"/>
              </w:rPr>
              <w:t> </w:t>
            </w:r>
            <w:r>
              <w:rPr>
                <w:sz w:val="19"/>
              </w:rPr>
              <w:t>Sport</w:t>
            </w:r>
            <w:r>
              <w:rPr>
                <w:spacing w:val="-7"/>
                <w:sz w:val="19"/>
              </w:rPr>
              <w:t> </w:t>
            </w:r>
            <w:r>
              <w:rPr>
                <w:sz w:val="19"/>
              </w:rPr>
              <w:t>and</w:t>
            </w:r>
            <w:r>
              <w:rPr>
                <w:spacing w:val="-7"/>
                <w:sz w:val="19"/>
              </w:rPr>
              <w:t> </w:t>
            </w:r>
            <w:r>
              <w:rPr>
                <w:sz w:val="19"/>
              </w:rPr>
              <w:t>Cultural</w:t>
            </w:r>
            <w:r>
              <w:rPr>
                <w:spacing w:val="-7"/>
                <w:sz w:val="19"/>
              </w:rPr>
              <w:t> </w:t>
            </w:r>
            <w:r>
              <w:rPr>
                <w:sz w:val="19"/>
              </w:rPr>
              <w:t>Industries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 distributions to owners</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(15,043)</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(24)</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line="213" w:lineRule="exact"/>
              <w:ind w:left="113"/>
              <w:rPr>
                <w:b/>
                <w:sz w:val="19"/>
              </w:rPr>
            </w:pPr>
            <w:r>
              <w:rPr>
                <w:b/>
                <w:sz w:val="19"/>
              </w:rPr>
              <w:t>Balance at end of period</w:t>
            </w: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1,056,019</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1,055,928</w:t>
            </w:r>
          </w:p>
        </w:tc>
      </w:tr>
    </w:tbl>
    <w:p>
      <w:pPr>
        <w:pStyle w:val="BodyText"/>
        <w:spacing w:before="7"/>
        <w:rPr>
          <w:b/>
          <w:sz w:val="27"/>
        </w:rPr>
      </w:pPr>
    </w:p>
    <w:p>
      <w:pPr>
        <w:spacing w:before="1"/>
        <w:ind w:left="521" w:right="0" w:firstLine="0"/>
        <w:jc w:val="left"/>
        <w:rPr>
          <w:b/>
          <w:sz w:val="19"/>
        </w:rPr>
      </w:pPr>
      <w:r>
        <w:rPr>
          <w:b/>
          <w:sz w:val="19"/>
        </w:rPr>
        <w:t>Accumulated surplus</w:t>
      </w:r>
    </w:p>
    <w:p>
      <w:pPr>
        <w:spacing w:after="0"/>
        <w:jc w:val="left"/>
        <w:rPr>
          <w:sz w:val="19"/>
        </w:rPr>
        <w:sectPr>
          <w:type w:val="continuous"/>
          <w:pgSz w:w="16840" w:h="11910" w:orient="landscape"/>
          <w:pgMar w:top="1100" w:bottom="280" w:left="0" w:right="0"/>
          <w:cols w:num="2" w:equalWidth="0">
            <w:col w:w="8194" w:space="40"/>
            <w:col w:w="8606"/>
          </w:cols>
        </w:sectPr>
      </w:pPr>
    </w:p>
    <w:p>
      <w:pPr>
        <w:pStyle w:val="BodyText"/>
        <w:spacing w:before="5"/>
        <w:rPr>
          <w:b/>
          <w:sz w:val="3"/>
        </w:rPr>
      </w:pPr>
    </w:p>
    <w:tbl>
      <w:tblPr>
        <w:tblW w:w="0" w:type="auto"/>
        <w:jc w:val="left"/>
        <w:tblInd w:w="8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9"/>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Balance at start of period</w:t>
            </w:r>
          </w:p>
        </w:tc>
        <w:tc>
          <w:tcPr>
            <w:tcW w:w="1134" w:type="dxa"/>
            <w:vMerge w:val="restart"/>
            <w:tcBorders>
              <w:bottom w:val="single" w:sz="4" w:space="0" w:color="000000"/>
            </w:tcBorders>
            <w:shd w:val="clear" w:color="auto" w:fill="DFE1B8"/>
          </w:tcPr>
          <w:p>
            <w:pPr>
              <w:pStyle w:val="TableParagraph"/>
              <w:spacing w:before="37"/>
              <w:ind w:left="439"/>
              <w:rPr>
                <w:sz w:val="19"/>
              </w:rPr>
            </w:pPr>
            <w:r>
              <w:rPr>
                <w:sz w:val="19"/>
              </w:rPr>
              <w:t>59,133</w:t>
            </w:r>
          </w:p>
          <w:p>
            <w:pPr>
              <w:pStyle w:val="TableParagraph"/>
              <w:spacing w:before="87"/>
              <w:ind w:left="347"/>
              <w:rPr>
                <w:sz w:val="19"/>
              </w:rPr>
            </w:pPr>
            <w:r>
              <w:rPr>
                <w:sz w:val="19"/>
              </w:rPr>
              <w:t>(20,205)</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48,292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Result for the period</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10,841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Balance at end of period</w:t>
            </w: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38,928</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59,133</w:t>
            </w:r>
          </w:p>
        </w:tc>
      </w:tr>
      <w:tr>
        <w:trPr>
          <w:trHeight w:val="253" w:hRule="atLeast"/>
        </w:trPr>
        <w:tc>
          <w:tcPr>
            <w:tcW w:w="5131" w:type="dxa"/>
            <w:tcBorders>
              <w:top w:val="single" w:sz="8" w:space="0" w:color="FFFFFF"/>
              <w:bottom w:val="single" w:sz="8" w:space="0" w:color="FFFFFF"/>
            </w:tcBorders>
            <w:shd w:val="clear" w:color="auto" w:fill="FAF9F9"/>
          </w:tcPr>
          <w:p>
            <w:pPr>
              <w:pStyle w:val="TableParagraph"/>
              <w:spacing w:line="201" w:lineRule="exact"/>
              <w:ind w:left="113"/>
              <w:rPr>
                <w:b/>
                <w:sz w:val="19"/>
              </w:rPr>
            </w:pPr>
            <w:r>
              <w:rPr>
                <w:b/>
                <w:sz w:val="19"/>
              </w:rPr>
              <w:t>Total equity at end of period</w:t>
            </w:r>
          </w:p>
        </w:tc>
        <w:tc>
          <w:tcPr>
            <w:tcW w:w="1134" w:type="dxa"/>
            <w:tcBorders>
              <w:top w:val="single" w:sz="4" w:space="0" w:color="000000"/>
              <w:bottom w:val="single" w:sz="34" w:space="0" w:color="FFFFFF"/>
            </w:tcBorders>
            <w:shd w:val="clear" w:color="auto" w:fill="E1E4BB"/>
          </w:tcPr>
          <w:p>
            <w:pPr>
              <w:pStyle w:val="TableParagraph"/>
              <w:spacing w:line="201" w:lineRule="exact"/>
              <w:ind w:right="111"/>
              <w:jc w:val="right"/>
              <w:rPr>
                <w:b/>
                <w:sz w:val="19"/>
              </w:rPr>
            </w:pPr>
            <w:r>
              <w:rPr>
                <w:b/>
                <w:w w:val="95"/>
                <w:sz w:val="19"/>
              </w:rPr>
              <w:t>1,094,947</w:t>
            </w:r>
          </w:p>
        </w:tc>
        <w:tc>
          <w:tcPr>
            <w:tcW w:w="1134" w:type="dxa"/>
            <w:tcBorders>
              <w:top w:val="single" w:sz="4" w:space="0" w:color="000000"/>
              <w:bottom w:val="single" w:sz="34" w:space="0" w:color="FFFFFF"/>
            </w:tcBorders>
            <w:shd w:val="clear" w:color="auto" w:fill="FAF9F9"/>
          </w:tcPr>
          <w:p>
            <w:pPr>
              <w:pStyle w:val="TableParagraph"/>
              <w:spacing w:line="201" w:lineRule="exact"/>
              <w:ind w:right="111"/>
              <w:jc w:val="right"/>
              <w:rPr>
                <w:b/>
                <w:sz w:val="19"/>
              </w:rPr>
            </w:pPr>
            <w:r>
              <w:rPr>
                <w:b/>
                <w:w w:val="95"/>
                <w:sz w:val="19"/>
              </w:rPr>
              <w:t>1,115,061</w:t>
            </w:r>
          </w:p>
        </w:tc>
      </w:tr>
    </w:tbl>
    <w:p>
      <w:pPr>
        <w:spacing w:after="0" w:line="201" w:lineRule="exact"/>
        <w:jc w:val="right"/>
        <w:rPr>
          <w:sz w:val="19"/>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36" w:id="37"/>
      <w:bookmarkEnd w:id="37"/>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b/>
          <w:sz w:val="23"/>
        </w:rPr>
      </w:pPr>
    </w:p>
    <w:p>
      <w:pPr>
        <w:pStyle w:val="Heading1"/>
      </w:pPr>
      <w:r>
        <w:rPr/>
        <w:pict>
          <v:shape style="position:absolute;margin-left:601.348999pt;margin-top:-57.37421pt;width:120.3pt;height:42.55pt;mso-position-horizontal-relative:page;mso-position-vertical-relative:paragraph;z-index:17968"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7992"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801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BodyText"/>
        <w:spacing w:before="3"/>
        <w:rPr>
          <w:sz w:val="19"/>
        </w:rPr>
      </w:pPr>
    </w:p>
    <w:p>
      <w:pPr>
        <w:spacing w:after="0"/>
        <w:rPr>
          <w:sz w:val="19"/>
        </w:rPr>
        <w:sectPr>
          <w:footerReference w:type="default" r:id="rId167"/>
          <w:pgSz w:w="16840" w:h="11910" w:orient="landscape"/>
          <w:pgMar w:footer="774" w:header="0" w:top="0" w:bottom="960" w:left="0" w:right="0"/>
        </w:sectPr>
      </w:pPr>
    </w:p>
    <w:p>
      <w:pPr>
        <w:pStyle w:val="Heading5"/>
      </w:pPr>
      <w:r>
        <w:rPr>
          <w:color w:val="6F2770"/>
        </w:rPr>
        <w:t>Note 34. Notes to the Statement of Cash</w:t>
      </w:r>
      <w:r>
        <w:rPr>
          <w:color w:val="6F2770"/>
          <w:spacing w:val="-64"/>
        </w:rPr>
        <w:t> </w:t>
      </w:r>
      <w:r>
        <w:rPr>
          <w:color w:val="6F2770"/>
        </w:rPr>
        <w:t>Flows</w:t>
      </w:r>
    </w:p>
    <w:p>
      <w:pPr>
        <w:spacing w:before="246"/>
        <w:ind w:left="765" w:right="0" w:firstLine="0"/>
        <w:jc w:val="left"/>
        <w:rPr>
          <w:b/>
          <w:sz w:val="19"/>
        </w:rPr>
      </w:pPr>
      <w:r>
        <w:rPr>
          <w:b/>
          <w:sz w:val="19"/>
        </w:rPr>
        <w:t>Reconciliation of cash</w:t>
      </w:r>
    </w:p>
    <w:p>
      <w:pPr>
        <w:spacing w:line="249" w:lineRule="auto" w:before="10" w:after="50"/>
        <w:ind w:left="765" w:right="-12" w:firstLine="0"/>
        <w:jc w:val="left"/>
        <w:rPr>
          <w:sz w:val="19"/>
        </w:rPr>
      </w:pPr>
      <w:r>
        <w:rPr>
          <w:sz w:val="19"/>
        </w:rPr>
        <w:t>Cash</w:t>
      </w:r>
      <w:r>
        <w:rPr>
          <w:spacing w:val="-16"/>
          <w:sz w:val="19"/>
        </w:rPr>
        <w:t> </w:t>
      </w:r>
      <w:r>
        <w:rPr>
          <w:sz w:val="19"/>
        </w:rPr>
        <w:t>at</w:t>
      </w:r>
      <w:r>
        <w:rPr>
          <w:spacing w:val="-16"/>
          <w:sz w:val="19"/>
        </w:rPr>
        <w:t> </w:t>
      </w:r>
      <w:r>
        <w:rPr>
          <w:sz w:val="19"/>
        </w:rPr>
        <w:t>the</w:t>
      </w:r>
      <w:r>
        <w:rPr>
          <w:spacing w:val="-16"/>
          <w:sz w:val="19"/>
        </w:rPr>
        <w:t> </w:t>
      </w:r>
      <w:r>
        <w:rPr>
          <w:sz w:val="19"/>
        </w:rPr>
        <w:t>end</w:t>
      </w:r>
      <w:r>
        <w:rPr>
          <w:spacing w:val="-15"/>
          <w:sz w:val="19"/>
        </w:rPr>
        <w:t> </w:t>
      </w:r>
      <w:r>
        <w:rPr>
          <w:sz w:val="19"/>
        </w:rPr>
        <w:t>of</w:t>
      </w:r>
      <w:r>
        <w:rPr>
          <w:spacing w:val="-16"/>
          <w:sz w:val="19"/>
        </w:rPr>
        <w:t> </w:t>
      </w:r>
      <w:r>
        <w:rPr>
          <w:sz w:val="19"/>
        </w:rPr>
        <w:t>the</w:t>
      </w:r>
      <w:r>
        <w:rPr>
          <w:spacing w:val="-16"/>
          <w:sz w:val="19"/>
        </w:rPr>
        <w:t> </w:t>
      </w:r>
      <w:r>
        <w:rPr>
          <w:sz w:val="19"/>
        </w:rPr>
        <w:t>financial</w:t>
      </w:r>
      <w:r>
        <w:rPr>
          <w:spacing w:val="-15"/>
          <w:sz w:val="19"/>
        </w:rPr>
        <w:t> </w:t>
      </w:r>
      <w:r>
        <w:rPr>
          <w:sz w:val="19"/>
        </w:rPr>
        <w:t>year</w:t>
      </w:r>
      <w:r>
        <w:rPr>
          <w:spacing w:val="-16"/>
          <w:sz w:val="19"/>
        </w:rPr>
        <w:t> </w:t>
      </w:r>
      <w:r>
        <w:rPr>
          <w:sz w:val="19"/>
        </w:rPr>
        <w:t>as</w:t>
      </w:r>
      <w:r>
        <w:rPr>
          <w:spacing w:val="-16"/>
          <w:sz w:val="19"/>
        </w:rPr>
        <w:t> </w:t>
      </w:r>
      <w:r>
        <w:rPr>
          <w:sz w:val="19"/>
        </w:rPr>
        <w:t>shown</w:t>
      </w:r>
      <w:r>
        <w:rPr>
          <w:spacing w:val="-15"/>
          <w:sz w:val="19"/>
        </w:rPr>
        <w:t> </w:t>
      </w:r>
      <w:r>
        <w:rPr>
          <w:sz w:val="19"/>
        </w:rPr>
        <w:t>in</w:t>
      </w:r>
      <w:r>
        <w:rPr>
          <w:spacing w:val="-16"/>
          <w:sz w:val="19"/>
        </w:rPr>
        <w:t> </w:t>
      </w:r>
      <w:r>
        <w:rPr>
          <w:sz w:val="19"/>
        </w:rPr>
        <w:t>the</w:t>
      </w:r>
      <w:r>
        <w:rPr>
          <w:spacing w:val="-16"/>
          <w:sz w:val="19"/>
        </w:rPr>
        <w:t> </w:t>
      </w:r>
      <w:r>
        <w:rPr>
          <w:sz w:val="19"/>
        </w:rPr>
        <w:t>Statement</w:t>
      </w:r>
      <w:r>
        <w:rPr>
          <w:spacing w:val="-16"/>
          <w:sz w:val="19"/>
        </w:rPr>
        <w:t> </w:t>
      </w:r>
      <w:r>
        <w:rPr>
          <w:sz w:val="19"/>
        </w:rPr>
        <w:t>of</w:t>
      </w:r>
      <w:r>
        <w:rPr>
          <w:spacing w:val="-15"/>
          <w:sz w:val="19"/>
        </w:rPr>
        <w:t> </w:t>
      </w:r>
      <w:r>
        <w:rPr>
          <w:sz w:val="19"/>
        </w:rPr>
        <w:t>Cash</w:t>
      </w:r>
      <w:r>
        <w:rPr>
          <w:spacing w:val="-16"/>
          <w:sz w:val="19"/>
        </w:rPr>
        <w:t> </w:t>
      </w:r>
      <w:r>
        <w:rPr>
          <w:sz w:val="19"/>
        </w:rPr>
        <w:t>Flows</w:t>
      </w:r>
      <w:r>
        <w:rPr>
          <w:spacing w:val="-16"/>
          <w:sz w:val="19"/>
        </w:rPr>
        <w:t> </w:t>
      </w:r>
      <w:r>
        <w:rPr>
          <w:sz w:val="19"/>
        </w:rPr>
        <w:t>is</w:t>
      </w:r>
      <w:r>
        <w:rPr>
          <w:spacing w:val="-15"/>
          <w:sz w:val="19"/>
        </w:rPr>
        <w:t> </w:t>
      </w:r>
      <w:r>
        <w:rPr>
          <w:sz w:val="19"/>
        </w:rPr>
        <w:t>reconciled to</w:t>
      </w:r>
      <w:r>
        <w:rPr>
          <w:spacing w:val="-5"/>
          <w:sz w:val="19"/>
        </w:rPr>
        <w:t> </w:t>
      </w:r>
      <w:r>
        <w:rPr>
          <w:sz w:val="19"/>
        </w:rPr>
        <w:t>the</w:t>
      </w:r>
      <w:r>
        <w:rPr>
          <w:spacing w:val="-4"/>
          <w:sz w:val="19"/>
        </w:rPr>
        <w:t> </w:t>
      </w:r>
      <w:r>
        <w:rPr>
          <w:sz w:val="19"/>
        </w:rPr>
        <w:t>related</w:t>
      </w:r>
      <w:r>
        <w:rPr>
          <w:spacing w:val="-4"/>
          <w:sz w:val="19"/>
        </w:rPr>
        <w:t> </w:t>
      </w:r>
      <w:r>
        <w:rPr>
          <w:sz w:val="19"/>
        </w:rPr>
        <w:t>items</w:t>
      </w:r>
      <w:r>
        <w:rPr>
          <w:spacing w:val="-4"/>
          <w:sz w:val="19"/>
        </w:rPr>
        <w:t> </w:t>
      </w:r>
      <w:r>
        <w:rPr>
          <w:sz w:val="19"/>
        </w:rPr>
        <w:t>in</w:t>
      </w:r>
      <w:r>
        <w:rPr>
          <w:spacing w:val="-4"/>
          <w:sz w:val="19"/>
        </w:rPr>
        <w:t> </w:t>
      </w:r>
      <w:r>
        <w:rPr>
          <w:sz w:val="19"/>
        </w:rPr>
        <w:t>the</w:t>
      </w:r>
      <w:r>
        <w:rPr>
          <w:spacing w:val="-5"/>
          <w:sz w:val="19"/>
        </w:rPr>
        <w:t> </w:t>
      </w:r>
      <w:r>
        <w:rPr>
          <w:sz w:val="19"/>
        </w:rPr>
        <w:t>Statement</w:t>
      </w:r>
      <w:r>
        <w:rPr>
          <w:spacing w:val="-4"/>
          <w:sz w:val="19"/>
        </w:rPr>
        <w:t> </w:t>
      </w:r>
      <w:r>
        <w:rPr>
          <w:sz w:val="19"/>
        </w:rPr>
        <w:t>of</w:t>
      </w:r>
      <w:r>
        <w:rPr>
          <w:spacing w:val="-4"/>
          <w:sz w:val="19"/>
        </w:rPr>
        <w:t> </w:t>
      </w:r>
      <w:r>
        <w:rPr>
          <w:sz w:val="19"/>
        </w:rPr>
        <w:t>Financial</w:t>
      </w:r>
      <w:r>
        <w:rPr>
          <w:spacing w:val="-4"/>
          <w:sz w:val="19"/>
        </w:rPr>
        <w:t> </w:t>
      </w:r>
      <w:r>
        <w:rPr>
          <w:sz w:val="19"/>
        </w:rPr>
        <w:t>Position</w:t>
      </w:r>
      <w:r>
        <w:rPr>
          <w:spacing w:val="-4"/>
          <w:sz w:val="19"/>
        </w:rPr>
        <w:t> </w:t>
      </w:r>
      <w:r>
        <w:rPr>
          <w:sz w:val="19"/>
        </w:rPr>
        <w:t>as</w:t>
      </w:r>
      <w:r>
        <w:rPr>
          <w:spacing w:val="-5"/>
          <w:sz w:val="19"/>
        </w:rPr>
        <w:t> </w:t>
      </w:r>
      <w:r>
        <w:rPr>
          <w:sz w:val="19"/>
        </w:rPr>
        <w:t>follows: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0"/>
              </w:rPr>
            </w:pPr>
            <w:r>
              <w:rPr>
                <w:sz w:val="19"/>
              </w:rPr>
              <w:t>Cash and cash equivalents</w:t>
            </w:r>
            <w:r>
              <w:rPr>
                <w:position w:val="6"/>
                <w:sz w:val="10"/>
              </w:rPr>
              <w:t>(a)</w:t>
            </w:r>
          </w:p>
        </w:tc>
        <w:tc>
          <w:tcPr>
            <w:tcW w:w="1134" w:type="dxa"/>
            <w:vMerge w:val="restart"/>
            <w:tcBorders>
              <w:bottom w:val="single" w:sz="4" w:space="0" w:color="000000"/>
            </w:tcBorders>
            <w:shd w:val="clear" w:color="auto" w:fill="E1E4BB"/>
          </w:tcPr>
          <w:p>
            <w:pPr>
              <w:pStyle w:val="TableParagraph"/>
              <w:spacing w:before="37"/>
              <w:ind w:left="418" w:right="93"/>
              <w:jc w:val="center"/>
              <w:rPr>
                <w:sz w:val="19"/>
              </w:rPr>
            </w:pPr>
            <w:r>
              <w:rPr>
                <w:sz w:val="19"/>
              </w:rPr>
              <w:t>75,890</w:t>
            </w:r>
          </w:p>
          <w:p>
            <w:pPr>
              <w:pStyle w:val="TableParagraph"/>
              <w:spacing w:before="109"/>
              <w:ind w:left="523" w:right="93"/>
              <w:jc w:val="center"/>
              <w:rPr>
                <w:sz w:val="19"/>
              </w:rPr>
            </w:pPr>
            <w:r>
              <w:rPr>
                <w:sz w:val="19"/>
              </w:rPr>
              <w:t>1,735</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70,618</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Restricted cash and cash equivalents</w:t>
            </w:r>
            <w:r>
              <w:rPr>
                <w:position w:val="6"/>
                <w:sz w:val="10"/>
              </w:rPr>
              <w:t>(b)</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3,569</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77,625</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74,187</w:t>
            </w:r>
          </w:p>
        </w:tc>
      </w:tr>
    </w:tbl>
    <w:p>
      <w:pPr>
        <w:pStyle w:val="ListParagraph"/>
        <w:numPr>
          <w:ilvl w:val="0"/>
          <w:numId w:val="14"/>
        </w:numPr>
        <w:tabs>
          <w:tab w:pos="958" w:val="left" w:leader="none"/>
        </w:tabs>
        <w:spacing w:line="240" w:lineRule="auto" w:before="58" w:after="0"/>
        <w:ind w:left="957" w:right="0" w:hanging="192"/>
        <w:jc w:val="left"/>
        <w:rPr>
          <w:sz w:val="15"/>
        </w:rPr>
      </w:pPr>
      <w:r>
        <w:rPr>
          <w:sz w:val="15"/>
        </w:rPr>
        <w:t>See also Note 18 ‘Cash and cash</w:t>
      </w:r>
      <w:r>
        <w:rPr>
          <w:spacing w:val="-6"/>
          <w:sz w:val="15"/>
        </w:rPr>
        <w:t> </w:t>
      </w:r>
      <w:r>
        <w:rPr>
          <w:sz w:val="15"/>
        </w:rPr>
        <w:t>equivalents’.</w:t>
      </w:r>
    </w:p>
    <w:p>
      <w:pPr>
        <w:pStyle w:val="ListParagraph"/>
        <w:numPr>
          <w:ilvl w:val="0"/>
          <w:numId w:val="14"/>
        </w:numPr>
        <w:tabs>
          <w:tab w:pos="966" w:val="left" w:leader="none"/>
        </w:tabs>
        <w:spacing w:line="240" w:lineRule="auto" w:before="28" w:after="0"/>
        <w:ind w:left="965" w:right="0" w:hanging="200"/>
        <w:jc w:val="left"/>
        <w:rPr>
          <w:sz w:val="15"/>
        </w:rPr>
      </w:pPr>
      <w:r>
        <w:rPr>
          <w:sz w:val="15"/>
        </w:rPr>
        <w:t>See also Note 19 ‘Restricted cash and cash</w:t>
      </w:r>
      <w:r>
        <w:rPr>
          <w:spacing w:val="-9"/>
          <w:sz w:val="15"/>
        </w:rPr>
        <w:t> </w:t>
      </w:r>
      <w:r>
        <w:rPr>
          <w:sz w:val="15"/>
        </w:rPr>
        <w:t>equivalents’.</w:t>
      </w:r>
    </w:p>
    <w:p>
      <w:pPr>
        <w:pStyle w:val="BodyText"/>
        <w:rPr>
          <w:sz w:val="18"/>
        </w:rPr>
      </w:pPr>
    </w:p>
    <w:p>
      <w:pPr>
        <w:spacing w:line="249" w:lineRule="auto" w:before="157" w:after="40"/>
        <w:ind w:left="765" w:right="510" w:firstLine="0"/>
        <w:jc w:val="left"/>
        <w:rPr>
          <w:b/>
          <w:sz w:val="19"/>
        </w:rPr>
      </w:pPr>
      <w:r>
        <w:rPr>
          <w:b/>
          <w:sz w:val="19"/>
        </w:rPr>
        <w:t>Reconciliation of net cost of services to net cash flows provided by/(used </w:t>
      </w:r>
      <w:r>
        <w:rPr>
          <w:b/>
          <w:spacing w:val="-5"/>
          <w:sz w:val="19"/>
        </w:rPr>
        <w:t>in) </w:t>
      </w:r>
      <w:r>
        <w:rPr>
          <w:b/>
          <w:sz w:val="19"/>
        </w:rPr>
        <w:t>operating activities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Net cost of services</w:t>
            </w:r>
          </w:p>
        </w:tc>
        <w:tc>
          <w:tcPr>
            <w:tcW w:w="1134" w:type="dxa"/>
            <w:shd w:val="clear" w:color="auto" w:fill="E1E4BB"/>
          </w:tcPr>
          <w:p>
            <w:pPr>
              <w:pStyle w:val="TableParagraph"/>
              <w:spacing w:before="37"/>
              <w:ind w:right="111"/>
              <w:jc w:val="right"/>
              <w:rPr>
                <w:sz w:val="19"/>
              </w:rPr>
            </w:pPr>
            <w:r>
              <w:rPr>
                <w:w w:val="95"/>
                <w:sz w:val="19"/>
              </w:rPr>
              <w:t>(184,722)</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(169,737)</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Non-cash items</w:t>
            </w: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sz w:val="19"/>
              </w:rPr>
              <w:t>Depreciation and amortisation expense </w:t>
            </w:r>
            <w:r>
              <w:rPr>
                <w:i/>
                <w:sz w:val="19"/>
              </w:rPr>
              <w:t>(Note 9)</w:t>
            </w:r>
          </w:p>
        </w:tc>
        <w:tc>
          <w:tcPr>
            <w:tcW w:w="1134" w:type="dxa"/>
            <w:shd w:val="clear" w:color="auto" w:fill="E1E4BB"/>
          </w:tcPr>
          <w:p>
            <w:pPr>
              <w:pStyle w:val="TableParagraph"/>
              <w:ind w:right="111"/>
              <w:jc w:val="right"/>
              <w:rPr>
                <w:sz w:val="19"/>
              </w:rPr>
            </w:pPr>
            <w:r>
              <w:rPr>
                <w:w w:val="95"/>
                <w:sz w:val="19"/>
              </w:rPr>
              <w:t>66,007</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71,513</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sz w:val="19"/>
              </w:rPr>
              <w:t>Services received free of charge </w:t>
            </w:r>
            <w:r>
              <w:rPr>
                <w:i/>
                <w:sz w:val="19"/>
              </w:rPr>
              <w:t>(Note 17)</w:t>
            </w:r>
          </w:p>
        </w:tc>
        <w:tc>
          <w:tcPr>
            <w:tcW w:w="1134" w:type="dxa"/>
            <w:shd w:val="clear" w:color="auto" w:fill="E1E4BB"/>
          </w:tcPr>
          <w:p>
            <w:pPr>
              <w:pStyle w:val="TableParagraph"/>
              <w:ind w:right="111"/>
              <w:jc w:val="right"/>
              <w:rPr>
                <w:sz w:val="19"/>
              </w:rPr>
            </w:pPr>
            <w:r>
              <w:rPr>
                <w:w w:val="95"/>
                <w:sz w:val="19"/>
              </w:rPr>
              <w:t>13,511</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13,303</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sz w:val="19"/>
              </w:rPr>
              <w:t>Loss on revaluation increment </w:t>
            </w:r>
            <w:r>
              <w:rPr>
                <w:i/>
                <w:sz w:val="19"/>
              </w:rPr>
              <w:t>(Note 13)</w:t>
            </w:r>
          </w:p>
        </w:tc>
        <w:tc>
          <w:tcPr>
            <w:tcW w:w="1134" w:type="dxa"/>
            <w:shd w:val="clear" w:color="auto" w:fill="E1E4BB"/>
          </w:tcPr>
          <w:p>
            <w:pPr>
              <w:pStyle w:val="TableParagraph"/>
              <w:ind w:right="111"/>
              <w:jc w:val="right"/>
              <w:rPr>
                <w:sz w:val="19"/>
              </w:rPr>
            </w:pPr>
            <w:r>
              <w:rPr>
                <w:w w:val="95"/>
                <w:sz w:val="19"/>
              </w:rPr>
              <w:t>38,465</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32,024</w:t>
            </w:r>
          </w:p>
        </w:tc>
      </w:tr>
      <w:tr>
        <w:trPr>
          <w:trHeight w:val="254" w:hRule="atLeast"/>
        </w:trPr>
        <w:tc>
          <w:tcPr>
            <w:tcW w:w="5131" w:type="dxa"/>
            <w:tcBorders>
              <w:top w:val="single" w:sz="8" w:space="0" w:color="FFFFFF"/>
            </w:tcBorders>
            <w:shd w:val="clear" w:color="auto" w:fill="F4F4F4"/>
          </w:tcPr>
          <w:p>
            <w:pPr>
              <w:pStyle w:val="TableParagraph"/>
              <w:spacing w:line="202" w:lineRule="exact"/>
              <w:ind w:left="113"/>
              <w:rPr>
                <w:sz w:val="19"/>
              </w:rPr>
            </w:pPr>
            <w:r>
              <w:rPr>
                <w:sz w:val="19"/>
              </w:rPr>
              <w:t>Gain on disposal of property, plant, equipment and vehicles</w:t>
            </w:r>
          </w:p>
        </w:tc>
        <w:tc>
          <w:tcPr>
            <w:tcW w:w="1134" w:type="dxa"/>
            <w:shd w:val="clear" w:color="auto" w:fill="E1E4BB"/>
          </w:tcPr>
          <w:p>
            <w:pPr>
              <w:pStyle w:val="TableParagraph"/>
              <w:spacing w:line="202" w:lineRule="exact"/>
              <w:ind w:right="111"/>
              <w:jc w:val="right"/>
              <w:rPr>
                <w:sz w:val="19"/>
              </w:rPr>
            </w:pPr>
            <w:r>
              <w:rPr>
                <w:w w:val="90"/>
                <w:sz w:val="19"/>
              </w:rPr>
              <w:t>(2,162)</w:t>
            </w:r>
          </w:p>
        </w:tc>
        <w:tc>
          <w:tcPr>
            <w:tcW w:w="1134" w:type="dxa"/>
            <w:tcBorders>
              <w:top w:val="single" w:sz="8" w:space="0" w:color="FFFFFF"/>
            </w:tcBorders>
            <w:shd w:val="clear" w:color="auto" w:fill="F4F4F4"/>
          </w:tcPr>
          <w:p>
            <w:pPr>
              <w:pStyle w:val="TableParagraph"/>
              <w:spacing w:line="202" w:lineRule="exact"/>
              <w:ind w:right="111"/>
              <w:jc w:val="right"/>
              <w:rPr>
                <w:sz w:val="19"/>
              </w:rPr>
            </w:pPr>
            <w:r>
              <w:rPr>
                <w:w w:val="90"/>
                <w:sz w:val="19"/>
              </w:rPr>
              <w:t>(622)</w:t>
            </w:r>
          </w:p>
        </w:tc>
      </w:tr>
      <w:tr>
        <w:trPr>
          <w:trHeight w:val="258" w:hRule="atLeast"/>
        </w:trPr>
        <w:tc>
          <w:tcPr>
            <w:tcW w:w="5131" w:type="dxa"/>
            <w:tcBorders>
              <w:bottom w:val="single" w:sz="8" w:space="0" w:color="FFFFFF"/>
            </w:tcBorders>
            <w:shd w:val="clear" w:color="auto" w:fill="F4F4F4"/>
          </w:tcPr>
          <w:p>
            <w:pPr>
              <w:pStyle w:val="TableParagraph"/>
              <w:spacing w:before="5"/>
              <w:ind w:left="113"/>
              <w:rPr>
                <w:i/>
                <w:sz w:val="19"/>
              </w:rPr>
            </w:pPr>
            <w:r>
              <w:rPr>
                <w:i/>
                <w:sz w:val="19"/>
              </w:rPr>
              <w:t>(Note 15)</w:t>
            </w:r>
          </w:p>
        </w:tc>
        <w:tc>
          <w:tcPr>
            <w:tcW w:w="1134" w:type="dxa"/>
            <w:shd w:val="clear" w:color="auto" w:fill="E1E4BB"/>
          </w:tcPr>
          <w:p>
            <w:pPr>
              <w:pStyle w:val="TableParagraph"/>
              <w:spacing w:before="0"/>
              <w:rPr>
                <w:rFonts w:ascii="Times New Roman"/>
                <w:sz w:val="18"/>
              </w:rPr>
            </w:pPr>
          </w:p>
        </w:tc>
        <w:tc>
          <w:tcPr>
            <w:tcW w:w="1134" w:type="dxa"/>
            <w:tcBorders>
              <w:bottom w:val="single" w:sz="8" w:space="0" w:color="FFFFFF"/>
            </w:tcBorders>
            <w:shd w:val="clear" w:color="auto" w:fill="F4F4F4"/>
          </w:tcPr>
          <w:p>
            <w:pPr>
              <w:pStyle w:val="TableParagraph"/>
              <w:spacing w:before="0"/>
              <w:rPr>
                <w:rFonts w:ascii="Times New Roman"/>
                <w:sz w:val="18"/>
              </w:rPr>
            </w:pPr>
          </w:p>
        </w:tc>
      </w:tr>
    </w:tbl>
    <w:p>
      <w:pPr>
        <w:spacing w:line="249" w:lineRule="auto" w:before="138"/>
        <w:ind w:left="385" w:right="1278" w:firstLine="0"/>
        <w:jc w:val="left"/>
        <w:rPr>
          <w:b/>
          <w:sz w:val="19"/>
        </w:rPr>
      </w:pPr>
      <w:r>
        <w:rPr/>
        <w:br w:type="column"/>
      </w:r>
      <w:r>
        <w:rPr>
          <w:b/>
          <w:sz w:val="19"/>
        </w:rPr>
        <w:t>Reconciliation of net cost of services to net cash flows provided by/(used </w:t>
      </w:r>
      <w:r>
        <w:rPr>
          <w:b/>
          <w:spacing w:val="-5"/>
          <w:sz w:val="19"/>
        </w:rPr>
        <w:t>in) </w:t>
      </w:r>
      <w:r>
        <w:rPr>
          <w:b/>
          <w:sz w:val="19"/>
        </w:rPr>
        <w:t>operating activities</w:t>
      </w:r>
    </w:p>
    <w:p>
      <w:pPr>
        <w:pStyle w:val="BodyText"/>
        <w:spacing w:before="6"/>
        <w:rPr>
          <w:b/>
          <w:sz w:val="3"/>
        </w:rPr>
      </w:pP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28" w:hRule="atLeast"/>
        </w:trPr>
        <w:tc>
          <w:tcPr>
            <w:tcW w:w="6265" w:type="dxa"/>
            <w:gridSpan w:val="2"/>
            <w:tcBorders>
              <w:bottom w:val="single" w:sz="8" w:space="0" w:color="FFFFFF"/>
            </w:tcBorders>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tcBorders>
              <w:bottom w:val="single" w:sz="8" w:space="0" w:color="FFFFFF"/>
            </w:tcBorders>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(Increase)/decrease in assets</w:t>
            </w:r>
          </w:p>
        </w:tc>
        <w:tc>
          <w:tcPr>
            <w:tcW w:w="1134" w:type="dxa"/>
            <w:tcBorders>
              <w:top w:val="single" w:sz="8" w:space="0" w:color="FFFFFF"/>
            </w:tcBorders>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Current receivables</w:t>
            </w:r>
            <w:r>
              <w:rPr>
                <w:position w:val="6"/>
                <w:sz w:val="10"/>
              </w:rPr>
              <w:t>(a)</w:t>
            </w:r>
          </w:p>
        </w:tc>
        <w:tc>
          <w:tcPr>
            <w:tcW w:w="1134" w:type="dxa"/>
            <w:shd w:val="clear" w:color="auto" w:fill="E1E4BB"/>
          </w:tcPr>
          <w:p>
            <w:pPr>
              <w:pStyle w:val="TableParagraph"/>
              <w:ind w:right="111"/>
              <w:jc w:val="right"/>
              <w:rPr>
                <w:sz w:val="19"/>
              </w:rPr>
            </w:pPr>
            <w:r>
              <w:rPr>
                <w:w w:val="95"/>
                <w:sz w:val="19"/>
              </w:rPr>
              <w:t>45,791</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(52,667)</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 current assets</w:t>
            </w:r>
          </w:p>
        </w:tc>
        <w:tc>
          <w:tcPr>
            <w:tcW w:w="1134" w:type="dxa"/>
            <w:shd w:val="clear" w:color="auto" w:fill="E1E4BB"/>
          </w:tcPr>
          <w:p>
            <w:pPr>
              <w:pStyle w:val="TableParagraph"/>
              <w:ind w:right="111"/>
              <w:jc w:val="right"/>
              <w:rPr>
                <w:sz w:val="19"/>
              </w:rPr>
            </w:pPr>
            <w:r>
              <w:rPr>
                <w:w w:val="95"/>
                <w:sz w:val="19"/>
              </w:rPr>
              <w:t>64</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85"/>
                <w:sz w:val="19"/>
              </w:rPr>
              <w:t>(91)</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6F2770"/>
                <w:sz w:val="19"/>
              </w:rPr>
              <w:t>Increase/(decrease) in liabilities</w:t>
            </w: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Current payables</w:t>
            </w:r>
            <w:r>
              <w:rPr>
                <w:position w:val="6"/>
                <w:sz w:val="10"/>
              </w:rPr>
              <w:t>(a)</w:t>
            </w:r>
          </w:p>
        </w:tc>
        <w:tc>
          <w:tcPr>
            <w:tcW w:w="1134" w:type="dxa"/>
            <w:shd w:val="clear" w:color="auto" w:fill="E1E4BB"/>
          </w:tcPr>
          <w:p>
            <w:pPr>
              <w:pStyle w:val="TableParagraph"/>
              <w:ind w:right="111"/>
              <w:jc w:val="right"/>
              <w:rPr>
                <w:sz w:val="19"/>
              </w:rPr>
            </w:pPr>
            <w:r>
              <w:rPr>
                <w:w w:val="95"/>
                <w:sz w:val="19"/>
              </w:rPr>
              <w:t>(41,434)</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14,508</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Accrued salaries</w:t>
            </w:r>
          </w:p>
        </w:tc>
        <w:tc>
          <w:tcPr>
            <w:tcW w:w="1134" w:type="dxa"/>
            <w:shd w:val="clear" w:color="auto" w:fill="E1E4BB"/>
          </w:tcPr>
          <w:p>
            <w:pPr>
              <w:pStyle w:val="TableParagraph"/>
              <w:ind w:right="111"/>
              <w:jc w:val="right"/>
              <w:rPr>
                <w:sz w:val="19"/>
              </w:rPr>
            </w:pPr>
            <w:r>
              <w:rPr>
                <w:w w:val="80"/>
                <w:sz w:val="19"/>
              </w:rPr>
              <w:t>(7)</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375</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Unearned revenues</w:t>
            </w:r>
          </w:p>
        </w:tc>
        <w:tc>
          <w:tcPr>
            <w:tcW w:w="1134" w:type="dxa"/>
            <w:shd w:val="clear" w:color="auto" w:fill="E1E4BB"/>
          </w:tcPr>
          <w:p>
            <w:pPr>
              <w:pStyle w:val="TableParagraph"/>
              <w:ind w:right="111"/>
              <w:jc w:val="right"/>
              <w:rPr>
                <w:sz w:val="19"/>
              </w:rPr>
            </w:pPr>
            <w:r>
              <w:rPr>
                <w:w w:val="90"/>
                <w:sz w:val="19"/>
              </w:rPr>
              <w:t>(385)</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654</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Employee benefits</w:t>
            </w:r>
          </w:p>
        </w:tc>
        <w:tc>
          <w:tcPr>
            <w:tcW w:w="1134" w:type="dxa"/>
            <w:shd w:val="clear" w:color="auto" w:fill="E1E4BB"/>
          </w:tcPr>
          <w:p>
            <w:pPr>
              <w:pStyle w:val="TableParagraph"/>
              <w:ind w:right="111"/>
              <w:jc w:val="right"/>
              <w:rPr>
                <w:sz w:val="19"/>
              </w:rPr>
            </w:pPr>
            <w:r>
              <w:rPr>
                <w:w w:val="90"/>
                <w:sz w:val="19"/>
              </w:rPr>
              <w:t>(2,591)</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380</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Net GST receipts/(payments)</w:t>
            </w:r>
            <w:r>
              <w:rPr>
                <w:position w:val="6"/>
                <w:sz w:val="10"/>
              </w:rPr>
              <w:t>(b)</w:t>
            </w:r>
          </w:p>
        </w:tc>
        <w:tc>
          <w:tcPr>
            <w:tcW w:w="1134" w:type="dxa"/>
            <w:shd w:val="clear" w:color="auto" w:fill="E1E4BB"/>
          </w:tcPr>
          <w:p>
            <w:pPr>
              <w:pStyle w:val="TableParagraph"/>
              <w:ind w:right="111"/>
              <w:jc w:val="right"/>
              <w:rPr>
                <w:sz w:val="19"/>
              </w:rPr>
            </w:pPr>
            <w:r>
              <w:rPr>
                <w:w w:val="95"/>
                <w:sz w:val="19"/>
              </w:rPr>
              <w:t>1,668</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1,355</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Change in GST in receivables/payables</w:t>
            </w:r>
            <w:r>
              <w:rPr>
                <w:position w:val="6"/>
                <w:sz w:val="10"/>
              </w:rPr>
              <w:t>(c)</w:t>
            </w:r>
          </w:p>
        </w:tc>
        <w:tc>
          <w:tcPr>
            <w:tcW w:w="1134" w:type="dxa"/>
            <w:tcBorders>
              <w:bottom w:val="single" w:sz="4" w:space="0" w:color="FFFFFF"/>
            </w:tcBorders>
            <w:shd w:val="clear" w:color="auto" w:fill="E1E4BB"/>
          </w:tcPr>
          <w:p>
            <w:pPr>
              <w:pStyle w:val="TableParagraph"/>
              <w:ind w:right="111"/>
              <w:jc w:val="right"/>
              <w:rPr>
                <w:sz w:val="19"/>
              </w:rPr>
            </w:pPr>
            <w:r>
              <w:rPr>
                <w:w w:val="90"/>
                <w:sz w:val="19"/>
              </w:rPr>
              <w:t>(2,345)</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0"/>
                <w:sz w:val="19"/>
              </w:rPr>
              <w:t>(3,019)</w:t>
            </w:r>
          </w:p>
        </w:tc>
      </w:tr>
      <w:tr>
        <w:trPr>
          <w:trHeight w:val="287"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Net cash provided by/(used in) operating activities</w:t>
            </w:r>
          </w:p>
        </w:tc>
        <w:tc>
          <w:tcPr>
            <w:tcW w:w="1134" w:type="dxa"/>
            <w:tcBorders>
              <w:top w:val="single" w:sz="4" w:space="0" w:color="FFFFFF"/>
              <w:bottom w:val="single" w:sz="24" w:space="0" w:color="FFFFFF"/>
            </w:tcBorders>
            <w:shd w:val="clear" w:color="auto" w:fill="E1E4BB"/>
          </w:tcPr>
          <w:p>
            <w:pPr>
              <w:pStyle w:val="TableParagraph"/>
              <w:ind w:right="111"/>
              <w:jc w:val="right"/>
              <w:rPr>
                <w:b/>
                <w:sz w:val="19"/>
              </w:rPr>
            </w:pPr>
            <w:r>
              <w:rPr>
                <w:b/>
                <w:w w:val="95"/>
                <w:sz w:val="19"/>
              </w:rPr>
              <w:t>(68,140)</w:t>
            </w:r>
          </w:p>
        </w:tc>
        <w:tc>
          <w:tcPr>
            <w:tcW w:w="1134" w:type="dxa"/>
            <w:tcBorders>
              <w:top w:val="single" w:sz="4" w:space="0" w:color="000000"/>
              <w:bottom w:val="single" w:sz="24" w:space="0" w:color="FFFFFF"/>
            </w:tcBorders>
            <w:shd w:val="clear" w:color="auto" w:fill="FAF9F9"/>
          </w:tcPr>
          <w:p>
            <w:pPr>
              <w:pStyle w:val="TableParagraph"/>
              <w:ind w:right="111"/>
              <w:jc w:val="right"/>
              <w:rPr>
                <w:b/>
                <w:sz w:val="19"/>
              </w:rPr>
            </w:pPr>
            <w:r>
              <w:rPr>
                <w:b/>
                <w:w w:val="95"/>
                <w:sz w:val="19"/>
              </w:rPr>
              <w:t>(92,024)</w:t>
            </w:r>
          </w:p>
        </w:tc>
      </w:tr>
    </w:tbl>
    <w:p>
      <w:pPr>
        <w:pStyle w:val="ListParagraph"/>
        <w:numPr>
          <w:ilvl w:val="0"/>
          <w:numId w:val="15"/>
        </w:numPr>
        <w:tabs>
          <w:tab w:pos="578" w:val="left" w:leader="none"/>
        </w:tabs>
        <w:spacing w:line="278" w:lineRule="auto" w:before="60" w:after="0"/>
        <w:ind w:left="385" w:right="792" w:firstLine="0"/>
        <w:jc w:val="left"/>
        <w:rPr>
          <w:sz w:val="15"/>
        </w:rPr>
      </w:pPr>
      <w:r>
        <w:rPr>
          <w:sz w:val="15"/>
        </w:rPr>
        <w:t>Note</w:t>
      </w:r>
      <w:r>
        <w:rPr>
          <w:spacing w:val="-20"/>
          <w:sz w:val="15"/>
        </w:rPr>
        <w:t> </w:t>
      </w:r>
      <w:r>
        <w:rPr>
          <w:sz w:val="15"/>
        </w:rPr>
        <w:t>that</w:t>
      </w:r>
      <w:r>
        <w:rPr>
          <w:spacing w:val="-20"/>
          <w:sz w:val="15"/>
        </w:rPr>
        <w:t> </w:t>
      </w:r>
      <w:r>
        <w:rPr>
          <w:sz w:val="15"/>
        </w:rPr>
        <w:t>the</w:t>
      </w:r>
      <w:r>
        <w:rPr>
          <w:spacing w:val="-19"/>
          <w:sz w:val="15"/>
        </w:rPr>
        <w:t> </w:t>
      </w:r>
      <w:r>
        <w:rPr>
          <w:sz w:val="15"/>
        </w:rPr>
        <w:t>Australian</w:t>
      </w:r>
      <w:r>
        <w:rPr>
          <w:spacing w:val="-20"/>
          <w:sz w:val="15"/>
        </w:rPr>
        <w:t> </w:t>
      </w:r>
      <w:r>
        <w:rPr>
          <w:spacing w:val="-3"/>
          <w:sz w:val="15"/>
        </w:rPr>
        <w:t>Taxation</w:t>
      </w:r>
      <w:r>
        <w:rPr>
          <w:spacing w:val="-19"/>
          <w:sz w:val="15"/>
        </w:rPr>
        <w:t> </w:t>
      </w:r>
      <w:r>
        <w:rPr>
          <w:sz w:val="15"/>
        </w:rPr>
        <w:t>Office</w:t>
      </w:r>
      <w:r>
        <w:rPr>
          <w:spacing w:val="-20"/>
          <w:sz w:val="15"/>
        </w:rPr>
        <w:t> </w:t>
      </w:r>
      <w:r>
        <w:rPr>
          <w:spacing w:val="-3"/>
          <w:sz w:val="15"/>
        </w:rPr>
        <w:t>(ATO)</w:t>
      </w:r>
      <w:r>
        <w:rPr>
          <w:spacing w:val="-20"/>
          <w:sz w:val="15"/>
        </w:rPr>
        <w:t> </w:t>
      </w:r>
      <w:r>
        <w:rPr>
          <w:sz w:val="15"/>
        </w:rPr>
        <w:t>receivable/payable</w:t>
      </w:r>
      <w:r>
        <w:rPr>
          <w:spacing w:val="-19"/>
          <w:sz w:val="15"/>
        </w:rPr>
        <w:t> </w:t>
      </w:r>
      <w:r>
        <w:rPr>
          <w:sz w:val="15"/>
        </w:rPr>
        <w:t>in</w:t>
      </w:r>
      <w:r>
        <w:rPr>
          <w:spacing w:val="-20"/>
          <w:sz w:val="15"/>
        </w:rPr>
        <w:t> </w:t>
      </w:r>
      <w:r>
        <w:rPr>
          <w:sz w:val="15"/>
        </w:rPr>
        <w:t>respect</w:t>
      </w:r>
      <w:r>
        <w:rPr>
          <w:spacing w:val="-19"/>
          <w:sz w:val="15"/>
        </w:rPr>
        <w:t> </w:t>
      </w:r>
      <w:r>
        <w:rPr>
          <w:sz w:val="15"/>
        </w:rPr>
        <w:t>of</w:t>
      </w:r>
      <w:r>
        <w:rPr>
          <w:spacing w:val="-20"/>
          <w:sz w:val="15"/>
        </w:rPr>
        <w:t> </w:t>
      </w:r>
      <w:r>
        <w:rPr>
          <w:sz w:val="15"/>
        </w:rPr>
        <w:t>GST</w:t>
      </w:r>
      <w:r>
        <w:rPr>
          <w:spacing w:val="-20"/>
          <w:sz w:val="15"/>
        </w:rPr>
        <w:t> </w:t>
      </w:r>
      <w:r>
        <w:rPr>
          <w:sz w:val="15"/>
        </w:rPr>
        <w:t>and</w:t>
      </w:r>
      <w:r>
        <w:rPr>
          <w:spacing w:val="-19"/>
          <w:sz w:val="15"/>
        </w:rPr>
        <w:t> </w:t>
      </w:r>
      <w:r>
        <w:rPr>
          <w:sz w:val="15"/>
        </w:rPr>
        <w:t>the</w:t>
      </w:r>
      <w:r>
        <w:rPr>
          <w:spacing w:val="-20"/>
          <w:sz w:val="15"/>
        </w:rPr>
        <w:t> </w:t>
      </w:r>
      <w:r>
        <w:rPr>
          <w:sz w:val="15"/>
        </w:rPr>
        <w:t>receivable/payable</w:t>
      </w:r>
      <w:r>
        <w:rPr>
          <w:spacing w:val="-19"/>
          <w:sz w:val="15"/>
        </w:rPr>
        <w:t> </w:t>
      </w:r>
      <w:r>
        <w:rPr>
          <w:spacing w:val="-8"/>
          <w:sz w:val="15"/>
        </w:rPr>
        <w:t>in </w:t>
      </w:r>
      <w:r>
        <w:rPr>
          <w:sz w:val="15"/>
        </w:rPr>
        <w:t>respect</w:t>
      </w:r>
      <w:r>
        <w:rPr>
          <w:spacing w:val="-8"/>
          <w:sz w:val="15"/>
        </w:rPr>
        <w:t> </w:t>
      </w:r>
      <w:r>
        <w:rPr>
          <w:sz w:val="15"/>
        </w:rPr>
        <w:t>of</w:t>
      </w:r>
      <w:r>
        <w:rPr>
          <w:spacing w:val="-8"/>
          <w:sz w:val="15"/>
        </w:rPr>
        <w:t> </w:t>
      </w:r>
      <w:r>
        <w:rPr>
          <w:sz w:val="15"/>
        </w:rPr>
        <w:t>the</w:t>
      </w:r>
      <w:r>
        <w:rPr>
          <w:spacing w:val="-8"/>
          <w:sz w:val="15"/>
        </w:rPr>
        <w:t> </w:t>
      </w:r>
      <w:r>
        <w:rPr>
          <w:sz w:val="15"/>
        </w:rPr>
        <w:t>sale/purchase</w:t>
      </w:r>
      <w:r>
        <w:rPr>
          <w:spacing w:val="-8"/>
          <w:sz w:val="15"/>
        </w:rPr>
        <w:t> </w:t>
      </w:r>
      <w:r>
        <w:rPr>
          <w:sz w:val="15"/>
        </w:rPr>
        <w:t>of</w:t>
      </w:r>
      <w:r>
        <w:rPr>
          <w:spacing w:val="-8"/>
          <w:sz w:val="15"/>
        </w:rPr>
        <w:t> </w:t>
      </w:r>
      <w:r>
        <w:rPr>
          <w:sz w:val="15"/>
        </w:rPr>
        <w:t>non-current</w:t>
      </w:r>
      <w:r>
        <w:rPr>
          <w:spacing w:val="-8"/>
          <w:sz w:val="15"/>
        </w:rPr>
        <w:t> </w:t>
      </w:r>
      <w:r>
        <w:rPr>
          <w:sz w:val="15"/>
        </w:rPr>
        <w:t>assets</w:t>
      </w:r>
      <w:r>
        <w:rPr>
          <w:spacing w:val="-7"/>
          <w:sz w:val="15"/>
        </w:rPr>
        <w:t> </w:t>
      </w:r>
      <w:r>
        <w:rPr>
          <w:sz w:val="15"/>
        </w:rPr>
        <w:t>are</w:t>
      </w:r>
      <w:r>
        <w:rPr>
          <w:spacing w:val="-8"/>
          <w:sz w:val="15"/>
        </w:rPr>
        <w:t> </w:t>
      </w:r>
      <w:r>
        <w:rPr>
          <w:sz w:val="15"/>
        </w:rPr>
        <w:t>not</w:t>
      </w:r>
      <w:r>
        <w:rPr>
          <w:spacing w:val="-8"/>
          <w:sz w:val="15"/>
        </w:rPr>
        <w:t> </w:t>
      </w:r>
      <w:r>
        <w:rPr>
          <w:sz w:val="15"/>
        </w:rPr>
        <w:t>included</w:t>
      </w:r>
      <w:r>
        <w:rPr>
          <w:spacing w:val="-8"/>
          <w:sz w:val="15"/>
        </w:rPr>
        <w:t> </w:t>
      </w:r>
      <w:r>
        <w:rPr>
          <w:sz w:val="15"/>
        </w:rPr>
        <w:t>in</w:t>
      </w:r>
      <w:r>
        <w:rPr>
          <w:spacing w:val="-8"/>
          <w:sz w:val="15"/>
        </w:rPr>
        <w:t> </w:t>
      </w:r>
      <w:r>
        <w:rPr>
          <w:sz w:val="15"/>
        </w:rPr>
        <w:t>these</w:t>
      </w:r>
      <w:r>
        <w:rPr>
          <w:spacing w:val="-8"/>
          <w:sz w:val="15"/>
        </w:rPr>
        <w:t> </w:t>
      </w:r>
      <w:r>
        <w:rPr>
          <w:sz w:val="15"/>
        </w:rPr>
        <w:t>items</w:t>
      </w:r>
      <w:r>
        <w:rPr>
          <w:spacing w:val="-8"/>
          <w:sz w:val="15"/>
        </w:rPr>
        <w:t> </w:t>
      </w:r>
      <w:r>
        <w:rPr>
          <w:sz w:val="15"/>
        </w:rPr>
        <w:t>as</w:t>
      </w:r>
      <w:r>
        <w:rPr>
          <w:spacing w:val="-7"/>
          <w:sz w:val="15"/>
        </w:rPr>
        <w:t> </w:t>
      </w:r>
      <w:r>
        <w:rPr>
          <w:sz w:val="15"/>
        </w:rPr>
        <w:t>they</w:t>
      </w:r>
      <w:r>
        <w:rPr>
          <w:spacing w:val="-8"/>
          <w:sz w:val="15"/>
        </w:rPr>
        <w:t> </w:t>
      </w:r>
      <w:r>
        <w:rPr>
          <w:sz w:val="15"/>
        </w:rPr>
        <w:t>do</w:t>
      </w:r>
      <w:r>
        <w:rPr>
          <w:spacing w:val="-8"/>
          <w:sz w:val="15"/>
        </w:rPr>
        <w:t> </w:t>
      </w:r>
      <w:r>
        <w:rPr>
          <w:sz w:val="15"/>
        </w:rPr>
        <w:t>not</w:t>
      </w:r>
      <w:r>
        <w:rPr>
          <w:spacing w:val="-8"/>
          <w:sz w:val="15"/>
        </w:rPr>
        <w:t> </w:t>
      </w:r>
      <w:r>
        <w:rPr>
          <w:sz w:val="15"/>
        </w:rPr>
        <w:t>form</w:t>
      </w:r>
      <w:r>
        <w:rPr>
          <w:spacing w:val="-8"/>
          <w:sz w:val="15"/>
        </w:rPr>
        <w:t> </w:t>
      </w:r>
      <w:r>
        <w:rPr>
          <w:sz w:val="15"/>
        </w:rPr>
        <w:t>part</w:t>
      </w:r>
      <w:r>
        <w:rPr>
          <w:spacing w:val="-8"/>
          <w:sz w:val="15"/>
        </w:rPr>
        <w:t> </w:t>
      </w:r>
      <w:r>
        <w:rPr>
          <w:sz w:val="15"/>
        </w:rPr>
        <w:t>of</w:t>
      </w:r>
      <w:r>
        <w:rPr>
          <w:spacing w:val="-7"/>
          <w:sz w:val="15"/>
        </w:rPr>
        <w:t> </w:t>
      </w:r>
      <w:r>
        <w:rPr>
          <w:sz w:val="15"/>
        </w:rPr>
        <w:t>the reconciling</w:t>
      </w:r>
      <w:r>
        <w:rPr>
          <w:spacing w:val="-1"/>
          <w:sz w:val="15"/>
        </w:rPr>
        <w:t> </w:t>
      </w:r>
      <w:r>
        <w:rPr>
          <w:sz w:val="15"/>
        </w:rPr>
        <w:t>items.</w:t>
      </w:r>
    </w:p>
    <w:p>
      <w:pPr>
        <w:pStyle w:val="ListParagraph"/>
        <w:numPr>
          <w:ilvl w:val="0"/>
          <w:numId w:val="15"/>
        </w:numPr>
        <w:tabs>
          <w:tab w:pos="586" w:val="left" w:leader="none"/>
        </w:tabs>
        <w:spacing w:line="172" w:lineRule="exact" w:before="0" w:after="0"/>
        <w:ind w:left="585" w:right="0" w:hanging="200"/>
        <w:jc w:val="left"/>
        <w:rPr>
          <w:sz w:val="15"/>
        </w:rPr>
      </w:pPr>
      <w:r>
        <w:rPr>
          <w:sz w:val="15"/>
        </w:rPr>
        <w:t>This is the net GST paid/received, i.e. cash</w:t>
      </w:r>
      <w:r>
        <w:rPr>
          <w:spacing w:val="-9"/>
          <w:sz w:val="15"/>
        </w:rPr>
        <w:t> </w:t>
      </w:r>
      <w:r>
        <w:rPr>
          <w:sz w:val="15"/>
        </w:rPr>
        <w:t>transactions.</w:t>
      </w:r>
    </w:p>
    <w:p>
      <w:pPr>
        <w:pStyle w:val="ListParagraph"/>
        <w:numPr>
          <w:ilvl w:val="0"/>
          <w:numId w:val="15"/>
        </w:numPr>
        <w:tabs>
          <w:tab w:pos="578" w:val="left" w:leader="none"/>
        </w:tabs>
        <w:spacing w:line="240" w:lineRule="auto" w:before="28" w:after="0"/>
        <w:ind w:left="577" w:right="0" w:hanging="192"/>
        <w:jc w:val="left"/>
        <w:rPr>
          <w:sz w:val="15"/>
        </w:rPr>
      </w:pPr>
      <w:r>
        <w:rPr>
          <w:sz w:val="15"/>
        </w:rPr>
        <w:t>This reverses out the GST in receivables and</w:t>
      </w:r>
      <w:r>
        <w:rPr>
          <w:spacing w:val="-12"/>
          <w:sz w:val="15"/>
        </w:rPr>
        <w:t> </w:t>
      </w:r>
      <w:r>
        <w:rPr>
          <w:sz w:val="15"/>
        </w:rPr>
        <w:t>payables.</w:t>
      </w:r>
    </w:p>
    <w:p>
      <w:pPr>
        <w:pStyle w:val="BodyText"/>
        <w:rPr>
          <w:sz w:val="18"/>
        </w:rPr>
      </w:pPr>
    </w:p>
    <w:p>
      <w:pPr>
        <w:spacing w:line="249" w:lineRule="auto" w:before="115"/>
        <w:ind w:left="385" w:right="971" w:firstLine="0"/>
        <w:jc w:val="left"/>
        <w:rPr>
          <w:sz w:val="19"/>
        </w:rPr>
      </w:pPr>
      <w:r>
        <w:rPr>
          <w:sz w:val="19"/>
        </w:rPr>
        <w:t>The mandatory application of AASB 2016-2 </w:t>
      </w:r>
      <w:r>
        <w:rPr>
          <w:i/>
          <w:sz w:val="19"/>
        </w:rPr>
        <w:t>Amendments to Australian Accounting </w:t>
      </w:r>
      <w:r>
        <w:rPr>
          <w:i/>
          <w:sz w:val="19"/>
        </w:rPr>
        <w:t>Standards</w:t>
      </w:r>
      <w:r>
        <w:rPr>
          <w:i/>
          <w:spacing w:val="-19"/>
          <w:sz w:val="19"/>
        </w:rPr>
        <w:t> </w:t>
      </w:r>
      <w:r>
        <w:rPr>
          <w:i/>
          <w:sz w:val="19"/>
        </w:rPr>
        <w:t>-</w:t>
      </w:r>
      <w:r>
        <w:rPr>
          <w:i/>
          <w:spacing w:val="-18"/>
          <w:sz w:val="19"/>
        </w:rPr>
        <w:t> </w:t>
      </w:r>
      <w:r>
        <w:rPr>
          <w:i/>
          <w:sz w:val="19"/>
        </w:rPr>
        <w:t>Disclosure</w:t>
      </w:r>
      <w:r>
        <w:rPr>
          <w:i/>
          <w:spacing w:val="-19"/>
          <w:sz w:val="19"/>
        </w:rPr>
        <w:t> </w:t>
      </w:r>
      <w:r>
        <w:rPr>
          <w:i/>
          <w:sz w:val="19"/>
        </w:rPr>
        <w:t>Initiative:</w:t>
      </w:r>
      <w:r>
        <w:rPr>
          <w:i/>
          <w:spacing w:val="-18"/>
          <w:sz w:val="19"/>
        </w:rPr>
        <w:t> </w:t>
      </w:r>
      <w:r>
        <w:rPr>
          <w:i/>
          <w:sz w:val="19"/>
        </w:rPr>
        <w:t>Amendments</w:t>
      </w:r>
      <w:r>
        <w:rPr>
          <w:i/>
          <w:spacing w:val="-19"/>
          <w:sz w:val="19"/>
        </w:rPr>
        <w:t> </w:t>
      </w:r>
      <w:r>
        <w:rPr>
          <w:i/>
          <w:sz w:val="19"/>
        </w:rPr>
        <w:t>to</w:t>
      </w:r>
      <w:r>
        <w:rPr>
          <w:i/>
          <w:spacing w:val="-18"/>
          <w:sz w:val="19"/>
        </w:rPr>
        <w:t> </w:t>
      </w:r>
      <w:r>
        <w:rPr>
          <w:i/>
          <w:sz w:val="19"/>
        </w:rPr>
        <w:t>AASB</w:t>
      </w:r>
      <w:r>
        <w:rPr>
          <w:i/>
          <w:spacing w:val="-19"/>
          <w:sz w:val="19"/>
        </w:rPr>
        <w:t> </w:t>
      </w:r>
      <w:r>
        <w:rPr>
          <w:i/>
          <w:sz w:val="19"/>
        </w:rPr>
        <w:t>107</w:t>
      </w:r>
      <w:r>
        <w:rPr>
          <w:i/>
          <w:spacing w:val="-18"/>
          <w:sz w:val="19"/>
        </w:rPr>
        <w:t> </w:t>
      </w:r>
      <w:r>
        <w:rPr>
          <w:sz w:val="19"/>
        </w:rPr>
        <w:t>imposed</w:t>
      </w:r>
      <w:r>
        <w:rPr>
          <w:spacing w:val="-18"/>
          <w:sz w:val="19"/>
        </w:rPr>
        <w:t> </w:t>
      </w:r>
      <w:r>
        <w:rPr>
          <w:sz w:val="19"/>
        </w:rPr>
        <w:t>disclosure</w:t>
      </w:r>
      <w:r>
        <w:rPr>
          <w:spacing w:val="-19"/>
          <w:sz w:val="19"/>
        </w:rPr>
        <w:t> </w:t>
      </w:r>
      <w:r>
        <w:rPr>
          <w:spacing w:val="-3"/>
          <w:sz w:val="19"/>
        </w:rPr>
        <w:t>impacts </w:t>
      </w:r>
      <w:r>
        <w:rPr>
          <w:spacing w:val="-4"/>
          <w:sz w:val="19"/>
        </w:rPr>
        <w:t>only. </w:t>
      </w:r>
      <w:r>
        <w:rPr>
          <w:sz w:val="19"/>
        </w:rPr>
        <w:t>The Department is not exposed to changes in liabilities arising from financing activities,</w:t>
      </w:r>
      <w:r>
        <w:rPr>
          <w:spacing w:val="-9"/>
          <w:sz w:val="19"/>
        </w:rPr>
        <w:t> </w:t>
      </w:r>
      <w:r>
        <w:rPr>
          <w:sz w:val="19"/>
        </w:rPr>
        <w:t>including</w:t>
      </w:r>
      <w:r>
        <w:rPr>
          <w:spacing w:val="-8"/>
          <w:sz w:val="19"/>
        </w:rPr>
        <w:t> </w:t>
      </w:r>
      <w:r>
        <w:rPr>
          <w:sz w:val="19"/>
        </w:rPr>
        <w:t>both</w:t>
      </w:r>
      <w:r>
        <w:rPr>
          <w:spacing w:val="-9"/>
          <w:sz w:val="19"/>
        </w:rPr>
        <w:t> </w:t>
      </w:r>
      <w:r>
        <w:rPr>
          <w:sz w:val="19"/>
        </w:rPr>
        <w:t>changes</w:t>
      </w:r>
      <w:r>
        <w:rPr>
          <w:spacing w:val="-8"/>
          <w:sz w:val="19"/>
        </w:rPr>
        <w:t> </w:t>
      </w:r>
      <w:r>
        <w:rPr>
          <w:sz w:val="19"/>
        </w:rPr>
        <w:t>arising</w:t>
      </w:r>
      <w:r>
        <w:rPr>
          <w:spacing w:val="-8"/>
          <w:sz w:val="19"/>
        </w:rPr>
        <w:t> </w:t>
      </w:r>
      <w:r>
        <w:rPr>
          <w:sz w:val="19"/>
        </w:rPr>
        <w:t>from</w:t>
      </w:r>
      <w:r>
        <w:rPr>
          <w:spacing w:val="-9"/>
          <w:sz w:val="19"/>
        </w:rPr>
        <w:t> </w:t>
      </w:r>
      <w:r>
        <w:rPr>
          <w:sz w:val="19"/>
        </w:rPr>
        <w:t>cash</w:t>
      </w:r>
      <w:r>
        <w:rPr>
          <w:spacing w:val="-8"/>
          <w:sz w:val="19"/>
        </w:rPr>
        <w:t> </w:t>
      </w:r>
      <w:r>
        <w:rPr>
          <w:sz w:val="19"/>
        </w:rPr>
        <w:t>flows</w:t>
      </w:r>
      <w:r>
        <w:rPr>
          <w:spacing w:val="-8"/>
          <w:sz w:val="19"/>
        </w:rPr>
        <w:t> </w:t>
      </w:r>
      <w:r>
        <w:rPr>
          <w:sz w:val="19"/>
        </w:rPr>
        <w:t>and</w:t>
      </w:r>
      <w:r>
        <w:rPr>
          <w:spacing w:val="-9"/>
          <w:sz w:val="19"/>
        </w:rPr>
        <w:t> </w:t>
      </w:r>
      <w:r>
        <w:rPr>
          <w:sz w:val="19"/>
        </w:rPr>
        <w:t>non-cash</w:t>
      </w:r>
      <w:r>
        <w:rPr>
          <w:spacing w:val="-8"/>
          <w:sz w:val="19"/>
        </w:rPr>
        <w:t> </w:t>
      </w:r>
      <w:r>
        <w:rPr>
          <w:sz w:val="19"/>
        </w:rPr>
        <w:t>changes.</w:t>
      </w:r>
    </w:p>
    <w:p>
      <w:pPr>
        <w:spacing w:after="0" w:line="249" w:lineRule="auto"/>
        <w:jc w:val="left"/>
        <w:rPr>
          <w:sz w:val="19"/>
        </w:rPr>
        <w:sectPr>
          <w:type w:val="continuous"/>
          <w:pgSz w:w="16840" w:h="11910" w:orient="landscape"/>
          <w:pgMar w:top="1100" w:bottom="280" w:left="0" w:right="0"/>
          <w:cols w:num="2" w:equalWidth="0">
            <w:col w:w="8206" w:space="40"/>
            <w:col w:w="8594"/>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ind w:left="785"/>
      </w:pPr>
      <w:r>
        <w:rPr/>
        <w:pict>
          <v:shape style="position:absolute;margin-left:601.348999pt;margin-top:-57.37421pt;width:120.3pt;height:42.55pt;mso-position-horizontal-relative:page;mso-position-vertical-relative:paragraph;z-index:1813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8160"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818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Heading5"/>
        <w:spacing w:before="257"/>
        <w:ind w:left="785"/>
      </w:pPr>
      <w:r>
        <w:rPr/>
        <w:pict>
          <v:shape style="position:absolute;margin-left:39.2677pt;margin-top:41.188202pt;width:369.95pt;height:375.15pt;mso-position-horizontal-relative:page;mso-position-vertical-relative:paragraph;z-index:182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6265" w:type="dxa"/>
                        <w:gridSpan w:val="2"/>
                        <w:tcBorders>
                          <w:bottom w:val="single" w:sz="4" w:space="0" w:color="6F2770"/>
                        </w:tcBorders>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tcBorders>
                          <w:bottom w:val="single" w:sz="4" w:space="0" w:color="6F2770"/>
                        </w:tcBorders>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518" w:hRule="atLeast"/>
                    </w:trPr>
                    <w:tc>
                      <w:tcPr>
                        <w:tcW w:w="7399" w:type="dxa"/>
                        <w:gridSpan w:val="3"/>
                        <w:tcBorders>
                          <w:top w:val="single" w:sz="4" w:space="0" w:color="6F2770"/>
                        </w:tcBorders>
                        <w:shd w:val="clear" w:color="auto" w:fill="F4F4F4"/>
                      </w:tcPr>
                      <w:p>
                        <w:pPr>
                          <w:pStyle w:val="TableParagraph"/>
                          <w:spacing w:line="249" w:lineRule="auto" w:before="37"/>
                          <w:ind w:left="113" w:right="114"/>
                          <w:rPr>
                            <w:sz w:val="19"/>
                          </w:rPr>
                        </w:pPr>
                        <w:r>
                          <w:rPr>
                            <w:sz w:val="19"/>
                          </w:rPr>
                          <w:t>During</w:t>
                        </w:r>
                        <w:r>
                          <w:rPr>
                            <w:spacing w:val="-18"/>
                            <w:sz w:val="19"/>
                          </w:rPr>
                          <w:t> </w:t>
                        </w:r>
                        <w:r>
                          <w:rPr>
                            <w:sz w:val="19"/>
                          </w:rPr>
                          <w:t>the</w:t>
                        </w:r>
                        <w:r>
                          <w:rPr>
                            <w:spacing w:val="-18"/>
                            <w:sz w:val="19"/>
                          </w:rPr>
                          <w:t> </w:t>
                        </w:r>
                        <w:r>
                          <w:rPr>
                            <w:sz w:val="19"/>
                          </w:rPr>
                          <w:t>year</w:t>
                        </w:r>
                        <w:r>
                          <w:rPr>
                            <w:spacing w:val="-17"/>
                            <w:sz w:val="19"/>
                          </w:rPr>
                          <w:t> </w:t>
                        </w:r>
                        <w:r>
                          <w:rPr>
                            <w:sz w:val="19"/>
                          </w:rPr>
                          <w:t>the</w:t>
                        </w:r>
                        <w:r>
                          <w:rPr>
                            <w:spacing w:val="-18"/>
                            <w:sz w:val="19"/>
                          </w:rPr>
                          <w:t> </w:t>
                        </w:r>
                        <w:r>
                          <w:rPr>
                            <w:sz w:val="19"/>
                          </w:rPr>
                          <w:t>following</w:t>
                        </w:r>
                        <w:r>
                          <w:rPr>
                            <w:spacing w:val="-17"/>
                            <w:sz w:val="19"/>
                          </w:rPr>
                          <w:t> </w:t>
                        </w:r>
                        <w:r>
                          <w:rPr>
                            <w:sz w:val="19"/>
                          </w:rPr>
                          <w:t>services</w:t>
                        </w:r>
                        <w:r>
                          <w:rPr>
                            <w:spacing w:val="-18"/>
                            <w:sz w:val="19"/>
                          </w:rPr>
                          <w:t> </w:t>
                        </w:r>
                        <w:r>
                          <w:rPr>
                            <w:sz w:val="19"/>
                          </w:rPr>
                          <w:t>were</w:t>
                        </w:r>
                        <w:r>
                          <w:rPr>
                            <w:spacing w:val="-18"/>
                            <w:sz w:val="19"/>
                          </w:rPr>
                          <w:t> </w:t>
                        </w:r>
                        <w:r>
                          <w:rPr>
                            <w:sz w:val="19"/>
                          </w:rPr>
                          <w:t>provided</w:t>
                        </w:r>
                        <w:r>
                          <w:rPr>
                            <w:spacing w:val="-17"/>
                            <w:sz w:val="19"/>
                          </w:rPr>
                          <w:t> </w:t>
                        </w:r>
                        <w:r>
                          <w:rPr>
                            <w:sz w:val="19"/>
                          </w:rPr>
                          <w:t>to</w:t>
                        </w:r>
                        <w:r>
                          <w:rPr>
                            <w:spacing w:val="-18"/>
                            <w:sz w:val="19"/>
                          </w:rPr>
                          <w:t> </w:t>
                        </w:r>
                        <w:r>
                          <w:rPr>
                            <w:sz w:val="19"/>
                          </w:rPr>
                          <w:t>other</w:t>
                        </w:r>
                        <w:r>
                          <w:rPr>
                            <w:spacing w:val="-17"/>
                            <w:sz w:val="19"/>
                          </w:rPr>
                          <w:t> </w:t>
                        </w:r>
                        <w:r>
                          <w:rPr>
                            <w:sz w:val="19"/>
                          </w:rPr>
                          <w:t>agencies</w:t>
                        </w:r>
                        <w:r>
                          <w:rPr>
                            <w:spacing w:val="-18"/>
                            <w:sz w:val="19"/>
                          </w:rPr>
                          <w:t> </w:t>
                        </w:r>
                        <w:r>
                          <w:rPr>
                            <w:sz w:val="19"/>
                          </w:rPr>
                          <w:t>free</w:t>
                        </w:r>
                        <w:r>
                          <w:rPr>
                            <w:spacing w:val="-18"/>
                            <w:sz w:val="19"/>
                          </w:rPr>
                          <w:t> </w:t>
                        </w:r>
                        <w:r>
                          <w:rPr>
                            <w:sz w:val="19"/>
                          </w:rPr>
                          <w:t>of</w:t>
                        </w:r>
                        <w:r>
                          <w:rPr>
                            <w:spacing w:val="-17"/>
                            <w:sz w:val="19"/>
                          </w:rPr>
                          <w:t> </w:t>
                        </w:r>
                        <w:r>
                          <w:rPr>
                            <w:sz w:val="19"/>
                          </w:rPr>
                          <w:t>charge</w:t>
                        </w:r>
                        <w:r>
                          <w:rPr>
                            <w:spacing w:val="-18"/>
                            <w:sz w:val="19"/>
                          </w:rPr>
                          <w:t> </w:t>
                        </w:r>
                        <w:r>
                          <w:rPr>
                            <w:spacing w:val="-5"/>
                            <w:sz w:val="19"/>
                          </w:rPr>
                          <w:t>for </w:t>
                        </w:r>
                        <w:r>
                          <w:rPr>
                            <w:sz w:val="19"/>
                          </w:rPr>
                          <w:t>functions outside the normal operations of the</w:t>
                        </w:r>
                        <w:r>
                          <w:rPr>
                            <w:spacing w:val="-17"/>
                            <w:sz w:val="19"/>
                          </w:rPr>
                          <w:t> </w:t>
                        </w:r>
                        <w:r>
                          <w:rPr>
                            <w:sz w:val="19"/>
                          </w:rPr>
                          <w:t>Department:</w:t>
                        </w:r>
                      </w:p>
                    </w:tc>
                  </w:tr>
                  <w:tr>
                    <w:trPr>
                      <w:trHeight w:val="311" w:hRule="atLeast"/>
                    </w:trPr>
                    <w:tc>
                      <w:tcPr>
                        <w:tcW w:w="5131" w:type="dxa"/>
                        <w:shd w:val="clear" w:color="auto" w:fill="FAF9F9"/>
                      </w:tcPr>
                      <w:p>
                        <w:pPr>
                          <w:pStyle w:val="TableParagraph"/>
                          <w:spacing w:before="52"/>
                          <w:ind w:left="113"/>
                          <w:rPr>
                            <w:sz w:val="19"/>
                          </w:rPr>
                        </w:pPr>
                        <w:r>
                          <w:rPr>
                            <w:sz w:val="19"/>
                          </w:rPr>
                          <w:t>Department of the Premier and Cabinet</w:t>
                        </w:r>
                      </w:p>
                    </w:tc>
                    <w:tc>
                      <w:tcPr>
                        <w:tcW w:w="1134" w:type="dxa"/>
                        <w:shd w:val="clear" w:color="auto" w:fill="E1E4BB"/>
                      </w:tcPr>
                      <w:p>
                        <w:pPr>
                          <w:pStyle w:val="TableParagraph"/>
                          <w:spacing w:before="52"/>
                          <w:ind w:right="111"/>
                          <w:jc w:val="right"/>
                          <w:rPr>
                            <w:sz w:val="19"/>
                          </w:rPr>
                        </w:pPr>
                        <w:r>
                          <w:rPr>
                            <w:w w:val="95"/>
                            <w:sz w:val="19"/>
                          </w:rPr>
                          <w:t>3,295</w:t>
                        </w:r>
                      </w:p>
                    </w:tc>
                    <w:tc>
                      <w:tcPr>
                        <w:tcW w:w="1134" w:type="dxa"/>
                        <w:shd w:val="clear" w:color="auto" w:fill="FAF9F9"/>
                      </w:tcPr>
                      <w:p>
                        <w:pPr>
                          <w:pStyle w:val="TableParagraph"/>
                          <w:spacing w:before="52"/>
                          <w:ind w:right="111"/>
                          <w:jc w:val="right"/>
                          <w:rPr>
                            <w:sz w:val="19"/>
                          </w:rPr>
                        </w:pPr>
                        <w:r>
                          <w:rPr>
                            <w:w w:val="95"/>
                            <w:sz w:val="19"/>
                          </w:rPr>
                          <w:t>3,607</w:t>
                        </w:r>
                      </w:p>
                    </w:tc>
                  </w:tr>
                  <w:tr>
                    <w:trPr>
                      <w:trHeight w:val="299" w:hRule="atLeast"/>
                    </w:trPr>
                    <w:tc>
                      <w:tcPr>
                        <w:tcW w:w="5131" w:type="dxa"/>
                        <w:tcBorders>
                          <w:bottom w:val="single" w:sz="8" w:space="0" w:color="FFFFFF"/>
                        </w:tcBorders>
                        <w:shd w:val="clear" w:color="auto" w:fill="FAF9F9"/>
                      </w:tcPr>
                      <w:p>
                        <w:pPr>
                          <w:pStyle w:val="TableParagraph"/>
                          <w:spacing w:before="46"/>
                          <w:ind w:left="113"/>
                          <w:rPr>
                            <w:sz w:val="10"/>
                          </w:rPr>
                        </w:pPr>
                        <w:r>
                          <w:rPr>
                            <w:sz w:val="19"/>
                          </w:rPr>
                          <w:t>Department of the Attorney General</w:t>
                        </w:r>
                        <w:r>
                          <w:rPr>
                            <w:position w:val="6"/>
                            <w:sz w:val="10"/>
                          </w:rPr>
                          <w:t>(a)</w:t>
                        </w:r>
                      </w:p>
                    </w:tc>
                    <w:tc>
                      <w:tcPr>
                        <w:tcW w:w="1134" w:type="dxa"/>
                        <w:shd w:val="clear" w:color="auto" w:fill="E1E4BB"/>
                      </w:tcPr>
                      <w:p>
                        <w:pPr>
                          <w:pStyle w:val="TableParagraph"/>
                          <w:spacing w:before="46"/>
                          <w:ind w:right="111"/>
                          <w:jc w:val="right"/>
                          <w:rPr>
                            <w:sz w:val="19"/>
                          </w:rPr>
                        </w:pPr>
                        <w:r>
                          <w:rPr>
                            <w:w w:val="111"/>
                            <w:sz w:val="19"/>
                          </w:rPr>
                          <w:t>-</w:t>
                        </w:r>
                      </w:p>
                    </w:tc>
                    <w:tc>
                      <w:tcPr>
                        <w:tcW w:w="1134" w:type="dxa"/>
                        <w:tcBorders>
                          <w:bottom w:val="single" w:sz="8" w:space="0" w:color="FFFFFF"/>
                        </w:tcBorders>
                        <w:shd w:val="clear" w:color="auto" w:fill="FAF9F9"/>
                      </w:tcPr>
                      <w:p>
                        <w:pPr>
                          <w:pStyle w:val="TableParagraph"/>
                          <w:spacing w:before="46"/>
                          <w:ind w:right="111"/>
                          <w:jc w:val="right"/>
                          <w:rPr>
                            <w:sz w:val="19"/>
                          </w:rPr>
                        </w:pPr>
                        <w:r>
                          <w:rPr>
                            <w:w w:val="95"/>
                            <w:sz w:val="19"/>
                          </w:rPr>
                          <w:t>1,865</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Transport</w:t>
                        </w:r>
                      </w:p>
                    </w:tc>
                    <w:tc>
                      <w:tcPr>
                        <w:tcW w:w="1134" w:type="dxa"/>
                        <w:shd w:val="clear" w:color="auto" w:fill="E1E4BB"/>
                      </w:tcPr>
                      <w:p>
                        <w:pPr>
                          <w:pStyle w:val="TableParagraph"/>
                          <w:ind w:right="111"/>
                          <w:jc w:val="right"/>
                          <w:rPr>
                            <w:sz w:val="19"/>
                          </w:rPr>
                        </w:pPr>
                        <w:r>
                          <w:rPr>
                            <w:w w:val="95"/>
                            <w:sz w:val="19"/>
                          </w:rPr>
                          <w:t>645</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671</w:t>
                        </w:r>
                      </w:p>
                    </w:tc>
                  </w:tr>
                  <w:tr>
                    <w:trPr>
                      <w:trHeight w:val="280"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0"/>
                          </w:rPr>
                        </w:pPr>
                        <w:r>
                          <w:rPr>
                            <w:sz w:val="19"/>
                          </w:rPr>
                          <w:t>Department of Planning</w:t>
                        </w:r>
                        <w:r>
                          <w:rPr>
                            <w:position w:val="6"/>
                            <w:sz w:val="10"/>
                          </w:rPr>
                          <w:t>(b)</w:t>
                        </w:r>
                      </w:p>
                    </w:tc>
                    <w:tc>
                      <w:tcPr>
                        <w:tcW w:w="1134" w:type="dxa"/>
                        <w:shd w:val="clear" w:color="auto" w:fill="E1E4BB"/>
                      </w:tcPr>
                      <w:p>
                        <w:pPr>
                          <w:pStyle w:val="TableParagraph"/>
                          <w:spacing w:before="27"/>
                          <w:ind w:right="111"/>
                          <w:jc w:val="right"/>
                          <w:rPr>
                            <w:sz w:val="19"/>
                          </w:rPr>
                        </w:pPr>
                        <w:r>
                          <w:rPr>
                            <w:w w:val="111"/>
                            <w:sz w:val="19"/>
                          </w:rPr>
                          <w:t>-</w:t>
                        </w:r>
                      </w:p>
                    </w:tc>
                    <w:tc>
                      <w:tcPr>
                        <w:tcW w:w="1134" w:type="dxa"/>
                        <w:tcBorders>
                          <w:top w:val="single" w:sz="12" w:space="0" w:color="FFFFFF"/>
                          <w:bottom w:val="single" w:sz="8" w:space="0" w:color="FFFFFF"/>
                        </w:tcBorders>
                        <w:shd w:val="clear" w:color="auto" w:fill="F4F4F4"/>
                      </w:tcPr>
                      <w:p>
                        <w:pPr>
                          <w:pStyle w:val="TableParagraph"/>
                          <w:spacing w:before="27"/>
                          <w:ind w:right="111"/>
                          <w:jc w:val="right"/>
                          <w:rPr>
                            <w:sz w:val="19"/>
                          </w:rPr>
                        </w:pPr>
                        <w:r>
                          <w:rPr>
                            <w:w w:val="95"/>
                            <w:sz w:val="19"/>
                          </w:rPr>
                          <w:t>628</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Department of Commerce</w:t>
                        </w:r>
                        <w:r>
                          <w:rPr>
                            <w:position w:val="6"/>
                            <w:sz w:val="10"/>
                          </w:rPr>
                          <w:t>(c)</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539</w:t>
                        </w:r>
                      </w:p>
                    </w:tc>
                  </w:tr>
                  <w:tr>
                    <w:trPr>
                      <w:trHeight w:val="275"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0"/>
                          </w:rPr>
                        </w:pPr>
                        <w:r>
                          <w:rPr>
                            <w:sz w:val="19"/>
                          </w:rPr>
                          <w:t>Department of Aboriginal Affairs</w:t>
                        </w:r>
                        <w:r>
                          <w:rPr>
                            <w:position w:val="6"/>
                            <w:sz w:val="10"/>
                          </w:rPr>
                          <w:t>(b)</w:t>
                        </w:r>
                      </w:p>
                    </w:tc>
                    <w:tc>
                      <w:tcPr>
                        <w:tcW w:w="1134" w:type="dxa"/>
                        <w:shd w:val="clear" w:color="auto" w:fill="E1E4BB"/>
                      </w:tcPr>
                      <w:p>
                        <w:pPr>
                          <w:pStyle w:val="TableParagraph"/>
                          <w:spacing w:before="27"/>
                          <w:ind w:right="111"/>
                          <w:jc w:val="right"/>
                          <w:rPr>
                            <w:sz w:val="19"/>
                          </w:rPr>
                        </w:pPr>
                        <w:r>
                          <w:rPr>
                            <w:w w:val="111"/>
                            <w:sz w:val="19"/>
                          </w:rPr>
                          <w:t>-</w:t>
                        </w:r>
                      </w:p>
                    </w:tc>
                    <w:tc>
                      <w:tcPr>
                        <w:tcW w:w="1134" w:type="dxa"/>
                        <w:tcBorders>
                          <w:top w:val="single" w:sz="12" w:space="0" w:color="FFFFFF"/>
                          <w:bottom w:val="single" w:sz="12" w:space="0" w:color="FFFFFF"/>
                        </w:tcBorders>
                        <w:shd w:val="clear" w:color="auto" w:fill="F4F4F4"/>
                      </w:tcPr>
                      <w:p>
                        <w:pPr>
                          <w:pStyle w:val="TableParagraph"/>
                          <w:spacing w:before="27"/>
                          <w:ind w:right="111"/>
                          <w:jc w:val="right"/>
                          <w:rPr>
                            <w:sz w:val="19"/>
                          </w:rPr>
                        </w:pPr>
                        <w:r>
                          <w:rPr>
                            <w:w w:val="95"/>
                            <w:sz w:val="19"/>
                          </w:rPr>
                          <w:t>482</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spacing w:before="27"/>
                          <w:ind w:left="113"/>
                          <w:rPr>
                            <w:sz w:val="10"/>
                          </w:rPr>
                        </w:pPr>
                        <w:r>
                          <w:rPr>
                            <w:sz w:val="19"/>
                          </w:rPr>
                          <w:t>Department of Culture and the Arts</w:t>
                        </w:r>
                        <w:r>
                          <w:rPr>
                            <w:position w:val="6"/>
                            <w:sz w:val="10"/>
                          </w:rPr>
                          <w:t>(d)</w:t>
                        </w:r>
                      </w:p>
                    </w:tc>
                    <w:tc>
                      <w:tcPr>
                        <w:tcW w:w="1134" w:type="dxa"/>
                        <w:shd w:val="clear" w:color="auto" w:fill="E1E4BB"/>
                      </w:tcPr>
                      <w:p>
                        <w:pPr>
                          <w:pStyle w:val="TableParagraph"/>
                          <w:spacing w:before="27"/>
                          <w:ind w:right="111"/>
                          <w:jc w:val="right"/>
                          <w:rPr>
                            <w:sz w:val="19"/>
                          </w:rPr>
                        </w:pPr>
                        <w:r>
                          <w:rPr>
                            <w:w w:val="111"/>
                            <w:sz w:val="19"/>
                          </w:rPr>
                          <w:t>-</w:t>
                        </w:r>
                      </w:p>
                    </w:tc>
                    <w:tc>
                      <w:tcPr>
                        <w:tcW w:w="1134" w:type="dxa"/>
                        <w:tcBorders>
                          <w:top w:val="single" w:sz="12" w:space="0" w:color="FFFFFF"/>
                          <w:bottom w:val="single" w:sz="8" w:space="0" w:color="FFFFFF"/>
                        </w:tcBorders>
                        <w:shd w:val="clear" w:color="auto" w:fill="FAF9F9"/>
                      </w:tcPr>
                      <w:p>
                        <w:pPr>
                          <w:pStyle w:val="TableParagraph"/>
                          <w:spacing w:before="27"/>
                          <w:ind w:right="111"/>
                          <w:jc w:val="right"/>
                          <w:rPr>
                            <w:sz w:val="19"/>
                          </w:rPr>
                        </w:pPr>
                        <w:r>
                          <w:rPr>
                            <w:w w:val="95"/>
                            <w:sz w:val="19"/>
                          </w:rPr>
                          <w:t>465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Office of the Auditor General</w:t>
                        </w:r>
                      </w:p>
                    </w:tc>
                    <w:tc>
                      <w:tcPr>
                        <w:tcW w:w="1134" w:type="dxa"/>
                        <w:shd w:val="clear" w:color="auto" w:fill="E1E4BB"/>
                      </w:tcPr>
                      <w:p>
                        <w:pPr>
                          <w:pStyle w:val="TableParagraph"/>
                          <w:ind w:right="111"/>
                          <w:jc w:val="right"/>
                          <w:rPr>
                            <w:sz w:val="19"/>
                          </w:rPr>
                        </w:pPr>
                        <w:r>
                          <w:rPr>
                            <w:w w:val="95"/>
                            <w:sz w:val="19"/>
                          </w:rPr>
                          <w:t>408</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457</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Disability Services Commission</w:t>
                        </w:r>
                        <w:r>
                          <w:rPr>
                            <w:position w:val="6"/>
                            <w:sz w:val="10"/>
                          </w:rPr>
                          <w:t>(e)</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427</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Department for Child Protection and Family Support</w:t>
                        </w:r>
                        <w:r>
                          <w:rPr>
                            <w:position w:val="6"/>
                            <w:sz w:val="10"/>
                          </w:rPr>
                          <w:t>(e)</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370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Training &amp; Workforce Development</w:t>
                        </w:r>
                      </w:p>
                    </w:tc>
                    <w:tc>
                      <w:tcPr>
                        <w:tcW w:w="1134" w:type="dxa"/>
                        <w:shd w:val="clear" w:color="auto" w:fill="E1E4BB"/>
                      </w:tcPr>
                      <w:p>
                        <w:pPr>
                          <w:pStyle w:val="TableParagraph"/>
                          <w:ind w:right="111"/>
                          <w:jc w:val="right"/>
                          <w:rPr>
                            <w:sz w:val="19"/>
                          </w:rPr>
                        </w:pPr>
                        <w:r>
                          <w:rPr>
                            <w:w w:val="95"/>
                            <w:sz w:val="19"/>
                          </w:rPr>
                          <w:t>376</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359</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Public Sector Commission</w:t>
                        </w:r>
                      </w:p>
                    </w:tc>
                    <w:tc>
                      <w:tcPr>
                        <w:tcW w:w="1134" w:type="dxa"/>
                        <w:shd w:val="clear" w:color="auto" w:fill="E1E4BB"/>
                      </w:tcPr>
                      <w:p>
                        <w:pPr>
                          <w:pStyle w:val="TableParagraph"/>
                          <w:ind w:right="111"/>
                          <w:jc w:val="right"/>
                          <w:rPr>
                            <w:sz w:val="19"/>
                          </w:rPr>
                        </w:pPr>
                        <w:r>
                          <w:rPr>
                            <w:w w:val="95"/>
                            <w:sz w:val="19"/>
                          </w:rPr>
                          <w:t>453</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353</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Department of Local Government &amp; Communities</w:t>
                        </w:r>
                        <w:r>
                          <w:rPr>
                            <w:position w:val="6"/>
                            <w:sz w:val="10"/>
                          </w:rPr>
                          <w:t>(d)</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351</w:t>
                        </w:r>
                      </w:p>
                    </w:tc>
                  </w:tr>
                  <w:tr>
                    <w:trPr>
                      <w:trHeight w:val="280"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Western Australia Police</w:t>
                        </w:r>
                      </w:p>
                    </w:tc>
                    <w:tc>
                      <w:tcPr>
                        <w:tcW w:w="1134" w:type="dxa"/>
                        <w:shd w:val="clear" w:color="auto" w:fill="E1E4BB"/>
                      </w:tcPr>
                      <w:p>
                        <w:pPr>
                          <w:pStyle w:val="TableParagraph"/>
                          <w:spacing w:before="27"/>
                          <w:ind w:right="111"/>
                          <w:jc w:val="right"/>
                          <w:rPr>
                            <w:sz w:val="19"/>
                          </w:rPr>
                        </w:pPr>
                        <w:r>
                          <w:rPr>
                            <w:w w:val="95"/>
                            <w:sz w:val="19"/>
                          </w:rPr>
                          <w:t>376</w:t>
                        </w:r>
                      </w:p>
                    </w:tc>
                    <w:tc>
                      <w:tcPr>
                        <w:tcW w:w="1134" w:type="dxa"/>
                        <w:tcBorders>
                          <w:top w:val="single" w:sz="12" w:space="0" w:color="FFFFFF"/>
                          <w:bottom w:val="single" w:sz="8" w:space="0" w:color="FFFFFF"/>
                        </w:tcBorders>
                        <w:shd w:val="clear" w:color="auto" w:fill="F4F4F4"/>
                      </w:tcPr>
                      <w:p>
                        <w:pPr>
                          <w:pStyle w:val="TableParagraph"/>
                          <w:spacing w:before="27"/>
                          <w:ind w:right="111"/>
                          <w:jc w:val="right"/>
                          <w:rPr>
                            <w:sz w:val="19"/>
                          </w:rPr>
                        </w:pPr>
                        <w:r>
                          <w:rPr>
                            <w:w w:val="95"/>
                            <w:sz w:val="19"/>
                          </w:rPr>
                          <w:t>342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Treasury</w:t>
                        </w:r>
                      </w:p>
                    </w:tc>
                    <w:tc>
                      <w:tcPr>
                        <w:tcW w:w="1134" w:type="dxa"/>
                        <w:shd w:val="clear" w:color="auto" w:fill="E1E4BB"/>
                      </w:tcPr>
                      <w:p>
                        <w:pPr>
                          <w:pStyle w:val="TableParagraph"/>
                          <w:ind w:right="111"/>
                          <w:jc w:val="right"/>
                          <w:rPr>
                            <w:sz w:val="19"/>
                          </w:rPr>
                        </w:pPr>
                        <w:r>
                          <w:rPr>
                            <w:w w:val="95"/>
                            <w:sz w:val="19"/>
                          </w:rPr>
                          <w:t>423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341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Department of Corrective Services</w:t>
                        </w:r>
                        <w:r>
                          <w:rPr>
                            <w:position w:val="6"/>
                            <w:sz w:val="10"/>
                          </w:rPr>
                          <w:t>(a)</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332</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The Ombudsman</w:t>
                        </w:r>
                      </w:p>
                    </w:tc>
                    <w:tc>
                      <w:tcPr>
                        <w:tcW w:w="1134" w:type="dxa"/>
                        <w:shd w:val="clear" w:color="auto" w:fill="E1E4BB"/>
                      </w:tcPr>
                      <w:p>
                        <w:pPr>
                          <w:pStyle w:val="TableParagraph"/>
                          <w:ind w:right="111"/>
                          <w:jc w:val="right"/>
                          <w:rPr>
                            <w:sz w:val="19"/>
                          </w:rPr>
                        </w:pPr>
                        <w:r>
                          <w:rPr>
                            <w:w w:val="95"/>
                            <w:sz w:val="19"/>
                          </w:rPr>
                          <w:t>281</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315</w:t>
                        </w:r>
                      </w:p>
                    </w:tc>
                  </w:tr>
                  <w:tr>
                    <w:trPr>
                      <w:trHeight w:val="280"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Department of Health</w:t>
                        </w:r>
                      </w:p>
                    </w:tc>
                    <w:tc>
                      <w:tcPr>
                        <w:tcW w:w="1134" w:type="dxa"/>
                        <w:shd w:val="clear" w:color="auto" w:fill="E1E4BB"/>
                      </w:tcPr>
                      <w:p>
                        <w:pPr>
                          <w:pStyle w:val="TableParagraph"/>
                          <w:spacing w:before="27"/>
                          <w:ind w:right="111"/>
                          <w:jc w:val="right"/>
                          <w:rPr>
                            <w:sz w:val="19"/>
                          </w:rPr>
                        </w:pPr>
                        <w:r>
                          <w:rPr>
                            <w:w w:val="95"/>
                            <w:sz w:val="19"/>
                          </w:rPr>
                          <w:t>334</w:t>
                        </w:r>
                      </w:p>
                    </w:tc>
                    <w:tc>
                      <w:tcPr>
                        <w:tcW w:w="1134" w:type="dxa"/>
                        <w:tcBorders>
                          <w:top w:val="single" w:sz="12" w:space="0" w:color="FFFFFF"/>
                          <w:bottom w:val="single" w:sz="8" w:space="0" w:color="FFFFFF"/>
                        </w:tcBorders>
                        <w:shd w:val="clear" w:color="auto" w:fill="F4F4F4"/>
                      </w:tcPr>
                      <w:p>
                        <w:pPr>
                          <w:pStyle w:val="TableParagraph"/>
                          <w:spacing w:before="27"/>
                          <w:ind w:right="111"/>
                          <w:jc w:val="right"/>
                          <w:rPr>
                            <w:sz w:val="19"/>
                          </w:rPr>
                        </w:pPr>
                        <w:r>
                          <w:rPr>
                            <w:w w:val="95"/>
                            <w:sz w:val="19"/>
                          </w:rPr>
                          <w:t>313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Department of Justice</w:t>
                        </w:r>
                        <w:r>
                          <w:rPr>
                            <w:position w:val="6"/>
                            <w:sz w:val="10"/>
                          </w:rPr>
                          <w:t>(a)</w:t>
                        </w:r>
                      </w:p>
                    </w:tc>
                    <w:tc>
                      <w:tcPr>
                        <w:tcW w:w="1134" w:type="dxa"/>
                        <w:shd w:val="clear" w:color="auto" w:fill="E1E4BB"/>
                      </w:tcPr>
                      <w:p>
                        <w:pPr>
                          <w:pStyle w:val="TableParagraph"/>
                          <w:ind w:right="111"/>
                          <w:jc w:val="right"/>
                          <w:rPr>
                            <w:sz w:val="19"/>
                          </w:rPr>
                        </w:pPr>
                        <w:r>
                          <w:rPr>
                            <w:w w:val="95"/>
                            <w:sz w:val="19"/>
                          </w:rPr>
                          <w:t>2,218</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Department of Planning, Lands and Heritage</w:t>
                        </w:r>
                        <w:r>
                          <w:rPr>
                            <w:position w:val="6"/>
                            <w:sz w:val="10"/>
                          </w:rPr>
                          <w:t>(b)</w:t>
                        </w:r>
                      </w:p>
                    </w:tc>
                    <w:tc>
                      <w:tcPr>
                        <w:tcW w:w="1134" w:type="dxa"/>
                        <w:shd w:val="clear" w:color="auto" w:fill="E1E4BB"/>
                      </w:tcPr>
                      <w:p>
                        <w:pPr>
                          <w:pStyle w:val="TableParagraph"/>
                          <w:ind w:right="111"/>
                          <w:jc w:val="right"/>
                          <w:rPr>
                            <w:sz w:val="19"/>
                          </w:rPr>
                        </w:pPr>
                        <w:r>
                          <w:rPr>
                            <w:w w:val="95"/>
                            <w:sz w:val="19"/>
                          </w:rPr>
                          <w:t>1,460</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Department of Communities</w:t>
                        </w:r>
                        <w:r>
                          <w:rPr>
                            <w:position w:val="6"/>
                            <w:sz w:val="10"/>
                          </w:rPr>
                          <w:t>(e)</w:t>
                        </w:r>
                      </w:p>
                    </w:tc>
                    <w:tc>
                      <w:tcPr>
                        <w:tcW w:w="1134" w:type="dxa"/>
                        <w:shd w:val="clear" w:color="auto" w:fill="E1E4BB"/>
                      </w:tcPr>
                      <w:p>
                        <w:pPr>
                          <w:pStyle w:val="TableParagraph"/>
                          <w:ind w:right="111"/>
                          <w:jc w:val="right"/>
                          <w:rPr>
                            <w:sz w:val="19"/>
                          </w:rPr>
                        </w:pPr>
                        <w:r>
                          <w:rPr>
                            <w:w w:val="95"/>
                            <w:sz w:val="19"/>
                          </w:rPr>
                          <w:t>1,588</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111"/>
                            <w:sz w:val="19"/>
                          </w:rPr>
                          <w:t>-</w:t>
                        </w:r>
                      </w:p>
                    </w:tc>
                  </w:tr>
                </w:tbl>
                <w:p>
                  <w:pPr>
                    <w:pStyle w:val="BodyText"/>
                  </w:pPr>
                </w:p>
              </w:txbxContent>
            </v:textbox>
            <w10:wrap type="none"/>
          </v:shape>
        </w:pict>
      </w:r>
      <w:r>
        <w:rPr>
          <w:color w:val="6F2770"/>
        </w:rPr>
        <w:t>Note 35. Services provided free of charge</w:t>
      </w:r>
    </w:p>
    <w:p>
      <w:pPr>
        <w:pStyle w:val="BodyText"/>
        <w:spacing w:before="3"/>
        <w:rPr>
          <w:sz w:val="17"/>
        </w:rPr>
      </w:pPr>
    </w:p>
    <w:tbl>
      <w:tblPr>
        <w:tblW w:w="0" w:type="auto"/>
        <w:jc w:val="left"/>
        <w:tblInd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6265" w:type="dxa"/>
            <w:gridSpan w:val="2"/>
            <w:tcBorders>
              <w:bottom w:val="single" w:sz="4" w:space="0" w:color="6F2770"/>
            </w:tcBorders>
            <w:shd w:val="clear" w:color="auto" w:fill="783A79"/>
          </w:tcPr>
          <w:p>
            <w:pPr>
              <w:pStyle w:val="TableParagraph"/>
              <w:spacing w:before="47"/>
              <w:ind w:right="111"/>
              <w:jc w:val="right"/>
              <w:rPr>
                <w:b/>
                <w:sz w:val="19"/>
              </w:rPr>
            </w:pPr>
            <w:r>
              <w:rPr>
                <w:b/>
                <w:color w:val="FFFFFF"/>
                <w:w w:val="95"/>
                <w:sz w:val="19"/>
              </w:rPr>
              <w:t>2018</w:t>
            </w:r>
          </w:p>
          <w:p>
            <w:pPr>
              <w:pStyle w:val="TableParagraph"/>
              <w:spacing w:before="10"/>
              <w:ind w:right="111"/>
              <w:jc w:val="right"/>
              <w:rPr>
                <w:b/>
                <w:sz w:val="19"/>
              </w:rPr>
            </w:pPr>
            <w:r>
              <w:rPr>
                <w:b/>
                <w:color w:val="FFFFFF"/>
                <w:w w:val="95"/>
                <w:sz w:val="19"/>
              </w:rPr>
              <w:t>$000</w:t>
            </w:r>
          </w:p>
        </w:tc>
        <w:tc>
          <w:tcPr>
            <w:tcW w:w="1134" w:type="dxa"/>
            <w:tcBorders>
              <w:bottom w:val="single" w:sz="4" w:space="0" w:color="6F2770"/>
            </w:tcBorders>
            <w:shd w:val="clear" w:color="auto" w:fill="783A79"/>
          </w:tcPr>
          <w:p>
            <w:pPr>
              <w:pStyle w:val="TableParagraph"/>
              <w:spacing w:before="47"/>
              <w:ind w:left="597"/>
              <w:rPr>
                <w:b/>
                <w:sz w:val="19"/>
              </w:rPr>
            </w:pPr>
            <w:r>
              <w:rPr>
                <w:b/>
                <w:color w:val="FFFFFF"/>
                <w:sz w:val="19"/>
              </w:rPr>
              <w:t>2017</w:t>
            </w:r>
          </w:p>
          <w:p>
            <w:pPr>
              <w:pStyle w:val="TableParagraph"/>
              <w:spacing w:before="10"/>
              <w:ind w:left="597"/>
              <w:rPr>
                <w:b/>
                <w:sz w:val="19"/>
              </w:rPr>
            </w:pPr>
            <w:r>
              <w:rPr>
                <w:b/>
                <w:color w:val="FFFFFF"/>
                <w:sz w:val="19"/>
              </w:rPr>
              <w:t>$000</w:t>
            </w:r>
          </w:p>
        </w:tc>
      </w:tr>
      <w:tr>
        <w:trPr>
          <w:trHeight w:val="258" w:hRule="atLeast"/>
        </w:trPr>
        <w:tc>
          <w:tcPr>
            <w:tcW w:w="5131" w:type="dxa"/>
            <w:tcBorders>
              <w:top w:val="single" w:sz="4" w:space="0" w:color="834D83"/>
            </w:tcBorders>
            <w:shd w:val="clear" w:color="auto" w:fill="F4F4F4"/>
          </w:tcPr>
          <w:p>
            <w:pPr>
              <w:pStyle w:val="TableParagraph"/>
              <w:spacing w:line="201" w:lineRule="exact" w:before="37"/>
              <w:ind w:left="113"/>
              <w:rPr>
                <w:sz w:val="19"/>
              </w:rPr>
            </w:pPr>
            <w:r>
              <w:rPr>
                <w:sz w:val="19"/>
              </w:rPr>
              <w:t>Department of Primary Industries and Regional</w:t>
            </w:r>
          </w:p>
        </w:tc>
        <w:tc>
          <w:tcPr>
            <w:tcW w:w="1134" w:type="dxa"/>
            <w:tcBorders>
              <w:top w:val="single" w:sz="4" w:space="0" w:color="6F2770"/>
            </w:tcBorders>
            <w:shd w:val="clear" w:color="auto" w:fill="E1E4BB"/>
          </w:tcPr>
          <w:p>
            <w:pPr>
              <w:pStyle w:val="TableParagraph"/>
              <w:spacing w:line="201" w:lineRule="exact" w:before="37"/>
              <w:ind w:right="111"/>
              <w:jc w:val="right"/>
              <w:rPr>
                <w:sz w:val="19"/>
              </w:rPr>
            </w:pPr>
            <w:r>
              <w:rPr>
                <w:w w:val="95"/>
                <w:sz w:val="19"/>
              </w:rPr>
              <w:t>829</w:t>
            </w:r>
          </w:p>
        </w:tc>
        <w:tc>
          <w:tcPr>
            <w:tcW w:w="1134" w:type="dxa"/>
            <w:tcBorders>
              <w:top w:val="single" w:sz="4" w:space="0" w:color="6F2770"/>
            </w:tcBorders>
            <w:shd w:val="clear" w:color="auto" w:fill="F4F4F4"/>
          </w:tcPr>
          <w:p>
            <w:pPr>
              <w:pStyle w:val="TableParagraph"/>
              <w:spacing w:line="201" w:lineRule="exact" w:before="37"/>
              <w:ind w:right="111"/>
              <w:jc w:val="right"/>
              <w:rPr>
                <w:sz w:val="19"/>
              </w:rPr>
            </w:pPr>
            <w:r>
              <w:rPr>
                <w:w w:val="111"/>
                <w:sz w:val="19"/>
              </w:rPr>
              <w:t>-</w:t>
            </w:r>
          </w:p>
        </w:tc>
      </w:tr>
      <w:tr>
        <w:trPr>
          <w:trHeight w:val="255" w:hRule="atLeast"/>
        </w:trPr>
        <w:tc>
          <w:tcPr>
            <w:tcW w:w="5131" w:type="dxa"/>
            <w:tcBorders>
              <w:bottom w:val="single" w:sz="8" w:space="0" w:color="FFFFFF"/>
            </w:tcBorders>
            <w:shd w:val="clear" w:color="auto" w:fill="F4F4F4"/>
          </w:tcPr>
          <w:p>
            <w:pPr>
              <w:pStyle w:val="TableParagraph"/>
              <w:spacing w:before="7"/>
              <w:ind w:left="113"/>
              <w:rPr>
                <w:sz w:val="10"/>
              </w:rPr>
            </w:pPr>
            <w:r>
              <w:rPr>
                <w:sz w:val="19"/>
              </w:rPr>
              <w:t>Development</w:t>
            </w:r>
            <w:r>
              <w:rPr>
                <w:position w:val="6"/>
                <w:sz w:val="10"/>
              </w:rPr>
              <w:t>(f)</w:t>
            </w:r>
          </w:p>
        </w:tc>
        <w:tc>
          <w:tcPr>
            <w:tcW w:w="1134" w:type="dxa"/>
            <w:shd w:val="clear" w:color="auto" w:fill="E1E4BB"/>
          </w:tcPr>
          <w:p>
            <w:pPr>
              <w:pStyle w:val="TableParagraph"/>
              <w:spacing w:before="0"/>
              <w:rPr>
                <w:rFonts w:ascii="Times New Roman"/>
                <w:sz w:val="16"/>
              </w:rPr>
            </w:pPr>
          </w:p>
        </w:tc>
        <w:tc>
          <w:tcPr>
            <w:tcW w:w="1134" w:type="dxa"/>
            <w:tcBorders>
              <w:bottom w:val="single" w:sz="12" w:space="0" w:color="FFFFFF"/>
            </w:tcBorders>
            <w:shd w:val="clear" w:color="auto" w:fill="F4F4F4"/>
          </w:tcPr>
          <w:p>
            <w:pPr>
              <w:pStyle w:val="TableParagraph"/>
              <w:spacing w:before="0"/>
              <w:rPr>
                <w:rFonts w:ascii="Times New Roman"/>
                <w:sz w:val="16"/>
              </w:rPr>
            </w:pP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spacing w:before="27"/>
              <w:ind w:left="113"/>
              <w:rPr>
                <w:sz w:val="10"/>
              </w:rPr>
            </w:pPr>
            <w:r>
              <w:rPr>
                <w:sz w:val="19"/>
              </w:rPr>
              <w:t>Department of Mines, Industry Regulation and Safety</w:t>
            </w:r>
            <w:r>
              <w:rPr>
                <w:position w:val="6"/>
                <w:sz w:val="10"/>
              </w:rPr>
              <w:t>(c)</w:t>
            </w:r>
          </w:p>
        </w:tc>
        <w:tc>
          <w:tcPr>
            <w:tcW w:w="1134" w:type="dxa"/>
            <w:shd w:val="clear" w:color="auto" w:fill="E1E4BB"/>
          </w:tcPr>
          <w:p>
            <w:pPr>
              <w:pStyle w:val="TableParagraph"/>
              <w:spacing w:before="27"/>
              <w:ind w:right="111"/>
              <w:jc w:val="right"/>
              <w:rPr>
                <w:sz w:val="19"/>
              </w:rPr>
            </w:pPr>
            <w:r>
              <w:rPr>
                <w:w w:val="95"/>
                <w:sz w:val="19"/>
              </w:rPr>
              <w:t>620</w:t>
            </w:r>
          </w:p>
        </w:tc>
        <w:tc>
          <w:tcPr>
            <w:tcW w:w="1134" w:type="dxa"/>
            <w:tcBorders>
              <w:top w:val="single" w:sz="12" w:space="0" w:color="FFFFFF"/>
              <w:bottom w:val="single" w:sz="8" w:space="0" w:color="FFFFFF"/>
            </w:tcBorders>
            <w:shd w:val="clear" w:color="auto" w:fill="FAF9F9"/>
          </w:tcPr>
          <w:p>
            <w:pPr>
              <w:pStyle w:val="TableParagraph"/>
              <w:spacing w:before="27"/>
              <w:ind w:right="111"/>
              <w:jc w:val="right"/>
              <w:rPr>
                <w:sz w:val="19"/>
              </w:rPr>
            </w:pPr>
            <w:r>
              <w:rPr>
                <w:w w:val="111"/>
                <w:sz w:val="19"/>
              </w:rPr>
              <w:t>-</w:t>
            </w:r>
          </w:p>
        </w:tc>
      </w:tr>
      <w:tr>
        <w:trPr>
          <w:trHeight w:val="253" w:hRule="atLeast"/>
        </w:trPr>
        <w:tc>
          <w:tcPr>
            <w:tcW w:w="5131" w:type="dxa"/>
            <w:tcBorders>
              <w:top w:val="single" w:sz="8" w:space="0" w:color="FFFFFF"/>
            </w:tcBorders>
            <w:shd w:val="clear" w:color="auto" w:fill="F4F4F4"/>
          </w:tcPr>
          <w:p>
            <w:pPr>
              <w:pStyle w:val="TableParagraph"/>
              <w:spacing w:line="201" w:lineRule="exact"/>
              <w:ind w:left="113"/>
              <w:rPr>
                <w:sz w:val="19"/>
              </w:rPr>
            </w:pPr>
            <w:r>
              <w:rPr>
                <w:sz w:val="19"/>
              </w:rPr>
              <w:t>Department of Local Government, Sports and Cultural</w:t>
            </w:r>
          </w:p>
        </w:tc>
        <w:tc>
          <w:tcPr>
            <w:tcW w:w="1134" w:type="dxa"/>
            <w:shd w:val="clear" w:color="auto" w:fill="E1E4BB"/>
          </w:tcPr>
          <w:p>
            <w:pPr>
              <w:pStyle w:val="TableParagraph"/>
              <w:spacing w:line="201" w:lineRule="exact"/>
              <w:ind w:right="111"/>
              <w:jc w:val="right"/>
              <w:rPr>
                <w:sz w:val="19"/>
              </w:rPr>
            </w:pPr>
            <w:r>
              <w:rPr>
                <w:w w:val="95"/>
                <w:sz w:val="19"/>
              </w:rPr>
              <w:t>736</w:t>
            </w:r>
          </w:p>
        </w:tc>
        <w:tc>
          <w:tcPr>
            <w:tcW w:w="1134" w:type="dxa"/>
            <w:tcBorders>
              <w:top w:val="single" w:sz="8" w:space="0" w:color="FFFFFF"/>
            </w:tcBorders>
            <w:shd w:val="clear" w:color="auto" w:fill="F4F4F4"/>
          </w:tcPr>
          <w:p>
            <w:pPr>
              <w:pStyle w:val="TableParagraph"/>
              <w:spacing w:line="201" w:lineRule="exact"/>
              <w:ind w:right="111"/>
              <w:jc w:val="right"/>
              <w:rPr>
                <w:sz w:val="19"/>
              </w:rPr>
            </w:pPr>
            <w:r>
              <w:rPr>
                <w:w w:val="111"/>
                <w:sz w:val="19"/>
              </w:rPr>
              <w:t>-</w:t>
            </w:r>
          </w:p>
        </w:tc>
      </w:tr>
      <w:tr>
        <w:trPr>
          <w:trHeight w:val="260" w:hRule="atLeast"/>
        </w:trPr>
        <w:tc>
          <w:tcPr>
            <w:tcW w:w="5131" w:type="dxa"/>
            <w:tcBorders>
              <w:bottom w:val="single" w:sz="8" w:space="0" w:color="FFFFFF"/>
            </w:tcBorders>
            <w:shd w:val="clear" w:color="auto" w:fill="F4F4F4"/>
          </w:tcPr>
          <w:p>
            <w:pPr>
              <w:pStyle w:val="TableParagraph"/>
              <w:spacing w:before="7"/>
              <w:ind w:left="113"/>
              <w:rPr>
                <w:sz w:val="10"/>
              </w:rPr>
            </w:pPr>
            <w:r>
              <w:rPr>
                <w:sz w:val="19"/>
              </w:rPr>
              <w:t>Industries</w:t>
            </w:r>
            <w:r>
              <w:rPr>
                <w:position w:val="6"/>
                <w:sz w:val="10"/>
              </w:rPr>
              <w:t>(d)</w:t>
            </w:r>
          </w:p>
        </w:tc>
        <w:tc>
          <w:tcPr>
            <w:tcW w:w="1134" w:type="dxa"/>
            <w:shd w:val="clear" w:color="auto" w:fill="E1E4BB"/>
          </w:tcPr>
          <w:p>
            <w:pPr>
              <w:pStyle w:val="TableParagraph"/>
              <w:spacing w:before="0"/>
              <w:rPr>
                <w:rFonts w:ascii="Times New Roman"/>
                <w:sz w:val="16"/>
              </w:rPr>
            </w:pPr>
          </w:p>
        </w:tc>
        <w:tc>
          <w:tcPr>
            <w:tcW w:w="1134" w:type="dxa"/>
            <w:tcBorders>
              <w:bottom w:val="single" w:sz="8" w:space="0" w:color="FFFFFF"/>
            </w:tcBorders>
            <w:shd w:val="clear" w:color="auto" w:fill="F4F4F4"/>
          </w:tcPr>
          <w:p>
            <w:pPr>
              <w:pStyle w:val="TableParagraph"/>
              <w:spacing w:before="0"/>
              <w:rPr>
                <w:rFonts w:ascii="Times New Roman"/>
                <w:sz w:val="16"/>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Other Agencies</w:t>
            </w:r>
            <w:r>
              <w:rPr>
                <w:position w:val="6"/>
                <w:sz w:val="10"/>
              </w:rPr>
              <w:t>(g)</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1,547</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2,997</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15,589</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15,214</w:t>
            </w:r>
          </w:p>
        </w:tc>
      </w:tr>
    </w:tbl>
    <w:p>
      <w:pPr>
        <w:pStyle w:val="ListParagraph"/>
        <w:numPr>
          <w:ilvl w:val="1"/>
          <w:numId w:val="15"/>
        </w:numPr>
        <w:tabs>
          <w:tab w:pos="8824" w:val="left" w:leader="none"/>
        </w:tabs>
        <w:spacing w:line="278" w:lineRule="auto" w:before="199" w:after="0"/>
        <w:ind w:left="8631" w:right="893" w:firstLine="0"/>
        <w:jc w:val="left"/>
        <w:rPr>
          <w:sz w:val="15"/>
        </w:rPr>
      </w:pPr>
      <w:r>
        <w:rPr>
          <w:sz w:val="15"/>
        </w:rPr>
        <w:t>Department</w:t>
      </w:r>
      <w:r>
        <w:rPr>
          <w:spacing w:val="-12"/>
          <w:sz w:val="15"/>
        </w:rPr>
        <w:t> </w:t>
      </w:r>
      <w:r>
        <w:rPr>
          <w:sz w:val="15"/>
        </w:rPr>
        <w:t>of</w:t>
      </w:r>
      <w:r>
        <w:rPr>
          <w:spacing w:val="-12"/>
          <w:sz w:val="15"/>
        </w:rPr>
        <w:t> </w:t>
      </w:r>
      <w:r>
        <w:rPr>
          <w:sz w:val="15"/>
        </w:rPr>
        <w:t>the</w:t>
      </w:r>
      <w:r>
        <w:rPr>
          <w:spacing w:val="-11"/>
          <w:sz w:val="15"/>
        </w:rPr>
        <w:t> </w:t>
      </w:r>
      <w:r>
        <w:rPr>
          <w:sz w:val="15"/>
        </w:rPr>
        <w:t>Attorney</w:t>
      </w:r>
      <w:r>
        <w:rPr>
          <w:spacing w:val="-12"/>
          <w:sz w:val="15"/>
        </w:rPr>
        <w:t> </w:t>
      </w:r>
      <w:r>
        <w:rPr>
          <w:sz w:val="15"/>
        </w:rPr>
        <w:t>General</w:t>
      </w:r>
      <w:r>
        <w:rPr>
          <w:spacing w:val="-12"/>
          <w:sz w:val="15"/>
        </w:rPr>
        <w:t> </w:t>
      </w:r>
      <w:r>
        <w:rPr>
          <w:sz w:val="15"/>
        </w:rPr>
        <w:t>and</w:t>
      </w:r>
      <w:r>
        <w:rPr>
          <w:spacing w:val="-11"/>
          <w:sz w:val="15"/>
        </w:rPr>
        <w:t> </w:t>
      </w:r>
      <w:r>
        <w:rPr>
          <w:sz w:val="15"/>
        </w:rPr>
        <w:t>Department</w:t>
      </w:r>
      <w:r>
        <w:rPr>
          <w:spacing w:val="-12"/>
          <w:sz w:val="15"/>
        </w:rPr>
        <w:t> </w:t>
      </w:r>
      <w:r>
        <w:rPr>
          <w:sz w:val="15"/>
        </w:rPr>
        <w:t>of</w:t>
      </w:r>
      <w:r>
        <w:rPr>
          <w:spacing w:val="-11"/>
          <w:sz w:val="15"/>
        </w:rPr>
        <w:t> </w:t>
      </w:r>
      <w:r>
        <w:rPr>
          <w:sz w:val="15"/>
        </w:rPr>
        <w:t>Corrective</w:t>
      </w:r>
      <w:r>
        <w:rPr>
          <w:spacing w:val="-12"/>
          <w:sz w:val="15"/>
        </w:rPr>
        <w:t> </w:t>
      </w:r>
      <w:r>
        <w:rPr>
          <w:sz w:val="15"/>
        </w:rPr>
        <w:t>Services</w:t>
      </w:r>
      <w:r>
        <w:rPr>
          <w:spacing w:val="-12"/>
          <w:sz w:val="15"/>
        </w:rPr>
        <w:t> </w:t>
      </w:r>
      <w:r>
        <w:rPr>
          <w:sz w:val="15"/>
        </w:rPr>
        <w:t>merged</w:t>
      </w:r>
      <w:r>
        <w:rPr>
          <w:spacing w:val="-11"/>
          <w:sz w:val="15"/>
        </w:rPr>
        <w:t> </w:t>
      </w:r>
      <w:r>
        <w:rPr>
          <w:sz w:val="15"/>
        </w:rPr>
        <w:t>on</w:t>
      </w:r>
      <w:r>
        <w:rPr>
          <w:spacing w:val="-12"/>
          <w:sz w:val="15"/>
        </w:rPr>
        <w:t> </w:t>
      </w:r>
      <w:r>
        <w:rPr>
          <w:sz w:val="15"/>
        </w:rPr>
        <w:t>1</w:t>
      </w:r>
      <w:r>
        <w:rPr>
          <w:spacing w:val="-12"/>
          <w:sz w:val="15"/>
        </w:rPr>
        <w:t> </w:t>
      </w:r>
      <w:r>
        <w:rPr>
          <w:sz w:val="15"/>
        </w:rPr>
        <w:t>July</w:t>
      </w:r>
      <w:r>
        <w:rPr>
          <w:spacing w:val="-11"/>
          <w:sz w:val="15"/>
        </w:rPr>
        <w:t> </w:t>
      </w:r>
      <w:r>
        <w:rPr>
          <w:sz w:val="15"/>
        </w:rPr>
        <w:t>2017</w:t>
      </w:r>
      <w:r>
        <w:rPr>
          <w:spacing w:val="-12"/>
          <w:sz w:val="15"/>
        </w:rPr>
        <w:t> </w:t>
      </w:r>
      <w:r>
        <w:rPr>
          <w:sz w:val="15"/>
        </w:rPr>
        <w:t>to</w:t>
      </w:r>
      <w:r>
        <w:rPr>
          <w:spacing w:val="-11"/>
          <w:sz w:val="15"/>
        </w:rPr>
        <w:t> </w:t>
      </w:r>
      <w:r>
        <w:rPr>
          <w:spacing w:val="-3"/>
          <w:sz w:val="15"/>
        </w:rPr>
        <w:t>become </w:t>
      </w:r>
      <w:r>
        <w:rPr>
          <w:sz w:val="15"/>
        </w:rPr>
        <w:t>Department of Justice due to Machinery of Government</w:t>
      </w:r>
      <w:r>
        <w:rPr>
          <w:spacing w:val="-11"/>
          <w:sz w:val="15"/>
        </w:rPr>
        <w:t> </w:t>
      </w:r>
      <w:r>
        <w:rPr>
          <w:sz w:val="15"/>
        </w:rPr>
        <w:t>changes.</w:t>
      </w:r>
    </w:p>
    <w:p>
      <w:pPr>
        <w:pStyle w:val="BodyText"/>
        <w:spacing w:before="4"/>
        <w:rPr>
          <w:sz w:val="17"/>
        </w:rPr>
      </w:pPr>
    </w:p>
    <w:p>
      <w:pPr>
        <w:pStyle w:val="ListParagraph"/>
        <w:numPr>
          <w:ilvl w:val="1"/>
          <w:numId w:val="15"/>
        </w:numPr>
        <w:tabs>
          <w:tab w:pos="8832" w:val="left" w:leader="none"/>
        </w:tabs>
        <w:spacing w:line="278" w:lineRule="auto" w:before="1" w:after="0"/>
        <w:ind w:left="8631" w:right="885" w:firstLine="0"/>
        <w:jc w:val="left"/>
        <w:rPr>
          <w:sz w:val="15"/>
        </w:rPr>
      </w:pPr>
      <w:r>
        <w:rPr>
          <w:sz w:val="15"/>
        </w:rPr>
        <w:t>Department of Planning, Department of Lands, Department of Aboriginal Affairs and State Heritage Office merged</w:t>
      </w:r>
      <w:r>
        <w:rPr>
          <w:spacing w:val="-12"/>
          <w:sz w:val="15"/>
        </w:rPr>
        <w:t> </w:t>
      </w:r>
      <w:r>
        <w:rPr>
          <w:sz w:val="15"/>
        </w:rPr>
        <w:t>on</w:t>
      </w:r>
      <w:r>
        <w:rPr>
          <w:spacing w:val="-12"/>
          <w:sz w:val="15"/>
        </w:rPr>
        <w:t> </w:t>
      </w:r>
      <w:r>
        <w:rPr>
          <w:sz w:val="15"/>
        </w:rPr>
        <w:t>1</w:t>
      </w:r>
      <w:r>
        <w:rPr>
          <w:spacing w:val="-11"/>
          <w:sz w:val="15"/>
        </w:rPr>
        <w:t> </w:t>
      </w:r>
      <w:r>
        <w:rPr>
          <w:sz w:val="15"/>
        </w:rPr>
        <w:t>July</w:t>
      </w:r>
      <w:r>
        <w:rPr>
          <w:spacing w:val="-12"/>
          <w:sz w:val="15"/>
        </w:rPr>
        <w:t> </w:t>
      </w:r>
      <w:r>
        <w:rPr>
          <w:sz w:val="15"/>
        </w:rPr>
        <w:t>2017</w:t>
      </w:r>
      <w:r>
        <w:rPr>
          <w:spacing w:val="-11"/>
          <w:sz w:val="15"/>
        </w:rPr>
        <w:t> </w:t>
      </w:r>
      <w:r>
        <w:rPr>
          <w:sz w:val="15"/>
        </w:rPr>
        <w:t>to</w:t>
      </w:r>
      <w:r>
        <w:rPr>
          <w:spacing w:val="-12"/>
          <w:sz w:val="15"/>
        </w:rPr>
        <w:t> </w:t>
      </w:r>
      <w:r>
        <w:rPr>
          <w:sz w:val="15"/>
        </w:rPr>
        <w:t>become</w:t>
      </w:r>
      <w:r>
        <w:rPr>
          <w:spacing w:val="-11"/>
          <w:sz w:val="15"/>
        </w:rPr>
        <w:t> </w:t>
      </w:r>
      <w:r>
        <w:rPr>
          <w:sz w:val="15"/>
        </w:rPr>
        <w:t>Department</w:t>
      </w:r>
      <w:r>
        <w:rPr>
          <w:spacing w:val="-12"/>
          <w:sz w:val="15"/>
        </w:rPr>
        <w:t> </w:t>
      </w:r>
      <w:r>
        <w:rPr>
          <w:sz w:val="15"/>
        </w:rPr>
        <w:t>of</w:t>
      </w:r>
      <w:r>
        <w:rPr>
          <w:spacing w:val="-12"/>
          <w:sz w:val="15"/>
        </w:rPr>
        <w:t> </w:t>
      </w:r>
      <w:r>
        <w:rPr>
          <w:sz w:val="15"/>
        </w:rPr>
        <w:t>Planning,</w:t>
      </w:r>
      <w:r>
        <w:rPr>
          <w:spacing w:val="-11"/>
          <w:sz w:val="15"/>
        </w:rPr>
        <w:t> </w:t>
      </w:r>
      <w:r>
        <w:rPr>
          <w:sz w:val="15"/>
        </w:rPr>
        <w:t>Lands</w:t>
      </w:r>
      <w:r>
        <w:rPr>
          <w:spacing w:val="-12"/>
          <w:sz w:val="15"/>
        </w:rPr>
        <w:t> </w:t>
      </w:r>
      <w:r>
        <w:rPr>
          <w:sz w:val="15"/>
        </w:rPr>
        <w:t>and</w:t>
      </w:r>
      <w:r>
        <w:rPr>
          <w:spacing w:val="-11"/>
          <w:sz w:val="15"/>
        </w:rPr>
        <w:t> </w:t>
      </w:r>
      <w:r>
        <w:rPr>
          <w:sz w:val="15"/>
        </w:rPr>
        <w:t>Heritage</w:t>
      </w:r>
      <w:r>
        <w:rPr>
          <w:spacing w:val="-12"/>
          <w:sz w:val="15"/>
        </w:rPr>
        <w:t> </w:t>
      </w:r>
      <w:r>
        <w:rPr>
          <w:sz w:val="15"/>
        </w:rPr>
        <w:t>due</w:t>
      </w:r>
      <w:r>
        <w:rPr>
          <w:spacing w:val="-11"/>
          <w:sz w:val="15"/>
        </w:rPr>
        <w:t> </w:t>
      </w:r>
      <w:r>
        <w:rPr>
          <w:sz w:val="15"/>
        </w:rPr>
        <w:t>to</w:t>
      </w:r>
      <w:r>
        <w:rPr>
          <w:spacing w:val="-12"/>
          <w:sz w:val="15"/>
        </w:rPr>
        <w:t> </w:t>
      </w:r>
      <w:r>
        <w:rPr>
          <w:sz w:val="15"/>
        </w:rPr>
        <w:t>Machinery</w:t>
      </w:r>
      <w:r>
        <w:rPr>
          <w:spacing w:val="-11"/>
          <w:sz w:val="15"/>
        </w:rPr>
        <w:t> </w:t>
      </w:r>
      <w:r>
        <w:rPr>
          <w:sz w:val="15"/>
        </w:rPr>
        <w:t>of</w:t>
      </w:r>
      <w:r>
        <w:rPr>
          <w:spacing w:val="-12"/>
          <w:sz w:val="15"/>
        </w:rPr>
        <w:t> </w:t>
      </w:r>
      <w:r>
        <w:rPr>
          <w:sz w:val="15"/>
        </w:rPr>
        <w:t>Government changes.</w:t>
      </w:r>
    </w:p>
    <w:p>
      <w:pPr>
        <w:pStyle w:val="BodyText"/>
        <w:spacing w:before="4"/>
        <w:rPr>
          <w:sz w:val="17"/>
        </w:rPr>
      </w:pPr>
    </w:p>
    <w:p>
      <w:pPr>
        <w:pStyle w:val="ListParagraph"/>
        <w:numPr>
          <w:ilvl w:val="1"/>
          <w:numId w:val="15"/>
        </w:numPr>
        <w:tabs>
          <w:tab w:pos="8824" w:val="left" w:leader="none"/>
        </w:tabs>
        <w:spacing w:line="278" w:lineRule="auto" w:before="0" w:after="0"/>
        <w:ind w:left="8631" w:right="1382" w:firstLine="0"/>
        <w:jc w:val="left"/>
        <w:rPr>
          <w:sz w:val="15"/>
        </w:rPr>
      </w:pPr>
      <w:r>
        <w:rPr>
          <w:sz w:val="15"/>
        </w:rPr>
        <w:t>Department</w:t>
      </w:r>
      <w:r>
        <w:rPr>
          <w:spacing w:val="-10"/>
          <w:sz w:val="15"/>
        </w:rPr>
        <w:t> </w:t>
      </w:r>
      <w:r>
        <w:rPr>
          <w:sz w:val="15"/>
        </w:rPr>
        <w:t>of</w:t>
      </w:r>
      <w:r>
        <w:rPr>
          <w:spacing w:val="-9"/>
          <w:sz w:val="15"/>
        </w:rPr>
        <w:t> </w:t>
      </w:r>
      <w:r>
        <w:rPr>
          <w:sz w:val="15"/>
        </w:rPr>
        <w:t>Commerce</w:t>
      </w:r>
      <w:r>
        <w:rPr>
          <w:spacing w:val="-10"/>
          <w:sz w:val="15"/>
        </w:rPr>
        <w:t> </w:t>
      </w:r>
      <w:r>
        <w:rPr>
          <w:sz w:val="15"/>
        </w:rPr>
        <w:t>and</w:t>
      </w:r>
      <w:r>
        <w:rPr>
          <w:spacing w:val="-9"/>
          <w:sz w:val="15"/>
        </w:rPr>
        <w:t> </w:t>
      </w:r>
      <w:r>
        <w:rPr>
          <w:sz w:val="15"/>
        </w:rPr>
        <w:t>Department</w:t>
      </w:r>
      <w:r>
        <w:rPr>
          <w:spacing w:val="-10"/>
          <w:sz w:val="15"/>
        </w:rPr>
        <w:t> </w:t>
      </w:r>
      <w:r>
        <w:rPr>
          <w:sz w:val="15"/>
        </w:rPr>
        <w:t>of</w:t>
      </w:r>
      <w:r>
        <w:rPr>
          <w:spacing w:val="-9"/>
          <w:sz w:val="15"/>
        </w:rPr>
        <w:t> </w:t>
      </w:r>
      <w:r>
        <w:rPr>
          <w:sz w:val="15"/>
        </w:rPr>
        <w:t>Mines</w:t>
      </w:r>
      <w:r>
        <w:rPr>
          <w:spacing w:val="-10"/>
          <w:sz w:val="15"/>
        </w:rPr>
        <w:t> </w:t>
      </w:r>
      <w:r>
        <w:rPr>
          <w:sz w:val="15"/>
        </w:rPr>
        <w:t>and</w:t>
      </w:r>
      <w:r>
        <w:rPr>
          <w:spacing w:val="-9"/>
          <w:sz w:val="15"/>
        </w:rPr>
        <w:t> </w:t>
      </w:r>
      <w:r>
        <w:rPr>
          <w:sz w:val="15"/>
        </w:rPr>
        <w:t>Petroleum</w:t>
      </w:r>
      <w:r>
        <w:rPr>
          <w:spacing w:val="-10"/>
          <w:sz w:val="15"/>
        </w:rPr>
        <w:t> </w:t>
      </w:r>
      <w:r>
        <w:rPr>
          <w:sz w:val="15"/>
        </w:rPr>
        <w:t>merged</w:t>
      </w:r>
      <w:r>
        <w:rPr>
          <w:spacing w:val="-9"/>
          <w:sz w:val="15"/>
        </w:rPr>
        <w:t> </w:t>
      </w:r>
      <w:r>
        <w:rPr>
          <w:sz w:val="15"/>
        </w:rPr>
        <w:t>on</w:t>
      </w:r>
      <w:r>
        <w:rPr>
          <w:spacing w:val="-10"/>
          <w:sz w:val="15"/>
        </w:rPr>
        <w:t> </w:t>
      </w:r>
      <w:r>
        <w:rPr>
          <w:sz w:val="15"/>
        </w:rPr>
        <w:t>1</w:t>
      </w:r>
      <w:r>
        <w:rPr>
          <w:spacing w:val="-9"/>
          <w:sz w:val="15"/>
        </w:rPr>
        <w:t> </w:t>
      </w:r>
      <w:r>
        <w:rPr>
          <w:sz w:val="15"/>
        </w:rPr>
        <w:t>July</w:t>
      </w:r>
      <w:r>
        <w:rPr>
          <w:spacing w:val="-10"/>
          <w:sz w:val="15"/>
        </w:rPr>
        <w:t> </w:t>
      </w:r>
      <w:r>
        <w:rPr>
          <w:sz w:val="15"/>
        </w:rPr>
        <w:t>2017</w:t>
      </w:r>
      <w:r>
        <w:rPr>
          <w:spacing w:val="-9"/>
          <w:sz w:val="15"/>
        </w:rPr>
        <w:t> </w:t>
      </w:r>
      <w:r>
        <w:rPr>
          <w:sz w:val="15"/>
        </w:rPr>
        <w:t>to</w:t>
      </w:r>
      <w:r>
        <w:rPr>
          <w:spacing w:val="-10"/>
          <w:sz w:val="15"/>
        </w:rPr>
        <w:t> </w:t>
      </w:r>
      <w:r>
        <w:rPr>
          <w:spacing w:val="-3"/>
          <w:sz w:val="15"/>
        </w:rPr>
        <w:t>become </w:t>
      </w:r>
      <w:r>
        <w:rPr>
          <w:sz w:val="15"/>
        </w:rPr>
        <w:t>Department</w:t>
      </w:r>
      <w:r>
        <w:rPr>
          <w:spacing w:val="-8"/>
          <w:sz w:val="15"/>
        </w:rPr>
        <w:t> </w:t>
      </w:r>
      <w:r>
        <w:rPr>
          <w:sz w:val="15"/>
        </w:rPr>
        <w:t>of</w:t>
      </w:r>
      <w:r>
        <w:rPr>
          <w:spacing w:val="-7"/>
          <w:sz w:val="15"/>
        </w:rPr>
        <w:t> </w:t>
      </w:r>
      <w:r>
        <w:rPr>
          <w:sz w:val="15"/>
        </w:rPr>
        <w:t>Mines,</w:t>
      </w:r>
      <w:r>
        <w:rPr>
          <w:spacing w:val="-8"/>
          <w:sz w:val="15"/>
        </w:rPr>
        <w:t> </w:t>
      </w:r>
      <w:r>
        <w:rPr>
          <w:sz w:val="15"/>
        </w:rPr>
        <w:t>Industry</w:t>
      </w:r>
      <w:r>
        <w:rPr>
          <w:spacing w:val="-7"/>
          <w:sz w:val="15"/>
        </w:rPr>
        <w:t> </w:t>
      </w:r>
      <w:r>
        <w:rPr>
          <w:sz w:val="15"/>
        </w:rPr>
        <w:t>Regulation</w:t>
      </w:r>
      <w:r>
        <w:rPr>
          <w:spacing w:val="-7"/>
          <w:sz w:val="15"/>
        </w:rPr>
        <w:t> </w:t>
      </w:r>
      <w:r>
        <w:rPr>
          <w:sz w:val="15"/>
        </w:rPr>
        <w:t>and</w:t>
      </w:r>
      <w:r>
        <w:rPr>
          <w:spacing w:val="-8"/>
          <w:sz w:val="15"/>
        </w:rPr>
        <w:t> </w:t>
      </w:r>
      <w:r>
        <w:rPr>
          <w:sz w:val="15"/>
        </w:rPr>
        <w:t>Safety</w:t>
      </w:r>
      <w:r>
        <w:rPr>
          <w:spacing w:val="-7"/>
          <w:sz w:val="15"/>
        </w:rPr>
        <w:t> </w:t>
      </w:r>
      <w:r>
        <w:rPr>
          <w:sz w:val="15"/>
        </w:rPr>
        <w:t>due</w:t>
      </w:r>
      <w:r>
        <w:rPr>
          <w:spacing w:val="-7"/>
          <w:sz w:val="15"/>
        </w:rPr>
        <w:t> </w:t>
      </w:r>
      <w:r>
        <w:rPr>
          <w:sz w:val="15"/>
        </w:rPr>
        <w:t>to</w:t>
      </w:r>
      <w:r>
        <w:rPr>
          <w:spacing w:val="-8"/>
          <w:sz w:val="15"/>
        </w:rPr>
        <w:t> </w:t>
      </w:r>
      <w:r>
        <w:rPr>
          <w:sz w:val="15"/>
        </w:rPr>
        <w:t>Machinery</w:t>
      </w:r>
      <w:r>
        <w:rPr>
          <w:spacing w:val="-7"/>
          <w:sz w:val="15"/>
        </w:rPr>
        <w:t> </w:t>
      </w:r>
      <w:r>
        <w:rPr>
          <w:sz w:val="15"/>
        </w:rPr>
        <w:t>of</w:t>
      </w:r>
      <w:r>
        <w:rPr>
          <w:spacing w:val="-7"/>
          <w:sz w:val="15"/>
        </w:rPr>
        <w:t> </w:t>
      </w:r>
      <w:r>
        <w:rPr>
          <w:sz w:val="15"/>
        </w:rPr>
        <w:t>Government</w:t>
      </w:r>
      <w:r>
        <w:rPr>
          <w:spacing w:val="-8"/>
          <w:sz w:val="15"/>
        </w:rPr>
        <w:t> </w:t>
      </w:r>
      <w:r>
        <w:rPr>
          <w:sz w:val="15"/>
        </w:rPr>
        <w:t>changes.</w:t>
      </w:r>
    </w:p>
    <w:p>
      <w:pPr>
        <w:pStyle w:val="BodyText"/>
        <w:spacing w:before="4"/>
        <w:rPr>
          <w:sz w:val="17"/>
        </w:rPr>
      </w:pPr>
    </w:p>
    <w:p>
      <w:pPr>
        <w:pStyle w:val="ListParagraph"/>
        <w:numPr>
          <w:ilvl w:val="1"/>
          <w:numId w:val="15"/>
        </w:numPr>
        <w:tabs>
          <w:tab w:pos="8832" w:val="left" w:leader="none"/>
        </w:tabs>
        <w:spacing w:line="278" w:lineRule="auto" w:before="0" w:after="0"/>
        <w:ind w:left="8631" w:right="780" w:firstLine="0"/>
        <w:jc w:val="left"/>
        <w:rPr>
          <w:sz w:val="15"/>
        </w:rPr>
      </w:pPr>
      <w:r>
        <w:rPr>
          <w:sz w:val="15"/>
        </w:rPr>
        <w:t>Department</w:t>
      </w:r>
      <w:r>
        <w:rPr>
          <w:spacing w:val="-14"/>
          <w:sz w:val="15"/>
        </w:rPr>
        <w:t> </w:t>
      </w:r>
      <w:r>
        <w:rPr>
          <w:sz w:val="15"/>
        </w:rPr>
        <w:t>of</w:t>
      </w:r>
      <w:r>
        <w:rPr>
          <w:spacing w:val="-13"/>
          <w:sz w:val="15"/>
        </w:rPr>
        <w:t> </w:t>
      </w:r>
      <w:r>
        <w:rPr>
          <w:sz w:val="15"/>
        </w:rPr>
        <w:t>Local</w:t>
      </w:r>
      <w:r>
        <w:rPr>
          <w:spacing w:val="-13"/>
          <w:sz w:val="15"/>
        </w:rPr>
        <w:t> </w:t>
      </w:r>
      <w:r>
        <w:rPr>
          <w:sz w:val="15"/>
        </w:rPr>
        <w:t>Government</w:t>
      </w:r>
      <w:r>
        <w:rPr>
          <w:spacing w:val="-13"/>
          <w:sz w:val="15"/>
        </w:rPr>
        <w:t> </w:t>
      </w:r>
      <w:r>
        <w:rPr>
          <w:sz w:val="15"/>
        </w:rPr>
        <w:t>and</w:t>
      </w:r>
      <w:r>
        <w:rPr>
          <w:spacing w:val="-14"/>
          <w:sz w:val="15"/>
        </w:rPr>
        <w:t> </w:t>
      </w:r>
      <w:r>
        <w:rPr>
          <w:sz w:val="15"/>
        </w:rPr>
        <w:t>Communities,</w:t>
      </w:r>
      <w:r>
        <w:rPr>
          <w:spacing w:val="-13"/>
          <w:sz w:val="15"/>
        </w:rPr>
        <w:t> </w:t>
      </w:r>
      <w:r>
        <w:rPr>
          <w:sz w:val="15"/>
        </w:rPr>
        <w:t>Department</w:t>
      </w:r>
      <w:r>
        <w:rPr>
          <w:spacing w:val="-13"/>
          <w:sz w:val="15"/>
        </w:rPr>
        <w:t> </w:t>
      </w:r>
      <w:r>
        <w:rPr>
          <w:sz w:val="15"/>
        </w:rPr>
        <w:t>of</w:t>
      </w:r>
      <w:r>
        <w:rPr>
          <w:spacing w:val="-13"/>
          <w:sz w:val="15"/>
        </w:rPr>
        <w:t> </w:t>
      </w:r>
      <w:r>
        <w:rPr>
          <w:sz w:val="15"/>
        </w:rPr>
        <w:t>Culture</w:t>
      </w:r>
      <w:r>
        <w:rPr>
          <w:spacing w:val="-14"/>
          <w:sz w:val="15"/>
        </w:rPr>
        <w:t> </w:t>
      </w:r>
      <w:r>
        <w:rPr>
          <w:sz w:val="15"/>
        </w:rPr>
        <w:t>and</w:t>
      </w:r>
      <w:r>
        <w:rPr>
          <w:spacing w:val="-13"/>
          <w:sz w:val="15"/>
        </w:rPr>
        <w:t> </w:t>
      </w:r>
      <w:r>
        <w:rPr>
          <w:sz w:val="15"/>
        </w:rPr>
        <w:t>the</w:t>
      </w:r>
      <w:r>
        <w:rPr>
          <w:spacing w:val="-13"/>
          <w:sz w:val="15"/>
        </w:rPr>
        <w:t> </w:t>
      </w:r>
      <w:r>
        <w:rPr>
          <w:sz w:val="15"/>
        </w:rPr>
        <w:t>Arts,</w:t>
      </w:r>
      <w:r>
        <w:rPr>
          <w:spacing w:val="-13"/>
          <w:sz w:val="15"/>
        </w:rPr>
        <w:t> </w:t>
      </w:r>
      <w:r>
        <w:rPr>
          <w:sz w:val="15"/>
        </w:rPr>
        <w:t>Department</w:t>
      </w:r>
      <w:r>
        <w:rPr>
          <w:spacing w:val="-14"/>
          <w:sz w:val="15"/>
        </w:rPr>
        <w:t> </w:t>
      </w:r>
      <w:r>
        <w:rPr>
          <w:sz w:val="15"/>
        </w:rPr>
        <w:t>of</w:t>
      </w:r>
      <w:r>
        <w:rPr>
          <w:spacing w:val="-13"/>
          <w:sz w:val="15"/>
        </w:rPr>
        <w:t> </w:t>
      </w:r>
      <w:r>
        <w:rPr>
          <w:spacing w:val="-3"/>
          <w:sz w:val="15"/>
        </w:rPr>
        <w:t>Racing, </w:t>
      </w:r>
      <w:r>
        <w:rPr>
          <w:sz w:val="15"/>
        </w:rPr>
        <w:t>Gaming and Liquor and Department of Sport and Recreation merged on 1 July 2017 to become Department of Local</w:t>
      </w:r>
      <w:r>
        <w:rPr>
          <w:spacing w:val="-4"/>
          <w:sz w:val="15"/>
        </w:rPr>
        <w:t> </w:t>
      </w:r>
      <w:r>
        <w:rPr>
          <w:sz w:val="15"/>
        </w:rPr>
        <w:t>Government,</w:t>
      </w:r>
      <w:r>
        <w:rPr>
          <w:spacing w:val="-4"/>
          <w:sz w:val="15"/>
        </w:rPr>
        <w:t> </w:t>
      </w:r>
      <w:r>
        <w:rPr>
          <w:sz w:val="15"/>
        </w:rPr>
        <w:t>Sport</w:t>
      </w:r>
      <w:r>
        <w:rPr>
          <w:spacing w:val="-4"/>
          <w:sz w:val="15"/>
        </w:rPr>
        <w:t> </w:t>
      </w:r>
      <w:r>
        <w:rPr>
          <w:sz w:val="15"/>
        </w:rPr>
        <w:t>and</w:t>
      </w:r>
      <w:r>
        <w:rPr>
          <w:spacing w:val="-3"/>
          <w:sz w:val="15"/>
        </w:rPr>
        <w:t> </w:t>
      </w:r>
      <w:r>
        <w:rPr>
          <w:sz w:val="15"/>
        </w:rPr>
        <w:t>Cultural</w:t>
      </w:r>
      <w:r>
        <w:rPr>
          <w:spacing w:val="-4"/>
          <w:sz w:val="15"/>
        </w:rPr>
        <w:t> </w:t>
      </w:r>
      <w:r>
        <w:rPr>
          <w:sz w:val="15"/>
        </w:rPr>
        <w:t>Industries</w:t>
      </w:r>
      <w:r>
        <w:rPr>
          <w:spacing w:val="-4"/>
          <w:sz w:val="15"/>
        </w:rPr>
        <w:t> </w:t>
      </w:r>
      <w:r>
        <w:rPr>
          <w:sz w:val="15"/>
        </w:rPr>
        <w:t>due</w:t>
      </w:r>
      <w:r>
        <w:rPr>
          <w:spacing w:val="-3"/>
          <w:sz w:val="15"/>
        </w:rPr>
        <w:t> </w:t>
      </w:r>
      <w:r>
        <w:rPr>
          <w:sz w:val="15"/>
        </w:rPr>
        <w:t>to</w:t>
      </w:r>
      <w:r>
        <w:rPr>
          <w:spacing w:val="-4"/>
          <w:sz w:val="15"/>
        </w:rPr>
        <w:t> </w:t>
      </w:r>
      <w:r>
        <w:rPr>
          <w:sz w:val="15"/>
        </w:rPr>
        <w:t>Machinery</w:t>
      </w:r>
      <w:r>
        <w:rPr>
          <w:spacing w:val="-4"/>
          <w:sz w:val="15"/>
        </w:rPr>
        <w:t> </w:t>
      </w:r>
      <w:r>
        <w:rPr>
          <w:sz w:val="15"/>
        </w:rPr>
        <w:t>of</w:t>
      </w:r>
      <w:r>
        <w:rPr>
          <w:spacing w:val="-4"/>
          <w:sz w:val="15"/>
        </w:rPr>
        <w:t> </w:t>
      </w:r>
      <w:r>
        <w:rPr>
          <w:sz w:val="15"/>
        </w:rPr>
        <w:t>Government</w:t>
      </w:r>
      <w:r>
        <w:rPr>
          <w:spacing w:val="-3"/>
          <w:sz w:val="15"/>
        </w:rPr>
        <w:t> </w:t>
      </w:r>
      <w:r>
        <w:rPr>
          <w:sz w:val="15"/>
        </w:rPr>
        <w:t>changes.</w:t>
      </w:r>
    </w:p>
    <w:p>
      <w:pPr>
        <w:pStyle w:val="BodyText"/>
        <w:spacing w:before="4"/>
        <w:rPr>
          <w:sz w:val="17"/>
        </w:rPr>
      </w:pPr>
    </w:p>
    <w:p>
      <w:pPr>
        <w:pStyle w:val="ListParagraph"/>
        <w:numPr>
          <w:ilvl w:val="1"/>
          <w:numId w:val="15"/>
        </w:numPr>
        <w:tabs>
          <w:tab w:pos="8824" w:val="left" w:leader="none"/>
        </w:tabs>
        <w:spacing w:line="278" w:lineRule="auto" w:before="0" w:after="0"/>
        <w:ind w:left="8631" w:right="1050" w:firstLine="0"/>
        <w:jc w:val="left"/>
        <w:rPr>
          <w:sz w:val="15"/>
        </w:rPr>
      </w:pPr>
      <w:r>
        <w:rPr>
          <w:sz w:val="15"/>
        </w:rPr>
        <w:t>Department</w:t>
      </w:r>
      <w:r>
        <w:rPr>
          <w:spacing w:val="-20"/>
          <w:sz w:val="15"/>
        </w:rPr>
        <w:t> </w:t>
      </w:r>
      <w:r>
        <w:rPr>
          <w:sz w:val="15"/>
        </w:rPr>
        <w:t>of</w:t>
      </w:r>
      <w:r>
        <w:rPr>
          <w:spacing w:val="-19"/>
          <w:sz w:val="15"/>
        </w:rPr>
        <w:t> </w:t>
      </w:r>
      <w:r>
        <w:rPr>
          <w:sz w:val="15"/>
        </w:rPr>
        <w:t>Child</w:t>
      </w:r>
      <w:r>
        <w:rPr>
          <w:spacing w:val="-19"/>
          <w:sz w:val="15"/>
        </w:rPr>
        <w:t> </w:t>
      </w:r>
      <w:r>
        <w:rPr>
          <w:sz w:val="15"/>
        </w:rPr>
        <w:t>Protection</w:t>
      </w:r>
      <w:r>
        <w:rPr>
          <w:spacing w:val="-20"/>
          <w:sz w:val="15"/>
        </w:rPr>
        <w:t> </w:t>
      </w:r>
      <w:r>
        <w:rPr>
          <w:sz w:val="15"/>
        </w:rPr>
        <w:t>and</w:t>
      </w:r>
      <w:r>
        <w:rPr>
          <w:spacing w:val="-19"/>
          <w:sz w:val="15"/>
        </w:rPr>
        <w:t> </w:t>
      </w:r>
      <w:r>
        <w:rPr>
          <w:sz w:val="15"/>
        </w:rPr>
        <w:t>Family</w:t>
      </w:r>
      <w:r>
        <w:rPr>
          <w:spacing w:val="-19"/>
          <w:sz w:val="15"/>
        </w:rPr>
        <w:t> </w:t>
      </w:r>
      <w:r>
        <w:rPr>
          <w:sz w:val="15"/>
        </w:rPr>
        <w:t>Support,</w:t>
      </w:r>
      <w:r>
        <w:rPr>
          <w:spacing w:val="-19"/>
          <w:sz w:val="15"/>
        </w:rPr>
        <w:t> </w:t>
      </w:r>
      <w:r>
        <w:rPr>
          <w:sz w:val="15"/>
        </w:rPr>
        <w:t>Department</w:t>
      </w:r>
      <w:r>
        <w:rPr>
          <w:spacing w:val="-20"/>
          <w:sz w:val="15"/>
        </w:rPr>
        <w:t> </w:t>
      </w:r>
      <w:r>
        <w:rPr>
          <w:sz w:val="15"/>
        </w:rPr>
        <w:t>of</w:t>
      </w:r>
      <w:r>
        <w:rPr>
          <w:spacing w:val="-19"/>
          <w:sz w:val="15"/>
        </w:rPr>
        <w:t> </w:t>
      </w:r>
      <w:r>
        <w:rPr>
          <w:sz w:val="15"/>
        </w:rPr>
        <w:t>Housing,</w:t>
      </w:r>
      <w:r>
        <w:rPr>
          <w:spacing w:val="-19"/>
          <w:sz w:val="15"/>
        </w:rPr>
        <w:t> </w:t>
      </w:r>
      <w:r>
        <w:rPr>
          <w:sz w:val="15"/>
        </w:rPr>
        <w:t>Disability</w:t>
      </w:r>
      <w:r>
        <w:rPr>
          <w:spacing w:val="-19"/>
          <w:sz w:val="15"/>
        </w:rPr>
        <w:t> </w:t>
      </w:r>
      <w:r>
        <w:rPr>
          <w:sz w:val="15"/>
        </w:rPr>
        <w:t>Services</w:t>
      </w:r>
      <w:r>
        <w:rPr>
          <w:spacing w:val="-20"/>
          <w:sz w:val="15"/>
        </w:rPr>
        <w:t> </w:t>
      </w:r>
      <w:r>
        <w:rPr>
          <w:sz w:val="15"/>
        </w:rPr>
        <w:t>Commission and Department of Local Government and Communities merged on 1 July 2017 to become Department of Communities due to Machinery of Government</w:t>
      </w:r>
      <w:r>
        <w:rPr>
          <w:spacing w:val="-7"/>
          <w:sz w:val="15"/>
        </w:rPr>
        <w:t> </w:t>
      </w:r>
      <w:r>
        <w:rPr>
          <w:sz w:val="15"/>
        </w:rPr>
        <w:t>changes.</w:t>
      </w:r>
    </w:p>
    <w:p>
      <w:pPr>
        <w:pStyle w:val="BodyText"/>
        <w:spacing w:before="4"/>
        <w:rPr>
          <w:sz w:val="17"/>
        </w:rPr>
      </w:pPr>
    </w:p>
    <w:p>
      <w:pPr>
        <w:pStyle w:val="ListParagraph"/>
        <w:numPr>
          <w:ilvl w:val="1"/>
          <w:numId w:val="15"/>
        </w:numPr>
        <w:tabs>
          <w:tab w:pos="8785" w:val="left" w:leader="none"/>
        </w:tabs>
        <w:spacing w:line="278" w:lineRule="auto" w:before="1" w:after="0"/>
        <w:ind w:left="8631" w:right="1105" w:firstLine="0"/>
        <w:jc w:val="left"/>
        <w:rPr>
          <w:sz w:val="15"/>
        </w:rPr>
      </w:pPr>
      <w:r>
        <w:rPr>
          <w:sz w:val="15"/>
        </w:rPr>
        <w:t>Department</w:t>
      </w:r>
      <w:r>
        <w:rPr>
          <w:spacing w:val="-14"/>
          <w:sz w:val="15"/>
        </w:rPr>
        <w:t> </w:t>
      </w:r>
      <w:r>
        <w:rPr>
          <w:sz w:val="15"/>
        </w:rPr>
        <w:t>of</w:t>
      </w:r>
      <w:r>
        <w:rPr>
          <w:spacing w:val="-13"/>
          <w:sz w:val="15"/>
        </w:rPr>
        <w:t> </w:t>
      </w:r>
      <w:r>
        <w:rPr>
          <w:sz w:val="15"/>
        </w:rPr>
        <w:t>Agriculture</w:t>
      </w:r>
      <w:r>
        <w:rPr>
          <w:spacing w:val="-13"/>
          <w:sz w:val="15"/>
        </w:rPr>
        <w:t> </w:t>
      </w:r>
      <w:r>
        <w:rPr>
          <w:sz w:val="15"/>
        </w:rPr>
        <w:t>and</w:t>
      </w:r>
      <w:r>
        <w:rPr>
          <w:spacing w:val="-13"/>
          <w:sz w:val="15"/>
        </w:rPr>
        <w:t> </w:t>
      </w:r>
      <w:r>
        <w:rPr>
          <w:sz w:val="15"/>
        </w:rPr>
        <w:t>Food,</w:t>
      </w:r>
      <w:r>
        <w:rPr>
          <w:spacing w:val="-13"/>
          <w:sz w:val="15"/>
        </w:rPr>
        <w:t> </w:t>
      </w:r>
      <w:r>
        <w:rPr>
          <w:sz w:val="15"/>
        </w:rPr>
        <w:t>Department</w:t>
      </w:r>
      <w:r>
        <w:rPr>
          <w:spacing w:val="-13"/>
          <w:sz w:val="15"/>
        </w:rPr>
        <w:t> </w:t>
      </w:r>
      <w:r>
        <w:rPr>
          <w:sz w:val="15"/>
        </w:rPr>
        <w:t>of</w:t>
      </w:r>
      <w:r>
        <w:rPr>
          <w:spacing w:val="-13"/>
          <w:sz w:val="15"/>
        </w:rPr>
        <w:t> </w:t>
      </w:r>
      <w:r>
        <w:rPr>
          <w:sz w:val="15"/>
        </w:rPr>
        <w:t>Regional</w:t>
      </w:r>
      <w:r>
        <w:rPr>
          <w:spacing w:val="-13"/>
          <w:sz w:val="15"/>
        </w:rPr>
        <w:t> </w:t>
      </w:r>
      <w:r>
        <w:rPr>
          <w:sz w:val="15"/>
        </w:rPr>
        <w:t>Development,</w:t>
      </w:r>
      <w:r>
        <w:rPr>
          <w:spacing w:val="-13"/>
          <w:sz w:val="15"/>
        </w:rPr>
        <w:t> </w:t>
      </w:r>
      <w:r>
        <w:rPr>
          <w:sz w:val="15"/>
        </w:rPr>
        <w:t>Department</w:t>
      </w:r>
      <w:r>
        <w:rPr>
          <w:spacing w:val="-13"/>
          <w:sz w:val="15"/>
        </w:rPr>
        <w:t> </w:t>
      </w:r>
      <w:r>
        <w:rPr>
          <w:sz w:val="15"/>
        </w:rPr>
        <w:t>of</w:t>
      </w:r>
      <w:r>
        <w:rPr>
          <w:spacing w:val="-13"/>
          <w:sz w:val="15"/>
        </w:rPr>
        <w:t> </w:t>
      </w:r>
      <w:r>
        <w:rPr>
          <w:sz w:val="15"/>
        </w:rPr>
        <w:t>Fisheries</w:t>
      </w:r>
      <w:r>
        <w:rPr>
          <w:spacing w:val="-13"/>
          <w:sz w:val="15"/>
        </w:rPr>
        <w:t> </w:t>
      </w:r>
      <w:r>
        <w:rPr>
          <w:sz w:val="15"/>
        </w:rPr>
        <w:t>and Regional</w:t>
      </w:r>
      <w:r>
        <w:rPr>
          <w:spacing w:val="-15"/>
          <w:sz w:val="15"/>
        </w:rPr>
        <w:t> </w:t>
      </w:r>
      <w:r>
        <w:rPr>
          <w:sz w:val="15"/>
        </w:rPr>
        <w:t>Development</w:t>
      </w:r>
      <w:r>
        <w:rPr>
          <w:spacing w:val="-14"/>
          <w:sz w:val="15"/>
        </w:rPr>
        <w:t> </w:t>
      </w:r>
      <w:r>
        <w:rPr>
          <w:sz w:val="15"/>
        </w:rPr>
        <w:t>Commissions</w:t>
      </w:r>
      <w:r>
        <w:rPr>
          <w:spacing w:val="-14"/>
          <w:sz w:val="15"/>
        </w:rPr>
        <w:t> </w:t>
      </w:r>
      <w:r>
        <w:rPr>
          <w:sz w:val="15"/>
        </w:rPr>
        <w:t>merged</w:t>
      </w:r>
      <w:r>
        <w:rPr>
          <w:spacing w:val="-14"/>
          <w:sz w:val="15"/>
        </w:rPr>
        <w:t> </w:t>
      </w:r>
      <w:r>
        <w:rPr>
          <w:sz w:val="15"/>
        </w:rPr>
        <w:t>on</w:t>
      </w:r>
      <w:r>
        <w:rPr>
          <w:spacing w:val="-14"/>
          <w:sz w:val="15"/>
        </w:rPr>
        <w:t> </w:t>
      </w:r>
      <w:r>
        <w:rPr>
          <w:sz w:val="15"/>
        </w:rPr>
        <w:t>1</w:t>
      </w:r>
      <w:r>
        <w:rPr>
          <w:spacing w:val="-14"/>
          <w:sz w:val="15"/>
        </w:rPr>
        <w:t> </w:t>
      </w:r>
      <w:r>
        <w:rPr>
          <w:sz w:val="15"/>
        </w:rPr>
        <w:t>July</w:t>
      </w:r>
      <w:r>
        <w:rPr>
          <w:spacing w:val="-14"/>
          <w:sz w:val="15"/>
        </w:rPr>
        <w:t> </w:t>
      </w:r>
      <w:r>
        <w:rPr>
          <w:sz w:val="15"/>
        </w:rPr>
        <w:t>2017</w:t>
      </w:r>
      <w:r>
        <w:rPr>
          <w:spacing w:val="-14"/>
          <w:sz w:val="15"/>
        </w:rPr>
        <w:t> </w:t>
      </w:r>
      <w:r>
        <w:rPr>
          <w:sz w:val="15"/>
        </w:rPr>
        <w:t>to</w:t>
      </w:r>
      <w:r>
        <w:rPr>
          <w:spacing w:val="-14"/>
          <w:sz w:val="15"/>
        </w:rPr>
        <w:t> </w:t>
      </w:r>
      <w:r>
        <w:rPr>
          <w:sz w:val="15"/>
        </w:rPr>
        <w:t>become</w:t>
      </w:r>
      <w:r>
        <w:rPr>
          <w:spacing w:val="-14"/>
          <w:sz w:val="15"/>
        </w:rPr>
        <w:t> </w:t>
      </w:r>
      <w:r>
        <w:rPr>
          <w:sz w:val="15"/>
        </w:rPr>
        <w:t>Department</w:t>
      </w:r>
      <w:r>
        <w:rPr>
          <w:spacing w:val="-14"/>
          <w:sz w:val="15"/>
        </w:rPr>
        <w:t> </w:t>
      </w:r>
      <w:r>
        <w:rPr>
          <w:sz w:val="15"/>
        </w:rPr>
        <w:t>of</w:t>
      </w:r>
      <w:r>
        <w:rPr>
          <w:spacing w:val="-14"/>
          <w:sz w:val="15"/>
        </w:rPr>
        <w:t> </w:t>
      </w:r>
      <w:r>
        <w:rPr>
          <w:sz w:val="15"/>
        </w:rPr>
        <w:t>Primary</w:t>
      </w:r>
      <w:r>
        <w:rPr>
          <w:spacing w:val="-14"/>
          <w:sz w:val="15"/>
        </w:rPr>
        <w:t> </w:t>
      </w:r>
      <w:r>
        <w:rPr>
          <w:sz w:val="15"/>
        </w:rPr>
        <w:t>Industries</w:t>
      </w:r>
      <w:r>
        <w:rPr>
          <w:spacing w:val="-14"/>
          <w:sz w:val="15"/>
        </w:rPr>
        <w:t> </w:t>
      </w:r>
      <w:r>
        <w:rPr>
          <w:spacing w:val="-6"/>
          <w:sz w:val="15"/>
        </w:rPr>
        <w:t>and </w:t>
      </w:r>
      <w:r>
        <w:rPr>
          <w:sz w:val="15"/>
        </w:rPr>
        <w:t>Regional Development due to Machinery of Government</w:t>
      </w:r>
      <w:r>
        <w:rPr>
          <w:spacing w:val="-14"/>
          <w:sz w:val="15"/>
        </w:rPr>
        <w:t> </w:t>
      </w:r>
      <w:r>
        <w:rPr>
          <w:sz w:val="15"/>
        </w:rPr>
        <w:t>changes.</w:t>
      </w:r>
    </w:p>
    <w:p>
      <w:pPr>
        <w:pStyle w:val="BodyText"/>
        <w:spacing w:before="4"/>
        <w:rPr>
          <w:sz w:val="17"/>
        </w:rPr>
      </w:pPr>
    </w:p>
    <w:p>
      <w:pPr>
        <w:pStyle w:val="ListParagraph"/>
        <w:numPr>
          <w:ilvl w:val="1"/>
          <w:numId w:val="15"/>
        </w:numPr>
        <w:tabs>
          <w:tab w:pos="8829" w:val="left" w:leader="none"/>
        </w:tabs>
        <w:spacing w:line="240" w:lineRule="auto" w:before="0" w:after="0"/>
        <w:ind w:left="8828" w:right="0" w:hanging="197"/>
        <w:jc w:val="left"/>
        <w:rPr>
          <w:sz w:val="15"/>
        </w:rPr>
      </w:pPr>
      <w:r>
        <w:rPr>
          <w:sz w:val="15"/>
        </w:rPr>
        <w:t>Includes 29 Agencies in 2018 and 50 Agencies in</w:t>
      </w:r>
      <w:r>
        <w:rPr>
          <w:spacing w:val="-8"/>
          <w:sz w:val="15"/>
        </w:rPr>
        <w:t> </w:t>
      </w:r>
      <w:r>
        <w:rPr>
          <w:sz w:val="15"/>
        </w:rPr>
        <w:t>2017.</w:t>
      </w:r>
    </w:p>
    <w:p>
      <w:pPr>
        <w:spacing w:after="0" w:line="240" w:lineRule="auto"/>
        <w:jc w:val="left"/>
        <w:rPr>
          <w:sz w:val="15"/>
        </w:rPr>
        <w:sectPr>
          <w:footerReference w:type="default" r:id="rId168"/>
          <w:pgSz w:w="16840" w:h="11910" w:orient="landscape"/>
          <w:pgMar w:footer="868" w:header="0" w:top="0" w:bottom="10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shape style="position:absolute;margin-left:601.348999pt;margin-top:-57.37421pt;width:120.3pt;height:42.55pt;mso-position-horizontal-relative:page;mso-position-vertical-relative:paragraph;z-index:18352"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837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8400"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Heading5"/>
        <w:spacing w:before="257"/>
      </w:pPr>
      <w:r>
        <w:rPr>
          <w:color w:val="6F2770"/>
        </w:rPr>
        <w:t>Note 36. Commitments</w:t>
      </w:r>
    </w:p>
    <w:p>
      <w:pPr>
        <w:pStyle w:val="BodyText"/>
        <w:spacing w:before="2"/>
        <w:rPr>
          <w:sz w:val="11"/>
        </w:rPr>
      </w:pPr>
    </w:p>
    <w:p>
      <w:pPr>
        <w:spacing w:after="0"/>
        <w:rPr>
          <w:sz w:val="11"/>
        </w:rPr>
        <w:sectPr>
          <w:footerReference w:type="default" r:id="rId169"/>
          <w:pgSz w:w="16840" w:h="11910" w:orient="landscape"/>
          <w:pgMar w:footer="774" w:header="0" w:top="0" w:bottom="960" w:left="0" w:right="0"/>
        </w:sectPr>
      </w:pPr>
    </w:p>
    <w:p>
      <w:pPr>
        <w:spacing w:before="113" w:after="40"/>
        <w:ind w:left="785" w:right="0" w:firstLine="0"/>
        <w:jc w:val="left"/>
        <w:rPr>
          <w:b/>
          <w:sz w:val="19"/>
        </w:rPr>
      </w:pPr>
      <w:r>
        <w:rPr>
          <w:b/>
          <w:sz w:val="19"/>
        </w:rPr>
        <w:t>Non-cancellable operating lease commitments</w:t>
      </w: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518" w:hRule="atLeast"/>
        </w:trPr>
        <w:tc>
          <w:tcPr>
            <w:tcW w:w="5131" w:type="dxa"/>
            <w:tcBorders>
              <w:bottom w:val="single" w:sz="8" w:space="0" w:color="FFFFFF"/>
            </w:tcBorders>
            <w:shd w:val="clear" w:color="auto" w:fill="F4F4F4"/>
          </w:tcPr>
          <w:p>
            <w:pPr>
              <w:pStyle w:val="TableParagraph"/>
              <w:spacing w:line="249" w:lineRule="auto" w:before="37"/>
              <w:ind w:left="113" w:right="214"/>
              <w:rPr>
                <w:sz w:val="19"/>
              </w:rPr>
            </w:pPr>
            <w:r>
              <w:rPr>
                <w:sz w:val="19"/>
              </w:rPr>
              <w:t>Commitments</w:t>
            </w:r>
            <w:r>
              <w:rPr>
                <w:spacing w:val="-22"/>
                <w:sz w:val="19"/>
              </w:rPr>
              <w:t> </w:t>
            </w:r>
            <w:r>
              <w:rPr>
                <w:sz w:val="19"/>
              </w:rPr>
              <w:t>for</w:t>
            </w:r>
            <w:r>
              <w:rPr>
                <w:spacing w:val="-22"/>
                <w:sz w:val="19"/>
              </w:rPr>
              <w:t> </w:t>
            </w:r>
            <w:r>
              <w:rPr>
                <w:sz w:val="19"/>
              </w:rPr>
              <w:t>minimum</w:t>
            </w:r>
            <w:r>
              <w:rPr>
                <w:spacing w:val="-22"/>
                <w:sz w:val="19"/>
              </w:rPr>
              <w:t> </w:t>
            </w:r>
            <w:r>
              <w:rPr>
                <w:sz w:val="19"/>
              </w:rPr>
              <w:t>lease</w:t>
            </w:r>
            <w:r>
              <w:rPr>
                <w:spacing w:val="-21"/>
                <w:sz w:val="19"/>
              </w:rPr>
              <w:t> </w:t>
            </w:r>
            <w:r>
              <w:rPr>
                <w:sz w:val="19"/>
              </w:rPr>
              <w:t>payments</w:t>
            </w:r>
            <w:r>
              <w:rPr>
                <w:spacing w:val="-22"/>
                <w:sz w:val="19"/>
              </w:rPr>
              <w:t> </w:t>
            </w:r>
            <w:r>
              <w:rPr>
                <w:sz w:val="19"/>
              </w:rPr>
              <w:t>are</w:t>
            </w:r>
            <w:r>
              <w:rPr>
                <w:spacing w:val="-22"/>
                <w:sz w:val="19"/>
              </w:rPr>
              <w:t> </w:t>
            </w:r>
            <w:r>
              <w:rPr>
                <w:sz w:val="19"/>
              </w:rPr>
              <w:t>payable</w:t>
            </w:r>
            <w:r>
              <w:rPr>
                <w:spacing w:val="-22"/>
                <w:sz w:val="19"/>
              </w:rPr>
              <w:t> </w:t>
            </w:r>
            <w:r>
              <w:rPr>
                <w:spacing w:val="-8"/>
                <w:sz w:val="19"/>
              </w:rPr>
              <w:t>as </w:t>
            </w:r>
            <w:r>
              <w:rPr>
                <w:sz w:val="19"/>
              </w:rPr>
              <w:t>follows:</w:t>
            </w:r>
          </w:p>
        </w:tc>
        <w:tc>
          <w:tcPr>
            <w:tcW w:w="1134" w:type="dxa"/>
            <w:vMerge w:val="restart"/>
            <w:tcBorders>
              <w:bottom w:val="single" w:sz="4" w:space="0" w:color="000000"/>
            </w:tcBorders>
            <w:shd w:val="clear" w:color="auto" w:fill="E1E4BB"/>
          </w:tcPr>
          <w:p>
            <w:pPr>
              <w:pStyle w:val="TableParagraph"/>
              <w:spacing w:before="0"/>
              <w:rPr>
                <w:b/>
                <w:sz w:val="22"/>
              </w:rPr>
            </w:pPr>
          </w:p>
          <w:p>
            <w:pPr>
              <w:pStyle w:val="TableParagraph"/>
              <w:spacing w:before="7"/>
              <w:rPr>
                <w:b/>
                <w:sz w:val="27"/>
              </w:rPr>
            </w:pPr>
          </w:p>
          <w:p>
            <w:pPr>
              <w:pStyle w:val="TableParagraph"/>
              <w:spacing w:before="0"/>
              <w:ind w:left="523" w:right="93"/>
              <w:jc w:val="center"/>
              <w:rPr>
                <w:sz w:val="19"/>
              </w:rPr>
            </w:pPr>
            <w:r>
              <w:rPr>
                <w:sz w:val="19"/>
              </w:rPr>
              <w:t>7,895</w:t>
            </w:r>
          </w:p>
          <w:p>
            <w:pPr>
              <w:pStyle w:val="TableParagraph"/>
              <w:spacing w:before="109"/>
              <w:ind w:left="418" w:right="93"/>
              <w:jc w:val="center"/>
              <w:rPr>
                <w:sz w:val="19"/>
              </w:rPr>
            </w:pPr>
            <w:r>
              <w:rPr>
                <w:sz w:val="19"/>
              </w:rPr>
              <w:t>30,061</w:t>
            </w:r>
          </w:p>
          <w:p>
            <w:pPr>
              <w:pStyle w:val="TableParagraph"/>
              <w:spacing w:before="109"/>
              <w:ind w:left="418" w:right="93"/>
              <w:jc w:val="center"/>
              <w:rPr>
                <w:sz w:val="19"/>
              </w:rPr>
            </w:pPr>
            <w:r>
              <w:rPr>
                <w:sz w:val="19"/>
              </w:rPr>
              <w:t>50,275</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Within 1 year</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9,367</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34,464</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29,908</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88,231</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73,739</w:t>
            </w:r>
          </w:p>
        </w:tc>
      </w:tr>
    </w:tbl>
    <w:p>
      <w:pPr>
        <w:pStyle w:val="BodyText"/>
        <w:spacing w:before="4"/>
        <w:rPr>
          <w:b/>
          <w:sz w:val="21"/>
        </w:rPr>
      </w:pPr>
    </w:p>
    <w:p>
      <w:pPr>
        <w:spacing w:line="249" w:lineRule="auto" w:before="0"/>
        <w:ind w:left="765" w:right="33" w:firstLine="0"/>
        <w:jc w:val="left"/>
        <w:rPr>
          <w:sz w:val="19"/>
        </w:rPr>
      </w:pPr>
      <w:r>
        <w:rPr>
          <w:sz w:val="19"/>
        </w:rPr>
        <w:t>The property leases are non-cancellable and have terms up to 25 years, with rent generally</w:t>
      </w:r>
      <w:r>
        <w:rPr>
          <w:spacing w:val="-19"/>
          <w:sz w:val="19"/>
        </w:rPr>
        <w:t> </w:t>
      </w:r>
      <w:r>
        <w:rPr>
          <w:sz w:val="19"/>
        </w:rPr>
        <w:t>payable</w:t>
      </w:r>
      <w:r>
        <w:rPr>
          <w:spacing w:val="-18"/>
          <w:sz w:val="19"/>
        </w:rPr>
        <w:t> </w:t>
      </w:r>
      <w:r>
        <w:rPr>
          <w:sz w:val="19"/>
        </w:rPr>
        <w:t>monthly</w:t>
      </w:r>
      <w:r>
        <w:rPr>
          <w:spacing w:val="-18"/>
          <w:sz w:val="19"/>
        </w:rPr>
        <w:t> </w:t>
      </w:r>
      <w:r>
        <w:rPr>
          <w:sz w:val="19"/>
        </w:rPr>
        <w:t>in</w:t>
      </w:r>
      <w:r>
        <w:rPr>
          <w:spacing w:val="-18"/>
          <w:sz w:val="19"/>
        </w:rPr>
        <w:t> </w:t>
      </w:r>
      <w:r>
        <w:rPr>
          <w:sz w:val="19"/>
        </w:rPr>
        <w:t>advance.</w:t>
      </w:r>
      <w:r>
        <w:rPr>
          <w:spacing w:val="-18"/>
          <w:sz w:val="19"/>
        </w:rPr>
        <w:t> </w:t>
      </w:r>
      <w:r>
        <w:rPr>
          <w:sz w:val="19"/>
        </w:rPr>
        <w:t>Depending</w:t>
      </w:r>
      <w:r>
        <w:rPr>
          <w:spacing w:val="-18"/>
          <w:sz w:val="19"/>
        </w:rPr>
        <w:t> </w:t>
      </w:r>
      <w:r>
        <w:rPr>
          <w:sz w:val="19"/>
        </w:rPr>
        <w:t>on</w:t>
      </w:r>
      <w:r>
        <w:rPr>
          <w:spacing w:val="-18"/>
          <w:sz w:val="19"/>
        </w:rPr>
        <w:t> </w:t>
      </w:r>
      <w:r>
        <w:rPr>
          <w:sz w:val="19"/>
        </w:rPr>
        <w:t>the</w:t>
      </w:r>
      <w:r>
        <w:rPr>
          <w:spacing w:val="-19"/>
          <w:sz w:val="19"/>
        </w:rPr>
        <w:t> </w:t>
      </w:r>
      <w:r>
        <w:rPr>
          <w:sz w:val="19"/>
        </w:rPr>
        <w:t>terms</w:t>
      </w:r>
      <w:r>
        <w:rPr>
          <w:spacing w:val="-18"/>
          <w:sz w:val="19"/>
        </w:rPr>
        <w:t> </w:t>
      </w:r>
      <w:r>
        <w:rPr>
          <w:sz w:val="19"/>
        </w:rPr>
        <w:t>and</w:t>
      </w:r>
      <w:r>
        <w:rPr>
          <w:spacing w:val="-18"/>
          <w:sz w:val="19"/>
        </w:rPr>
        <w:t> </w:t>
      </w:r>
      <w:r>
        <w:rPr>
          <w:sz w:val="19"/>
        </w:rPr>
        <w:t>conditions</w:t>
      </w:r>
      <w:r>
        <w:rPr>
          <w:spacing w:val="-18"/>
          <w:sz w:val="19"/>
        </w:rPr>
        <w:t> </w:t>
      </w:r>
      <w:r>
        <w:rPr>
          <w:sz w:val="19"/>
        </w:rPr>
        <w:t>of</w:t>
      </w:r>
      <w:r>
        <w:rPr>
          <w:spacing w:val="-18"/>
          <w:sz w:val="19"/>
        </w:rPr>
        <w:t> </w:t>
      </w:r>
      <w:r>
        <w:rPr>
          <w:sz w:val="19"/>
        </w:rPr>
        <w:t>the</w:t>
      </w:r>
      <w:r>
        <w:rPr>
          <w:spacing w:val="-18"/>
          <w:sz w:val="19"/>
        </w:rPr>
        <w:t> </w:t>
      </w:r>
      <w:r>
        <w:rPr>
          <w:spacing w:val="-4"/>
          <w:sz w:val="19"/>
        </w:rPr>
        <w:t>lease</w:t>
      </w:r>
    </w:p>
    <w:p>
      <w:pPr>
        <w:spacing w:line="249" w:lineRule="auto" w:before="1"/>
        <w:ind w:left="765" w:right="-9" w:firstLine="0"/>
        <w:jc w:val="left"/>
        <w:rPr>
          <w:sz w:val="19"/>
        </w:rPr>
      </w:pPr>
      <w:r>
        <w:rPr>
          <w:sz w:val="19"/>
        </w:rPr>
        <w:t>concerned,</w:t>
      </w:r>
      <w:r>
        <w:rPr>
          <w:spacing w:val="-25"/>
          <w:sz w:val="19"/>
        </w:rPr>
        <w:t> </w:t>
      </w:r>
      <w:r>
        <w:rPr>
          <w:sz w:val="19"/>
        </w:rPr>
        <w:t>rent</w:t>
      </w:r>
      <w:r>
        <w:rPr>
          <w:spacing w:val="-24"/>
          <w:sz w:val="19"/>
        </w:rPr>
        <w:t> </w:t>
      </w:r>
      <w:r>
        <w:rPr>
          <w:sz w:val="19"/>
        </w:rPr>
        <w:t>review</w:t>
      </w:r>
      <w:r>
        <w:rPr>
          <w:spacing w:val="-24"/>
          <w:sz w:val="19"/>
        </w:rPr>
        <w:t> </w:t>
      </w:r>
      <w:r>
        <w:rPr>
          <w:sz w:val="19"/>
        </w:rPr>
        <w:t>provisions</w:t>
      </w:r>
      <w:r>
        <w:rPr>
          <w:spacing w:val="-24"/>
          <w:sz w:val="19"/>
        </w:rPr>
        <w:t> </w:t>
      </w:r>
      <w:r>
        <w:rPr>
          <w:sz w:val="19"/>
        </w:rPr>
        <w:t>exist</w:t>
      </w:r>
      <w:r>
        <w:rPr>
          <w:spacing w:val="-25"/>
          <w:sz w:val="19"/>
        </w:rPr>
        <w:t> </w:t>
      </w:r>
      <w:r>
        <w:rPr>
          <w:sz w:val="19"/>
        </w:rPr>
        <w:t>which</w:t>
      </w:r>
      <w:r>
        <w:rPr>
          <w:spacing w:val="-24"/>
          <w:sz w:val="19"/>
        </w:rPr>
        <w:t> </w:t>
      </w:r>
      <w:r>
        <w:rPr>
          <w:sz w:val="19"/>
        </w:rPr>
        <w:t>generally</w:t>
      </w:r>
      <w:r>
        <w:rPr>
          <w:spacing w:val="-24"/>
          <w:sz w:val="19"/>
        </w:rPr>
        <w:t> </w:t>
      </w:r>
      <w:r>
        <w:rPr>
          <w:sz w:val="19"/>
        </w:rPr>
        <w:t>result</w:t>
      </w:r>
      <w:r>
        <w:rPr>
          <w:spacing w:val="-24"/>
          <w:sz w:val="19"/>
        </w:rPr>
        <w:t> </w:t>
      </w:r>
      <w:r>
        <w:rPr>
          <w:sz w:val="19"/>
        </w:rPr>
        <w:t>in</w:t>
      </w:r>
      <w:r>
        <w:rPr>
          <w:spacing w:val="-25"/>
          <w:sz w:val="19"/>
        </w:rPr>
        <w:t> </w:t>
      </w:r>
      <w:r>
        <w:rPr>
          <w:sz w:val="19"/>
        </w:rPr>
        <w:t>rental</w:t>
      </w:r>
      <w:r>
        <w:rPr>
          <w:spacing w:val="-24"/>
          <w:sz w:val="19"/>
        </w:rPr>
        <w:t> </w:t>
      </w:r>
      <w:r>
        <w:rPr>
          <w:sz w:val="19"/>
        </w:rPr>
        <w:t>increases</w:t>
      </w:r>
      <w:r>
        <w:rPr>
          <w:spacing w:val="-24"/>
          <w:sz w:val="19"/>
        </w:rPr>
        <w:t> </w:t>
      </w:r>
      <w:r>
        <w:rPr>
          <w:spacing w:val="-3"/>
          <w:sz w:val="19"/>
        </w:rPr>
        <w:t>throughout </w:t>
      </w:r>
      <w:r>
        <w:rPr>
          <w:sz w:val="19"/>
        </w:rPr>
        <w:t>the lease terms. Options exist in most leases which permit leases to be extended under the</w:t>
      </w:r>
      <w:r>
        <w:rPr>
          <w:spacing w:val="-18"/>
          <w:sz w:val="19"/>
        </w:rPr>
        <w:t> </w:t>
      </w:r>
      <w:r>
        <w:rPr>
          <w:sz w:val="19"/>
        </w:rPr>
        <w:t>prevailing</w:t>
      </w:r>
      <w:r>
        <w:rPr>
          <w:spacing w:val="-17"/>
          <w:sz w:val="19"/>
        </w:rPr>
        <w:t> </w:t>
      </w:r>
      <w:r>
        <w:rPr>
          <w:sz w:val="19"/>
        </w:rPr>
        <w:t>lease</w:t>
      </w:r>
      <w:r>
        <w:rPr>
          <w:spacing w:val="-18"/>
          <w:sz w:val="19"/>
        </w:rPr>
        <w:t> </w:t>
      </w:r>
      <w:r>
        <w:rPr>
          <w:sz w:val="19"/>
        </w:rPr>
        <w:t>terms</w:t>
      </w:r>
      <w:r>
        <w:rPr>
          <w:spacing w:val="-17"/>
          <w:sz w:val="19"/>
        </w:rPr>
        <w:t> </w:t>
      </w:r>
      <w:r>
        <w:rPr>
          <w:sz w:val="19"/>
        </w:rPr>
        <w:t>and</w:t>
      </w:r>
      <w:r>
        <w:rPr>
          <w:spacing w:val="-18"/>
          <w:sz w:val="19"/>
        </w:rPr>
        <w:t> </w:t>
      </w:r>
      <w:r>
        <w:rPr>
          <w:sz w:val="19"/>
        </w:rPr>
        <w:t>conditions,</w:t>
      </w:r>
      <w:r>
        <w:rPr>
          <w:spacing w:val="-17"/>
          <w:sz w:val="19"/>
        </w:rPr>
        <w:t> </w:t>
      </w:r>
      <w:r>
        <w:rPr>
          <w:sz w:val="19"/>
        </w:rPr>
        <w:t>resulting</w:t>
      </w:r>
      <w:r>
        <w:rPr>
          <w:spacing w:val="-18"/>
          <w:sz w:val="19"/>
        </w:rPr>
        <w:t> </w:t>
      </w:r>
      <w:r>
        <w:rPr>
          <w:sz w:val="19"/>
        </w:rPr>
        <w:t>in</w:t>
      </w:r>
      <w:r>
        <w:rPr>
          <w:spacing w:val="-17"/>
          <w:sz w:val="19"/>
        </w:rPr>
        <w:t> </w:t>
      </w:r>
      <w:r>
        <w:rPr>
          <w:sz w:val="19"/>
        </w:rPr>
        <w:t>leases</w:t>
      </w:r>
      <w:r>
        <w:rPr>
          <w:spacing w:val="-18"/>
          <w:sz w:val="19"/>
        </w:rPr>
        <w:t> </w:t>
      </w:r>
      <w:r>
        <w:rPr>
          <w:sz w:val="19"/>
        </w:rPr>
        <w:t>being</w:t>
      </w:r>
      <w:r>
        <w:rPr>
          <w:spacing w:val="-17"/>
          <w:sz w:val="19"/>
        </w:rPr>
        <w:t> </w:t>
      </w:r>
      <w:r>
        <w:rPr>
          <w:sz w:val="19"/>
        </w:rPr>
        <w:t>extended</w:t>
      </w:r>
      <w:r>
        <w:rPr>
          <w:spacing w:val="-17"/>
          <w:sz w:val="19"/>
        </w:rPr>
        <w:t> </w:t>
      </w:r>
      <w:r>
        <w:rPr>
          <w:sz w:val="19"/>
        </w:rPr>
        <w:t>beyond</w:t>
      </w:r>
      <w:r>
        <w:rPr>
          <w:spacing w:val="-18"/>
          <w:sz w:val="19"/>
        </w:rPr>
        <w:t> </w:t>
      </w:r>
      <w:r>
        <w:rPr>
          <w:sz w:val="19"/>
        </w:rPr>
        <w:t>their original lease</w:t>
      </w:r>
      <w:r>
        <w:rPr>
          <w:spacing w:val="-2"/>
          <w:sz w:val="19"/>
        </w:rPr>
        <w:t> </w:t>
      </w:r>
      <w:r>
        <w:rPr>
          <w:sz w:val="19"/>
        </w:rPr>
        <w:t>term.</w:t>
      </w:r>
    </w:p>
    <w:p>
      <w:pPr>
        <w:pStyle w:val="BodyText"/>
        <w:spacing w:before="1"/>
        <w:rPr>
          <w:sz w:val="20"/>
        </w:rPr>
      </w:pPr>
    </w:p>
    <w:p>
      <w:pPr>
        <w:spacing w:before="0"/>
        <w:ind w:left="765" w:right="0" w:firstLine="0"/>
        <w:jc w:val="left"/>
        <w:rPr>
          <w:b/>
          <w:sz w:val="19"/>
        </w:rPr>
      </w:pPr>
      <w:r>
        <w:rPr>
          <w:b/>
          <w:sz w:val="19"/>
        </w:rPr>
        <w:t>Capital expenditure commitments</w:t>
      </w:r>
    </w:p>
    <w:p>
      <w:pPr>
        <w:spacing w:line="249" w:lineRule="auto" w:before="10"/>
        <w:ind w:left="765" w:right="217" w:firstLine="0"/>
        <w:jc w:val="left"/>
        <w:rPr>
          <w:sz w:val="19"/>
        </w:rPr>
      </w:pPr>
      <w:r>
        <w:rPr/>
        <w:pict>
          <v:group style="position:absolute;margin-left:294.803192pt;margin-top:102.728592pt;width:113.4pt;height:.550pt;mso-position-horizontal-relative:page;mso-position-vertical-relative:paragraph;z-index:18328" coordorigin="5896,2055" coordsize="2268,11">
            <v:line style="position:absolute" from="5896,2060" to="7030,2060" stroked="true" strokeweight=".501pt" strokecolor="#000000">
              <v:stroke dashstyle="solid"/>
            </v:line>
            <v:line style="position:absolute" from="7030,2060" to="8164,2060" stroked="true" strokeweight=".501pt" strokecolor="#000000">
              <v:stroke dashstyle="solid"/>
            </v:line>
            <w10:wrap type="none"/>
          </v:group>
        </w:pict>
      </w:r>
      <w:r>
        <w:rPr>
          <w:sz w:val="19"/>
        </w:rPr>
        <w:t>Capital</w:t>
      </w:r>
      <w:r>
        <w:rPr>
          <w:spacing w:val="-19"/>
          <w:sz w:val="19"/>
        </w:rPr>
        <w:t> </w:t>
      </w:r>
      <w:r>
        <w:rPr>
          <w:sz w:val="19"/>
        </w:rPr>
        <w:t>expenditure</w:t>
      </w:r>
      <w:r>
        <w:rPr>
          <w:spacing w:val="-19"/>
          <w:sz w:val="19"/>
        </w:rPr>
        <w:t> </w:t>
      </w:r>
      <w:r>
        <w:rPr>
          <w:sz w:val="19"/>
        </w:rPr>
        <w:t>commitments,</w:t>
      </w:r>
      <w:r>
        <w:rPr>
          <w:spacing w:val="-18"/>
          <w:sz w:val="19"/>
        </w:rPr>
        <w:t> </w:t>
      </w:r>
      <w:r>
        <w:rPr>
          <w:sz w:val="19"/>
        </w:rPr>
        <w:t>being</w:t>
      </w:r>
      <w:r>
        <w:rPr>
          <w:spacing w:val="-19"/>
          <w:sz w:val="19"/>
        </w:rPr>
        <w:t> </w:t>
      </w:r>
      <w:r>
        <w:rPr>
          <w:sz w:val="19"/>
        </w:rPr>
        <w:t>contracted</w:t>
      </w:r>
      <w:r>
        <w:rPr>
          <w:spacing w:val="-19"/>
          <w:sz w:val="19"/>
        </w:rPr>
        <w:t> </w:t>
      </w:r>
      <w:r>
        <w:rPr>
          <w:sz w:val="19"/>
        </w:rPr>
        <w:t>capital</w:t>
      </w:r>
      <w:r>
        <w:rPr>
          <w:spacing w:val="-18"/>
          <w:sz w:val="19"/>
        </w:rPr>
        <w:t> </w:t>
      </w:r>
      <w:r>
        <w:rPr>
          <w:sz w:val="19"/>
        </w:rPr>
        <w:t>expenditure</w:t>
      </w:r>
      <w:r>
        <w:rPr>
          <w:spacing w:val="-19"/>
          <w:sz w:val="19"/>
        </w:rPr>
        <w:t> </w:t>
      </w:r>
      <w:r>
        <w:rPr>
          <w:sz w:val="19"/>
        </w:rPr>
        <w:t>additional</w:t>
      </w:r>
      <w:r>
        <w:rPr>
          <w:spacing w:val="-18"/>
          <w:sz w:val="19"/>
        </w:rPr>
        <w:t> </w:t>
      </w:r>
      <w:r>
        <w:rPr>
          <w:sz w:val="19"/>
        </w:rPr>
        <w:t>to</w:t>
      </w:r>
      <w:r>
        <w:rPr>
          <w:spacing w:val="-19"/>
          <w:sz w:val="19"/>
        </w:rPr>
        <w:t> </w:t>
      </w:r>
      <w:r>
        <w:rPr>
          <w:spacing w:val="-6"/>
          <w:sz w:val="19"/>
        </w:rPr>
        <w:t>the </w:t>
      </w:r>
      <w:r>
        <w:rPr>
          <w:sz w:val="19"/>
        </w:rPr>
        <w:t>amounts</w:t>
      </w:r>
      <w:r>
        <w:rPr>
          <w:spacing w:val="-5"/>
          <w:sz w:val="19"/>
        </w:rPr>
        <w:t> </w:t>
      </w:r>
      <w:r>
        <w:rPr>
          <w:sz w:val="19"/>
        </w:rPr>
        <w:t>reported</w:t>
      </w:r>
      <w:r>
        <w:rPr>
          <w:spacing w:val="-5"/>
          <w:sz w:val="19"/>
        </w:rPr>
        <w:t> </w:t>
      </w:r>
      <w:r>
        <w:rPr>
          <w:sz w:val="19"/>
        </w:rPr>
        <w:t>in</w:t>
      </w:r>
      <w:r>
        <w:rPr>
          <w:spacing w:val="-5"/>
          <w:sz w:val="19"/>
        </w:rPr>
        <w:t> </w:t>
      </w:r>
      <w:r>
        <w:rPr>
          <w:sz w:val="19"/>
        </w:rPr>
        <w:t>the</w:t>
      </w:r>
      <w:r>
        <w:rPr>
          <w:spacing w:val="-5"/>
          <w:sz w:val="19"/>
        </w:rPr>
        <w:t> </w:t>
      </w:r>
      <w:r>
        <w:rPr>
          <w:sz w:val="19"/>
        </w:rPr>
        <w:t>financial</w:t>
      </w:r>
      <w:r>
        <w:rPr>
          <w:spacing w:val="-4"/>
          <w:sz w:val="19"/>
        </w:rPr>
        <w:t> </w:t>
      </w:r>
      <w:r>
        <w:rPr>
          <w:sz w:val="19"/>
        </w:rPr>
        <w:t>statements,</w:t>
      </w:r>
      <w:r>
        <w:rPr>
          <w:spacing w:val="-5"/>
          <w:sz w:val="19"/>
        </w:rPr>
        <w:t> </w:t>
      </w:r>
      <w:r>
        <w:rPr>
          <w:sz w:val="19"/>
        </w:rPr>
        <w:t>are</w:t>
      </w:r>
      <w:r>
        <w:rPr>
          <w:spacing w:val="-5"/>
          <w:sz w:val="19"/>
        </w:rPr>
        <w:t> </w:t>
      </w:r>
      <w:r>
        <w:rPr>
          <w:sz w:val="19"/>
        </w:rPr>
        <w:t>payable</w:t>
      </w:r>
      <w:r>
        <w:rPr>
          <w:spacing w:val="-5"/>
          <w:sz w:val="19"/>
        </w:rPr>
        <w:t> </w:t>
      </w:r>
      <w:r>
        <w:rPr>
          <w:sz w:val="19"/>
        </w:rPr>
        <w:t>as</w:t>
      </w:r>
      <w:r>
        <w:rPr>
          <w:spacing w:val="-5"/>
          <w:sz w:val="19"/>
        </w:rPr>
        <w:t> </w:t>
      </w:r>
      <w:r>
        <w:rPr>
          <w:sz w:val="19"/>
        </w:rPr>
        <w:t>follows:</w:t>
      </w:r>
    </w:p>
    <w:p>
      <w:pPr>
        <w:spacing w:before="108"/>
        <w:ind w:left="403" w:right="0" w:firstLine="0"/>
        <w:jc w:val="left"/>
        <w:rPr>
          <w:b/>
          <w:sz w:val="19"/>
        </w:rPr>
      </w:pPr>
      <w:r>
        <w:rPr/>
        <w:br w:type="column"/>
      </w:r>
      <w:r>
        <w:rPr>
          <w:b/>
          <w:sz w:val="19"/>
        </w:rPr>
        <w:t>Other expenditure commitments</w:t>
      </w:r>
    </w:p>
    <w:p>
      <w:pPr>
        <w:spacing w:line="249" w:lineRule="auto" w:before="9"/>
        <w:ind w:left="403" w:right="972" w:firstLine="0"/>
        <w:jc w:val="left"/>
        <w:rPr>
          <w:sz w:val="19"/>
        </w:rPr>
      </w:pPr>
      <w:r>
        <w:rPr>
          <w:sz w:val="19"/>
        </w:rPr>
        <w:t>Other</w:t>
      </w:r>
      <w:r>
        <w:rPr>
          <w:spacing w:val="-10"/>
          <w:sz w:val="19"/>
        </w:rPr>
        <w:t> </w:t>
      </w:r>
      <w:r>
        <w:rPr>
          <w:sz w:val="19"/>
        </w:rPr>
        <w:t>expenditure</w:t>
      </w:r>
      <w:r>
        <w:rPr>
          <w:spacing w:val="-10"/>
          <w:sz w:val="19"/>
        </w:rPr>
        <w:t> </w:t>
      </w:r>
      <w:r>
        <w:rPr>
          <w:sz w:val="19"/>
        </w:rPr>
        <w:t>commitments</w:t>
      </w:r>
      <w:r>
        <w:rPr>
          <w:spacing w:val="-10"/>
          <w:sz w:val="19"/>
        </w:rPr>
        <w:t> </w:t>
      </w:r>
      <w:r>
        <w:rPr>
          <w:sz w:val="19"/>
        </w:rPr>
        <w:t>contracted</w:t>
      </w:r>
      <w:r>
        <w:rPr>
          <w:spacing w:val="-10"/>
          <w:sz w:val="19"/>
        </w:rPr>
        <w:t> </w:t>
      </w:r>
      <w:r>
        <w:rPr>
          <w:sz w:val="19"/>
        </w:rPr>
        <w:t>for</w:t>
      </w:r>
      <w:r>
        <w:rPr>
          <w:spacing w:val="-10"/>
          <w:sz w:val="19"/>
        </w:rPr>
        <w:t> </w:t>
      </w:r>
      <w:r>
        <w:rPr>
          <w:sz w:val="19"/>
        </w:rPr>
        <w:t>at</w:t>
      </w:r>
      <w:r>
        <w:rPr>
          <w:spacing w:val="-10"/>
          <w:sz w:val="19"/>
        </w:rPr>
        <w:t> </w:t>
      </w:r>
      <w:r>
        <w:rPr>
          <w:sz w:val="19"/>
        </w:rPr>
        <w:t>the</w:t>
      </w:r>
      <w:r>
        <w:rPr>
          <w:spacing w:val="-9"/>
          <w:sz w:val="19"/>
        </w:rPr>
        <w:t> </w:t>
      </w:r>
      <w:r>
        <w:rPr>
          <w:sz w:val="19"/>
        </w:rPr>
        <w:t>end</w:t>
      </w:r>
      <w:r>
        <w:rPr>
          <w:spacing w:val="-10"/>
          <w:sz w:val="19"/>
        </w:rPr>
        <w:t> </w:t>
      </w:r>
      <w:r>
        <w:rPr>
          <w:sz w:val="19"/>
        </w:rPr>
        <w:t>of</w:t>
      </w:r>
      <w:r>
        <w:rPr>
          <w:spacing w:val="-10"/>
          <w:sz w:val="19"/>
        </w:rPr>
        <w:t> </w:t>
      </w:r>
      <w:r>
        <w:rPr>
          <w:sz w:val="19"/>
        </w:rPr>
        <w:t>the</w:t>
      </w:r>
      <w:r>
        <w:rPr>
          <w:spacing w:val="-10"/>
          <w:sz w:val="19"/>
        </w:rPr>
        <w:t> </w:t>
      </w:r>
      <w:r>
        <w:rPr>
          <w:sz w:val="19"/>
        </w:rPr>
        <w:t>reporting</w:t>
      </w:r>
      <w:r>
        <w:rPr>
          <w:spacing w:val="-10"/>
          <w:sz w:val="19"/>
        </w:rPr>
        <w:t> </w:t>
      </w:r>
      <w:r>
        <w:rPr>
          <w:sz w:val="19"/>
        </w:rPr>
        <w:t>period</w:t>
      </w:r>
      <w:r>
        <w:rPr>
          <w:spacing w:val="-10"/>
          <w:sz w:val="19"/>
        </w:rPr>
        <w:t> </w:t>
      </w:r>
      <w:r>
        <w:rPr>
          <w:sz w:val="19"/>
        </w:rPr>
        <w:t>but</w:t>
      </w:r>
      <w:r>
        <w:rPr>
          <w:spacing w:val="-9"/>
          <w:sz w:val="19"/>
        </w:rPr>
        <w:t> </w:t>
      </w:r>
      <w:r>
        <w:rPr>
          <w:spacing w:val="-6"/>
          <w:sz w:val="19"/>
        </w:rPr>
        <w:t>not </w:t>
      </w:r>
      <w:r>
        <w:rPr>
          <w:sz w:val="19"/>
        </w:rPr>
        <w:t>recognised as liabilities, are payable as</w:t>
      </w:r>
      <w:r>
        <w:rPr>
          <w:spacing w:val="-15"/>
          <w:sz w:val="19"/>
        </w:rPr>
        <w:t> </w:t>
      </w:r>
      <w:r>
        <w:rPr>
          <w:sz w:val="19"/>
        </w:rPr>
        <w:t>follows:</w:t>
      </w:r>
    </w:p>
    <w:p>
      <w:pPr>
        <w:pStyle w:val="BodyText"/>
        <w:rPr>
          <w:sz w:val="4"/>
        </w:rPr>
      </w:pPr>
    </w:p>
    <w:tbl>
      <w:tblPr>
        <w:tblW w:w="0" w:type="auto"/>
        <w:jc w:val="left"/>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 year</w:t>
            </w:r>
          </w:p>
        </w:tc>
        <w:tc>
          <w:tcPr>
            <w:tcW w:w="1134" w:type="dxa"/>
            <w:vMerge w:val="restart"/>
            <w:tcBorders>
              <w:bottom w:val="single" w:sz="4" w:space="0" w:color="000000"/>
            </w:tcBorders>
            <w:shd w:val="clear" w:color="auto" w:fill="E1E4BB"/>
          </w:tcPr>
          <w:p>
            <w:pPr>
              <w:pStyle w:val="TableParagraph"/>
              <w:spacing w:before="37"/>
              <w:ind w:right="111"/>
              <w:jc w:val="right"/>
              <w:rPr>
                <w:sz w:val="19"/>
              </w:rPr>
            </w:pPr>
            <w:r>
              <w:rPr>
                <w:w w:val="95"/>
                <w:sz w:val="19"/>
              </w:rPr>
              <w:t>10,515</w:t>
            </w:r>
          </w:p>
          <w:p>
            <w:pPr>
              <w:pStyle w:val="TableParagraph"/>
              <w:spacing w:before="109"/>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10,054</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10,515</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10,054</w:t>
            </w:r>
          </w:p>
        </w:tc>
      </w:tr>
    </w:tbl>
    <w:p>
      <w:pPr>
        <w:pStyle w:val="BodyText"/>
        <w:spacing w:before="3"/>
        <w:rPr>
          <w:sz w:val="21"/>
        </w:rPr>
      </w:pPr>
    </w:p>
    <w:p>
      <w:pPr>
        <w:spacing w:before="0"/>
        <w:ind w:left="403" w:right="0" w:firstLine="0"/>
        <w:jc w:val="left"/>
        <w:rPr>
          <w:b/>
          <w:sz w:val="19"/>
        </w:rPr>
      </w:pPr>
      <w:r>
        <w:rPr>
          <w:b/>
          <w:sz w:val="19"/>
        </w:rPr>
        <w:t>Other operating lease receivables</w:t>
      </w:r>
    </w:p>
    <w:p>
      <w:pPr>
        <w:spacing w:line="249" w:lineRule="auto" w:before="9"/>
        <w:ind w:left="403" w:right="756" w:firstLine="0"/>
        <w:jc w:val="left"/>
        <w:rPr>
          <w:sz w:val="19"/>
        </w:rPr>
      </w:pPr>
      <w:r>
        <w:rPr/>
        <w:pict>
          <v:shape style="position:absolute;margin-left:431.575012pt;margin-top:37.472473pt;width:369.95pt;height:93.9pt;mso-position-horizontal-relative:page;mso-position-vertical-relative:paragraph;z-index:184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tcBorders>
                          <w:bottom w:val="single" w:sz="4" w:space="0" w:color="834D83"/>
                        </w:tcBorders>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top w:val="single" w:sz="4" w:space="0" w:color="834D83"/>
                          <w:bottom w:val="single" w:sz="8" w:space="0" w:color="FFFFFF"/>
                        </w:tcBorders>
                        <w:shd w:val="clear" w:color="auto" w:fill="F4F4F4"/>
                      </w:tcPr>
                      <w:p>
                        <w:pPr>
                          <w:pStyle w:val="TableParagraph"/>
                          <w:spacing w:before="37"/>
                          <w:ind w:left="113"/>
                          <w:rPr>
                            <w:sz w:val="19"/>
                          </w:rPr>
                        </w:pPr>
                        <w:r>
                          <w:rPr>
                            <w:sz w:val="19"/>
                          </w:rPr>
                          <w:t>Within 1 year</w:t>
                        </w:r>
                      </w:p>
                    </w:tc>
                    <w:tc>
                      <w:tcPr>
                        <w:tcW w:w="1134" w:type="dxa"/>
                        <w:vMerge w:val="restart"/>
                        <w:tcBorders>
                          <w:top w:val="single" w:sz="4" w:space="0" w:color="834D83"/>
                          <w:bottom w:val="single" w:sz="4" w:space="0" w:color="000000"/>
                        </w:tcBorders>
                        <w:shd w:val="clear" w:color="auto" w:fill="E1E4BB"/>
                      </w:tcPr>
                      <w:p>
                        <w:pPr>
                          <w:pStyle w:val="TableParagraph"/>
                          <w:spacing w:before="37"/>
                          <w:ind w:left="418" w:right="93"/>
                          <w:jc w:val="center"/>
                          <w:rPr>
                            <w:sz w:val="19"/>
                          </w:rPr>
                        </w:pPr>
                        <w:r>
                          <w:rPr>
                            <w:sz w:val="19"/>
                          </w:rPr>
                          <w:t>43,439</w:t>
                        </w:r>
                      </w:p>
                      <w:p>
                        <w:pPr>
                          <w:pStyle w:val="TableParagraph"/>
                          <w:spacing w:before="109"/>
                          <w:ind w:left="418" w:right="93"/>
                          <w:jc w:val="center"/>
                          <w:rPr>
                            <w:sz w:val="19"/>
                          </w:rPr>
                        </w:pPr>
                        <w:r>
                          <w:rPr>
                            <w:sz w:val="19"/>
                          </w:rPr>
                          <w:t>70,957</w:t>
                        </w:r>
                      </w:p>
                      <w:p>
                        <w:pPr>
                          <w:pStyle w:val="TableParagraph"/>
                          <w:spacing w:before="109"/>
                          <w:ind w:left="523" w:right="93"/>
                          <w:jc w:val="center"/>
                          <w:rPr>
                            <w:sz w:val="19"/>
                          </w:rPr>
                        </w:pPr>
                        <w:r>
                          <w:rPr>
                            <w:sz w:val="19"/>
                          </w:rPr>
                          <w:t>1,442</w:t>
                        </w:r>
                      </w:p>
                    </w:tc>
                    <w:tc>
                      <w:tcPr>
                        <w:tcW w:w="1134" w:type="dxa"/>
                        <w:tcBorders>
                          <w:top w:val="single" w:sz="4" w:space="0" w:color="834D83"/>
                          <w:bottom w:val="single" w:sz="8" w:space="0" w:color="FFFFFF"/>
                        </w:tcBorders>
                        <w:shd w:val="clear" w:color="auto" w:fill="F4F4F4"/>
                      </w:tcPr>
                      <w:p>
                        <w:pPr>
                          <w:pStyle w:val="TableParagraph"/>
                          <w:spacing w:before="37"/>
                          <w:ind w:right="111"/>
                          <w:jc w:val="right"/>
                          <w:rPr>
                            <w:sz w:val="19"/>
                          </w:rPr>
                        </w:pPr>
                        <w:r>
                          <w:rPr>
                            <w:w w:val="95"/>
                            <w:sz w:val="19"/>
                          </w:rPr>
                          <w:t>40,980</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vMerge w:val="restart"/>
                        <w:tcBorders>
                          <w:top w:val="single" w:sz="8" w:space="0" w:color="FFFFFF"/>
                          <w:bottom w:val="single" w:sz="4" w:space="0" w:color="000000"/>
                        </w:tcBorders>
                        <w:shd w:val="clear" w:color="auto" w:fill="FAF9F9"/>
                      </w:tcPr>
                      <w:p>
                        <w:pPr>
                          <w:pStyle w:val="TableParagraph"/>
                          <w:ind w:left="439"/>
                          <w:rPr>
                            <w:sz w:val="19"/>
                          </w:rPr>
                        </w:pPr>
                        <w:r>
                          <w:rPr>
                            <w:sz w:val="19"/>
                          </w:rPr>
                          <w:t>54,407</w:t>
                        </w:r>
                      </w:p>
                      <w:p>
                        <w:pPr>
                          <w:pStyle w:val="TableParagraph"/>
                          <w:spacing w:before="109"/>
                          <w:ind w:left="703"/>
                          <w:rPr>
                            <w:sz w:val="19"/>
                          </w:rPr>
                        </w:pPr>
                        <w:r>
                          <w:rPr>
                            <w:sz w:val="19"/>
                          </w:rPr>
                          <w:t>581</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Later than 5 years</w:t>
                        </w:r>
                      </w:p>
                    </w:tc>
                    <w:tc>
                      <w:tcPr>
                        <w:tcW w:w="1134" w:type="dxa"/>
                        <w:vMerge/>
                        <w:tcBorders>
                          <w:top w:val="nil"/>
                          <w:bottom w:val="single" w:sz="4" w:space="0" w:color="000000"/>
                        </w:tcBorders>
                        <w:shd w:val="clear" w:color="auto" w:fill="E1E4BB"/>
                      </w:tcPr>
                      <w:p>
                        <w:pPr>
                          <w:rPr>
                            <w:sz w:val="2"/>
                            <w:szCs w:val="2"/>
                          </w:rPr>
                        </w:pPr>
                      </w:p>
                    </w:tc>
                    <w:tc>
                      <w:tcPr>
                        <w:tcW w:w="1134" w:type="dxa"/>
                        <w:vMerge/>
                        <w:tcBorders>
                          <w:top w:val="nil"/>
                          <w:bottom w:val="single" w:sz="4" w:space="0" w:color="000000"/>
                        </w:tcBorders>
                        <w:shd w:val="clear" w:color="auto" w:fill="FAF9F9"/>
                      </w:tcPr>
                      <w:p>
                        <w:pPr>
                          <w:rPr>
                            <w:sz w:val="2"/>
                            <w:szCs w:val="2"/>
                          </w:rPr>
                        </w:pPr>
                      </w:p>
                    </w:tc>
                  </w:tr>
                  <w:tr>
                    <w:trPr>
                      <w:trHeight w:val="28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E1E4BB"/>
                      </w:tcPr>
                      <w:p>
                        <w:pPr>
                          <w:pStyle w:val="TableParagraph"/>
                          <w:ind w:left="333"/>
                          <w:rPr>
                            <w:b/>
                            <w:sz w:val="19"/>
                          </w:rPr>
                        </w:pPr>
                        <w:r>
                          <w:rPr>
                            <w:b/>
                            <w:sz w:val="19"/>
                          </w:rPr>
                          <w:t>115,838</w:t>
                        </w:r>
                      </w:p>
                    </w:tc>
                    <w:tc>
                      <w:tcPr>
                        <w:tcW w:w="1134" w:type="dxa"/>
                        <w:tcBorders>
                          <w:top w:val="single" w:sz="4" w:space="0" w:color="000000"/>
                          <w:bottom w:val="single" w:sz="24" w:space="0" w:color="FFFFFF"/>
                        </w:tcBorders>
                        <w:shd w:val="clear" w:color="auto" w:fill="FAF9F9"/>
                      </w:tcPr>
                      <w:p>
                        <w:pPr>
                          <w:pStyle w:val="TableParagraph"/>
                          <w:ind w:right="111"/>
                          <w:jc w:val="right"/>
                          <w:rPr>
                            <w:b/>
                            <w:sz w:val="19"/>
                          </w:rPr>
                        </w:pPr>
                        <w:r>
                          <w:rPr>
                            <w:b/>
                            <w:w w:val="95"/>
                            <w:sz w:val="19"/>
                          </w:rPr>
                          <w:t>95,968</w:t>
                        </w:r>
                      </w:p>
                    </w:tc>
                  </w:tr>
                </w:tbl>
                <w:p>
                  <w:pPr>
                    <w:pStyle w:val="BodyText"/>
                  </w:pPr>
                </w:p>
              </w:txbxContent>
            </v:textbox>
            <w10:wrap type="none"/>
          </v:shape>
        </w:pict>
      </w:r>
      <w:r>
        <w:rPr>
          <w:sz w:val="19"/>
        </w:rPr>
        <w:t>Reflects</w:t>
      </w:r>
      <w:r>
        <w:rPr>
          <w:spacing w:val="-20"/>
          <w:sz w:val="19"/>
        </w:rPr>
        <w:t> </w:t>
      </w:r>
      <w:r>
        <w:rPr>
          <w:sz w:val="19"/>
        </w:rPr>
        <w:t>State</w:t>
      </w:r>
      <w:r>
        <w:rPr>
          <w:spacing w:val="-19"/>
          <w:sz w:val="19"/>
        </w:rPr>
        <w:t> </w:t>
      </w:r>
      <w:r>
        <w:rPr>
          <w:sz w:val="19"/>
        </w:rPr>
        <w:t>Fleet</w:t>
      </w:r>
      <w:r>
        <w:rPr>
          <w:spacing w:val="-20"/>
          <w:sz w:val="19"/>
        </w:rPr>
        <w:t> </w:t>
      </w:r>
      <w:r>
        <w:rPr>
          <w:sz w:val="19"/>
        </w:rPr>
        <w:t>operating</w:t>
      </w:r>
      <w:r>
        <w:rPr>
          <w:spacing w:val="-19"/>
          <w:sz w:val="19"/>
        </w:rPr>
        <w:t> </w:t>
      </w:r>
      <w:r>
        <w:rPr>
          <w:sz w:val="19"/>
        </w:rPr>
        <w:t>lease</w:t>
      </w:r>
      <w:r>
        <w:rPr>
          <w:spacing w:val="-19"/>
          <w:sz w:val="19"/>
        </w:rPr>
        <w:t> </w:t>
      </w:r>
      <w:r>
        <w:rPr>
          <w:sz w:val="19"/>
        </w:rPr>
        <w:t>receivables</w:t>
      </w:r>
      <w:r>
        <w:rPr>
          <w:spacing w:val="-20"/>
          <w:sz w:val="19"/>
        </w:rPr>
        <w:t> </w:t>
      </w:r>
      <w:r>
        <w:rPr>
          <w:sz w:val="19"/>
        </w:rPr>
        <w:t>for</w:t>
      </w:r>
      <w:r>
        <w:rPr>
          <w:spacing w:val="-19"/>
          <w:sz w:val="19"/>
        </w:rPr>
        <w:t> </w:t>
      </w:r>
      <w:r>
        <w:rPr>
          <w:sz w:val="19"/>
        </w:rPr>
        <w:t>vehicles</w:t>
      </w:r>
      <w:r>
        <w:rPr>
          <w:spacing w:val="-20"/>
          <w:sz w:val="19"/>
        </w:rPr>
        <w:t> </w:t>
      </w:r>
      <w:r>
        <w:rPr>
          <w:sz w:val="19"/>
        </w:rPr>
        <w:t>owned</w:t>
      </w:r>
      <w:r>
        <w:rPr>
          <w:spacing w:val="-19"/>
          <w:sz w:val="19"/>
        </w:rPr>
        <w:t> </w:t>
      </w:r>
      <w:r>
        <w:rPr>
          <w:sz w:val="19"/>
        </w:rPr>
        <w:t>by</w:t>
      </w:r>
      <w:r>
        <w:rPr>
          <w:spacing w:val="-19"/>
          <w:sz w:val="19"/>
        </w:rPr>
        <w:t> </w:t>
      </w:r>
      <w:r>
        <w:rPr>
          <w:sz w:val="19"/>
        </w:rPr>
        <w:t>the</w:t>
      </w:r>
      <w:r>
        <w:rPr>
          <w:spacing w:val="-20"/>
          <w:sz w:val="19"/>
        </w:rPr>
        <w:t> </w:t>
      </w:r>
      <w:r>
        <w:rPr>
          <w:sz w:val="19"/>
        </w:rPr>
        <w:t>Department.</w:t>
      </w:r>
      <w:r>
        <w:rPr>
          <w:spacing w:val="-19"/>
          <w:sz w:val="19"/>
        </w:rPr>
        <w:t> </w:t>
      </w:r>
      <w:r>
        <w:rPr>
          <w:sz w:val="19"/>
        </w:rPr>
        <w:t>As at</w:t>
      </w:r>
      <w:r>
        <w:rPr>
          <w:spacing w:val="-22"/>
          <w:sz w:val="19"/>
        </w:rPr>
        <w:t> </w:t>
      </w:r>
      <w:r>
        <w:rPr>
          <w:sz w:val="19"/>
        </w:rPr>
        <w:t>balance</w:t>
      </w:r>
      <w:r>
        <w:rPr>
          <w:spacing w:val="-22"/>
          <w:sz w:val="19"/>
        </w:rPr>
        <w:t> </w:t>
      </w:r>
      <w:r>
        <w:rPr>
          <w:sz w:val="19"/>
        </w:rPr>
        <w:t>date,</w:t>
      </w:r>
      <w:r>
        <w:rPr>
          <w:spacing w:val="-21"/>
          <w:sz w:val="19"/>
        </w:rPr>
        <w:t> </w:t>
      </w:r>
      <w:r>
        <w:rPr>
          <w:sz w:val="19"/>
        </w:rPr>
        <w:t>the</w:t>
      </w:r>
      <w:r>
        <w:rPr>
          <w:spacing w:val="-22"/>
          <w:sz w:val="19"/>
        </w:rPr>
        <w:t> </w:t>
      </w:r>
      <w:r>
        <w:rPr>
          <w:sz w:val="19"/>
        </w:rPr>
        <w:t>future</w:t>
      </w:r>
      <w:r>
        <w:rPr>
          <w:spacing w:val="-22"/>
          <w:sz w:val="19"/>
        </w:rPr>
        <w:t> </w:t>
      </w:r>
      <w:r>
        <w:rPr>
          <w:sz w:val="19"/>
        </w:rPr>
        <w:t>minimum</w:t>
      </w:r>
      <w:r>
        <w:rPr>
          <w:spacing w:val="-21"/>
          <w:sz w:val="19"/>
        </w:rPr>
        <w:t> </w:t>
      </w:r>
      <w:r>
        <w:rPr>
          <w:sz w:val="19"/>
        </w:rPr>
        <w:t>lease</w:t>
      </w:r>
      <w:r>
        <w:rPr>
          <w:spacing w:val="-22"/>
          <w:sz w:val="19"/>
        </w:rPr>
        <w:t> </w:t>
      </w:r>
      <w:r>
        <w:rPr>
          <w:sz w:val="19"/>
        </w:rPr>
        <w:t>payments</w:t>
      </w:r>
      <w:r>
        <w:rPr>
          <w:spacing w:val="-21"/>
          <w:sz w:val="19"/>
        </w:rPr>
        <w:t> </w:t>
      </w:r>
      <w:r>
        <w:rPr>
          <w:sz w:val="19"/>
        </w:rPr>
        <w:t>under</w:t>
      </w:r>
      <w:r>
        <w:rPr>
          <w:spacing w:val="-22"/>
          <w:sz w:val="19"/>
        </w:rPr>
        <w:t> </w:t>
      </w:r>
      <w:r>
        <w:rPr>
          <w:sz w:val="19"/>
        </w:rPr>
        <w:t>non-cancellable</w:t>
      </w:r>
      <w:r>
        <w:rPr>
          <w:spacing w:val="-22"/>
          <w:sz w:val="19"/>
        </w:rPr>
        <w:t> </w:t>
      </w:r>
      <w:r>
        <w:rPr>
          <w:sz w:val="19"/>
        </w:rPr>
        <w:t>operating</w:t>
      </w:r>
      <w:r>
        <w:rPr>
          <w:spacing w:val="-21"/>
          <w:sz w:val="19"/>
        </w:rPr>
        <w:t> </w:t>
      </w:r>
      <w:r>
        <w:rPr>
          <w:spacing w:val="-4"/>
          <w:sz w:val="19"/>
        </w:rPr>
        <w:t>lease </w:t>
      </w:r>
      <w:r>
        <w:rPr>
          <w:sz w:val="19"/>
        </w:rPr>
        <w:t>arrangements were distributed as</w:t>
      </w:r>
      <w:r>
        <w:rPr>
          <w:spacing w:val="-6"/>
          <w:sz w:val="19"/>
        </w:rPr>
        <w:t> </w:t>
      </w:r>
      <w:r>
        <w:rPr>
          <w:sz w:val="19"/>
        </w:rPr>
        <w:t>follows:</w:t>
      </w:r>
    </w:p>
    <w:p>
      <w:pPr>
        <w:spacing w:after="0" w:line="249" w:lineRule="auto"/>
        <w:jc w:val="left"/>
        <w:rPr>
          <w:sz w:val="19"/>
        </w:rPr>
        <w:sectPr>
          <w:type w:val="continuous"/>
          <w:pgSz w:w="16840" w:h="11910" w:orient="landscape"/>
          <w:pgMar w:top="1100" w:bottom="280" w:left="0" w:right="0"/>
          <w:cols w:num="2" w:equalWidth="0">
            <w:col w:w="8189" w:space="40"/>
            <w:col w:w="8611"/>
          </w:cols>
        </w:sectPr>
      </w:pPr>
    </w:p>
    <w:p>
      <w:pPr>
        <w:pStyle w:val="BodyText"/>
        <w:spacing w:before="4"/>
        <w:rPr>
          <w:sz w:val="4"/>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 year</w:t>
            </w:r>
          </w:p>
        </w:tc>
        <w:tc>
          <w:tcPr>
            <w:tcW w:w="1134" w:type="dxa"/>
            <w:vMerge w:val="restart"/>
            <w:tcBorders>
              <w:bottom w:val="single" w:sz="4" w:space="0" w:color="000000"/>
            </w:tcBorders>
            <w:shd w:val="clear" w:color="auto" w:fill="E1E4BB"/>
          </w:tcPr>
          <w:p>
            <w:pPr>
              <w:pStyle w:val="TableParagraph"/>
              <w:spacing w:before="37"/>
              <w:ind w:left="439"/>
              <w:rPr>
                <w:sz w:val="19"/>
              </w:rPr>
            </w:pPr>
            <w:r>
              <w:rPr>
                <w:sz w:val="19"/>
              </w:rPr>
              <w:t>23,897</w:t>
            </w:r>
          </w:p>
          <w:p>
            <w:pPr>
              <w:pStyle w:val="TableParagraph"/>
              <w:spacing w:before="109"/>
              <w:ind w:left="703"/>
              <w:rPr>
                <w:sz w:val="19"/>
              </w:rPr>
            </w:pPr>
            <w:r>
              <w:rPr>
                <w:sz w:val="19"/>
              </w:rPr>
              <w:t>100</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41,511</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589</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23,997</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42,100</w:t>
            </w:r>
          </w:p>
        </w:tc>
      </w:tr>
    </w:tbl>
    <w:p>
      <w:pPr>
        <w:spacing w:after="0"/>
        <w:jc w:val="right"/>
        <w:rPr>
          <w:sz w:val="19"/>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spacing w:before="7"/>
        <w:rPr>
          <w:sz w:val="23"/>
        </w:rPr>
      </w:pPr>
    </w:p>
    <w:p>
      <w:pPr>
        <w:pStyle w:val="Heading1"/>
        <w:ind w:left="785"/>
      </w:pPr>
      <w:r>
        <w:rPr/>
        <w:pict>
          <v:group style="position:absolute;margin-left:481.080994pt;margin-top:-57.499214pt;width:360.85pt;height:130.65pt;mso-position-horizontal-relative:page;mso-position-vertical-relative:paragraph;z-index:-693952" coordorigin="9622,-1150" coordsize="7217,2613">
            <v:shape style="position:absolute;left:2973;top:20926;width:3452;height:2608" coordorigin="2973,20926" coordsize="3452,2608" path="m15869,-1147l16069,-948m15759,-1147l16133,-773m15649,-1147l16172,-624m15538,-1147l16195,-491m15428,-1147l16206,-370m15318,-1147l16209,-256m15207,-1147l16205,-150m15097,-1147l16196,-49m14987,-1147l16181,47m14876,-1147l16162,138m14766,-1147l16138,225m14656,-1147l16111,308m14545,-1147l16081,388m14435,-1147l16047,465m14325,-1147l16011,539m14214,-1147l15971,609m14104,-1147l15929,677m13994,-1147l15884,743m13883,-1147l15836,806m13773,-1147l15786,866m13663,-1147l15734,924m13552,-1147l15679,979m13442,-1147l15621,1032m13331,-1147l15561,1082m13221,-1147l15499,1130m13111,-1147l15433,1175m13000,-1147l15366,1218m12960,-1078l15295,1258m12923,-1004l15222,1295m12889,-928l15145,1329m12858,-849l15066,1359m12831,-765l14983,1387m12807,-679l14896,1410m12787,-588l14806,1430m12772,-493l14711,1446m12762,-393l14610,1455m12757,-287l14504,1460m12760,-174l14392,1458m12770,-54l14271,1447m12792,78l14139,1426m12828,225l13992,1389m12889,396l13822,1329m13001,618l13599,1217e" filled="false" stroked="true" strokeweight=".25pt" strokecolor="#aebd37">
              <v:path arrowok="t"/>
              <v:stroke dashstyle="solid"/>
            </v:shape>
            <v:shape style="position:absolute;left:20;top:1546;width:1781;height:1743" coordorigin="20,1546" coordsize="1781,1743" path="m12089,476l11761,148m12282,558l11679,-45m12421,587l11650,-184m12539,595l11642,-302m12642,588l11649,-405m12736,571l11666,-499m12822,547l11691,-585m12901,515l11722,-664m12973,478l11759,-737m13041,435l11802,-804m13104,387l11850,-867m13161,334l11902,-924m13214,277l11960,-977m13262,215l12023,-1025m13305,148l12090,-1068m13343,74l12163,-1105m13374,-5l12242,-1137m13399,-90l12341,-1147m13416,-183l12452,-1147m13423,-287l12562,-1147m13417,-403l12672,-1147m13389,-542l12783,-1147m13308,-732l12970,-1071e" filled="false" stroked="true" strokeweight=".25pt" strokecolor="#6f2770">
              <v:path arrowok="t"/>
              <v:stroke dashstyle="solid"/>
            </v:shape>
            <v:rect style="position:absolute;left:9621;top:-1148;width:2406;height:851" filled="true" fillcolor="#cbb8cc" stroked="false">
              <v:fill type="solid"/>
            </v:rect>
            <v:rect style="position:absolute;left:12026;top:-1148;width:2406;height:851" filled="true" fillcolor="#c3acc4" stroked="false">
              <v:fill type="solid"/>
            </v:rect>
            <v:rect style="position:absolute;left:14432;top:-1148;width:2406;height:851" filled="true" fillcolor="#bba1bc" stroked="false">
              <v:fill type="solid"/>
            </v:rect>
            <w10:wrap type="none"/>
          </v:group>
        </w:pict>
      </w:r>
      <w:r>
        <w:rPr/>
        <w:pict>
          <v:shape style="position:absolute;margin-left:601.348999pt;margin-top:-57.37421pt;width:120.3pt;height:42.55pt;mso-position-horizontal-relative:page;mso-position-vertical-relative:paragraph;z-index:18568" type="#_x0000_t202" filled="false"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57.37421pt;width:120.3pt;height:42.55pt;mso-position-horizontal-relative:page;mso-position-vertical-relative:paragraph;z-index:18592"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1861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10"/>
        <w:rPr>
          <w:sz w:val="12"/>
        </w:rPr>
      </w:pPr>
    </w:p>
    <w:p>
      <w:pPr>
        <w:spacing w:after="0"/>
        <w:rPr>
          <w:sz w:val="12"/>
        </w:rPr>
        <w:sectPr>
          <w:footerReference w:type="default" r:id="rId170"/>
          <w:pgSz w:w="16840" w:h="11910" w:orient="landscape"/>
          <w:pgMar w:footer="774" w:header="0" w:top="0" w:bottom="960" w:left="0" w:right="0"/>
        </w:sectPr>
      </w:pPr>
    </w:p>
    <w:p>
      <w:pPr>
        <w:pStyle w:val="Heading5"/>
      </w:pPr>
      <w:r>
        <w:rPr>
          <w:color w:val="6F2770"/>
        </w:rPr>
        <w:t>Note 37. Contingent liabilities and contingent assets</w:t>
      </w:r>
    </w:p>
    <w:p>
      <w:pPr>
        <w:pStyle w:val="BodyText"/>
        <w:spacing w:line="249" w:lineRule="auto" w:before="250"/>
        <w:ind w:left="765" w:right="465"/>
      </w:pPr>
      <w:r>
        <w:rPr/>
        <w:t>A</w:t>
      </w:r>
      <w:r>
        <w:rPr>
          <w:spacing w:val="-26"/>
        </w:rPr>
        <w:t> </w:t>
      </w:r>
      <w:r>
        <w:rPr/>
        <w:t>range</w:t>
      </w:r>
      <w:r>
        <w:rPr>
          <w:spacing w:val="-25"/>
        </w:rPr>
        <w:t> </w:t>
      </w:r>
      <w:r>
        <w:rPr/>
        <w:t>of</w:t>
      </w:r>
      <w:r>
        <w:rPr>
          <w:spacing w:val="-25"/>
        </w:rPr>
        <w:t> </w:t>
      </w:r>
      <w:r>
        <w:rPr/>
        <w:t>significant</w:t>
      </w:r>
      <w:r>
        <w:rPr>
          <w:spacing w:val="-25"/>
        </w:rPr>
        <w:t> </w:t>
      </w:r>
      <w:r>
        <w:rPr/>
        <w:t>infrastructure</w:t>
      </w:r>
      <w:r>
        <w:rPr>
          <w:spacing w:val="-25"/>
        </w:rPr>
        <w:t> </w:t>
      </w:r>
      <w:r>
        <w:rPr/>
        <w:t>projects</w:t>
      </w:r>
      <w:r>
        <w:rPr>
          <w:spacing w:val="-25"/>
        </w:rPr>
        <w:t> </w:t>
      </w:r>
      <w:r>
        <w:rPr/>
        <w:t>have</w:t>
      </w:r>
      <w:r>
        <w:rPr>
          <w:spacing w:val="-25"/>
        </w:rPr>
        <w:t> </w:t>
      </w:r>
      <w:r>
        <w:rPr/>
        <w:t>reached</w:t>
      </w:r>
      <w:r>
        <w:rPr>
          <w:spacing w:val="-25"/>
        </w:rPr>
        <w:t> </w:t>
      </w:r>
      <w:r>
        <w:rPr/>
        <w:t>or</w:t>
      </w:r>
      <w:r>
        <w:rPr>
          <w:spacing w:val="-25"/>
        </w:rPr>
        <w:t> </w:t>
      </w:r>
      <w:r>
        <w:rPr/>
        <w:t>are</w:t>
      </w:r>
      <w:r>
        <w:rPr>
          <w:spacing w:val="-25"/>
        </w:rPr>
        <w:t> </w:t>
      </w:r>
      <w:r>
        <w:rPr>
          <w:spacing w:val="-3"/>
        </w:rPr>
        <w:t>reaching </w:t>
      </w:r>
      <w:r>
        <w:rPr/>
        <w:t>completion</w:t>
      </w:r>
      <w:r>
        <w:rPr>
          <w:spacing w:val="-16"/>
        </w:rPr>
        <w:t> </w:t>
      </w:r>
      <w:r>
        <w:rPr/>
        <w:t>(such</w:t>
      </w:r>
      <w:r>
        <w:rPr>
          <w:spacing w:val="-15"/>
        </w:rPr>
        <w:t> </w:t>
      </w:r>
      <w:r>
        <w:rPr/>
        <w:t>as</w:t>
      </w:r>
      <w:r>
        <w:rPr>
          <w:spacing w:val="-15"/>
        </w:rPr>
        <w:t> </w:t>
      </w:r>
      <w:r>
        <w:rPr/>
        <w:t>the</w:t>
      </w:r>
      <w:r>
        <w:rPr>
          <w:spacing w:val="-15"/>
        </w:rPr>
        <w:t> </w:t>
      </w:r>
      <w:r>
        <w:rPr/>
        <w:t>Perth</w:t>
      </w:r>
      <w:r>
        <w:rPr>
          <w:spacing w:val="-15"/>
        </w:rPr>
        <w:t> </w:t>
      </w:r>
      <w:r>
        <w:rPr>
          <w:spacing w:val="-3"/>
        </w:rPr>
        <w:t>Children’s</w:t>
      </w:r>
      <w:r>
        <w:rPr>
          <w:spacing w:val="-15"/>
        </w:rPr>
        <w:t> </w:t>
      </w:r>
      <w:r>
        <w:rPr/>
        <w:t>Hospital</w:t>
      </w:r>
      <w:r>
        <w:rPr>
          <w:spacing w:val="-15"/>
        </w:rPr>
        <w:t> </w:t>
      </w:r>
      <w:r>
        <w:rPr/>
        <w:t>and</w:t>
      </w:r>
      <w:r>
        <w:rPr>
          <w:spacing w:val="-16"/>
        </w:rPr>
        <w:t> </w:t>
      </w:r>
      <w:r>
        <w:rPr/>
        <w:t>Optus</w:t>
      </w:r>
      <w:r>
        <w:rPr>
          <w:spacing w:val="-15"/>
        </w:rPr>
        <w:t> </w:t>
      </w:r>
      <w:r>
        <w:rPr/>
        <w:t>Stadium).</w:t>
      </w:r>
    </w:p>
    <w:p>
      <w:pPr>
        <w:pStyle w:val="BodyText"/>
        <w:spacing w:line="249" w:lineRule="auto" w:before="1"/>
        <w:ind w:left="765" w:right="-11"/>
      </w:pPr>
      <w:r>
        <w:rPr/>
        <w:t>There</w:t>
      </w:r>
      <w:r>
        <w:rPr>
          <w:spacing w:val="-19"/>
        </w:rPr>
        <w:t> </w:t>
      </w:r>
      <w:r>
        <w:rPr/>
        <w:t>may</w:t>
      </w:r>
      <w:r>
        <w:rPr>
          <w:spacing w:val="-19"/>
        </w:rPr>
        <w:t> </w:t>
      </w:r>
      <w:r>
        <w:rPr/>
        <w:t>be</w:t>
      </w:r>
      <w:r>
        <w:rPr>
          <w:spacing w:val="-19"/>
        </w:rPr>
        <w:t> </w:t>
      </w:r>
      <w:r>
        <w:rPr/>
        <w:t>claims</w:t>
      </w:r>
      <w:r>
        <w:rPr>
          <w:spacing w:val="-20"/>
        </w:rPr>
        <w:t> </w:t>
      </w:r>
      <w:r>
        <w:rPr/>
        <w:t>that</w:t>
      </w:r>
      <w:r>
        <w:rPr>
          <w:spacing w:val="-19"/>
        </w:rPr>
        <w:t> </w:t>
      </w:r>
      <w:r>
        <w:rPr/>
        <w:t>arise</w:t>
      </w:r>
      <w:r>
        <w:rPr>
          <w:spacing w:val="-19"/>
        </w:rPr>
        <w:t> </w:t>
      </w:r>
      <w:r>
        <w:rPr/>
        <w:t>in</w:t>
      </w:r>
      <w:r>
        <w:rPr>
          <w:spacing w:val="-19"/>
        </w:rPr>
        <w:t> </w:t>
      </w:r>
      <w:r>
        <w:rPr/>
        <w:t>relation</w:t>
      </w:r>
      <w:r>
        <w:rPr>
          <w:spacing w:val="-19"/>
        </w:rPr>
        <w:t> </w:t>
      </w:r>
      <w:r>
        <w:rPr/>
        <w:t>to</w:t>
      </w:r>
      <w:r>
        <w:rPr>
          <w:spacing w:val="-19"/>
        </w:rPr>
        <w:t> </w:t>
      </w:r>
      <w:r>
        <w:rPr/>
        <w:t>works</w:t>
      </w:r>
      <w:r>
        <w:rPr>
          <w:spacing w:val="-19"/>
        </w:rPr>
        <w:t> </w:t>
      </w:r>
      <w:r>
        <w:rPr/>
        <w:t>or</w:t>
      </w:r>
      <w:r>
        <w:rPr>
          <w:spacing w:val="-19"/>
        </w:rPr>
        <w:t> </w:t>
      </w:r>
      <w:r>
        <w:rPr/>
        <w:t>activities</w:t>
      </w:r>
      <w:r>
        <w:rPr>
          <w:spacing w:val="-19"/>
        </w:rPr>
        <w:t> </w:t>
      </w:r>
      <w:r>
        <w:rPr/>
        <w:t>associated</w:t>
      </w:r>
      <w:r>
        <w:rPr>
          <w:spacing w:val="-19"/>
        </w:rPr>
        <w:t> </w:t>
      </w:r>
      <w:r>
        <w:rPr>
          <w:spacing w:val="-5"/>
        </w:rPr>
        <w:t>with </w:t>
      </w:r>
      <w:r>
        <w:rPr/>
        <w:t>such</w:t>
      </w:r>
      <w:r>
        <w:rPr>
          <w:spacing w:val="-14"/>
        </w:rPr>
        <w:t> </w:t>
      </w:r>
      <w:r>
        <w:rPr/>
        <w:t>projects.</w:t>
      </w:r>
      <w:r>
        <w:rPr>
          <w:spacing w:val="-14"/>
        </w:rPr>
        <w:t> </w:t>
      </w:r>
      <w:r>
        <w:rPr/>
        <w:t>Claims</w:t>
      </w:r>
      <w:r>
        <w:rPr>
          <w:spacing w:val="-14"/>
        </w:rPr>
        <w:t> </w:t>
      </w:r>
      <w:r>
        <w:rPr/>
        <w:t>will</w:t>
      </w:r>
      <w:r>
        <w:rPr>
          <w:spacing w:val="-14"/>
        </w:rPr>
        <w:t> </w:t>
      </w:r>
      <w:r>
        <w:rPr/>
        <w:t>generally</w:t>
      </w:r>
      <w:r>
        <w:rPr>
          <w:spacing w:val="-14"/>
        </w:rPr>
        <w:t> </w:t>
      </w:r>
      <w:r>
        <w:rPr/>
        <w:t>be</w:t>
      </w:r>
      <w:r>
        <w:rPr>
          <w:spacing w:val="-14"/>
        </w:rPr>
        <w:t> </w:t>
      </w:r>
      <w:r>
        <w:rPr/>
        <w:t>subject</w:t>
      </w:r>
      <w:r>
        <w:rPr>
          <w:spacing w:val="-14"/>
        </w:rPr>
        <w:t> </w:t>
      </w:r>
      <w:r>
        <w:rPr/>
        <w:t>to</w:t>
      </w:r>
      <w:r>
        <w:rPr>
          <w:spacing w:val="-14"/>
        </w:rPr>
        <w:t> </w:t>
      </w:r>
      <w:r>
        <w:rPr/>
        <w:t>a</w:t>
      </w:r>
      <w:r>
        <w:rPr>
          <w:spacing w:val="-14"/>
        </w:rPr>
        <w:t> </w:t>
      </w:r>
      <w:r>
        <w:rPr/>
        <w:t>period</w:t>
      </w:r>
      <w:r>
        <w:rPr>
          <w:spacing w:val="-14"/>
        </w:rPr>
        <w:t> </w:t>
      </w:r>
      <w:r>
        <w:rPr/>
        <w:t>of</w:t>
      </w:r>
      <w:r>
        <w:rPr>
          <w:spacing w:val="-14"/>
        </w:rPr>
        <w:t> </w:t>
      </w:r>
      <w:r>
        <w:rPr/>
        <w:t>negotiation</w:t>
      </w:r>
      <w:r>
        <w:rPr>
          <w:spacing w:val="-14"/>
        </w:rPr>
        <w:t> </w:t>
      </w:r>
      <w:r>
        <w:rPr/>
        <w:t>and may</w:t>
      </w:r>
      <w:r>
        <w:rPr>
          <w:spacing w:val="-22"/>
        </w:rPr>
        <w:t> </w:t>
      </w:r>
      <w:r>
        <w:rPr/>
        <w:t>either</w:t>
      </w:r>
      <w:r>
        <w:rPr>
          <w:spacing w:val="-22"/>
        </w:rPr>
        <w:t> </w:t>
      </w:r>
      <w:r>
        <w:rPr/>
        <w:t>be</w:t>
      </w:r>
      <w:r>
        <w:rPr>
          <w:spacing w:val="-22"/>
        </w:rPr>
        <w:t> </w:t>
      </w:r>
      <w:r>
        <w:rPr/>
        <w:t>withdrawn,</w:t>
      </w:r>
      <w:r>
        <w:rPr>
          <w:spacing w:val="-21"/>
        </w:rPr>
        <w:t> </w:t>
      </w:r>
      <w:r>
        <w:rPr/>
        <w:t>subsequently</w:t>
      </w:r>
      <w:r>
        <w:rPr>
          <w:spacing w:val="-22"/>
        </w:rPr>
        <w:t> </w:t>
      </w:r>
      <w:r>
        <w:rPr/>
        <w:t>settled</w:t>
      </w:r>
      <w:r>
        <w:rPr>
          <w:spacing w:val="-22"/>
        </w:rPr>
        <w:t> </w:t>
      </w:r>
      <w:r>
        <w:rPr/>
        <w:t>(at</w:t>
      </w:r>
      <w:r>
        <w:rPr>
          <w:spacing w:val="-21"/>
        </w:rPr>
        <w:t> </w:t>
      </w:r>
      <w:r>
        <w:rPr/>
        <w:t>a</w:t>
      </w:r>
      <w:r>
        <w:rPr>
          <w:spacing w:val="-22"/>
        </w:rPr>
        <w:t> </w:t>
      </w:r>
      <w:r>
        <w:rPr/>
        <w:t>value</w:t>
      </w:r>
      <w:r>
        <w:rPr>
          <w:spacing w:val="-22"/>
        </w:rPr>
        <w:t> </w:t>
      </w:r>
      <w:r>
        <w:rPr/>
        <w:t>agreed</w:t>
      </w:r>
      <w:r>
        <w:rPr>
          <w:spacing w:val="-21"/>
        </w:rPr>
        <w:t> </w:t>
      </w:r>
      <w:r>
        <w:rPr/>
        <w:t>between</w:t>
      </w:r>
      <w:r>
        <w:rPr>
          <w:spacing w:val="-22"/>
        </w:rPr>
        <w:t> </w:t>
      </w:r>
      <w:r>
        <w:rPr/>
        <w:t>the two parties), or proceed to some alternative process for resolution such as through</w:t>
      </w:r>
      <w:r>
        <w:rPr>
          <w:spacing w:val="-9"/>
        </w:rPr>
        <w:t> </w:t>
      </w:r>
      <w:r>
        <w:rPr/>
        <w:t>legal</w:t>
      </w:r>
      <w:r>
        <w:rPr>
          <w:spacing w:val="-8"/>
        </w:rPr>
        <w:t> </w:t>
      </w:r>
      <w:r>
        <w:rPr/>
        <w:t>action.</w:t>
      </w:r>
      <w:r>
        <w:rPr>
          <w:spacing w:val="-8"/>
        </w:rPr>
        <w:t> </w:t>
      </w:r>
      <w:r>
        <w:rPr/>
        <w:t>Where</w:t>
      </w:r>
      <w:r>
        <w:rPr>
          <w:spacing w:val="-8"/>
        </w:rPr>
        <w:t> </w:t>
      </w:r>
      <w:r>
        <w:rPr/>
        <w:t>costs</w:t>
      </w:r>
      <w:r>
        <w:rPr>
          <w:spacing w:val="-8"/>
        </w:rPr>
        <w:t> </w:t>
      </w:r>
      <w:r>
        <w:rPr/>
        <w:t>are</w:t>
      </w:r>
      <w:r>
        <w:rPr>
          <w:spacing w:val="-8"/>
        </w:rPr>
        <w:t> </w:t>
      </w:r>
      <w:r>
        <w:rPr/>
        <w:t>negotiated</w:t>
      </w:r>
      <w:r>
        <w:rPr>
          <w:spacing w:val="-8"/>
        </w:rPr>
        <w:t> </w:t>
      </w:r>
      <w:r>
        <w:rPr/>
        <w:t>and</w:t>
      </w:r>
      <w:r>
        <w:rPr>
          <w:spacing w:val="-8"/>
        </w:rPr>
        <w:t> </w:t>
      </w:r>
      <w:r>
        <w:rPr/>
        <w:t>claims</w:t>
      </w:r>
      <w:r>
        <w:rPr>
          <w:spacing w:val="-8"/>
        </w:rPr>
        <w:t> </w:t>
      </w:r>
      <w:r>
        <w:rPr/>
        <w:t>settled,</w:t>
      </w:r>
    </w:p>
    <w:p>
      <w:pPr>
        <w:pStyle w:val="BodyText"/>
        <w:spacing w:before="5"/>
        <w:ind w:left="765"/>
      </w:pPr>
      <w:r>
        <w:rPr/>
        <w:t>these are reflected in the financial statements.</w:t>
      </w:r>
    </w:p>
    <w:p>
      <w:pPr>
        <w:pStyle w:val="BodyText"/>
        <w:spacing w:before="10"/>
        <w:rPr>
          <w:sz w:val="23"/>
        </w:rPr>
      </w:pPr>
    </w:p>
    <w:p>
      <w:pPr>
        <w:pStyle w:val="BodyText"/>
        <w:spacing w:line="249" w:lineRule="auto"/>
        <w:ind w:left="765" w:right="106"/>
      </w:pPr>
      <w:r>
        <w:rPr/>
        <w:t>The</w:t>
      </w:r>
      <w:r>
        <w:rPr>
          <w:spacing w:val="-20"/>
        </w:rPr>
        <w:t> </w:t>
      </w:r>
      <w:r>
        <w:rPr/>
        <w:t>Department</w:t>
      </w:r>
      <w:r>
        <w:rPr>
          <w:spacing w:val="-20"/>
        </w:rPr>
        <w:t> </w:t>
      </w:r>
      <w:r>
        <w:rPr/>
        <w:t>is</w:t>
      </w:r>
      <w:r>
        <w:rPr>
          <w:spacing w:val="-20"/>
        </w:rPr>
        <w:t> </w:t>
      </w:r>
      <w:r>
        <w:rPr/>
        <w:t>undertaking</w:t>
      </w:r>
      <w:r>
        <w:rPr>
          <w:spacing w:val="-20"/>
        </w:rPr>
        <w:t> </w:t>
      </w:r>
      <w:r>
        <w:rPr/>
        <w:t>a</w:t>
      </w:r>
      <w:r>
        <w:rPr>
          <w:spacing w:val="-20"/>
        </w:rPr>
        <w:t> </w:t>
      </w:r>
      <w:r>
        <w:rPr/>
        <w:t>review</w:t>
      </w:r>
      <w:r>
        <w:rPr>
          <w:spacing w:val="-20"/>
        </w:rPr>
        <w:t> </w:t>
      </w:r>
      <w:r>
        <w:rPr/>
        <w:t>of</w:t>
      </w:r>
      <w:r>
        <w:rPr>
          <w:spacing w:val="-20"/>
        </w:rPr>
        <w:t> </w:t>
      </w:r>
      <w:r>
        <w:rPr/>
        <w:t>its</w:t>
      </w:r>
      <w:r>
        <w:rPr>
          <w:spacing w:val="-20"/>
        </w:rPr>
        <w:t> </w:t>
      </w:r>
      <w:r>
        <w:rPr/>
        <w:t>building</w:t>
      </w:r>
      <w:r>
        <w:rPr>
          <w:spacing w:val="-20"/>
        </w:rPr>
        <w:t> </w:t>
      </w:r>
      <w:r>
        <w:rPr/>
        <w:t>portfolio</w:t>
      </w:r>
      <w:r>
        <w:rPr>
          <w:spacing w:val="-20"/>
        </w:rPr>
        <w:t> </w:t>
      </w:r>
      <w:r>
        <w:rPr/>
        <w:t>to</w:t>
      </w:r>
      <w:r>
        <w:rPr>
          <w:spacing w:val="-20"/>
        </w:rPr>
        <w:t> </w:t>
      </w:r>
      <w:r>
        <w:rPr/>
        <w:t>identify</w:t>
      </w:r>
      <w:r>
        <w:rPr>
          <w:spacing w:val="-20"/>
        </w:rPr>
        <w:t> </w:t>
      </w:r>
      <w:r>
        <w:rPr>
          <w:spacing w:val="-6"/>
        </w:rPr>
        <w:t>any </w:t>
      </w:r>
      <w:r>
        <w:rPr/>
        <w:t>potential</w:t>
      </w:r>
      <w:r>
        <w:rPr>
          <w:spacing w:val="-14"/>
        </w:rPr>
        <w:t> </w:t>
      </w:r>
      <w:r>
        <w:rPr/>
        <w:t>risk</w:t>
      </w:r>
      <w:r>
        <w:rPr>
          <w:spacing w:val="-13"/>
        </w:rPr>
        <w:t> </w:t>
      </w:r>
      <w:r>
        <w:rPr/>
        <w:t>associated</w:t>
      </w:r>
      <w:r>
        <w:rPr>
          <w:spacing w:val="-13"/>
        </w:rPr>
        <w:t> </w:t>
      </w:r>
      <w:r>
        <w:rPr/>
        <w:t>with</w:t>
      </w:r>
      <w:r>
        <w:rPr>
          <w:spacing w:val="-13"/>
        </w:rPr>
        <w:t> </w:t>
      </w:r>
      <w:r>
        <w:rPr/>
        <w:t>combustible</w:t>
      </w:r>
      <w:r>
        <w:rPr>
          <w:spacing w:val="-13"/>
        </w:rPr>
        <w:t> </w:t>
      </w:r>
      <w:r>
        <w:rPr/>
        <w:t>aluminium</w:t>
      </w:r>
      <w:r>
        <w:rPr>
          <w:spacing w:val="-14"/>
        </w:rPr>
        <w:t> </w:t>
      </w:r>
      <w:r>
        <w:rPr/>
        <w:t>composite</w:t>
      </w:r>
      <w:r>
        <w:rPr>
          <w:spacing w:val="-13"/>
        </w:rPr>
        <w:t> </w:t>
      </w:r>
      <w:r>
        <w:rPr/>
        <w:t>cladding.</w:t>
      </w:r>
    </w:p>
    <w:p>
      <w:pPr>
        <w:pStyle w:val="BodyText"/>
        <w:spacing w:line="249" w:lineRule="auto" w:before="2"/>
        <w:ind w:left="765" w:right="412"/>
      </w:pPr>
      <w:r>
        <w:rPr/>
        <w:t>The</w:t>
      </w:r>
      <w:r>
        <w:rPr>
          <w:spacing w:val="-20"/>
        </w:rPr>
        <w:t> </w:t>
      </w:r>
      <w:r>
        <w:rPr/>
        <w:t>costs</w:t>
      </w:r>
      <w:r>
        <w:rPr>
          <w:spacing w:val="-19"/>
        </w:rPr>
        <w:t> </w:t>
      </w:r>
      <w:r>
        <w:rPr/>
        <w:t>associated</w:t>
      </w:r>
      <w:r>
        <w:rPr>
          <w:spacing w:val="-19"/>
        </w:rPr>
        <w:t> </w:t>
      </w:r>
      <w:r>
        <w:rPr/>
        <w:t>with</w:t>
      </w:r>
      <w:r>
        <w:rPr>
          <w:spacing w:val="-19"/>
        </w:rPr>
        <w:t> </w:t>
      </w:r>
      <w:r>
        <w:rPr/>
        <w:t>any</w:t>
      </w:r>
      <w:r>
        <w:rPr>
          <w:spacing w:val="-19"/>
        </w:rPr>
        <w:t> </w:t>
      </w:r>
      <w:r>
        <w:rPr/>
        <w:t>potential</w:t>
      </w:r>
      <w:r>
        <w:rPr>
          <w:spacing w:val="-19"/>
        </w:rPr>
        <w:t> </w:t>
      </w:r>
      <w:r>
        <w:rPr/>
        <w:t>remedial</w:t>
      </w:r>
      <w:r>
        <w:rPr>
          <w:spacing w:val="-19"/>
        </w:rPr>
        <w:t> </w:t>
      </w:r>
      <w:r>
        <w:rPr/>
        <w:t>work</w:t>
      </w:r>
      <w:r>
        <w:rPr>
          <w:spacing w:val="-19"/>
        </w:rPr>
        <w:t> </w:t>
      </w:r>
      <w:r>
        <w:rPr/>
        <w:t>required</w:t>
      </w:r>
      <w:r>
        <w:rPr>
          <w:spacing w:val="-19"/>
        </w:rPr>
        <w:t> </w:t>
      </w:r>
      <w:r>
        <w:rPr/>
        <w:t>cannot</w:t>
      </w:r>
      <w:r>
        <w:rPr>
          <w:spacing w:val="-19"/>
        </w:rPr>
        <w:t> </w:t>
      </w:r>
      <w:r>
        <w:rPr>
          <w:spacing w:val="-9"/>
        </w:rPr>
        <w:t>be </w:t>
      </w:r>
      <w:r>
        <w:rPr/>
        <w:t>reliably estimated until the review has been</w:t>
      </w:r>
      <w:r>
        <w:rPr>
          <w:spacing w:val="-36"/>
        </w:rPr>
        <w:t> </w:t>
      </w:r>
      <w:r>
        <w:rPr/>
        <w:t>completed.</w:t>
      </w:r>
    </w:p>
    <w:p>
      <w:pPr>
        <w:pStyle w:val="BodyText"/>
        <w:spacing w:before="1"/>
        <w:rPr>
          <w:sz w:val="23"/>
        </w:rPr>
      </w:pPr>
    </w:p>
    <w:p>
      <w:pPr>
        <w:spacing w:before="0"/>
        <w:ind w:left="765" w:right="0" w:firstLine="0"/>
        <w:jc w:val="left"/>
        <w:rPr>
          <w:i/>
          <w:sz w:val="22"/>
        </w:rPr>
      </w:pPr>
      <w:r>
        <w:rPr>
          <w:i/>
          <w:color w:val="6F2770"/>
          <w:sz w:val="22"/>
        </w:rPr>
        <w:t>Contaminated Sites Act 2003</w:t>
      </w:r>
    </w:p>
    <w:p>
      <w:pPr>
        <w:pStyle w:val="BodyText"/>
        <w:spacing w:line="249" w:lineRule="auto" w:before="12"/>
        <w:ind w:left="765" w:right="106"/>
      </w:pPr>
      <w:r>
        <w:rPr/>
        <w:t>Under the </w:t>
      </w:r>
      <w:r>
        <w:rPr>
          <w:i/>
        </w:rPr>
        <w:t>Contaminated Sites Act 2003</w:t>
      </w:r>
      <w:r>
        <w:rPr/>
        <w:t>, the Department is </w:t>
      </w:r>
      <w:r>
        <w:rPr>
          <w:spacing w:val="-3"/>
        </w:rPr>
        <w:t>required </w:t>
      </w:r>
      <w:r>
        <w:rPr/>
        <w:t>to </w:t>
      </w:r>
      <w:r>
        <w:rPr>
          <w:spacing w:val="-3"/>
        </w:rPr>
        <w:t>report</w:t>
      </w:r>
      <w:r>
        <w:rPr>
          <w:spacing w:val="-23"/>
        </w:rPr>
        <w:t> </w:t>
      </w:r>
      <w:r>
        <w:rPr/>
        <w:t>known</w:t>
      </w:r>
      <w:r>
        <w:rPr>
          <w:spacing w:val="-23"/>
        </w:rPr>
        <w:t> </w:t>
      </w:r>
      <w:r>
        <w:rPr/>
        <w:t>and</w:t>
      </w:r>
      <w:r>
        <w:rPr>
          <w:spacing w:val="-23"/>
        </w:rPr>
        <w:t> </w:t>
      </w:r>
      <w:r>
        <w:rPr/>
        <w:t>suspected</w:t>
      </w:r>
      <w:r>
        <w:rPr>
          <w:spacing w:val="-23"/>
        </w:rPr>
        <w:t> </w:t>
      </w:r>
      <w:r>
        <w:rPr/>
        <w:t>contaminated</w:t>
      </w:r>
      <w:r>
        <w:rPr>
          <w:spacing w:val="-23"/>
        </w:rPr>
        <w:t> </w:t>
      </w:r>
      <w:r>
        <w:rPr/>
        <w:t>sites</w:t>
      </w:r>
      <w:r>
        <w:rPr>
          <w:spacing w:val="-23"/>
        </w:rPr>
        <w:t> </w:t>
      </w:r>
      <w:r>
        <w:rPr/>
        <w:t>to</w:t>
      </w:r>
      <w:r>
        <w:rPr>
          <w:spacing w:val="-23"/>
        </w:rPr>
        <w:t> </w:t>
      </w:r>
      <w:r>
        <w:rPr/>
        <w:t>the</w:t>
      </w:r>
      <w:r>
        <w:rPr>
          <w:spacing w:val="-23"/>
        </w:rPr>
        <w:t> </w:t>
      </w:r>
      <w:r>
        <w:rPr/>
        <w:t>Department</w:t>
      </w:r>
      <w:r>
        <w:rPr>
          <w:spacing w:val="-23"/>
        </w:rPr>
        <w:t> </w:t>
      </w:r>
      <w:r>
        <w:rPr/>
        <w:t>of</w:t>
      </w:r>
      <w:r>
        <w:rPr>
          <w:spacing w:val="-23"/>
        </w:rPr>
        <w:t> </w:t>
      </w:r>
      <w:r>
        <w:rPr>
          <w:spacing w:val="-4"/>
        </w:rPr>
        <w:t>Water </w:t>
      </w:r>
      <w:r>
        <w:rPr/>
        <w:t>and</w:t>
      </w:r>
      <w:r>
        <w:rPr>
          <w:spacing w:val="-29"/>
        </w:rPr>
        <w:t> </w:t>
      </w:r>
      <w:r>
        <w:rPr>
          <w:spacing w:val="-3"/>
        </w:rPr>
        <w:t>Environmental</w:t>
      </w:r>
      <w:r>
        <w:rPr>
          <w:spacing w:val="-28"/>
        </w:rPr>
        <w:t> </w:t>
      </w:r>
      <w:r>
        <w:rPr/>
        <w:t>Regulation</w:t>
      </w:r>
      <w:r>
        <w:rPr>
          <w:spacing w:val="-29"/>
        </w:rPr>
        <w:t> </w:t>
      </w:r>
      <w:r>
        <w:rPr/>
        <w:t>(DWER).</w:t>
      </w:r>
      <w:r>
        <w:rPr>
          <w:spacing w:val="-28"/>
        </w:rPr>
        <w:t> </w:t>
      </w:r>
      <w:r>
        <w:rPr/>
        <w:t>In</w:t>
      </w:r>
      <w:r>
        <w:rPr>
          <w:spacing w:val="-29"/>
        </w:rPr>
        <w:t> </w:t>
      </w:r>
      <w:r>
        <w:rPr>
          <w:spacing w:val="-3"/>
        </w:rPr>
        <w:t>accordance</w:t>
      </w:r>
      <w:r>
        <w:rPr>
          <w:spacing w:val="-28"/>
        </w:rPr>
        <w:t> </w:t>
      </w:r>
      <w:r>
        <w:rPr/>
        <w:t>with</w:t>
      </w:r>
      <w:r>
        <w:rPr>
          <w:spacing w:val="-29"/>
        </w:rPr>
        <w:t> </w:t>
      </w:r>
      <w:r>
        <w:rPr/>
        <w:t>the</w:t>
      </w:r>
      <w:r>
        <w:rPr>
          <w:spacing w:val="-28"/>
        </w:rPr>
        <w:t> </w:t>
      </w:r>
      <w:r>
        <w:rPr/>
        <w:t>Act,</w:t>
      </w:r>
      <w:r>
        <w:rPr>
          <w:spacing w:val="-29"/>
        </w:rPr>
        <w:t> </w:t>
      </w:r>
      <w:r>
        <w:rPr/>
        <w:t>DWER</w:t>
      </w:r>
    </w:p>
    <w:p>
      <w:pPr>
        <w:spacing w:line="249" w:lineRule="auto" w:before="2"/>
        <w:ind w:left="765" w:right="0" w:firstLine="0"/>
        <w:jc w:val="left"/>
        <w:rPr>
          <w:i/>
          <w:sz w:val="22"/>
        </w:rPr>
      </w:pPr>
      <w:r>
        <w:rPr>
          <w:sz w:val="22"/>
        </w:rPr>
        <w:t>classifies</w:t>
      </w:r>
      <w:r>
        <w:rPr>
          <w:spacing w:val="-27"/>
          <w:sz w:val="22"/>
        </w:rPr>
        <w:t> </w:t>
      </w:r>
      <w:r>
        <w:rPr>
          <w:sz w:val="22"/>
        </w:rPr>
        <w:t>these</w:t>
      </w:r>
      <w:r>
        <w:rPr>
          <w:spacing w:val="-27"/>
          <w:sz w:val="22"/>
        </w:rPr>
        <w:t> </w:t>
      </w:r>
      <w:r>
        <w:rPr>
          <w:sz w:val="22"/>
        </w:rPr>
        <w:t>sites</w:t>
      </w:r>
      <w:r>
        <w:rPr>
          <w:spacing w:val="-27"/>
          <w:sz w:val="22"/>
        </w:rPr>
        <w:t> </w:t>
      </w:r>
      <w:r>
        <w:rPr>
          <w:sz w:val="22"/>
        </w:rPr>
        <w:t>on</w:t>
      </w:r>
      <w:r>
        <w:rPr>
          <w:spacing w:val="-27"/>
          <w:sz w:val="22"/>
        </w:rPr>
        <w:t> </w:t>
      </w:r>
      <w:r>
        <w:rPr>
          <w:sz w:val="22"/>
        </w:rPr>
        <w:t>the</w:t>
      </w:r>
      <w:r>
        <w:rPr>
          <w:spacing w:val="-26"/>
          <w:sz w:val="22"/>
        </w:rPr>
        <w:t> </w:t>
      </w:r>
      <w:r>
        <w:rPr>
          <w:sz w:val="22"/>
        </w:rPr>
        <w:t>basis</w:t>
      </w:r>
      <w:r>
        <w:rPr>
          <w:spacing w:val="-27"/>
          <w:sz w:val="22"/>
        </w:rPr>
        <w:t> </w:t>
      </w:r>
      <w:r>
        <w:rPr>
          <w:sz w:val="22"/>
        </w:rPr>
        <w:t>of</w:t>
      </w:r>
      <w:r>
        <w:rPr>
          <w:spacing w:val="-27"/>
          <w:sz w:val="22"/>
        </w:rPr>
        <w:t> </w:t>
      </w:r>
      <w:r>
        <w:rPr>
          <w:sz w:val="22"/>
        </w:rPr>
        <w:t>the</w:t>
      </w:r>
      <w:r>
        <w:rPr>
          <w:spacing w:val="-27"/>
          <w:sz w:val="22"/>
        </w:rPr>
        <w:t> </w:t>
      </w:r>
      <w:r>
        <w:rPr>
          <w:sz w:val="22"/>
        </w:rPr>
        <w:t>risk</w:t>
      </w:r>
      <w:r>
        <w:rPr>
          <w:spacing w:val="-27"/>
          <w:sz w:val="22"/>
        </w:rPr>
        <w:t> </w:t>
      </w:r>
      <w:r>
        <w:rPr>
          <w:sz w:val="22"/>
        </w:rPr>
        <w:t>to</w:t>
      </w:r>
      <w:r>
        <w:rPr>
          <w:spacing w:val="-26"/>
          <w:sz w:val="22"/>
        </w:rPr>
        <w:t> </w:t>
      </w:r>
      <w:r>
        <w:rPr>
          <w:sz w:val="22"/>
        </w:rPr>
        <w:t>human</w:t>
      </w:r>
      <w:r>
        <w:rPr>
          <w:spacing w:val="-27"/>
          <w:sz w:val="22"/>
        </w:rPr>
        <w:t> </w:t>
      </w:r>
      <w:r>
        <w:rPr>
          <w:sz w:val="22"/>
        </w:rPr>
        <w:t>health,</w:t>
      </w:r>
      <w:r>
        <w:rPr>
          <w:spacing w:val="-27"/>
          <w:sz w:val="22"/>
        </w:rPr>
        <w:t> </w:t>
      </w:r>
      <w:r>
        <w:rPr>
          <w:sz w:val="22"/>
        </w:rPr>
        <w:t>the</w:t>
      </w:r>
      <w:r>
        <w:rPr>
          <w:spacing w:val="-27"/>
          <w:sz w:val="22"/>
        </w:rPr>
        <w:t> </w:t>
      </w:r>
      <w:r>
        <w:rPr>
          <w:spacing w:val="-3"/>
          <w:sz w:val="22"/>
        </w:rPr>
        <w:t>environment </w:t>
      </w:r>
      <w:r>
        <w:rPr>
          <w:sz w:val="22"/>
        </w:rPr>
        <w:t>and </w:t>
      </w:r>
      <w:r>
        <w:rPr>
          <w:spacing w:val="-3"/>
          <w:sz w:val="22"/>
        </w:rPr>
        <w:t>environmental </w:t>
      </w:r>
      <w:r>
        <w:rPr>
          <w:sz w:val="22"/>
        </w:rPr>
        <w:t>values. </w:t>
      </w:r>
      <w:r>
        <w:rPr>
          <w:spacing w:val="-3"/>
          <w:sz w:val="22"/>
        </w:rPr>
        <w:t>Where </w:t>
      </w:r>
      <w:r>
        <w:rPr>
          <w:sz w:val="22"/>
        </w:rPr>
        <w:t>sites </w:t>
      </w:r>
      <w:r>
        <w:rPr>
          <w:spacing w:val="-3"/>
          <w:sz w:val="22"/>
        </w:rPr>
        <w:t>are </w:t>
      </w:r>
      <w:r>
        <w:rPr>
          <w:sz w:val="22"/>
        </w:rPr>
        <w:t>classified as </w:t>
      </w:r>
      <w:r>
        <w:rPr>
          <w:i/>
          <w:sz w:val="22"/>
        </w:rPr>
        <w:t>contaminated – </w:t>
      </w:r>
      <w:r>
        <w:rPr>
          <w:i/>
          <w:sz w:val="22"/>
        </w:rPr>
        <w:t>remediation</w:t>
      </w:r>
      <w:r>
        <w:rPr>
          <w:i/>
          <w:spacing w:val="-35"/>
          <w:sz w:val="22"/>
        </w:rPr>
        <w:t> </w:t>
      </w:r>
      <w:r>
        <w:rPr>
          <w:i/>
          <w:sz w:val="22"/>
        </w:rPr>
        <w:t>required,</w:t>
      </w:r>
      <w:r>
        <w:rPr>
          <w:i/>
          <w:spacing w:val="-34"/>
          <w:sz w:val="22"/>
        </w:rPr>
        <w:t> </w:t>
      </w:r>
      <w:r>
        <w:rPr>
          <w:i/>
          <w:sz w:val="22"/>
        </w:rPr>
        <w:t>contaminated</w:t>
      </w:r>
      <w:r>
        <w:rPr>
          <w:i/>
          <w:spacing w:val="-34"/>
          <w:sz w:val="22"/>
        </w:rPr>
        <w:t> </w:t>
      </w:r>
      <w:r>
        <w:rPr>
          <w:i/>
          <w:sz w:val="22"/>
        </w:rPr>
        <w:t>–</w:t>
      </w:r>
      <w:r>
        <w:rPr>
          <w:i/>
          <w:spacing w:val="-34"/>
          <w:sz w:val="22"/>
        </w:rPr>
        <w:t> </w:t>
      </w:r>
      <w:r>
        <w:rPr>
          <w:i/>
          <w:sz w:val="22"/>
        </w:rPr>
        <w:t>restricted</w:t>
      </w:r>
      <w:r>
        <w:rPr>
          <w:i/>
          <w:spacing w:val="-34"/>
          <w:sz w:val="22"/>
        </w:rPr>
        <w:t> </w:t>
      </w:r>
      <w:r>
        <w:rPr>
          <w:i/>
          <w:sz w:val="22"/>
        </w:rPr>
        <w:t>use</w:t>
      </w:r>
      <w:r>
        <w:rPr>
          <w:i/>
          <w:spacing w:val="-34"/>
          <w:sz w:val="22"/>
        </w:rPr>
        <w:t> </w:t>
      </w:r>
      <w:r>
        <w:rPr>
          <w:i/>
          <w:sz w:val="22"/>
        </w:rPr>
        <w:t>or</w:t>
      </w:r>
      <w:r>
        <w:rPr>
          <w:i/>
          <w:spacing w:val="-34"/>
          <w:sz w:val="22"/>
        </w:rPr>
        <w:t> </w:t>
      </w:r>
      <w:r>
        <w:rPr>
          <w:i/>
          <w:sz w:val="22"/>
        </w:rPr>
        <w:t>possibly</w:t>
      </w:r>
      <w:r>
        <w:rPr>
          <w:i/>
          <w:spacing w:val="-35"/>
          <w:sz w:val="22"/>
        </w:rPr>
        <w:t> </w:t>
      </w:r>
      <w:r>
        <w:rPr>
          <w:i/>
          <w:spacing w:val="-2"/>
          <w:sz w:val="22"/>
        </w:rPr>
        <w:t>contaminated</w:t>
      </w:r>
    </w:p>
    <w:p>
      <w:pPr>
        <w:spacing w:line="249" w:lineRule="auto" w:before="3"/>
        <w:ind w:left="765" w:right="0" w:firstLine="0"/>
        <w:jc w:val="left"/>
        <w:rPr>
          <w:sz w:val="22"/>
        </w:rPr>
      </w:pPr>
      <w:r>
        <w:rPr>
          <w:i/>
          <w:sz w:val="22"/>
        </w:rPr>
        <w:t>–</w:t>
      </w:r>
      <w:r>
        <w:rPr>
          <w:i/>
          <w:spacing w:val="-33"/>
          <w:sz w:val="22"/>
        </w:rPr>
        <w:t> </w:t>
      </w:r>
      <w:r>
        <w:rPr>
          <w:i/>
          <w:sz w:val="22"/>
        </w:rPr>
        <w:t>investigation</w:t>
      </w:r>
      <w:r>
        <w:rPr>
          <w:i/>
          <w:spacing w:val="-32"/>
          <w:sz w:val="22"/>
        </w:rPr>
        <w:t> </w:t>
      </w:r>
      <w:r>
        <w:rPr>
          <w:i/>
          <w:sz w:val="22"/>
        </w:rPr>
        <w:t>required</w:t>
      </w:r>
      <w:r>
        <w:rPr>
          <w:sz w:val="22"/>
        </w:rPr>
        <w:t>,</w:t>
      </w:r>
      <w:r>
        <w:rPr>
          <w:spacing w:val="-32"/>
          <w:sz w:val="22"/>
        </w:rPr>
        <w:t> </w:t>
      </w:r>
      <w:r>
        <w:rPr>
          <w:sz w:val="22"/>
        </w:rPr>
        <w:t>the</w:t>
      </w:r>
      <w:r>
        <w:rPr>
          <w:spacing w:val="-33"/>
          <w:sz w:val="22"/>
        </w:rPr>
        <w:t> </w:t>
      </w:r>
      <w:r>
        <w:rPr>
          <w:sz w:val="22"/>
        </w:rPr>
        <w:t>Department</w:t>
      </w:r>
      <w:r>
        <w:rPr>
          <w:spacing w:val="-32"/>
          <w:sz w:val="22"/>
        </w:rPr>
        <w:t> </w:t>
      </w:r>
      <w:r>
        <w:rPr>
          <w:sz w:val="22"/>
        </w:rPr>
        <w:t>may</w:t>
      </w:r>
      <w:r>
        <w:rPr>
          <w:spacing w:val="-32"/>
          <w:sz w:val="22"/>
        </w:rPr>
        <w:t> </w:t>
      </w:r>
      <w:r>
        <w:rPr>
          <w:sz w:val="22"/>
        </w:rPr>
        <w:t>have</w:t>
      </w:r>
      <w:r>
        <w:rPr>
          <w:spacing w:val="-32"/>
          <w:sz w:val="22"/>
        </w:rPr>
        <w:t> </w:t>
      </w:r>
      <w:r>
        <w:rPr>
          <w:sz w:val="22"/>
        </w:rPr>
        <w:t>a</w:t>
      </w:r>
      <w:r>
        <w:rPr>
          <w:spacing w:val="-33"/>
          <w:sz w:val="22"/>
        </w:rPr>
        <w:t> </w:t>
      </w:r>
      <w:r>
        <w:rPr>
          <w:sz w:val="22"/>
        </w:rPr>
        <w:t>liability</w:t>
      </w:r>
      <w:r>
        <w:rPr>
          <w:spacing w:val="-32"/>
          <w:sz w:val="22"/>
        </w:rPr>
        <w:t> </w:t>
      </w:r>
      <w:r>
        <w:rPr>
          <w:sz w:val="22"/>
        </w:rPr>
        <w:t>in</w:t>
      </w:r>
      <w:r>
        <w:rPr>
          <w:spacing w:val="-32"/>
          <w:sz w:val="22"/>
        </w:rPr>
        <w:t> </w:t>
      </w:r>
      <w:r>
        <w:rPr>
          <w:spacing w:val="-3"/>
          <w:sz w:val="22"/>
        </w:rPr>
        <w:t>respect</w:t>
      </w:r>
      <w:r>
        <w:rPr>
          <w:spacing w:val="-32"/>
          <w:sz w:val="22"/>
        </w:rPr>
        <w:t> </w:t>
      </w:r>
      <w:r>
        <w:rPr>
          <w:sz w:val="22"/>
        </w:rPr>
        <w:t>of investigation or </w:t>
      </w:r>
      <w:r>
        <w:rPr>
          <w:spacing w:val="-3"/>
          <w:sz w:val="22"/>
        </w:rPr>
        <w:t>remediation</w:t>
      </w:r>
      <w:r>
        <w:rPr>
          <w:spacing w:val="-18"/>
          <w:sz w:val="22"/>
        </w:rPr>
        <w:t> </w:t>
      </w:r>
      <w:r>
        <w:rPr>
          <w:sz w:val="22"/>
        </w:rPr>
        <w:t>expenses.</w:t>
      </w:r>
    </w:p>
    <w:p>
      <w:pPr>
        <w:pStyle w:val="BodyText"/>
        <w:spacing w:line="249" w:lineRule="auto" w:before="131"/>
        <w:ind w:left="450" w:right="905"/>
      </w:pPr>
      <w:r>
        <w:rPr/>
        <w:br w:type="column"/>
      </w:r>
      <w:r>
        <w:rPr/>
        <w:t>The Department has </w:t>
      </w:r>
      <w:r>
        <w:rPr>
          <w:spacing w:val="-3"/>
        </w:rPr>
        <w:t>reported </w:t>
      </w:r>
      <w:r>
        <w:rPr/>
        <w:t>two suspected contaminated sites to DWER. The first site has been classified as possibly contaminated-investigation </w:t>
      </w:r>
      <w:r>
        <w:rPr>
          <w:spacing w:val="-3"/>
        </w:rPr>
        <w:t>required. </w:t>
      </w:r>
      <w:r>
        <w:rPr/>
        <w:t>The Department is unable to assess the likely outcome of </w:t>
      </w:r>
      <w:r>
        <w:rPr>
          <w:spacing w:val="-2"/>
        </w:rPr>
        <w:t>the </w:t>
      </w:r>
      <w:r>
        <w:rPr/>
        <w:t>classification </w:t>
      </w:r>
      <w:r>
        <w:rPr>
          <w:spacing w:val="-3"/>
        </w:rPr>
        <w:t>process </w:t>
      </w:r>
      <w:r>
        <w:rPr/>
        <w:t>and </w:t>
      </w:r>
      <w:r>
        <w:rPr>
          <w:spacing w:val="-3"/>
        </w:rPr>
        <w:t>accordingly </w:t>
      </w:r>
      <w:r>
        <w:rPr/>
        <w:t>it is not practicable to estimate </w:t>
      </w:r>
      <w:r>
        <w:rPr>
          <w:spacing w:val="-2"/>
        </w:rPr>
        <w:t>the </w:t>
      </w:r>
      <w:r>
        <w:rPr/>
        <w:t>potential</w:t>
      </w:r>
      <w:r>
        <w:rPr>
          <w:spacing w:val="-23"/>
        </w:rPr>
        <w:t> </w:t>
      </w:r>
      <w:r>
        <w:rPr/>
        <w:t>financial</w:t>
      </w:r>
      <w:r>
        <w:rPr>
          <w:spacing w:val="-23"/>
        </w:rPr>
        <w:t> </w:t>
      </w:r>
      <w:r>
        <w:rPr>
          <w:spacing w:val="-3"/>
        </w:rPr>
        <w:t>effect</w:t>
      </w:r>
      <w:r>
        <w:rPr>
          <w:spacing w:val="-22"/>
        </w:rPr>
        <w:t> </w:t>
      </w:r>
      <w:r>
        <w:rPr/>
        <w:t>or</w:t>
      </w:r>
      <w:r>
        <w:rPr>
          <w:spacing w:val="-23"/>
        </w:rPr>
        <w:t> </w:t>
      </w:r>
      <w:r>
        <w:rPr/>
        <w:t>to</w:t>
      </w:r>
      <w:r>
        <w:rPr>
          <w:spacing w:val="-23"/>
        </w:rPr>
        <w:t> </w:t>
      </w:r>
      <w:r>
        <w:rPr/>
        <w:t>identify</w:t>
      </w:r>
      <w:r>
        <w:rPr>
          <w:spacing w:val="-22"/>
        </w:rPr>
        <w:t> </w:t>
      </w:r>
      <w:r>
        <w:rPr/>
        <w:t>the</w:t>
      </w:r>
      <w:r>
        <w:rPr>
          <w:spacing w:val="-23"/>
        </w:rPr>
        <w:t> </w:t>
      </w:r>
      <w:r>
        <w:rPr/>
        <w:t>uncertainties</w:t>
      </w:r>
      <w:r>
        <w:rPr>
          <w:spacing w:val="-23"/>
        </w:rPr>
        <w:t> </w:t>
      </w:r>
      <w:r>
        <w:rPr>
          <w:spacing w:val="-3"/>
        </w:rPr>
        <w:t>relating</w:t>
      </w:r>
      <w:r>
        <w:rPr>
          <w:spacing w:val="-22"/>
        </w:rPr>
        <w:t> </w:t>
      </w:r>
      <w:r>
        <w:rPr/>
        <w:t>to</w:t>
      </w:r>
      <w:r>
        <w:rPr>
          <w:spacing w:val="-23"/>
        </w:rPr>
        <w:t> </w:t>
      </w:r>
      <w:r>
        <w:rPr/>
        <w:t>the</w:t>
      </w:r>
      <w:r>
        <w:rPr>
          <w:spacing w:val="-23"/>
        </w:rPr>
        <w:t> </w:t>
      </w:r>
      <w:r>
        <w:rPr>
          <w:spacing w:val="-2"/>
        </w:rPr>
        <w:t>amount </w:t>
      </w:r>
      <w:r>
        <w:rPr/>
        <w:t>or</w:t>
      </w:r>
      <w:r>
        <w:rPr>
          <w:spacing w:val="-24"/>
        </w:rPr>
        <w:t> </w:t>
      </w:r>
      <w:r>
        <w:rPr/>
        <w:t>timing</w:t>
      </w:r>
      <w:r>
        <w:rPr>
          <w:spacing w:val="-24"/>
        </w:rPr>
        <w:t> </w:t>
      </w:r>
      <w:r>
        <w:rPr/>
        <w:t>of</w:t>
      </w:r>
      <w:r>
        <w:rPr>
          <w:spacing w:val="-24"/>
        </w:rPr>
        <w:t> </w:t>
      </w:r>
      <w:r>
        <w:rPr/>
        <w:t>any</w:t>
      </w:r>
      <w:r>
        <w:rPr>
          <w:spacing w:val="-24"/>
        </w:rPr>
        <w:t> </w:t>
      </w:r>
      <w:r>
        <w:rPr/>
        <w:t>outflows.</w:t>
      </w:r>
      <w:r>
        <w:rPr>
          <w:spacing w:val="-23"/>
        </w:rPr>
        <w:t> </w:t>
      </w:r>
      <w:r>
        <w:rPr/>
        <w:t>Whilst</w:t>
      </w:r>
      <w:r>
        <w:rPr>
          <w:spacing w:val="-24"/>
        </w:rPr>
        <w:t> </w:t>
      </w:r>
      <w:r>
        <w:rPr>
          <w:spacing w:val="-3"/>
        </w:rPr>
        <w:t>there</w:t>
      </w:r>
      <w:r>
        <w:rPr>
          <w:spacing w:val="-24"/>
        </w:rPr>
        <w:t> </w:t>
      </w:r>
      <w:r>
        <w:rPr/>
        <w:t>is</w:t>
      </w:r>
      <w:r>
        <w:rPr>
          <w:spacing w:val="-24"/>
        </w:rPr>
        <w:t> </w:t>
      </w:r>
      <w:r>
        <w:rPr/>
        <w:t>no</w:t>
      </w:r>
      <w:r>
        <w:rPr>
          <w:spacing w:val="-23"/>
        </w:rPr>
        <w:t> </w:t>
      </w:r>
      <w:r>
        <w:rPr/>
        <w:t>possibility</w:t>
      </w:r>
      <w:r>
        <w:rPr>
          <w:spacing w:val="-24"/>
        </w:rPr>
        <w:t> </w:t>
      </w:r>
      <w:r>
        <w:rPr/>
        <w:t>of</w:t>
      </w:r>
      <w:r>
        <w:rPr>
          <w:spacing w:val="-24"/>
        </w:rPr>
        <w:t> </w:t>
      </w:r>
      <w:r>
        <w:rPr>
          <w:spacing w:val="-3"/>
        </w:rPr>
        <w:t>reimbursement</w:t>
      </w:r>
      <w:r>
        <w:rPr>
          <w:spacing w:val="-24"/>
        </w:rPr>
        <w:t> </w:t>
      </w:r>
      <w:r>
        <w:rPr/>
        <w:t>of</w:t>
      </w:r>
      <w:r>
        <w:rPr>
          <w:spacing w:val="-24"/>
        </w:rPr>
        <w:t> </w:t>
      </w:r>
      <w:r>
        <w:rPr>
          <w:spacing w:val="-2"/>
        </w:rPr>
        <w:t>any </w:t>
      </w:r>
      <w:r>
        <w:rPr>
          <w:spacing w:val="-3"/>
        </w:rPr>
        <w:t>future </w:t>
      </w:r>
      <w:r>
        <w:rPr/>
        <w:t>expenses that may be </w:t>
      </w:r>
      <w:r>
        <w:rPr>
          <w:spacing w:val="-3"/>
        </w:rPr>
        <w:t>incurred </w:t>
      </w:r>
      <w:r>
        <w:rPr/>
        <w:t>in the </w:t>
      </w:r>
      <w:r>
        <w:rPr>
          <w:spacing w:val="-3"/>
        </w:rPr>
        <w:t>remediation </w:t>
      </w:r>
      <w:r>
        <w:rPr/>
        <w:t>of these sites, </w:t>
      </w:r>
      <w:r>
        <w:rPr>
          <w:spacing w:val="-2"/>
        </w:rPr>
        <w:t>the </w:t>
      </w:r>
      <w:r>
        <w:rPr/>
        <w:t>Department</w:t>
      </w:r>
      <w:r>
        <w:rPr>
          <w:spacing w:val="-30"/>
        </w:rPr>
        <w:t> </w:t>
      </w:r>
      <w:r>
        <w:rPr/>
        <w:t>may</w:t>
      </w:r>
      <w:r>
        <w:rPr>
          <w:spacing w:val="-30"/>
        </w:rPr>
        <w:t> </w:t>
      </w:r>
      <w:r>
        <w:rPr/>
        <w:t>apply</w:t>
      </w:r>
      <w:r>
        <w:rPr>
          <w:spacing w:val="-29"/>
        </w:rPr>
        <w:t> </w:t>
      </w:r>
      <w:r>
        <w:rPr/>
        <w:t>for</w:t>
      </w:r>
      <w:r>
        <w:rPr>
          <w:spacing w:val="-30"/>
        </w:rPr>
        <w:t> </w:t>
      </w:r>
      <w:r>
        <w:rPr/>
        <w:t>funding</w:t>
      </w:r>
      <w:r>
        <w:rPr>
          <w:spacing w:val="-29"/>
        </w:rPr>
        <w:t> </w:t>
      </w:r>
      <w:r>
        <w:rPr>
          <w:spacing w:val="-3"/>
        </w:rPr>
        <w:t>from</w:t>
      </w:r>
      <w:r>
        <w:rPr>
          <w:spacing w:val="-30"/>
        </w:rPr>
        <w:t> </w:t>
      </w:r>
      <w:r>
        <w:rPr/>
        <w:t>the</w:t>
      </w:r>
      <w:r>
        <w:rPr>
          <w:spacing w:val="-30"/>
        </w:rPr>
        <w:t> </w:t>
      </w:r>
      <w:r>
        <w:rPr/>
        <w:t>Contaminated</w:t>
      </w:r>
      <w:r>
        <w:rPr>
          <w:spacing w:val="-29"/>
        </w:rPr>
        <w:t> </w:t>
      </w:r>
      <w:r>
        <w:rPr/>
        <w:t>Sites</w:t>
      </w:r>
      <w:r>
        <w:rPr>
          <w:spacing w:val="-30"/>
        </w:rPr>
        <w:t> </w:t>
      </w:r>
      <w:r>
        <w:rPr/>
        <w:t>Management Account</w:t>
      </w:r>
      <w:r>
        <w:rPr>
          <w:spacing w:val="-22"/>
        </w:rPr>
        <w:t> </w:t>
      </w:r>
      <w:r>
        <w:rPr/>
        <w:t>to</w:t>
      </w:r>
      <w:r>
        <w:rPr>
          <w:spacing w:val="-22"/>
        </w:rPr>
        <w:t> </w:t>
      </w:r>
      <w:r>
        <w:rPr/>
        <w:t>undertake</w:t>
      </w:r>
      <w:r>
        <w:rPr>
          <w:spacing w:val="-22"/>
        </w:rPr>
        <w:t> </w:t>
      </w:r>
      <w:r>
        <w:rPr/>
        <w:t>further</w:t>
      </w:r>
      <w:r>
        <w:rPr>
          <w:spacing w:val="-22"/>
        </w:rPr>
        <w:t> </w:t>
      </w:r>
      <w:r>
        <w:rPr/>
        <w:t>investigative</w:t>
      </w:r>
      <w:r>
        <w:rPr>
          <w:spacing w:val="-21"/>
        </w:rPr>
        <w:t> </w:t>
      </w:r>
      <w:r>
        <w:rPr/>
        <w:t>work</w:t>
      </w:r>
      <w:r>
        <w:rPr>
          <w:spacing w:val="-22"/>
        </w:rPr>
        <w:t> </w:t>
      </w:r>
      <w:r>
        <w:rPr/>
        <w:t>or</w:t>
      </w:r>
      <w:r>
        <w:rPr>
          <w:spacing w:val="-22"/>
        </w:rPr>
        <w:t> </w:t>
      </w:r>
      <w:r>
        <w:rPr/>
        <w:t>to</w:t>
      </w:r>
      <w:r>
        <w:rPr>
          <w:spacing w:val="-22"/>
        </w:rPr>
        <w:t> </w:t>
      </w:r>
      <w:r>
        <w:rPr/>
        <w:t>meet</w:t>
      </w:r>
      <w:r>
        <w:rPr>
          <w:spacing w:val="-22"/>
        </w:rPr>
        <w:t> </w:t>
      </w:r>
      <w:r>
        <w:rPr>
          <w:spacing w:val="-3"/>
        </w:rPr>
        <w:t>remediation</w:t>
      </w:r>
      <w:r>
        <w:rPr>
          <w:spacing w:val="-21"/>
        </w:rPr>
        <w:t> </w:t>
      </w:r>
      <w:r>
        <w:rPr/>
        <w:t>costs that may be</w:t>
      </w:r>
      <w:r>
        <w:rPr>
          <w:spacing w:val="-12"/>
        </w:rPr>
        <w:t> </w:t>
      </w:r>
      <w:r>
        <w:rPr>
          <w:spacing w:val="-3"/>
        </w:rPr>
        <w:t>required.</w:t>
      </w:r>
    </w:p>
    <w:p>
      <w:pPr>
        <w:pStyle w:val="BodyText"/>
        <w:spacing w:before="9"/>
        <w:rPr>
          <w:sz w:val="23"/>
        </w:rPr>
      </w:pPr>
    </w:p>
    <w:p>
      <w:pPr>
        <w:pStyle w:val="BodyText"/>
        <w:ind w:left="450"/>
      </w:pPr>
      <w:r>
        <w:rPr/>
        <w:t>The second site has been classified as contaminated – restricted use.</w:t>
      </w:r>
    </w:p>
    <w:p>
      <w:pPr>
        <w:pStyle w:val="BodyText"/>
        <w:spacing w:line="249" w:lineRule="auto" w:before="11"/>
        <w:ind w:left="450" w:right="905"/>
      </w:pPr>
      <w:r>
        <w:rPr/>
        <w:t>For</w:t>
      </w:r>
      <w:r>
        <w:rPr>
          <w:spacing w:val="-22"/>
        </w:rPr>
        <w:t> </w:t>
      </w:r>
      <w:r>
        <w:rPr/>
        <w:t>this</w:t>
      </w:r>
      <w:r>
        <w:rPr>
          <w:spacing w:val="-21"/>
        </w:rPr>
        <w:t> </w:t>
      </w:r>
      <w:r>
        <w:rPr/>
        <w:t>site,</w:t>
      </w:r>
      <w:r>
        <w:rPr>
          <w:spacing w:val="-22"/>
        </w:rPr>
        <w:t> </w:t>
      </w:r>
      <w:r>
        <w:rPr/>
        <w:t>a</w:t>
      </w:r>
      <w:r>
        <w:rPr>
          <w:spacing w:val="-21"/>
        </w:rPr>
        <w:t> </w:t>
      </w:r>
      <w:r>
        <w:rPr>
          <w:spacing w:val="-3"/>
        </w:rPr>
        <w:t>restoration</w:t>
      </w:r>
      <w:r>
        <w:rPr>
          <w:spacing w:val="-21"/>
        </w:rPr>
        <w:t> </w:t>
      </w:r>
      <w:r>
        <w:rPr/>
        <w:t>cost</w:t>
      </w:r>
      <w:r>
        <w:rPr>
          <w:spacing w:val="-22"/>
        </w:rPr>
        <w:t> </w:t>
      </w:r>
      <w:r>
        <w:rPr>
          <w:spacing w:val="-3"/>
        </w:rPr>
        <w:t>provision</w:t>
      </w:r>
      <w:r>
        <w:rPr>
          <w:spacing w:val="-21"/>
        </w:rPr>
        <w:t> </w:t>
      </w:r>
      <w:r>
        <w:rPr/>
        <w:t>has</w:t>
      </w:r>
      <w:r>
        <w:rPr>
          <w:spacing w:val="-21"/>
        </w:rPr>
        <w:t> </w:t>
      </w:r>
      <w:r>
        <w:rPr/>
        <w:t>been</w:t>
      </w:r>
      <w:r>
        <w:rPr>
          <w:spacing w:val="-22"/>
        </w:rPr>
        <w:t> </w:t>
      </w:r>
      <w:r>
        <w:rPr>
          <w:spacing w:val="-3"/>
        </w:rPr>
        <w:t>recognised</w:t>
      </w:r>
      <w:r>
        <w:rPr>
          <w:spacing w:val="-21"/>
        </w:rPr>
        <w:t> </w:t>
      </w:r>
      <w:r>
        <w:rPr/>
        <w:t>to</w:t>
      </w:r>
      <w:r>
        <w:rPr>
          <w:spacing w:val="-21"/>
        </w:rPr>
        <w:t> </w:t>
      </w:r>
      <w:r>
        <w:rPr>
          <w:spacing w:val="-3"/>
        </w:rPr>
        <w:t>rehabilitate</w:t>
      </w:r>
      <w:r>
        <w:rPr>
          <w:spacing w:val="-22"/>
        </w:rPr>
        <w:t> </w:t>
      </w:r>
      <w:r>
        <w:rPr/>
        <w:t>it to a </w:t>
      </w:r>
      <w:r>
        <w:rPr>
          <w:spacing w:val="-3"/>
        </w:rPr>
        <w:t>standard </w:t>
      </w:r>
      <w:r>
        <w:rPr/>
        <w:t>suitable for </w:t>
      </w:r>
      <w:r>
        <w:rPr>
          <w:spacing w:val="-3"/>
        </w:rPr>
        <w:t>future </w:t>
      </w:r>
      <w:r>
        <w:rPr/>
        <w:t>land</w:t>
      </w:r>
      <w:r>
        <w:rPr>
          <w:spacing w:val="-30"/>
        </w:rPr>
        <w:t> </w:t>
      </w:r>
      <w:r>
        <w:rPr/>
        <w:t>use.</w:t>
      </w:r>
    </w:p>
    <w:p>
      <w:pPr>
        <w:pStyle w:val="BodyText"/>
        <w:spacing w:before="3"/>
        <w:rPr>
          <w:sz w:val="23"/>
        </w:rPr>
      </w:pPr>
    </w:p>
    <w:p>
      <w:pPr>
        <w:pStyle w:val="Heading5"/>
        <w:spacing w:before="0"/>
        <w:ind w:left="450"/>
      </w:pPr>
      <w:r>
        <w:rPr>
          <w:color w:val="6F2770"/>
        </w:rPr>
        <w:t>Note 38. Related bodies and affiliated bodies</w:t>
      </w:r>
    </w:p>
    <w:p>
      <w:pPr>
        <w:pStyle w:val="BodyText"/>
        <w:spacing w:before="254"/>
        <w:ind w:left="450"/>
      </w:pPr>
      <w:r>
        <w:rPr/>
        <w:t>The Department has no related bodies or affiliated bodies.</w:t>
      </w:r>
    </w:p>
    <w:p>
      <w:pPr>
        <w:pStyle w:val="BodyText"/>
        <w:spacing w:before="7"/>
        <w:rPr>
          <w:sz w:val="24"/>
        </w:rPr>
      </w:pPr>
    </w:p>
    <w:p>
      <w:pPr>
        <w:pStyle w:val="Heading5"/>
        <w:spacing w:line="235" w:lineRule="auto" w:before="1"/>
        <w:ind w:left="450" w:right="1904"/>
      </w:pPr>
      <w:r>
        <w:rPr>
          <w:color w:val="6F2770"/>
        </w:rPr>
        <w:t>Note</w:t>
      </w:r>
      <w:r>
        <w:rPr>
          <w:color w:val="6F2770"/>
          <w:spacing w:val="-20"/>
        </w:rPr>
        <w:t> </w:t>
      </w:r>
      <w:r>
        <w:rPr>
          <w:color w:val="6F2770"/>
        </w:rPr>
        <w:t>39.</w:t>
      </w:r>
      <w:r>
        <w:rPr>
          <w:color w:val="6F2770"/>
          <w:spacing w:val="-19"/>
        </w:rPr>
        <w:t> </w:t>
      </w:r>
      <w:r>
        <w:rPr>
          <w:color w:val="6F2770"/>
        </w:rPr>
        <w:t>Events</w:t>
      </w:r>
      <w:r>
        <w:rPr>
          <w:color w:val="6F2770"/>
          <w:spacing w:val="-20"/>
        </w:rPr>
        <w:t> </w:t>
      </w:r>
      <w:r>
        <w:rPr>
          <w:color w:val="6F2770"/>
        </w:rPr>
        <w:t>occurring</w:t>
      </w:r>
      <w:r>
        <w:rPr>
          <w:color w:val="6F2770"/>
          <w:spacing w:val="-19"/>
        </w:rPr>
        <w:t> </w:t>
      </w:r>
      <w:r>
        <w:rPr>
          <w:color w:val="6F2770"/>
        </w:rPr>
        <w:t>after</w:t>
      </w:r>
      <w:r>
        <w:rPr>
          <w:color w:val="6F2770"/>
          <w:spacing w:val="-20"/>
        </w:rPr>
        <w:t> </w:t>
      </w:r>
      <w:r>
        <w:rPr>
          <w:color w:val="6F2770"/>
        </w:rPr>
        <w:t>the</w:t>
      </w:r>
      <w:r>
        <w:rPr>
          <w:color w:val="6F2770"/>
          <w:spacing w:val="-19"/>
        </w:rPr>
        <w:t> </w:t>
      </w:r>
      <w:r>
        <w:rPr>
          <w:color w:val="6F2770"/>
        </w:rPr>
        <w:t>end</w:t>
      </w:r>
      <w:r>
        <w:rPr>
          <w:color w:val="6F2770"/>
          <w:spacing w:val="-20"/>
        </w:rPr>
        <w:t> </w:t>
      </w:r>
      <w:r>
        <w:rPr>
          <w:color w:val="6F2770"/>
        </w:rPr>
        <w:t>of</w:t>
      </w:r>
      <w:r>
        <w:rPr>
          <w:color w:val="6F2770"/>
          <w:spacing w:val="-19"/>
        </w:rPr>
        <w:t> </w:t>
      </w:r>
      <w:r>
        <w:rPr>
          <w:color w:val="6F2770"/>
          <w:spacing w:val="-6"/>
        </w:rPr>
        <w:t>the </w:t>
      </w:r>
      <w:r>
        <w:rPr>
          <w:color w:val="6F2770"/>
        </w:rPr>
        <w:t>reporting</w:t>
      </w:r>
      <w:r>
        <w:rPr>
          <w:color w:val="6F2770"/>
          <w:spacing w:val="-2"/>
        </w:rPr>
        <w:t> </w:t>
      </w:r>
      <w:r>
        <w:rPr>
          <w:color w:val="6F2770"/>
        </w:rPr>
        <w:t>period</w:t>
      </w:r>
    </w:p>
    <w:p>
      <w:pPr>
        <w:pStyle w:val="BodyText"/>
        <w:spacing w:line="249" w:lineRule="auto" w:before="254"/>
        <w:ind w:left="450" w:right="1136"/>
      </w:pPr>
      <w:r>
        <w:rPr/>
        <w:t>The</w:t>
      </w:r>
      <w:r>
        <w:rPr>
          <w:spacing w:val="-20"/>
        </w:rPr>
        <w:t> </w:t>
      </w:r>
      <w:r>
        <w:rPr/>
        <w:t>Department</w:t>
      </w:r>
      <w:r>
        <w:rPr>
          <w:spacing w:val="-20"/>
        </w:rPr>
        <w:t> </w:t>
      </w:r>
      <w:r>
        <w:rPr/>
        <w:t>is</w:t>
      </w:r>
      <w:r>
        <w:rPr>
          <w:spacing w:val="-19"/>
        </w:rPr>
        <w:t> </w:t>
      </w:r>
      <w:r>
        <w:rPr/>
        <w:t>unaware</w:t>
      </w:r>
      <w:r>
        <w:rPr>
          <w:spacing w:val="-20"/>
        </w:rPr>
        <w:t> </w:t>
      </w:r>
      <w:r>
        <w:rPr/>
        <w:t>of</w:t>
      </w:r>
      <w:r>
        <w:rPr>
          <w:spacing w:val="-20"/>
        </w:rPr>
        <w:t> </w:t>
      </w:r>
      <w:r>
        <w:rPr/>
        <w:t>any</w:t>
      </w:r>
      <w:r>
        <w:rPr>
          <w:spacing w:val="-19"/>
        </w:rPr>
        <w:t> </w:t>
      </w:r>
      <w:r>
        <w:rPr/>
        <w:t>event</w:t>
      </w:r>
      <w:r>
        <w:rPr>
          <w:spacing w:val="-20"/>
        </w:rPr>
        <w:t> </w:t>
      </w:r>
      <w:r>
        <w:rPr/>
        <w:t>occurring</w:t>
      </w:r>
      <w:r>
        <w:rPr>
          <w:spacing w:val="-20"/>
        </w:rPr>
        <w:t> </w:t>
      </w:r>
      <w:r>
        <w:rPr/>
        <w:t>after</w:t>
      </w:r>
      <w:r>
        <w:rPr>
          <w:spacing w:val="-19"/>
        </w:rPr>
        <w:t> </w:t>
      </w:r>
      <w:r>
        <w:rPr/>
        <w:t>reporting</w:t>
      </w:r>
      <w:r>
        <w:rPr>
          <w:spacing w:val="-20"/>
        </w:rPr>
        <w:t> </w:t>
      </w:r>
      <w:r>
        <w:rPr/>
        <w:t>date</w:t>
      </w:r>
      <w:r>
        <w:rPr>
          <w:spacing w:val="-20"/>
        </w:rPr>
        <w:t> </w:t>
      </w:r>
      <w:r>
        <w:rPr>
          <w:spacing w:val="-5"/>
        </w:rPr>
        <w:t>that </w:t>
      </w:r>
      <w:r>
        <w:rPr/>
        <w:t>would materially affect the Financial</w:t>
      </w:r>
      <w:r>
        <w:rPr>
          <w:spacing w:val="-20"/>
        </w:rPr>
        <w:t> </w:t>
      </w:r>
      <w:r>
        <w:rPr/>
        <w:t>Statements.</w:t>
      </w:r>
    </w:p>
    <w:p>
      <w:pPr>
        <w:spacing w:after="0" w:line="249" w:lineRule="auto"/>
        <w:sectPr>
          <w:type w:val="continuous"/>
          <w:pgSz w:w="16840" w:h="11910" w:orient="landscape"/>
          <w:pgMar w:top="1100" w:bottom="280" w:left="0" w:right="0"/>
          <w:cols w:num="2" w:equalWidth="0">
            <w:col w:w="8142" w:space="40"/>
            <w:col w:w="8658"/>
          </w:cols>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360.811798pt;margin-top:-57.373512pt;width:481.1pt;height:371.15pt;mso-position-horizontal-relative:page;mso-position-vertical-relative:paragraph;z-index:-693760" coordorigin="7216,-1147" coordsize="9622,7423">
            <v:shape style="position:absolute;left:8861;top:-1148;width:7977;height:7423" type="#_x0000_t75" stroked="false">
              <v:imagedata r:id="rId23" o:title=""/>
            </v:shape>
            <v:rect style="position:absolute;left:7216;top:-1148;width:2406;height:851" filled="true" fillcolor="#d4d896" stroked="false">
              <v:fill type="solid"/>
            </v:rect>
            <w10:wrap type="none"/>
          </v:group>
        </w:pict>
      </w:r>
      <w:r>
        <w:rPr/>
        <w:pict>
          <v:shape style="position:absolute;margin-left:601.348999pt;margin-top:-57.37421pt;width:120.3pt;height:42.55pt;mso-position-horizontal-relative:page;mso-position-vertical-relative:paragraph;z-index:18760"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18784"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57.37421pt;width:120.3pt;height:42.55pt;mso-position-horizontal-relative:page;mso-position-vertical-relative:paragraph;z-index:18808"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pPr>
      <w:r>
        <w:rPr>
          <w:color w:val="6F2770"/>
        </w:rPr>
        <w:t>For the year ended 30 June 2018</w:t>
      </w:r>
    </w:p>
    <w:p>
      <w:pPr>
        <w:pStyle w:val="Heading5"/>
        <w:spacing w:before="257"/>
      </w:pPr>
      <w:r>
        <w:rPr>
          <w:color w:val="6F2770"/>
        </w:rPr>
        <w:t>Note 40. Financial instruments</w:t>
      </w:r>
    </w:p>
    <w:p>
      <w:pPr>
        <w:pStyle w:val="BodyText"/>
        <w:spacing w:before="7"/>
        <w:rPr>
          <w:sz w:val="12"/>
        </w:rPr>
      </w:pPr>
    </w:p>
    <w:p>
      <w:pPr>
        <w:spacing w:after="0"/>
        <w:rPr>
          <w:sz w:val="12"/>
        </w:rPr>
        <w:sectPr>
          <w:footerReference w:type="default" r:id="rId171"/>
          <w:pgSz w:w="16840" w:h="11910" w:orient="landscape"/>
          <w:pgMar w:footer="774" w:header="0" w:top="0" w:bottom="960" w:left="0" w:right="0"/>
        </w:sectPr>
      </w:pPr>
    </w:p>
    <w:p>
      <w:pPr>
        <w:pStyle w:val="Heading6"/>
        <w:numPr>
          <w:ilvl w:val="0"/>
          <w:numId w:val="16"/>
        </w:numPr>
        <w:tabs>
          <w:tab w:pos="1084" w:val="left" w:leader="none"/>
        </w:tabs>
        <w:spacing w:line="240" w:lineRule="auto" w:before="109" w:after="0"/>
        <w:ind w:left="1083" w:right="0" w:hanging="318"/>
        <w:jc w:val="left"/>
      </w:pPr>
      <w:r>
        <w:rPr/>
        <w:t>Financial risk management objectives and</w:t>
      </w:r>
      <w:r>
        <w:rPr>
          <w:spacing w:val="-2"/>
        </w:rPr>
        <w:t> </w:t>
      </w:r>
      <w:r>
        <w:rPr/>
        <w:t>policies</w:t>
      </w:r>
    </w:p>
    <w:p>
      <w:pPr>
        <w:pStyle w:val="BodyText"/>
        <w:spacing w:line="249" w:lineRule="auto" w:before="11"/>
        <w:ind w:left="765" w:right="84"/>
      </w:pPr>
      <w:r>
        <w:rPr/>
        <w:t>Financial</w:t>
      </w:r>
      <w:r>
        <w:rPr>
          <w:spacing w:val="-25"/>
        </w:rPr>
        <w:t> </w:t>
      </w:r>
      <w:r>
        <w:rPr/>
        <w:t>instruments</w:t>
      </w:r>
      <w:r>
        <w:rPr>
          <w:spacing w:val="-25"/>
        </w:rPr>
        <w:t> </w:t>
      </w:r>
      <w:r>
        <w:rPr/>
        <w:t>held</w:t>
      </w:r>
      <w:r>
        <w:rPr>
          <w:spacing w:val="-25"/>
        </w:rPr>
        <w:t> </w:t>
      </w:r>
      <w:r>
        <w:rPr/>
        <w:t>by</w:t>
      </w:r>
      <w:r>
        <w:rPr>
          <w:spacing w:val="-25"/>
        </w:rPr>
        <w:t> </w:t>
      </w:r>
      <w:r>
        <w:rPr/>
        <w:t>the</w:t>
      </w:r>
      <w:r>
        <w:rPr>
          <w:spacing w:val="-25"/>
        </w:rPr>
        <w:t> </w:t>
      </w:r>
      <w:r>
        <w:rPr/>
        <w:t>Department</w:t>
      </w:r>
      <w:r>
        <w:rPr>
          <w:spacing w:val="-24"/>
        </w:rPr>
        <w:t> </w:t>
      </w:r>
      <w:r>
        <w:rPr/>
        <w:t>are</w:t>
      </w:r>
      <w:r>
        <w:rPr>
          <w:spacing w:val="-25"/>
        </w:rPr>
        <w:t> </w:t>
      </w:r>
      <w:r>
        <w:rPr/>
        <w:t>cash</w:t>
      </w:r>
      <w:r>
        <w:rPr>
          <w:spacing w:val="-25"/>
        </w:rPr>
        <w:t> </w:t>
      </w:r>
      <w:r>
        <w:rPr/>
        <w:t>and</w:t>
      </w:r>
      <w:r>
        <w:rPr>
          <w:spacing w:val="-25"/>
        </w:rPr>
        <w:t> </w:t>
      </w:r>
      <w:r>
        <w:rPr/>
        <w:t>cash</w:t>
      </w:r>
      <w:r>
        <w:rPr>
          <w:spacing w:val="-25"/>
        </w:rPr>
        <w:t> </w:t>
      </w:r>
      <w:r>
        <w:rPr>
          <w:spacing w:val="-2"/>
        </w:rPr>
        <w:t>equivalents, </w:t>
      </w:r>
      <w:r>
        <w:rPr/>
        <w:t>restricted</w:t>
      </w:r>
      <w:r>
        <w:rPr>
          <w:spacing w:val="-29"/>
        </w:rPr>
        <w:t> </w:t>
      </w:r>
      <w:r>
        <w:rPr/>
        <w:t>cash</w:t>
      </w:r>
      <w:r>
        <w:rPr>
          <w:spacing w:val="-29"/>
        </w:rPr>
        <w:t> </w:t>
      </w:r>
      <w:r>
        <w:rPr/>
        <w:t>and</w:t>
      </w:r>
      <w:r>
        <w:rPr>
          <w:spacing w:val="-29"/>
        </w:rPr>
        <w:t> </w:t>
      </w:r>
      <w:r>
        <w:rPr/>
        <w:t>cash</w:t>
      </w:r>
      <w:r>
        <w:rPr>
          <w:spacing w:val="-29"/>
        </w:rPr>
        <w:t> </w:t>
      </w:r>
      <w:r>
        <w:rPr/>
        <w:t>equivalents,</w:t>
      </w:r>
      <w:r>
        <w:rPr>
          <w:spacing w:val="-29"/>
        </w:rPr>
        <w:t> </w:t>
      </w:r>
      <w:r>
        <w:rPr/>
        <w:t>borrowings,</w:t>
      </w:r>
      <w:r>
        <w:rPr>
          <w:spacing w:val="-29"/>
        </w:rPr>
        <w:t> </w:t>
      </w:r>
      <w:r>
        <w:rPr/>
        <w:t>finance</w:t>
      </w:r>
      <w:r>
        <w:rPr>
          <w:spacing w:val="-29"/>
        </w:rPr>
        <w:t> </w:t>
      </w:r>
      <w:r>
        <w:rPr/>
        <w:t>leases,</w:t>
      </w:r>
      <w:r>
        <w:rPr>
          <w:spacing w:val="-28"/>
        </w:rPr>
        <w:t> </w:t>
      </w:r>
      <w:r>
        <w:rPr>
          <w:spacing w:val="-5"/>
        </w:rPr>
        <w:t>Treasurer’s </w:t>
      </w:r>
      <w:r>
        <w:rPr/>
        <w:t>advances,</w:t>
      </w:r>
      <w:r>
        <w:rPr>
          <w:spacing w:val="-24"/>
        </w:rPr>
        <w:t> </w:t>
      </w:r>
      <w:r>
        <w:rPr/>
        <w:t>loans</w:t>
      </w:r>
      <w:r>
        <w:rPr>
          <w:spacing w:val="-24"/>
        </w:rPr>
        <w:t> </w:t>
      </w:r>
      <w:r>
        <w:rPr/>
        <w:t>and</w:t>
      </w:r>
      <w:r>
        <w:rPr>
          <w:spacing w:val="-23"/>
        </w:rPr>
        <w:t> </w:t>
      </w:r>
      <w:r>
        <w:rPr/>
        <w:t>receivables</w:t>
      </w:r>
      <w:r>
        <w:rPr>
          <w:spacing w:val="-24"/>
        </w:rPr>
        <w:t> </w:t>
      </w:r>
      <w:r>
        <w:rPr/>
        <w:t>and</w:t>
      </w:r>
      <w:r>
        <w:rPr>
          <w:spacing w:val="-24"/>
        </w:rPr>
        <w:t> </w:t>
      </w:r>
      <w:r>
        <w:rPr/>
        <w:t>payables.</w:t>
      </w:r>
      <w:r>
        <w:rPr>
          <w:spacing w:val="-23"/>
        </w:rPr>
        <w:t> </w:t>
      </w:r>
      <w:r>
        <w:rPr/>
        <w:t>The</w:t>
      </w:r>
      <w:r>
        <w:rPr>
          <w:spacing w:val="-24"/>
        </w:rPr>
        <w:t> </w:t>
      </w:r>
      <w:r>
        <w:rPr/>
        <w:t>Department</w:t>
      </w:r>
      <w:r>
        <w:rPr>
          <w:spacing w:val="-24"/>
        </w:rPr>
        <w:t> </w:t>
      </w:r>
      <w:r>
        <w:rPr/>
        <w:t>has</w:t>
      </w:r>
      <w:r>
        <w:rPr>
          <w:spacing w:val="-23"/>
        </w:rPr>
        <w:t> </w:t>
      </w:r>
      <w:r>
        <w:rPr/>
        <w:t>limited exposure to financial risks. The </w:t>
      </w:r>
      <w:r>
        <w:rPr>
          <w:spacing w:val="-3"/>
        </w:rPr>
        <w:t>Department’s </w:t>
      </w:r>
      <w:r>
        <w:rPr/>
        <w:t>overall risk management program focuses on managing the following</w:t>
      </w:r>
      <w:r>
        <w:rPr>
          <w:spacing w:val="-17"/>
        </w:rPr>
        <w:t> </w:t>
      </w:r>
      <w:r>
        <w:rPr/>
        <w:t>risks.</w:t>
      </w:r>
    </w:p>
    <w:p>
      <w:pPr>
        <w:pStyle w:val="BodyText"/>
        <w:spacing w:before="4"/>
        <w:rPr>
          <w:sz w:val="23"/>
        </w:rPr>
      </w:pPr>
    </w:p>
    <w:p>
      <w:pPr>
        <w:spacing w:before="0"/>
        <w:ind w:left="765" w:right="0" w:firstLine="0"/>
        <w:jc w:val="left"/>
        <w:rPr>
          <w:i/>
          <w:sz w:val="22"/>
        </w:rPr>
      </w:pPr>
      <w:r>
        <w:rPr>
          <w:i/>
          <w:sz w:val="22"/>
        </w:rPr>
        <w:t>Credit risk</w:t>
      </w:r>
    </w:p>
    <w:p>
      <w:pPr>
        <w:pStyle w:val="BodyText"/>
        <w:spacing w:line="249" w:lineRule="auto" w:before="11"/>
        <w:ind w:left="765" w:right="84"/>
      </w:pPr>
      <w:r>
        <w:rPr/>
        <w:t>Credit</w:t>
      </w:r>
      <w:r>
        <w:rPr>
          <w:spacing w:val="-21"/>
        </w:rPr>
        <w:t> </w:t>
      </w:r>
      <w:r>
        <w:rPr/>
        <w:t>risk</w:t>
      </w:r>
      <w:r>
        <w:rPr>
          <w:spacing w:val="-21"/>
        </w:rPr>
        <w:t> </w:t>
      </w:r>
      <w:r>
        <w:rPr/>
        <w:t>arises</w:t>
      </w:r>
      <w:r>
        <w:rPr>
          <w:spacing w:val="-21"/>
        </w:rPr>
        <w:t> </w:t>
      </w:r>
      <w:r>
        <w:rPr/>
        <w:t>when</w:t>
      </w:r>
      <w:r>
        <w:rPr>
          <w:spacing w:val="-20"/>
        </w:rPr>
        <w:t> </w:t>
      </w:r>
      <w:r>
        <w:rPr/>
        <w:t>there</w:t>
      </w:r>
      <w:r>
        <w:rPr>
          <w:spacing w:val="-21"/>
        </w:rPr>
        <w:t> </w:t>
      </w:r>
      <w:r>
        <w:rPr/>
        <w:t>is</w:t>
      </w:r>
      <w:r>
        <w:rPr>
          <w:spacing w:val="-21"/>
        </w:rPr>
        <w:t> </w:t>
      </w:r>
      <w:r>
        <w:rPr/>
        <w:t>the</w:t>
      </w:r>
      <w:r>
        <w:rPr>
          <w:spacing w:val="-21"/>
        </w:rPr>
        <w:t> </w:t>
      </w:r>
      <w:r>
        <w:rPr/>
        <w:t>possibility</w:t>
      </w:r>
      <w:r>
        <w:rPr>
          <w:spacing w:val="-20"/>
        </w:rPr>
        <w:t> </w:t>
      </w:r>
      <w:r>
        <w:rPr/>
        <w:t>of</w:t>
      </w:r>
      <w:r>
        <w:rPr>
          <w:spacing w:val="-21"/>
        </w:rPr>
        <w:t> </w:t>
      </w:r>
      <w:r>
        <w:rPr/>
        <w:t>the</w:t>
      </w:r>
      <w:r>
        <w:rPr>
          <w:spacing w:val="-21"/>
        </w:rPr>
        <w:t> </w:t>
      </w:r>
      <w:r>
        <w:rPr>
          <w:spacing w:val="-3"/>
        </w:rPr>
        <w:t>Department’s</w:t>
      </w:r>
      <w:r>
        <w:rPr>
          <w:spacing w:val="-20"/>
        </w:rPr>
        <w:t> </w:t>
      </w:r>
      <w:r>
        <w:rPr>
          <w:spacing w:val="-3"/>
        </w:rPr>
        <w:t>receivables </w:t>
      </w:r>
      <w:r>
        <w:rPr/>
        <w:t>defaulting on their contractual obligations resulting in financial loss to the Department.</w:t>
      </w:r>
    </w:p>
    <w:p>
      <w:pPr>
        <w:pStyle w:val="BodyText"/>
        <w:spacing w:before="2"/>
        <w:rPr>
          <w:sz w:val="23"/>
        </w:rPr>
      </w:pPr>
    </w:p>
    <w:p>
      <w:pPr>
        <w:pStyle w:val="BodyText"/>
        <w:spacing w:line="249" w:lineRule="auto"/>
        <w:ind w:left="765" w:right="231"/>
      </w:pPr>
      <w:r>
        <w:rPr/>
        <w:t>The maximum exposure to credit risk at the end of the reporting period in relation to each class of recognised financial assets is the gross carrying amount</w:t>
      </w:r>
      <w:r>
        <w:rPr>
          <w:spacing w:val="-20"/>
        </w:rPr>
        <w:t> </w:t>
      </w:r>
      <w:r>
        <w:rPr/>
        <w:t>of</w:t>
      </w:r>
      <w:r>
        <w:rPr>
          <w:spacing w:val="-20"/>
        </w:rPr>
        <w:t> </w:t>
      </w:r>
      <w:r>
        <w:rPr/>
        <w:t>those</w:t>
      </w:r>
      <w:r>
        <w:rPr>
          <w:spacing w:val="-20"/>
        </w:rPr>
        <w:t> </w:t>
      </w:r>
      <w:r>
        <w:rPr/>
        <w:t>assets</w:t>
      </w:r>
      <w:r>
        <w:rPr>
          <w:spacing w:val="-19"/>
        </w:rPr>
        <w:t> </w:t>
      </w:r>
      <w:r>
        <w:rPr/>
        <w:t>inclusive</w:t>
      </w:r>
      <w:r>
        <w:rPr>
          <w:spacing w:val="-20"/>
        </w:rPr>
        <w:t> </w:t>
      </w:r>
      <w:r>
        <w:rPr/>
        <w:t>of</w:t>
      </w:r>
      <w:r>
        <w:rPr>
          <w:spacing w:val="-20"/>
        </w:rPr>
        <w:t> </w:t>
      </w:r>
      <w:r>
        <w:rPr/>
        <w:t>any</w:t>
      </w:r>
      <w:r>
        <w:rPr>
          <w:spacing w:val="-20"/>
        </w:rPr>
        <w:t> </w:t>
      </w:r>
      <w:r>
        <w:rPr/>
        <w:t>allowance</w:t>
      </w:r>
      <w:r>
        <w:rPr>
          <w:spacing w:val="-19"/>
        </w:rPr>
        <w:t> </w:t>
      </w:r>
      <w:r>
        <w:rPr/>
        <w:t>for</w:t>
      </w:r>
      <w:r>
        <w:rPr>
          <w:spacing w:val="-20"/>
        </w:rPr>
        <w:t> </w:t>
      </w:r>
      <w:r>
        <w:rPr/>
        <w:t>impairment</w:t>
      </w:r>
      <w:r>
        <w:rPr>
          <w:spacing w:val="-20"/>
        </w:rPr>
        <w:t> </w:t>
      </w:r>
      <w:r>
        <w:rPr/>
        <w:t>as</w:t>
      </w:r>
      <w:r>
        <w:rPr>
          <w:spacing w:val="-19"/>
        </w:rPr>
        <w:t> </w:t>
      </w:r>
      <w:r>
        <w:rPr>
          <w:spacing w:val="-4"/>
        </w:rPr>
        <w:t>shown </w:t>
      </w:r>
      <w:r>
        <w:rPr/>
        <w:t>in the table at Note 40(c) ‘Financial instrument disclosures’ and Note 20 ‘Receivables’.</w:t>
      </w:r>
    </w:p>
    <w:p>
      <w:pPr>
        <w:pStyle w:val="BodyText"/>
        <w:spacing w:before="4"/>
        <w:rPr>
          <w:sz w:val="23"/>
        </w:rPr>
      </w:pPr>
    </w:p>
    <w:p>
      <w:pPr>
        <w:pStyle w:val="BodyText"/>
        <w:spacing w:line="249" w:lineRule="auto"/>
        <w:ind w:left="765" w:right="-2"/>
      </w:pPr>
      <w:r>
        <w:rPr/>
        <w:t>Credit risk associated with the </w:t>
      </w:r>
      <w:r>
        <w:rPr>
          <w:spacing w:val="-3"/>
        </w:rPr>
        <w:t>Department’s </w:t>
      </w:r>
      <w:r>
        <w:rPr/>
        <w:t>financial assets is minimal because the main receivable is the amount receivable for services (holding account).</w:t>
      </w:r>
      <w:r>
        <w:rPr>
          <w:spacing w:val="-24"/>
        </w:rPr>
        <w:t> </w:t>
      </w:r>
      <w:r>
        <w:rPr/>
        <w:t>For</w:t>
      </w:r>
      <w:r>
        <w:rPr>
          <w:spacing w:val="-23"/>
        </w:rPr>
        <w:t> </w:t>
      </w:r>
      <w:r>
        <w:rPr/>
        <w:t>receivables</w:t>
      </w:r>
      <w:r>
        <w:rPr>
          <w:spacing w:val="-23"/>
        </w:rPr>
        <w:t> </w:t>
      </w:r>
      <w:r>
        <w:rPr/>
        <w:t>other</w:t>
      </w:r>
      <w:r>
        <w:rPr>
          <w:spacing w:val="-24"/>
        </w:rPr>
        <w:t> </w:t>
      </w:r>
      <w:r>
        <w:rPr/>
        <w:t>than</w:t>
      </w:r>
      <w:r>
        <w:rPr>
          <w:spacing w:val="-23"/>
        </w:rPr>
        <w:t> </w:t>
      </w:r>
      <w:r>
        <w:rPr/>
        <w:t>government,</w:t>
      </w:r>
      <w:r>
        <w:rPr>
          <w:spacing w:val="-23"/>
        </w:rPr>
        <w:t> </w:t>
      </w:r>
      <w:r>
        <w:rPr/>
        <w:t>the</w:t>
      </w:r>
      <w:r>
        <w:rPr>
          <w:spacing w:val="-24"/>
        </w:rPr>
        <w:t> </w:t>
      </w:r>
      <w:r>
        <w:rPr/>
        <w:t>Department</w:t>
      </w:r>
      <w:r>
        <w:rPr>
          <w:spacing w:val="-23"/>
        </w:rPr>
        <w:t> </w:t>
      </w:r>
      <w:r>
        <w:rPr/>
        <w:t>trades</w:t>
      </w:r>
      <w:r>
        <w:rPr>
          <w:spacing w:val="-23"/>
        </w:rPr>
        <w:t> </w:t>
      </w:r>
      <w:r>
        <w:rPr/>
        <w:t>only with recognised, creditworthy third parties. The Department has policies in place to ensure that sales of products and services are made to customers with an appropriate credit </w:t>
      </w:r>
      <w:r>
        <w:rPr>
          <w:spacing w:val="-3"/>
        </w:rPr>
        <w:t>history. </w:t>
      </w:r>
      <w:r>
        <w:rPr/>
        <w:t>In addition, receivable balances are monitored</w:t>
      </w:r>
      <w:r>
        <w:rPr>
          <w:spacing w:val="-15"/>
        </w:rPr>
        <w:t> </w:t>
      </w:r>
      <w:r>
        <w:rPr/>
        <w:t>on</w:t>
      </w:r>
      <w:r>
        <w:rPr>
          <w:spacing w:val="-14"/>
        </w:rPr>
        <w:t> </w:t>
      </w:r>
      <w:r>
        <w:rPr/>
        <w:t>an</w:t>
      </w:r>
      <w:r>
        <w:rPr>
          <w:spacing w:val="-14"/>
        </w:rPr>
        <w:t> </w:t>
      </w:r>
      <w:r>
        <w:rPr/>
        <w:t>ongoing</w:t>
      </w:r>
      <w:r>
        <w:rPr>
          <w:spacing w:val="-14"/>
        </w:rPr>
        <w:t> </w:t>
      </w:r>
      <w:r>
        <w:rPr/>
        <w:t>basis</w:t>
      </w:r>
      <w:r>
        <w:rPr>
          <w:spacing w:val="-14"/>
        </w:rPr>
        <w:t> </w:t>
      </w:r>
      <w:r>
        <w:rPr/>
        <w:t>with</w:t>
      </w:r>
      <w:r>
        <w:rPr>
          <w:spacing w:val="-14"/>
        </w:rPr>
        <w:t> </w:t>
      </w:r>
      <w:r>
        <w:rPr/>
        <w:t>the</w:t>
      </w:r>
      <w:r>
        <w:rPr>
          <w:spacing w:val="-14"/>
        </w:rPr>
        <w:t> </w:t>
      </w:r>
      <w:r>
        <w:rPr/>
        <w:t>result</w:t>
      </w:r>
      <w:r>
        <w:rPr>
          <w:spacing w:val="-15"/>
        </w:rPr>
        <w:t> </w:t>
      </w:r>
      <w:r>
        <w:rPr/>
        <w:t>that</w:t>
      </w:r>
      <w:r>
        <w:rPr>
          <w:spacing w:val="-14"/>
        </w:rPr>
        <w:t> </w:t>
      </w:r>
      <w:r>
        <w:rPr/>
        <w:t>the</w:t>
      </w:r>
      <w:r>
        <w:rPr>
          <w:spacing w:val="-14"/>
        </w:rPr>
        <w:t> </w:t>
      </w:r>
      <w:r>
        <w:rPr>
          <w:spacing w:val="-3"/>
        </w:rPr>
        <w:t>Department’s</w:t>
      </w:r>
      <w:r>
        <w:rPr>
          <w:spacing w:val="-14"/>
        </w:rPr>
        <w:t> </w:t>
      </w:r>
      <w:r>
        <w:rPr>
          <w:spacing w:val="-4"/>
        </w:rPr>
        <w:t>exposure </w:t>
      </w:r>
      <w:r>
        <w:rPr/>
        <w:t>to bad debts is minimal. At the end of the reporting period there were no significant concentrations of credit</w:t>
      </w:r>
      <w:r>
        <w:rPr>
          <w:spacing w:val="-7"/>
        </w:rPr>
        <w:t> </w:t>
      </w:r>
      <w:r>
        <w:rPr/>
        <w:t>risk.</w:t>
      </w:r>
    </w:p>
    <w:p>
      <w:pPr>
        <w:spacing w:before="109"/>
        <w:ind w:left="475" w:right="0" w:firstLine="0"/>
        <w:jc w:val="left"/>
        <w:rPr>
          <w:i/>
          <w:sz w:val="22"/>
        </w:rPr>
      </w:pPr>
      <w:r>
        <w:rPr/>
        <w:br w:type="column"/>
      </w:r>
      <w:r>
        <w:rPr>
          <w:i/>
          <w:sz w:val="22"/>
        </w:rPr>
        <w:t>Liquidity risk</w:t>
      </w:r>
    </w:p>
    <w:p>
      <w:pPr>
        <w:pStyle w:val="BodyText"/>
        <w:spacing w:line="249" w:lineRule="auto" w:before="11"/>
        <w:ind w:left="475" w:right="1528"/>
      </w:pPr>
      <w:r>
        <w:rPr/>
        <w:t>Liquidity</w:t>
      </w:r>
      <w:r>
        <w:rPr>
          <w:spacing w:val="-23"/>
        </w:rPr>
        <w:t> </w:t>
      </w:r>
      <w:r>
        <w:rPr/>
        <w:t>risk</w:t>
      </w:r>
      <w:r>
        <w:rPr>
          <w:spacing w:val="-23"/>
        </w:rPr>
        <w:t> </w:t>
      </w:r>
      <w:r>
        <w:rPr/>
        <w:t>arises</w:t>
      </w:r>
      <w:r>
        <w:rPr>
          <w:spacing w:val="-22"/>
        </w:rPr>
        <w:t> </w:t>
      </w:r>
      <w:r>
        <w:rPr/>
        <w:t>when</w:t>
      </w:r>
      <w:r>
        <w:rPr>
          <w:spacing w:val="-23"/>
        </w:rPr>
        <w:t> </w:t>
      </w:r>
      <w:r>
        <w:rPr/>
        <w:t>the</w:t>
      </w:r>
      <w:r>
        <w:rPr>
          <w:spacing w:val="-22"/>
        </w:rPr>
        <w:t> </w:t>
      </w:r>
      <w:r>
        <w:rPr/>
        <w:t>Department</w:t>
      </w:r>
      <w:r>
        <w:rPr>
          <w:spacing w:val="-23"/>
        </w:rPr>
        <w:t> </w:t>
      </w:r>
      <w:r>
        <w:rPr/>
        <w:t>is</w:t>
      </w:r>
      <w:r>
        <w:rPr>
          <w:spacing w:val="-23"/>
        </w:rPr>
        <w:t> </w:t>
      </w:r>
      <w:r>
        <w:rPr/>
        <w:t>unable</w:t>
      </w:r>
      <w:r>
        <w:rPr>
          <w:spacing w:val="-22"/>
        </w:rPr>
        <w:t> </w:t>
      </w:r>
      <w:r>
        <w:rPr/>
        <w:t>to</w:t>
      </w:r>
      <w:r>
        <w:rPr>
          <w:spacing w:val="-23"/>
        </w:rPr>
        <w:t> </w:t>
      </w:r>
      <w:r>
        <w:rPr/>
        <w:t>meet</w:t>
      </w:r>
      <w:r>
        <w:rPr>
          <w:spacing w:val="-22"/>
        </w:rPr>
        <w:t> </w:t>
      </w:r>
      <w:r>
        <w:rPr/>
        <w:t>its</w:t>
      </w:r>
      <w:r>
        <w:rPr>
          <w:spacing w:val="-23"/>
        </w:rPr>
        <w:t> </w:t>
      </w:r>
      <w:r>
        <w:rPr/>
        <w:t>financial obligations as they fall</w:t>
      </w:r>
      <w:r>
        <w:rPr>
          <w:spacing w:val="-6"/>
        </w:rPr>
        <w:t> </w:t>
      </w:r>
      <w:r>
        <w:rPr/>
        <w:t>due.</w:t>
      </w:r>
    </w:p>
    <w:p>
      <w:pPr>
        <w:pStyle w:val="BodyText"/>
        <w:spacing w:before="1"/>
        <w:rPr>
          <w:sz w:val="23"/>
        </w:rPr>
      </w:pPr>
    </w:p>
    <w:p>
      <w:pPr>
        <w:pStyle w:val="BodyText"/>
        <w:spacing w:line="249" w:lineRule="auto"/>
        <w:ind w:left="475" w:right="1113"/>
      </w:pPr>
      <w:r>
        <w:rPr/>
        <w:t>The</w:t>
      </w:r>
      <w:r>
        <w:rPr>
          <w:spacing w:val="-18"/>
        </w:rPr>
        <w:t> </w:t>
      </w:r>
      <w:r>
        <w:rPr/>
        <w:t>Department</w:t>
      </w:r>
      <w:r>
        <w:rPr>
          <w:spacing w:val="-17"/>
        </w:rPr>
        <w:t> </w:t>
      </w:r>
      <w:r>
        <w:rPr/>
        <w:t>is</w:t>
      </w:r>
      <w:r>
        <w:rPr>
          <w:spacing w:val="-17"/>
        </w:rPr>
        <w:t> </w:t>
      </w:r>
      <w:r>
        <w:rPr/>
        <w:t>exposed</w:t>
      </w:r>
      <w:r>
        <w:rPr>
          <w:spacing w:val="-18"/>
        </w:rPr>
        <w:t> </w:t>
      </w:r>
      <w:r>
        <w:rPr/>
        <w:t>to</w:t>
      </w:r>
      <w:r>
        <w:rPr>
          <w:spacing w:val="-17"/>
        </w:rPr>
        <w:t> </w:t>
      </w:r>
      <w:r>
        <w:rPr/>
        <w:t>liquidity</w:t>
      </w:r>
      <w:r>
        <w:rPr>
          <w:spacing w:val="-17"/>
        </w:rPr>
        <w:t> </w:t>
      </w:r>
      <w:r>
        <w:rPr/>
        <w:t>risk</w:t>
      </w:r>
      <w:r>
        <w:rPr>
          <w:spacing w:val="-18"/>
        </w:rPr>
        <w:t> </w:t>
      </w:r>
      <w:r>
        <w:rPr/>
        <w:t>through</w:t>
      </w:r>
      <w:r>
        <w:rPr>
          <w:spacing w:val="-17"/>
        </w:rPr>
        <w:t> </w:t>
      </w:r>
      <w:r>
        <w:rPr/>
        <w:t>its</w:t>
      </w:r>
      <w:r>
        <w:rPr>
          <w:spacing w:val="-17"/>
        </w:rPr>
        <w:t> </w:t>
      </w:r>
      <w:r>
        <w:rPr/>
        <w:t>trading</w:t>
      </w:r>
      <w:r>
        <w:rPr>
          <w:spacing w:val="-18"/>
        </w:rPr>
        <w:t> </w:t>
      </w:r>
      <w:r>
        <w:rPr/>
        <w:t>in</w:t>
      </w:r>
      <w:r>
        <w:rPr>
          <w:spacing w:val="-17"/>
        </w:rPr>
        <w:t> </w:t>
      </w:r>
      <w:r>
        <w:rPr/>
        <w:t>the</w:t>
      </w:r>
      <w:r>
        <w:rPr>
          <w:spacing w:val="-17"/>
        </w:rPr>
        <w:t> </w:t>
      </w:r>
      <w:r>
        <w:rPr>
          <w:spacing w:val="-3"/>
        </w:rPr>
        <w:t>normal </w:t>
      </w:r>
      <w:r>
        <w:rPr/>
        <w:t>course of</w:t>
      </w:r>
      <w:r>
        <w:rPr>
          <w:spacing w:val="-2"/>
        </w:rPr>
        <w:t> </w:t>
      </w:r>
      <w:r>
        <w:rPr/>
        <w:t>business.</w:t>
      </w:r>
    </w:p>
    <w:p>
      <w:pPr>
        <w:pStyle w:val="BodyText"/>
        <w:spacing w:before="1"/>
        <w:rPr>
          <w:sz w:val="23"/>
        </w:rPr>
      </w:pPr>
    </w:p>
    <w:p>
      <w:pPr>
        <w:pStyle w:val="BodyText"/>
        <w:spacing w:line="249" w:lineRule="auto"/>
        <w:ind w:left="475" w:right="832"/>
        <w:jc w:val="both"/>
      </w:pPr>
      <w:r>
        <w:rPr/>
        <w:t>The</w:t>
      </w:r>
      <w:r>
        <w:rPr>
          <w:spacing w:val="23"/>
        </w:rPr>
        <w:t> </w:t>
      </w:r>
      <w:r>
        <w:rPr/>
        <w:t>Department</w:t>
      </w:r>
      <w:r>
        <w:rPr>
          <w:spacing w:val="-19"/>
        </w:rPr>
        <w:t> </w:t>
      </w:r>
      <w:r>
        <w:rPr/>
        <w:t>has</w:t>
      </w:r>
      <w:r>
        <w:rPr>
          <w:spacing w:val="-18"/>
        </w:rPr>
        <w:t> </w:t>
      </w:r>
      <w:r>
        <w:rPr/>
        <w:t>appropriate</w:t>
      </w:r>
      <w:r>
        <w:rPr>
          <w:spacing w:val="-19"/>
        </w:rPr>
        <w:t> </w:t>
      </w:r>
      <w:r>
        <w:rPr/>
        <w:t>procedures</w:t>
      </w:r>
      <w:r>
        <w:rPr>
          <w:spacing w:val="-19"/>
        </w:rPr>
        <w:t> </w:t>
      </w:r>
      <w:r>
        <w:rPr/>
        <w:t>to</w:t>
      </w:r>
      <w:r>
        <w:rPr>
          <w:spacing w:val="-19"/>
        </w:rPr>
        <w:t> </w:t>
      </w:r>
      <w:r>
        <w:rPr/>
        <w:t>manage</w:t>
      </w:r>
      <w:r>
        <w:rPr>
          <w:spacing w:val="-18"/>
        </w:rPr>
        <w:t> </w:t>
      </w:r>
      <w:r>
        <w:rPr/>
        <w:t>cash</w:t>
      </w:r>
      <w:r>
        <w:rPr>
          <w:spacing w:val="-19"/>
        </w:rPr>
        <w:t> </w:t>
      </w:r>
      <w:r>
        <w:rPr/>
        <w:t>flows</w:t>
      </w:r>
      <w:r>
        <w:rPr>
          <w:spacing w:val="-19"/>
        </w:rPr>
        <w:t> </w:t>
      </w:r>
      <w:r>
        <w:rPr/>
        <w:t>including drawdowns</w:t>
      </w:r>
      <w:r>
        <w:rPr>
          <w:spacing w:val="-16"/>
        </w:rPr>
        <w:t> </w:t>
      </w:r>
      <w:r>
        <w:rPr/>
        <w:t>of</w:t>
      </w:r>
      <w:r>
        <w:rPr>
          <w:spacing w:val="-15"/>
        </w:rPr>
        <w:t> </w:t>
      </w:r>
      <w:r>
        <w:rPr/>
        <w:t>appropriations</w:t>
      </w:r>
      <w:r>
        <w:rPr>
          <w:spacing w:val="-15"/>
        </w:rPr>
        <w:t> </w:t>
      </w:r>
      <w:r>
        <w:rPr/>
        <w:t>by</w:t>
      </w:r>
      <w:r>
        <w:rPr>
          <w:spacing w:val="-16"/>
        </w:rPr>
        <w:t> </w:t>
      </w:r>
      <w:r>
        <w:rPr/>
        <w:t>monitoring</w:t>
      </w:r>
      <w:r>
        <w:rPr>
          <w:spacing w:val="-15"/>
        </w:rPr>
        <w:t> </w:t>
      </w:r>
      <w:r>
        <w:rPr/>
        <w:t>forecast</w:t>
      </w:r>
      <w:r>
        <w:rPr>
          <w:spacing w:val="-15"/>
        </w:rPr>
        <w:t> </w:t>
      </w:r>
      <w:r>
        <w:rPr/>
        <w:t>cash</w:t>
      </w:r>
      <w:r>
        <w:rPr>
          <w:spacing w:val="-16"/>
        </w:rPr>
        <w:t> </w:t>
      </w:r>
      <w:r>
        <w:rPr/>
        <w:t>flows</w:t>
      </w:r>
      <w:r>
        <w:rPr>
          <w:spacing w:val="-15"/>
        </w:rPr>
        <w:t> </w:t>
      </w:r>
      <w:r>
        <w:rPr/>
        <w:t>to</w:t>
      </w:r>
      <w:r>
        <w:rPr>
          <w:spacing w:val="-15"/>
        </w:rPr>
        <w:t> </w:t>
      </w:r>
      <w:r>
        <w:rPr/>
        <w:t>ensure</w:t>
      </w:r>
      <w:r>
        <w:rPr>
          <w:spacing w:val="-16"/>
        </w:rPr>
        <w:t> </w:t>
      </w:r>
      <w:r>
        <w:rPr>
          <w:spacing w:val="-5"/>
        </w:rPr>
        <w:t>that </w:t>
      </w:r>
      <w:r>
        <w:rPr/>
        <w:t>sufficient funds are available to meet its</w:t>
      </w:r>
      <w:r>
        <w:rPr>
          <w:spacing w:val="-27"/>
        </w:rPr>
        <w:t> </w:t>
      </w:r>
      <w:r>
        <w:rPr/>
        <w:t>commitments.</w:t>
      </w:r>
    </w:p>
    <w:p>
      <w:pPr>
        <w:pStyle w:val="BodyText"/>
        <w:spacing w:before="3"/>
        <w:rPr>
          <w:sz w:val="23"/>
        </w:rPr>
      </w:pPr>
    </w:p>
    <w:p>
      <w:pPr>
        <w:pStyle w:val="BodyText"/>
        <w:spacing w:line="249" w:lineRule="auto"/>
        <w:ind w:left="475" w:right="803"/>
      </w:pPr>
      <w:r>
        <w:rPr/>
        <w:t>The</w:t>
      </w:r>
      <w:r>
        <w:rPr>
          <w:spacing w:val="-22"/>
        </w:rPr>
        <w:t> </w:t>
      </w:r>
      <w:r>
        <w:rPr/>
        <w:t>Department</w:t>
      </w:r>
      <w:r>
        <w:rPr>
          <w:spacing w:val="-21"/>
        </w:rPr>
        <w:t> </w:t>
      </w:r>
      <w:r>
        <w:rPr/>
        <w:t>has</w:t>
      </w:r>
      <w:r>
        <w:rPr>
          <w:spacing w:val="-21"/>
        </w:rPr>
        <w:t> </w:t>
      </w:r>
      <w:r>
        <w:rPr/>
        <w:t>a</w:t>
      </w:r>
      <w:r>
        <w:rPr>
          <w:spacing w:val="-21"/>
        </w:rPr>
        <w:t> </w:t>
      </w:r>
      <w:r>
        <w:rPr/>
        <w:t>facility</w:t>
      </w:r>
      <w:r>
        <w:rPr>
          <w:spacing w:val="-21"/>
        </w:rPr>
        <w:t> </w:t>
      </w:r>
      <w:r>
        <w:rPr/>
        <w:t>agreement</w:t>
      </w:r>
      <w:r>
        <w:rPr>
          <w:spacing w:val="-22"/>
        </w:rPr>
        <w:t> </w:t>
      </w:r>
      <w:r>
        <w:rPr/>
        <w:t>in</w:t>
      </w:r>
      <w:r>
        <w:rPr>
          <w:spacing w:val="-21"/>
        </w:rPr>
        <w:t> </w:t>
      </w:r>
      <w:r>
        <w:rPr/>
        <w:t>place</w:t>
      </w:r>
      <w:r>
        <w:rPr>
          <w:spacing w:val="-21"/>
        </w:rPr>
        <w:t> </w:t>
      </w:r>
      <w:r>
        <w:rPr/>
        <w:t>with</w:t>
      </w:r>
      <w:r>
        <w:rPr>
          <w:spacing w:val="-21"/>
        </w:rPr>
        <w:t> </w:t>
      </w:r>
      <w:r>
        <w:rPr/>
        <w:t>the</w:t>
      </w:r>
      <w:r>
        <w:rPr>
          <w:spacing w:val="-21"/>
        </w:rPr>
        <w:t> </w:t>
      </w:r>
      <w:r>
        <w:rPr/>
        <w:t>Western</w:t>
      </w:r>
      <w:r>
        <w:rPr>
          <w:spacing w:val="-21"/>
        </w:rPr>
        <w:t> </w:t>
      </w:r>
      <w:r>
        <w:rPr/>
        <w:t>Australian </w:t>
      </w:r>
      <w:r>
        <w:rPr>
          <w:spacing w:val="-4"/>
        </w:rPr>
        <w:t>Treasury </w:t>
      </w:r>
      <w:r>
        <w:rPr/>
        <w:t>Corporation </w:t>
      </w:r>
      <w:r>
        <w:rPr>
          <w:spacing w:val="-4"/>
        </w:rPr>
        <w:t>(WATC) </w:t>
      </w:r>
      <w:r>
        <w:rPr/>
        <w:t>to borrow up to $250,000,000 to meet State Fleet</w:t>
      </w:r>
      <w:r>
        <w:rPr>
          <w:spacing w:val="-30"/>
        </w:rPr>
        <w:t> </w:t>
      </w:r>
      <w:r>
        <w:rPr/>
        <w:t>contractual</w:t>
      </w:r>
      <w:r>
        <w:rPr>
          <w:spacing w:val="-29"/>
        </w:rPr>
        <w:t> </w:t>
      </w:r>
      <w:r>
        <w:rPr/>
        <w:t>requirements,</w:t>
      </w:r>
      <w:r>
        <w:rPr>
          <w:spacing w:val="-29"/>
        </w:rPr>
        <w:t> </w:t>
      </w:r>
      <w:r>
        <w:rPr/>
        <w:t>purchase</w:t>
      </w:r>
      <w:r>
        <w:rPr>
          <w:spacing w:val="-29"/>
        </w:rPr>
        <w:t> </w:t>
      </w:r>
      <w:r>
        <w:rPr/>
        <w:t>vehicles</w:t>
      </w:r>
      <w:r>
        <w:rPr>
          <w:spacing w:val="-29"/>
        </w:rPr>
        <w:t> </w:t>
      </w:r>
      <w:r>
        <w:rPr/>
        <w:t>and</w:t>
      </w:r>
      <w:r>
        <w:rPr>
          <w:spacing w:val="-29"/>
        </w:rPr>
        <w:t> </w:t>
      </w:r>
      <w:r>
        <w:rPr/>
        <w:t>provide</w:t>
      </w:r>
      <w:r>
        <w:rPr>
          <w:spacing w:val="-29"/>
        </w:rPr>
        <w:t> </w:t>
      </w:r>
      <w:r>
        <w:rPr/>
        <w:t>working</w:t>
      </w:r>
      <w:r>
        <w:rPr>
          <w:spacing w:val="-30"/>
        </w:rPr>
        <w:t> </w:t>
      </w:r>
      <w:r>
        <w:rPr>
          <w:spacing w:val="-3"/>
        </w:rPr>
        <w:t>capital. </w:t>
      </w:r>
      <w:r>
        <w:rPr/>
        <w:t>As at 30 June 2018 $24,355,364 was drawn against the</w:t>
      </w:r>
      <w:r>
        <w:rPr>
          <w:spacing w:val="-37"/>
        </w:rPr>
        <w:t> </w:t>
      </w:r>
      <w:r>
        <w:rPr>
          <w:spacing w:val="-3"/>
        </w:rPr>
        <w:t>facility.</w:t>
      </w:r>
    </w:p>
    <w:p>
      <w:pPr>
        <w:pStyle w:val="BodyText"/>
        <w:spacing w:before="3"/>
        <w:rPr>
          <w:sz w:val="23"/>
        </w:rPr>
      </w:pPr>
    </w:p>
    <w:p>
      <w:pPr>
        <w:spacing w:before="0"/>
        <w:ind w:left="475" w:right="0" w:firstLine="0"/>
        <w:jc w:val="left"/>
        <w:rPr>
          <w:i/>
          <w:sz w:val="22"/>
        </w:rPr>
      </w:pPr>
      <w:r>
        <w:rPr>
          <w:i/>
          <w:sz w:val="22"/>
        </w:rPr>
        <w:t>Market risk</w:t>
      </w:r>
    </w:p>
    <w:p>
      <w:pPr>
        <w:pStyle w:val="BodyText"/>
        <w:spacing w:line="249" w:lineRule="auto" w:before="11"/>
        <w:ind w:left="475" w:right="861"/>
      </w:pPr>
      <w:r>
        <w:rPr/>
        <w:t>Market</w:t>
      </w:r>
      <w:r>
        <w:rPr>
          <w:spacing w:val="-17"/>
        </w:rPr>
        <w:t> </w:t>
      </w:r>
      <w:r>
        <w:rPr/>
        <w:t>risk</w:t>
      </w:r>
      <w:r>
        <w:rPr>
          <w:spacing w:val="-17"/>
        </w:rPr>
        <w:t> </w:t>
      </w:r>
      <w:r>
        <w:rPr/>
        <w:t>is</w:t>
      </w:r>
      <w:r>
        <w:rPr>
          <w:spacing w:val="-17"/>
        </w:rPr>
        <w:t> </w:t>
      </w:r>
      <w:r>
        <w:rPr/>
        <w:t>the</w:t>
      </w:r>
      <w:r>
        <w:rPr>
          <w:spacing w:val="-16"/>
        </w:rPr>
        <w:t> </w:t>
      </w:r>
      <w:r>
        <w:rPr/>
        <w:t>risk</w:t>
      </w:r>
      <w:r>
        <w:rPr>
          <w:spacing w:val="-17"/>
        </w:rPr>
        <w:t> </w:t>
      </w:r>
      <w:r>
        <w:rPr/>
        <w:t>that</w:t>
      </w:r>
      <w:r>
        <w:rPr>
          <w:spacing w:val="-17"/>
        </w:rPr>
        <w:t> </w:t>
      </w:r>
      <w:r>
        <w:rPr/>
        <w:t>changes</w:t>
      </w:r>
      <w:r>
        <w:rPr>
          <w:spacing w:val="-17"/>
        </w:rPr>
        <w:t> </w:t>
      </w:r>
      <w:r>
        <w:rPr/>
        <w:t>in</w:t>
      </w:r>
      <w:r>
        <w:rPr>
          <w:spacing w:val="-16"/>
        </w:rPr>
        <w:t> </w:t>
      </w:r>
      <w:r>
        <w:rPr/>
        <w:t>market</w:t>
      </w:r>
      <w:r>
        <w:rPr>
          <w:spacing w:val="-17"/>
        </w:rPr>
        <w:t> </w:t>
      </w:r>
      <w:r>
        <w:rPr/>
        <w:t>prices</w:t>
      </w:r>
      <w:r>
        <w:rPr>
          <w:spacing w:val="-17"/>
        </w:rPr>
        <w:t> </w:t>
      </w:r>
      <w:r>
        <w:rPr/>
        <w:t>such</w:t>
      </w:r>
      <w:r>
        <w:rPr>
          <w:spacing w:val="-17"/>
        </w:rPr>
        <w:t> </w:t>
      </w:r>
      <w:r>
        <w:rPr/>
        <w:t>as</w:t>
      </w:r>
      <w:r>
        <w:rPr>
          <w:spacing w:val="-16"/>
        </w:rPr>
        <w:t> </w:t>
      </w:r>
      <w:r>
        <w:rPr/>
        <w:t>foreign</w:t>
      </w:r>
      <w:r>
        <w:rPr>
          <w:spacing w:val="-17"/>
        </w:rPr>
        <w:t> </w:t>
      </w:r>
      <w:r>
        <w:rPr>
          <w:spacing w:val="-3"/>
        </w:rPr>
        <w:t>exchange </w:t>
      </w:r>
      <w:r>
        <w:rPr/>
        <w:t>rates</w:t>
      </w:r>
      <w:r>
        <w:rPr>
          <w:spacing w:val="-15"/>
        </w:rPr>
        <w:t> </w:t>
      </w:r>
      <w:r>
        <w:rPr/>
        <w:t>and</w:t>
      </w:r>
      <w:r>
        <w:rPr>
          <w:spacing w:val="-14"/>
        </w:rPr>
        <w:t> </w:t>
      </w:r>
      <w:r>
        <w:rPr/>
        <w:t>interest</w:t>
      </w:r>
      <w:r>
        <w:rPr>
          <w:spacing w:val="-15"/>
        </w:rPr>
        <w:t> </w:t>
      </w:r>
      <w:r>
        <w:rPr/>
        <w:t>rates</w:t>
      </w:r>
      <w:r>
        <w:rPr>
          <w:spacing w:val="-14"/>
        </w:rPr>
        <w:t> </w:t>
      </w:r>
      <w:r>
        <w:rPr/>
        <w:t>will</w:t>
      </w:r>
      <w:r>
        <w:rPr>
          <w:spacing w:val="-14"/>
        </w:rPr>
        <w:t> </w:t>
      </w:r>
      <w:r>
        <w:rPr/>
        <w:t>affect</w:t>
      </w:r>
      <w:r>
        <w:rPr>
          <w:spacing w:val="-15"/>
        </w:rPr>
        <w:t> </w:t>
      </w:r>
      <w:r>
        <w:rPr/>
        <w:t>the</w:t>
      </w:r>
      <w:r>
        <w:rPr>
          <w:spacing w:val="-14"/>
        </w:rPr>
        <w:t> </w:t>
      </w:r>
      <w:r>
        <w:rPr>
          <w:spacing w:val="-3"/>
        </w:rPr>
        <w:t>Department’s</w:t>
      </w:r>
      <w:r>
        <w:rPr>
          <w:spacing w:val="-14"/>
        </w:rPr>
        <w:t> </w:t>
      </w:r>
      <w:r>
        <w:rPr/>
        <w:t>income</w:t>
      </w:r>
      <w:r>
        <w:rPr>
          <w:spacing w:val="-15"/>
        </w:rPr>
        <w:t> </w:t>
      </w:r>
      <w:r>
        <w:rPr/>
        <w:t>or</w:t>
      </w:r>
      <w:r>
        <w:rPr>
          <w:spacing w:val="-14"/>
        </w:rPr>
        <w:t> </w:t>
      </w:r>
      <w:r>
        <w:rPr/>
        <w:t>the</w:t>
      </w:r>
      <w:r>
        <w:rPr>
          <w:spacing w:val="-15"/>
        </w:rPr>
        <w:t> </w:t>
      </w:r>
      <w:r>
        <w:rPr/>
        <w:t>value</w:t>
      </w:r>
      <w:r>
        <w:rPr>
          <w:spacing w:val="-14"/>
        </w:rPr>
        <w:t> </w:t>
      </w:r>
      <w:r>
        <w:rPr/>
        <w:t>of</w:t>
      </w:r>
      <w:r>
        <w:rPr>
          <w:spacing w:val="-14"/>
        </w:rPr>
        <w:t> </w:t>
      </w:r>
      <w:r>
        <w:rPr/>
        <w:t>its holdings of financial instruments. The Department does not trade in foreign currency and is not materially exposed to other price risks (for example, equity</w:t>
      </w:r>
      <w:r>
        <w:rPr>
          <w:spacing w:val="-19"/>
        </w:rPr>
        <w:t> </w:t>
      </w:r>
      <w:r>
        <w:rPr/>
        <w:t>securities</w:t>
      </w:r>
      <w:r>
        <w:rPr>
          <w:spacing w:val="-18"/>
        </w:rPr>
        <w:t> </w:t>
      </w:r>
      <w:r>
        <w:rPr/>
        <w:t>or</w:t>
      </w:r>
      <w:r>
        <w:rPr>
          <w:spacing w:val="-19"/>
        </w:rPr>
        <w:t> </w:t>
      </w:r>
      <w:r>
        <w:rPr/>
        <w:t>commodity</w:t>
      </w:r>
      <w:r>
        <w:rPr>
          <w:spacing w:val="-18"/>
        </w:rPr>
        <w:t> </w:t>
      </w:r>
      <w:r>
        <w:rPr/>
        <w:t>prices</w:t>
      </w:r>
      <w:r>
        <w:rPr>
          <w:spacing w:val="-19"/>
        </w:rPr>
        <w:t> </w:t>
      </w:r>
      <w:r>
        <w:rPr/>
        <w:t>changes).</w:t>
      </w:r>
      <w:r>
        <w:rPr>
          <w:spacing w:val="-18"/>
        </w:rPr>
        <w:t> </w:t>
      </w:r>
      <w:r>
        <w:rPr/>
        <w:t>The</w:t>
      </w:r>
      <w:r>
        <w:rPr>
          <w:spacing w:val="-19"/>
        </w:rPr>
        <w:t> </w:t>
      </w:r>
      <w:r>
        <w:rPr>
          <w:spacing w:val="-3"/>
        </w:rPr>
        <w:t>Department’s</w:t>
      </w:r>
      <w:r>
        <w:rPr>
          <w:spacing w:val="-18"/>
        </w:rPr>
        <w:t> </w:t>
      </w:r>
      <w:r>
        <w:rPr/>
        <w:t>exposure to market risk for changes in interest rates relates primarily to the long-term debt</w:t>
      </w:r>
      <w:r>
        <w:rPr>
          <w:spacing w:val="-1"/>
        </w:rPr>
        <w:t> </w:t>
      </w:r>
      <w:r>
        <w:rPr/>
        <w:t>obligations.</w:t>
      </w:r>
    </w:p>
    <w:p>
      <w:pPr>
        <w:spacing w:after="0" w:line="249" w:lineRule="auto"/>
        <w:sectPr>
          <w:type w:val="continuous"/>
          <w:pgSz w:w="16840" w:h="11910" w:orient="landscape"/>
          <w:pgMar w:top="1100" w:bottom="280" w:left="0" w:right="0"/>
          <w:cols w:num="2" w:equalWidth="0">
            <w:col w:w="8117" w:space="40"/>
            <w:col w:w="8683"/>
          </w:cols>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1904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BodyText"/>
        <w:spacing w:line="249" w:lineRule="auto" w:before="280"/>
        <w:ind w:left="765" w:right="784"/>
      </w:pPr>
      <w:r>
        <w:rPr/>
        <w:t>All</w:t>
      </w:r>
      <w:r>
        <w:rPr>
          <w:spacing w:val="-20"/>
        </w:rPr>
        <w:t> </w:t>
      </w:r>
      <w:r>
        <w:rPr/>
        <w:t>borrowings</w:t>
      </w:r>
      <w:r>
        <w:rPr>
          <w:spacing w:val="-19"/>
        </w:rPr>
        <w:t> </w:t>
      </w:r>
      <w:r>
        <w:rPr/>
        <w:t>are</w:t>
      </w:r>
      <w:r>
        <w:rPr>
          <w:spacing w:val="-19"/>
        </w:rPr>
        <w:t> </w:t>
      </w:r>
      <w:r>
        <w:rPr/>
        <w:t>due</w:t>
      </w:r>
      <w:r>
        <w:rPr>
          <w:spacing w:val="-20"/>
        </w:rPr>
        <w:t> </w:t>
      </w:r>
      <w:r>
        <w:rPr/>
        <w:t>to</w:t>
      </w:r>
      <w:r>
        <w:rPr>
          <w:spacing w:val="-19"/>
        </w:rPr>
        <w:t> </w:t>
      </w:r>
      <w:r>
        <w:rPr/>
        <w:t>the</w:t>
      </w:r>
      <w:r>
        <w:rPr>
          <w:spacing w:val="-19"/>
        </w:rPr>
        <w:t> </w:t>
      </w:r>
      <w:r>
        <w:rPr>
          <w:spacing w:val="-5"/>
        </w:rPr>
        <w:t>WATC</w:t>
      </w:r>
      <w:r>
        <w:rPr>
          <w:spacing w:val="-19"/>
        </w:rPr>
        <w:t> </w:t>
      </w:r>
      <w:r>
        <w:rPr/>
        <w:t>and</w:t>
      </w:r>
      <w:r>
        <w:rPr>
          <w:spacing w:val="-20"/>
        </w:rPr>
        <w:t> </w:t>
      </w:r>
      <w:r>
        <w:rPr/>
        <w:t>are</w:t>
      </w:r>
      <w:r>
        <w:rPr>
          <w:spacing w:val="-19"/>
        </w:rPr>
        <w:t> </w:t>
      </w:r>
      <w:r>
        <w:rPr/>
        <w:t>repayable</w:t>
      </w:r>
      <w:r>
        <w:rPr>
          <w:spacing w:val="-19"/>
        </w:rPr>
        <w:t> </w:t>
      </w:r>
      <w:r>
        <w:rPr/>
        <w:t>at</w:t>
      </w:r>
      <w:r>
        <w:rPr>
          <w:spacing w:val="-19"/>
        </w:rPr>
        <w:t> </w:t>
      </w:r>
      <w:r>
        <w:rPr/>
        <w:t>fixed</w:t>
      </w:r>
      <w:r>
        <w:rPr>
          <w:spacing w:val="-20"/>
        </w:rPr>
        <w:t> </w:t>
      </w:r>
      <w:r>
        <w:rPr/>
        <w:t>rates</w:t>
      </w:r>
      <w:r>
        <w:rPr>
          <w:spacing w:val="-19"/>
        </w:rPr>
        <w:t> </w:t>
      </w:r>
      <w:r>
        <w:rPr/>
        <w:t>with</w:t>
      </w:r>
      <w:r>
        <w:rPr>
          <w:spacing w:val="-19"/>
        </w:rPr>
        <w:t> </w:t>
      </w:r>
      <w:r>
        <w:rPr/>
        <w:t>varying</w:t>
      </w:r>
      <w:r>
        <w:rPr>
          <w:spacing w:val="-19"/>
        </w:rPr>
        <w:t> </w:t>
      </w:r>
      <w:r>
        <w:rPr/>
        <w:t>maturities.</w:t>
      </w:r>
      <w:r>
        <w:rPr>
          <w:spacing w:val="-20"/>
        </w:rPr>
        <w:t> </w:t>
      </w:r>
      <w:r>
        <w:rPr/>
        <w:t>Other</w:t>
      </w:r>
      <w:r>
        <w:rPr>
          <w:spacing w:val="-19"/>
        </w:rPr>
        <w:t> </w:t>
      </w:r>
      <w:r>
        <w:rPr/>
        <w:t>than</w:t>
      </w:r>
      <w:r>
        <w:rPr>
          <w:spacing w:val="-19"/>
        </w:rPr>
        <w:t> </w:t>
      </w:r>
      <w:r>
        <w:rPr/>
        <w:t>as</w:t>
      </w:r>
      <w:r>
        <w:rPr>
          <w:spacing w:val="-20"/>
        </w:rPr>
        <w:t> </w:t>
      </w:r>
      <w:r>
        <w:rPr/>
        <w:t>detailed</w:t>
      </w:r>
      <w:r>
        <w:rPr>
          <w:spacing w:val="-19"/>
        </w:rPr>
        <w:t> </w:t>
      </w:r>
      <w:r>
        <w:rPr/>
        <w:t>in</w:t>
      </w:r>
      <w:r>
        <w:rPr>
          <w:spacing w:val="-19"/>
        </w:rPr>
        <w:t> </w:t>
      </w:r>
      <w:r>
        <w:rPr/>
        <w:t>the</w:t>
      </w:r>
      <w:r>
        <w:rPr>
          <w:spacing w:val="-19"/>
        </w:rPr>
        <w:t> </w:t>
      </w:r>
      <w:r>
        <w:rPr/>
        <w:t>interest</w:t>
      </w:r>
      <w:r>
        <w:rPr>
          <w:spacing w:val="-20"/>
        </w:rPr>
        <w:t> </w:t>
      </w:r>
      <w:r>
        <w:rPr/>
        <w:t>rate</w:t>
      </w:r>
      <w:r>
        <w:rPr>
          <w:spacing w:val="-19"/>
        </w:rPr>
        <w:t> </w:t>
      </w:r>
      <w:r>
        <w:rPr/>
        <w:t>sensitivity</w:t>
      </w:r>
      <w:r>
        <w:rPr>
          <w:spacing w:val="-19"/>
        </w:rPr>
        <w:t> </w:t>
      </w:r>
      <w:r>
        <w:rPr/>
        <w:t>analysis</w:t>
      </w:r>
      <w:r>
        <w:rPr>
          <w:spacing w:val="-19"/>
        </w:rPr>
        <w:t> </w:t>
      </w:r>
      <w:r>
        <w:rPr/>
        <w:t>table</w:t>
      </w:r>
      <w:r>
        <w:rPr>
          <w:spacing w:val="-20"/>
        </w:rPr>
        <w:t> </w:t>
      </w:r>
      <w:r>
        <w:rPr/>
        <w:t>at Note</w:t>
      </w:r>
      <w:r>
        <w:rPr>
          <w:spacing w:val="-19"/>
        </w:rPr>
        <w:t> </w:t>
      </w:r>
      <w:r>
        <w:rPr/>
        <w:t>40(c),</w:t>
      </w:r>
      <w:r>
        <w:rPr>
          <w:spacing w:val="-19"/>
        </w:rPr>
        <w:t> </w:t>
      </w:r>
      <w:r>
        <w:rPr/>
        <w:t>the</w:t>
      </w:r>
      <w:r>
        <w:rPr>
          <w:spacing w:val="-18"/>
        </w:rPr>
        <w:t> </w:t>
      </w:r>
      <w:r>
        <w:rPr/>
        <w:t>Department</w:t>
      </w:r>
      <w:r>
        <w:rPr>
          <w:spacing w:val="-19"/>
        </w:rPr>
        <w:t> </w:t>
      </w:r>
      <w:r>
        <w:rPr/>
        <w:t>is</w:t>
      </w:r>
      <w:r>
        <w:rPr>
          <w:spacing w:val="-18"/>
        </w:rPr>
        <w:t> </w:t>
      </w:r>
      <w:r>
        <w:rPr/>
        <w:t>not</w:t>
      </w:r>
      <w:r>
        <w:rPr>
          <w:spacing w:val="-19"/>
        </w:rPr>
        <w:t> </w:t>
      </w:r>
      <w:r>
        <w:rPr/>
        <w:t>exposed</w:t>
      </w:r>
      <w:r>
        <w:rPr>
          <w:spacing w:val="-18"/>
        </w:rPr>
        <w:t> </w:t>
      </w:r>
      <w:r>
        <w:rPr/>
        <w:t>to</w:t>
      </w:r>
      <w:r>
        <w:rPr>
          <w:spacing w:val="-19"/>
        </w:rPr>
        <w:t> </w:t>
      </w:r>
      <w:r>
        <w:rPr/>
        <w:t>interest</w:t>
      </w:r>
      <w:r>
        <w:rPr>
          <w:spacing w:val="-19"/>
        </w:rPr>
        <w:t> </w:t>
      </w:r>
      <w:r>
        <w:rPr/>
        <w:t>rate</w:t>
      </w:r>
      <w:r>
        <w:rPr>
          <w:spacing w:val="-18"/>
        </w:rPr>
        <w:t> </w:t>
      </w:r>
      <w:r>
        <w:rPr/>
        <w:t>risk</w:t>
      </w:r>
      <w:r>
        <w:rPr>
          <w:spacing w:val="-19"/>
        </w:rPr>
        <w:t> </w:t>
      </w:r>
      <w:r>
        <w:rPr/>
        <w:t>because</w:t>
      </w:r>
      <w:r>
        <w:rPr>
          <w:spacing w:val="-18"/>
        </w:rPr>
        <w:t> </w:t>
      </w:r>
      <w:r>
        <w:rPr/>
        <w:t>the</w:t>
      </w:r>
      <w:r>
        <w:rPr>
          <w:spacing w:val="-19"/>
        </w:rPr>
        <w:t> </w:t>
      </w:r>
      <w:r>
        <w:rPr/>
        <w:t>majority</w:t>
      </w:r>
      <w:r>
        <w:rPr>
          <w:spacing w:val="-19"/>
        </w:rPr>
        <w:t> </w:t>
      </w:r>
      <w:r>
        <w:rPr/>
        <w:t>of</w:t>
      </w:r>
      <w:r>
        <w:rPr>
          <w:spacing w:val="-18"/>
        </w:rPr>
        <w:t> </w:t>
      </w:r>
      <w:r>
        <w:rPr/>
        <w:t>cash</w:t>
      </w:r>
      <w:r>
        <w:rPr>
          <w:spacing w:val="-19"/>
        </w:rPr>
        <w:t> </w:t>
      </w:r>
      <w:r>
        <w:rPr/>
        <w:t>and</w:t>
      </w:r>
      <w:r>
        <w:rPr>
          <w:spacing w:val="-18"/>
        </w:rPr>
        <w:t> </w:t>
      </w:r>
      <w:r>
        <w:rPr/>
        <w:t>cash</w:t>
      </w:r>
      <w:r>
        <w:rPr>
          <w:spacing w:val="-19"/>
        </w:rPr>
        <w:t> </w:t>
      </w:r>
      <w:r>
        <w:rPr/>
        <w:t>equivalents</w:t>
      </w:r>
      <w:r>
        <w:rPr>
          <w:spacing w:val="-18"/>
        </w:rPr>
        <w:t> </w:t>
      </w:r>
      <w:r>
        <w:rPr/>
        <w:t>and</w:t>
      </w:r>
      <w:r>
        <w:rPr>
          <w:spacing w:val="-19"/>
        </w:rPr>
        <w:t> </w:t>
      </w:r>
      <w:r>
        <w:rPr/>
        <w:t>restricted</w:t>
      </w:r>
      <w:r>
        <w:rPr>
          <w:spacing w:val="-19"/>
        </w:rPr>
        <w:t> </w:t>
      </w:r>
      <w:r>
        <w:rPr/>
        <w:t>cash</w:t>
      </w:r>
      <w:r>
        <w:rPr>
          <w:spacing w:val="-18"/>
        </w:rPr>
        <w:t> </w:t>
      </w:r>
      <w:r>
        <w:rPr/>
        <w:t>are</w:t>
      </w:r>
      <w:r>
        <w:rPr>
          <w:spacing w:val="-19"/>
        </w:rPr>
        <w:t> </w:t>
      </w:r>
      <w:r>
        <w:rPr/>
        <w:t>non-interest</w:t>
      </w:r>
      <w:r>
        <w:rPr>
          <w:spacing w:val="-18"/>
        </w:rPr>
        <w:t> </w:t>
      </w:r>
      <w:r>
        <w:rPr/>
        <w:t>bearing</w:t>
      </w:r>
      <w:r>
        <w:rPr>
          <w:spacing w:val="-19"/>
        </w:rPr>
        <w:t> </w:t>
      </w:r>
      <w:r>
        <w:rPr>
          <w:spacing w:val="-5"/>
        </w:rPr>
        <w:t>and </w:t>
      </w:r>
      <w:r>
        <w:rPr/>
        <w:t>it</w:t>
      </w:r>
      <w:r>
        <w:rPr>
          <w:spacing w:val="-9"/>
        </w:rPr>
        <w:t> </w:t>
      </w:r>
      <w:r>
        <w:rPr/>
        <w:t>has</w:t>
      </w:r>
      <w:r>
        <w:rPr>
          <w:spacing w:val="-9"/>
        </w:rPr>
        <w:t> </w:t>
      </w:r>
      <w:r>
        <w:rPr/>
        <w:t>no</w:t>
      </w:r>
      <w:r>
        <w:rPr>
          <w:spacing w:val="-8"/>
        </w:rPr>
        <w:t> </w:t>
      </w:r>
      <w:r>
        <w:rPr/>
        <w:t>borrowings</w:t>
      </w:r>
      <w:r>
        <w:rPr>
          <w:spacing w:val="-9"/>
        </w:rPr>
        <w:t> </w:t>
      </w:r>
      <w:r>
        <w:rPr/>
        <w:t>other</w:t>
      </w:r>
      <w:r>
        <w:rPr>
          <w:spacing w:val="-8"/>
        </w:rPr>
        <w:t> </w:t>
      </w:r>
      <w:r>
        <w:rPr/>
        <w:t>than</w:t>
      </w:r>
      <w:r>
        <w:rPr>
          <w:spacing w:val="-9"/>
        </w:rPr>
        <w:t> </w:t>
      </w:r>
      <w:r>
        <w:rPr/>
        <w:t>the</w:t>
      </w:r>
      <w:r>
        <w:rPr>
          <w:spacing w:val="-8"/>
        </w:rPr>
        <w:t> </w:t>
      </w:r>
      <w:r>
        <w:rPr>
          <w:spacing w:val="-5"/>
        </w:rPr>
        <w:t>Treasurer’s</w:t>
      </w:r>
      <w:r>
        <w:rPr>
          <w:spacing w:val="-9"/>
        </w:rPr>
        <w:t> </w:t>
      </w:r>
      <w:r>
        <w:rPr/>
        <w:t>advance</w:t>
      </w:r>
      <w:r>
        <w:rPr>
          <w:spacing w:val="-9"/>
        </w:rPr>
        <w:t> </w:t>
      </w:r>
      <w:r>
        <w:rPr/>
        <w:t>(non-interest</w:t>
      </w:r>
      <w:r>
        <w:rPr>
          <w:spacing w:val="-8"/>
        </w:rPr>
        <w:t> </w:t>
      </w:r>
      <w:r>
        <w:rPr/>
        <w:t>bearing),</w:t>
      </w:r>
      <w:r>
        <w:rPr>
          <w:spacing w:val="-9"/>
        </w:rPr>
        <w:t> </w:t>
      </w:r>
      <w:r>
        <w:rPr>
          <w:spacing w:val="-5"/>
        </w:rPr>
        <w:t>WATC</w:t>
      </w:r>
      <w:r>
        <w:rPr>
          <w:spacing w:val="-8"/>
        </w:rPr>
        <w:t> </w:t>
      </w:r>
      <w:r>
        <w:rPr/>
        <w:t>borrowings</w:t>
      </w:r>
      <w:r>
        <w:rPr>
          <w:spacing w:val="-9"/>
        </w:rPr>
        <w:t> </w:t>
      </w:r>
      <w:r>
        <w:rPr/>
        <w:t>and</w:t>
      </w:r>
      <w:r>
        <w:rPr>
          <w:spacing w:val="-8"/>
        </w:rPr>
        <w:t> </w:t>
      </w:r>
      <w:r>
        <w:rPr/>
        <w:t>finance</w:t>
      </w:r>
      <w:r>
        <w:rPr>
          <w:spacing w:val="-9"/>
        </w:rPr>
        <w:t> </w:t>
      </w:r>
      <w:r>
        <w:rPr/>
        <w:t>leases</w:t>
      </w:r>
      <w:r>
        <w:rPr>
          <w:spacing w:val="-9"/>
        </w:rPr>
        <w:t> </w:t>
      </w:r>
      <w:r>
        <w:rPr/>
        <w:t>(fixed</w:t>
      </w:r>
      <w:r>
        <w:rPr>
          <w:spacing w:val="-8"/>
        </w:rPr>
        <w:t> </w:t>
      </w:r>
      <w:r>
        <w:rPr/>
        <w:t>interest</w:t>
      </w:r>
      <w:r>
        <w:rPr>
          <w:spacing w:val="-9"/>
        </w:rPr>
        <w:t> </w:t>
      </w:r>
      <w:r>
        <w:rPr/>
        <w:t>rate).</w:t>
      </w:r>
    </w:p>
    <w:p>
      <w:pPr>
        <w:pStyle w:val="BodyText"/>
        <w:spacing w:before="2"/>
        <w:rPr>
          <w:sz w:val="23"/>
        </w:rPr>
      </w:pPr>
    </w:p>
    <w:p>
      <w:pPr>
        <w:pStyle w:val="Heading6"/>
        <w:numPr>
          <w:ilvl w:val="0"/>
          <w:numId w:val="16"/>
        </w:numPr>
        <w:tabs>
          <w:tab w:pos="1092" w:val="left" w:leader="none"/>
        </w:tabs>
        <w:spacing w:line="240" w:lineRule="auto" w:before="0" w:after="0"/>
        <w:ind w:left="1091" w:right="0" w:hanging="326"/>
        <w:jc w:val="left"/>
      </w:pPr>
      <w:r>
        <w:rPr/>
        <w:t>Categories of financial</w:t>
      </w:r>
      <w:r>
        <w:rPr>
          <w:spacing w:val="-1"/>
        </w:rPr>
        <w:t> </w:t>
      </w:r>
      <w:r>
        <w:rPr/>
        <w:t>instruments</w:t>
      </w:r>
    </w:p>
    <w:p>
      <w:pPr>
        <w:pStyle w:val="BodyText"/>
        <w:spacing w:line="249" w:lineRule="auto" w:before="11" w:after="49"/>
        <w:ind w:left="765" w:right="1644"/>
      </w:pPr>
      <w:r>
        <w:rPr/>
        <w:t>In</w:t>
      </w:r>
      <w:r>
        <w:rPr>
          <w:spacing w:val="-18"/>
        </w:rPr>
        <w:t> </w:t>
      </w:r>
      <w:r>
        <w:rPr/>
        <w:t>addition</w:t>
      </w:r>
      <w:r>
        <w:rPr>
          <w:spacing w:val="-18"/>
        </w:rPr>
        <w:t> </w:t>
      </w:r>
      <w:r>
        <w:rPr/>
        <w:t>to</w:t>
      </w:r>
      <w:r>
        <w:rPr>
          <w:spacing w:val="-18"/>
        </w:rPr>
        <w:t> </w:t>
      </w:r>
      <w:r>
        <w:rPr/>
        <w:t>cash</w:t>
      </w:r>
      <w:r>
        <w:rPr>
          <w:spacing w:val="-18"/>
        </w:rPr>
        <w:t> </w:t>
      </w:r>
      <w:r>
        <w:rPr/>
        <w:t>and</w:t>
      </w:r>
      <w:r>
        <w:rPr>
          <w:spacing w:val="-18"/>
        </w:rPr>
        <w:t> </w:t>
      </w:r>
      <w:r>
        <w:rPr/>
        <w:t>bank</w:t>
      </w:r>
      <w:r>
        <w:rPr>
          <w:spacing w:val="-18"/>
        </w:rPr>
        <w:t> </w:t>
      </w:r>
      <w:r>
        <w:rPr/>
        <w:t>overdraft,</w:t>
      </w:r>
      <w:r>
        <w:rPr>
          <w:spacing w:val="-18"/>
        </w:rPr>
        <w:t> </w:t>
      </w:r>
      <w:r>
        <w:rPr/>
        <w:t>the</w:t>
      </w:r>
      <w:r>
        <w:rPr>
          <w:spacing w:val="-18"/>
        </w:rPr>
        <w:t> </w:t>
      </w:r>
      <w:r>
        <w:rPr/>
        <w:t>carrying</w:t>
      </w:r>
      <w:r>
        <w:rPr>
          <w:spacing w:val="-18"/>
        </w:rPr>
        <w:t> </w:t>
      </w:r>
      <w:r>
        <w:rPr/>
        <w:t>amounts</w:t>
      </w:r>
      <w:r>
        <w:rPr>
          <w:spacing w:val="-18"/>
        </w:rPr>
        <w:t> </w:t>
      </w:r>
      <w:r>
        <w:rPr/>
        <w:t>of</w:t>
      </w:r>
      <w:r>
        <w:rPr>
          <w:spacing w:val="-18"/>
        </w:rPr>
        <w:t> </w:t>
      </w:r>
      <w:r>
        <w:rPr/>
        <w:t>each</w:t>
      </w:r>
      <w:r>
        <w:rPr>
          <w:spacing w:val="-18"/>
        </w:rPr>
        <w:t> </w:t>
      </w:r>
      <w:r>
        <w:rPr/>
        <w:t>of</w:t>
      </w:r>
      <w:r>
        <w:rPr>
          <w:spacing w:val="-18"/>
        </w:rPr>
        <w:t> </w:t>
      </w:r>
      <w:r>
        <w:rPr/>
        <w:t>the</w:t>
      </w:r>
      <w:r>
        <w:rPr>
          <w:spacing w:val="-18"/>
        </w:rPr>
        <w:t> </w:t>
      </w:r>
      <w:r>
        <w:rPr/>
        <w:t>following</w:t>
      </w:r>
      <w:r>
        <w:rPr>
          <w:spacing w:val="-18"/>
        </w:rPr>
        <w:t> </w:t>
      </w:r>
      <w:r>
        <w:rPr/>
        <w:t>categories</w:t>
      </w:r>
      <w:r>
        <w:rPr>
          <w:spacing w:val="-18"/>
        </w:rPr>
        <w:t> </w:t>
      </w:r>
      <w:r>
        <w:rPr/>
        <w:t>of</w:t>
      </w:r>
      <w:r>
        <w:rPr>
          <w:spacing w:val="-17"/>
        </w:rPr>
        <w:t> </w:t>
      </w:r>
      <w:r>
        <w:rPr/>
        <w:t>financial</w:t>
      </w:r>
      <w:r>
        <w:rPr>
          <w:spacing w:val="-18"/>
        </w:rPr>
        <w:t> </w:t>
      </w:r>
      <w:r>
        <w:rPr/>
        <w:t>assets</w:t>
      </w:r>
      <w:r>
        <w:rPr>
          <w:spacing w:val="-18"/>
        </w:rPr>
        <w:t> </w:t>
      </w:r>
      <w:r>
        <w:rPr/>
        <w:t>and</w:t>
      </w:r>
      <w:r>
        <w:rPr>
          <w:spacing w:val="-18"/>
        </w:rPr>
        <w:t> </w:t>
      </w:r>
      <w:r>
        <w:rPr/>
        <w:t>financial</w:t>
      </w:r>
      <w:r>
        <w:rPr>
          <w:spacing w:val="-18"/>
        </w:rPr>
        <w:t> </w:t>
      </w:r>
      <w:r>
        <w:rPr/>
        <w:t>liabilities</w:t>
      </w:r>
      <w:r>
        <w:rPr>
          <w:spacing w:val="-18"/>
        </w:rPr>
        <w:t> </w:t>
      </w:r>
      <w:r>
        <w:rPr/>
        <w:t>at</w:t>
      </w:r>
      <w:r>
        <w:rPr>
          <w:spacing w:val="-18"/>
        </w:rPr>
        <w:t> </w:t>
      </w:r>
      <w:r>
        <w:rPr/>
        <w:t>the</w:t>
      </w:r>
      <w:r>
        <w:rPr>
          <w:spacing w:val="-18"/>
        </w:rPr>
        <w:t> </w:t>
      </w:r>
      <w:r>
        <w:rPr/>
        <w:t>end</w:t>
      </w:r>
      <w:r>
        <w:rPr>
          <w:spacing w:val="-18"/>
        </w:rPr>
        <w:t> </w:t>
      </w:r>
      <w:r>
        <w:rPr/>
        <w:t>of</w:t>
      </w:r>
      <w:r>
        <w:rPr>
          <w:spacing w:val="-18"/>
        </w:rPr>
        <w:t> </w:t>
      </w:r>
      <w:r>
        <w:rPr>
          <w:spacing w:val="-6"/>
        </w:rPr>
        <w:t>the </w:t>
      </w:r>
      <w:r>
        <w:rPr/>
        <w:t>reporting period are as</w:t>
      </w:r>
      <w:r>
        <w:rPr>
          <w:spacing w:val="-2"/>
        </w:rPr>
        <w:t> </w:t>
      </w:r>
      <w:r>
        <w:rPr/>
        <w:t>follows: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772"/>
        <w:gridCol w:w="2268"/>
        <w:gridCol w:w="2268"/>
      </w:tblGrid>
      <w:tr>
        <w:trPr>
          <w:trHeight w:val="533" w:hRule="atLeast"/>
        </w:trPr>
        <w:tc>
          <w:tcPr>
            <w:tcW w:w="13040" w:type="dxa"/>
            <w:gridSpan w:val="2"/>
            <w:tcBorders>
              <w:top w:val="nil"/>
              <w:bottom w:val="nil"/>
              <w:right w:val="nil"/>
            </w:tcBorders>
            <w:shd w:val="clear" w:color="auto" w:fill="783A79"/>
          </w:tcPr>
          <w:p>
            <w:pPr>
              <w:pStyle w:val="TableParagraph"/>
              <w:spacing w:before="42"/>
              <w:ind w:right="102"/>
              <w:jc w:val="right"/>
              <w:rPr>
                <w:b/>
                <w:sz w:val="19"/>
              </w:rPr>
            </w:pPr>
            <w:r>
              <w:rPr>
                <w:b/>
                <w:color w:val="FFFFFF"/>
                <w:w w:val="95"/>
                <w:sz w:val="19"/>
              </w:rPr>
              <w:t>2018</w:t>
            </w:r>
          </w:p>
          <w:p>
            <w:pPr>
              <w:pStyle w:val="TableParagraph"/>
              <w:spacing w:before="10"/>
              <w:ind w:right="102"/>
              <w:jc w:val="right"/>
              <w:rPr>
                <w:b/>
                <w:sz w:val="19"/>
              </w:rPr>
            </w:pPr>
            <w:r>
              <w:rPr>
                <w:b/>
                <w:color w:val="FFFFFF"/>
                <w:w w:val="95"/>
                <w:sz w:val="19"/>
              </w:rPr>
              <w:t>$000</w:t>
            </w:r>
          </w:p>
        </w:tc>
        <w:tc>
          <w:tcPr>
            <w:tcW w:w="2268" w:type="dxa"/>
            <w:tcBorders>
              <w:top w:val="nil"/>
              <w:left w:val="nil"/>
              <w:bottom w:val="nil"/>
              <w:right w:val="nil"/>
            </w:tcBorders>
            <w:shd w:val="clear" w:color="auto" w:fill="783A79"/>
          </w:tcPr>
          <w:p>
            <w:pPr>
              <w:pStyle w:val="TableParagraph"/>
              <w:spacing w:before="42"/>
              <w:ind w:right="102"/>
              <w:jc w:val="right"/>
              <w:rPr>
                <w:b/>
                <w:sz w:val="19"/>
              </w:rPr>
            </w:pPr>
            <w:r>
              <w:rPr>
                <w:b/>
                <w:color w:val="FFFFFF"/>
                <w:w w:val="95"/>
                <w:sz w:val="19"/>
              </w:rPr>
              <w:t>2017</w:t>
            </w:r>
          </w:p>
          <w:p>
            <w:pPr>
              <w:pStyle w:val="TableParagraph"/>
              <w:spacing w:before="10"/>
              <w:ind w:right="102"/>
              <w:jc w:val="right"/>
              <w:rPr>
                <w:b/>
                <w:sz w:val="19"/>
              </w:rPr>
            </w:pPr>
            <w:r>
              <w:rPr>
                <w:b/>
                <w:color w:val="FFFFFF"/>
                <w:w w:val="95"/>
                <w:sz w:val="19"/>
              </w:rPr>
              <w:t>$000</w:t>
            </w:r>
          </w:p>
        </w:tc>
      </w:tr>
      <w:tr>
        <w:trPr>
          <w:trHeight w:val="317" w:hRule="atLeast"/>
        </w:trPr>
        <w:tc>
          <w:tcPr>
            <w:tcW w:w="10772" w:type="dxa"/>
            <w:tcBorders>
              <w:top w:val="nil"/>
              <w:right w:val="nil"/>
            </w:tcBorders>
            <w:shd w:val="clear" w:color="auto" w:fill="F4F4F4"/>
          </w:tcPr>
          <w:p>
            <w:pPr>
              <w:pStyle w:val="TableParagraph"/>
              <w:spacing w:before="42"/>
              <w:ind w:left="113"/>
              <w:rPr>
                <w:i/>
                <w:sz w:val="19"/>
              </w:rPr>
            </w:pPr>
            <w:r>
              <w:rPr>
                <w:i/>
                <w:color w:val="6F2770"/>
                <w:sz w:val="19"/>
              </w:rPr>
              <w:t>Financial assets</w:t>
            </w:r>
          </w:p>
        </w:tc>
        <w:tc>
          <w:tcPr>
            <w:tcW w:w="2268" w:type="dxa"/>
            <w:tcBorders>
              <w:top w:val="nil"/>
              <w:left w:val="nil"/>
              <w:bottom w:val="nil"/>
              <w:right w:val="nil"/>
            </w:tcBorders>
            <w:shd w:val="clear" w:color="auto" w:fill="DFE1B8"/>
          </w:tcPr>
          <w:p>
            <w:pPr>
              <w:pStyle w:val="TableParagraph"/>
              <w:spacing w:before="0"/>
              <w:rPr>
                <w:rFonts w:ascii="Times New Roman"/>
                <w:sz w:val="20"/>
              </w:rPr>
            </w:pPr>
          </w:p>
        </w:tc>
        <w:tc>
          <w:tcPr>
            <w:tcW w:w="2268"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10772" w:type="dxa"/>
            <w:tcBorders>
              <w:right w:val="nil"/>
            </w:tcBorders>
            <w:shd w:val="clear" w:color="auto" w:fill="FAF9F9"/>
          </w:tcPr>
          <w:p>
            <w:pPr>
              <w:pStyle w:val="TableParagraph"/>
              <w:ind w:left="113"/>
              <w:rPr>
                <w:sz w:val="19"/>
              </w:rPr>
            </w:pPr>
            <w:r>
              <w:rPr>
                <w:sz w:val="19"/>
              </w:rPr>
              <w:t>Cash and cash equivalents</w:t>
            </w:r>
          </w:p>
        </w:tc>
        <w:tc>
          <w:tcPr>
            <w:tcW w:w="2268" w:type="dxa"/>
            <w:tcBorders>
              <w:top w:val="nil"/>
              <w:left w:val="nil"/>
              <w:bottom w:val="nil"/>
              <w:right w:val="nil"/>
            </w:tcBorders>
            <w:shd w:val="clear" w:color="auto" w:fill="DFE1B8"/>
          </w:tcPr>
          <w:p>
            <w:pPr>
              <w:pStyle w:val="TableParagraph"/>
              <w:ind w:right="102"/>
              <w:jc w:val="right"/>
              <w:rPr>
                <w:sz w:val="19"/>
              </w:rPr>
            </w:pPr>
            <w:r>
              <w:rPr>
                <w:w w:val="95"/>
                <w:sz w:val="19"/>
              </w:rPr>
              <w:t>75,890</w:t>
            </w:r>
          </w:p>
        </w:tc>
        <w:tc>
          <w:tcPr>
            <w:tcW w:w="2268" w:type="dxa"/>
            <w:tcBorders>
              <w:left w:val="nil"/>
            </w:tcBorders>
            <w:shd w:val="clear" w:color="auto" w:fill="FAF9F9"/>
          </w:tcPr>
          <w:p>
            <w:pPr>
              <w:pStyle w:val="TableParagraph"/>
              <w:ind w:right="92"/>
              <w:jc w:val="right"/>
              <w:rPr>
                <w:sz w:val="19"/>
              </w:rPr>
            </w:pPr>
            <w:r>
              <w:rPr>
                <w:w w:val="95"/>
                <w:sz w:val="19"/>
              </w:rPr>
              <w:t>70,618</w:t>
            </w:r>
          </w:p>
        </w:tc>
      </w:tr>
      <w:tr>
        <w:trPr>
          <w:trHeight w:val="307" w:hRule="atLeast"/>
        </w:trPr>
        <w:tc>
          <w:tcPr>
            <w:tcW w:w="10772" w:type="dxa"/>
            <w:tcBorders>
              <w:right w:val="nil"/>
            </w:tcBorders>
            <w:shd w:val="clear" w:color="auto" w:fill="F4F4F4"/>
          </w:tcPr>
          <w:p>
            <w:pPr>
              <w:pStyle w:val="TableParagraph"/>
              <w:ind w:left="113"/>
              <w:rPr>
                <w:sz w:val="19"/>
              </w:rPr>
            </w:pPr>
            <w:r>
              <w:rPr>
                <w:sz w:val="19"/>
              </w:rPr>
              <w:t>Restricted cash and cash equivalents</w:t>
            </w:r>
          </w:p>
        </w:tc>
        <w:tc>
          <w:tcPr>
            <w:tcW w:w="2268" w:type="dxa"/>
            <w:tcBorders>
              <w:top w:val="nil"/>
              <w:left w:val="nil"/>
              <w:bottom w:val="nil"/>
              <w:right w:val="nil"/>
            </w:tcBorders>
            <w:shd w:val="clear" w:color="auto" w:fill="DFE1B8"/>
          </w:tcPr>
          <w:p>
            <w:pPr>
              <w:pStyle w:val="TableParagraph"/>
              <w:ind w:right="102"/>
              <w:jc w:val="right"/>
              <w:rPr>
                <w:sz w:val="19"/>
              </w:rPr>
            </w:pPr>
            <w:r>
              <w:rPr>
                <w:w w:val="95"/>
                <w:sz w:val="19"/>
              </w:rPr>
              <w:t>1,735</w:t>
            </w:r>
          </w:p>
        </w:tc>
        <w:tc>
          <w:tcPr>
            <w:tcW w:w="2268" w:type="dxa"/>
            <w:tcBorders>
              <w:left w:val="nil"/>
            </w:tcBorders>
            <w:shd w:val="clear" w:color="auto" w:fill="F4F4F4"/>
          </w:tcPr>
          <w:p>
            <w:pPr>
              <w:pStyle w:val="TableParagraph"/>
              <w:ind w:right="92"/>
              <w:jc w:val="right"/>
              <w:rPr>
                <w:sz w:val="19"/>
              </w:rPr>
            </w:pPr>
            <w:r>
              <w:rPr>
                <w:w w:val="95"/>
                <w:sz w:val="19"/>
              </w:rPr>
              <w:t>3,569</w:t>
            </w:r>
          </w:p>
        </w:tc>
      </w:tr>
      <w:tr>
        <w:trPr>
          <w:trHeight w:val="307" w:hRule="atLeast"/>
        </w:trPr>
        <w:tc>
          <w:tcPr>
            <w:tcW w:w="10772" w:type="dxa"/>
            <w:tcBorders>
              <w:right w:val="nil"/>
            </w:tcBorders>
            <w:shd w:val="clear" w:color="auto" w:fill="FAF9F9"/>
          </w:tcPr>
          <w:p>
            <w:pPr>
              <w:pStyle w:val="TableParagraph"/>
              <w:ind w:left="113"/>
              <w:rPr>
                <w:sz w:val="10"/>
              </w:rPr>
            </w:pPr>
            <w:r>
              <w:rPr>
                <w:sz w:val="19"/>
              </w:rPr>
              <w:t>Receivables</w:t>
            </w:r>
            <w:r>
              <w:rPr>
                <w:position w:val="6"/>
                <w:sz w:val="10"/>
              </w:rPr>
              <w:t>(a)</w:t>
            </w:r>
          </w:p>
        </w:tc>
        <w:tc>
          <w:tcPr>
            <w:tcW w:w="2268" w:type="dxa"/>
            <w:tcBorders>
              <w:top w:val="nil"/>
              <w:left w:val="nil"/>
              <w:bottom w:val="nil"/>
              <w:right w:val="nil"/>
            </w:tcBorders>
            <w:shd w:val="clear" w:color="auto" w:fill="DFE1B8"/>
          </w:tcPr>
          <w:p>
            <w:pPr>
              <w:pStyle w:val="TableParagraph"/>
              <w:ind w:right="102"/>
              <w:jc w:val="right"/>
              <w:rPr>
                <w:sz w:val="19"/>
              </w:rPr>
            </w:pPr>
            <w:r>
              <w:rPr>
                <w:w w:val="95"/>
                <w:sz w:val="19"/>
              </w:rPr>
              <w:t>130,929</w:t>
            </w:r>
          </w:p>
        </w:tc>
        <w:tc>
          <w:tcPr>
            <w:tcW w:w="2268" w:type="dxa"/>
            <w:tcBorders>
              <w:left w:val="nil"/>
            </w:tcBorders>
            <w:shd w:val="clear" w:color="auto" w:fill="FAF9F9"/>
          </w:tcPr>
          <w:p>
            <w:pPr>
              <w:pStyle w:val="TableParagraph"/>
              <w:ind w:right="92"/>
              <w:jc w:val="right"/>
              <w:rPr>
                <w:sz w:val="19"/>
              </w:rPr>
            </w:pPr>
            <w:r>
              <w:rPr>
                <w:w w:val="95"/>
                <w:sz w:val="19"/>
              </w:rPr>
              <w:t>178,379</w:t>
            </w:r>
          </w:p>
        </w:tc>
      </w:tr>
      <w:tr>
        <w:trPr>
          <w:trHeight w:val="307" w:hRule="atLeast"/>
        </w:trPr>
        <w:tc>
          <w:tcPr>
            <w:tcW w:w="10772" w:type="dxa"/>
            <w:tcBorders>
              <w:right w:val="nil"/>
            </w:tcBorders>
            <w:shd w:val="clear" w:color="auto" w:fill="F4F4F4"/>
          </w:tcPr>
          <w:p>
            <w:pPr>
              <w:pStyle w:val="TableParagraph"/>
              <w:ind w:left="113"/>
              <w:rPr>
                <w:sz w:val="19"/>
              </w:rPr>
            </w:pPr>
            <w:r>
              <w:rPr>
                <w:sz w:val="19"/>
              </w:rPr>
              <w:t>Finance lease receivables</w:t>
            </w:r>
          </w:p>
        </w:tc>
        <w:tc>
          <w:tcPr>
            <w:tcW w:w="2268" w:type="dxa"/>
            <w:tcBorders>
              <w:top w:val="nil"/>
              <w:left w:val="nil"/>
              <w:bottom w:val="nil"/>
              <w:right w:val="nil"/>
            </w:tcBorders>
            <w:shd w:val="clear" w:color="auto" w:fill="DFE1B8"/>
          </w:tcPr>
          <w:p>
            <w:pPr>
              <w:pStyle w:val="TableParagraph"/>
              <w:ind w:right="102"/>
              <w:jc w:val="right"/>
              <w:rPr>
                <w:sz w:val="19"/>
              </w:rPr>
            </w:pPr>
            <w:r>
              <w:rPr>
                <w:w w:val="95"/>
                <w:sz w:val="19"/>
              </w:rPr>
              <w:t>657</w:t>
            </w:r>
          </w:p>
        </w:tc>
        <w:tc>
          <w:tcPr>
            <w:tcW w:w="2268" w:type="dxa"/>
            <w:tcBorders>
              <w:left w:val="nil"/>
            </w:tcBorders>
            <w:shd w:val="clear" w:color="auto" w:fill="F4F4F4"/>
          </w:tcPr>
          <w:p>
            <w:pPr>
              <w:pStyle w:val="TableParagraph"/>
              <w:ind w:right="92"/>
              <w:jc w:val="right"/>
              <w:rPr>
                <w:sz w:val="19"/>
              </w:rPr>
            </w:pPr>
            <w:r>
              <w:rPr>
                <w:w w:val="95"/>
                <w:sz w:val="19"/>
              </w:rPr>
              <w:t>1,091</w:t>
            </w:r>
          </w:p>
        </w:tc>
      </w:tr>
      <w:tr>
        <w:trPr>
          <w:trHeight w:val="307" w:hRule="atLeast"/>
        </w:trPr>
        <w:tc>
          <w:tcPr>
            <w:tcW w:w="10772" w:type="dxa"/>
            <w:tcBorders>
              <w:right w:val="nil"/>
            </w:tcBorders>
            <w:shd w:val="clear" w:color="auto" w:fill="FAF9F9"/>
          </w:tcPr>
          <w:p>
            <w:pPr>
              <w:pStyle w:val="TableParagraph"/>
              <w:ind w:left="113"/>
              <w:rPr>
                <w:sz w:val="19"/>
              </w:rPr>
            </w:pPr>
            <w:r>
              <w:rPr>
                <w:sz w:val="19"/>
              </w:rPr>
              <w:t>Amounts receivable for services</w:t>
            </w:r>
          </w:p>
        </w:tc>
        <w:tc>
          <w:tcPr>
            <w:tcW w:w="2268" w:type="dxa"/>
            <w:tcBorders>
              <w:top w:val="nil"/>
              <w:left w:val="nil"/>
              <w:bottom w:val="single" w:sz="4" w:space="0" w:color="000000"/>
              <w:right w:val="nil"/>
            </w:tcBorders>
            <w:shd w:val="clear" w:color="auto" w:fill="DFE1B8"/>
          </w:tcPr>
          <w:p>
            <w:pPr>
              <w:pStyle w:val="TableParagraph"/>
              <w:ind w:right="102"/>
              <w:jc w:val="right"/>
              <w:rPr>
                <w:sz w:val="19"/>
              </w:rPr>
            </w:pPr>
            <w:r>
              <w:rPr>
                <w:w w:val="95"/>
                <w:sz w:val="19"/>
              </w:rPr>
              <w:t>523,863</w:t>
            </w:r>
          </w:p>
        </w:tc>
        <w:tc>
          <w:tcPr>
            <w:tcW w:w="2268" w:type="dxa"/>
            <w:tcBorders>
              <w:left w:val="nil"/>
              <w:bottom w:val="single" w:sz="4" w:space="0" w:color="000000"/>
            </w:tcBorders>
            <w:shd w:val="clear" w:color="auto" w:fill="FAF9F9"/>
          </w:tcPr>
          <w:p>
            <w:pPr>
              <w:pStyle w:val="TableParagraph"/>
              <w:ind w:right="92"/>
              <w:jc w:val="right"/>
              <w:rPr>
                <w:sz w:val="19"/>
              </w:rPr>
            </w:pPr>
            <w:r>
              <w:rPr>
                <w:w w:val="95"/>
                <w:sz w:val="19"/>
              </w:rPr>
              <w:t>464,146</w:t>
            </w:r>
          </w:p>
        </w:tc>
      </w:tr>
      <w:tr>
        <w:trPr>
          <w:trHeight w:val="294" w:hRule="atLeast"/>
        </w:trPr>
        <w:tc>
          <w:tcPr>
            <w:tcW w:w="10772" w:type="dxa"/>
            <w:tcBorders>
              <w:right w:val="nil"/>
            </w:tcBorders>
            <w:shd w:val="clear" w:color="auto" w:fill="F4F4F4"/>
          </w:tcPr>
          <w:p>
            <w:pPr>
              <w:pStyle w:val="TableParagraph"/>
              <w:spacing w:before="0"/>
              <w:rPr>
                <w:rFonts w:ascii="Times New Roman"/>
                <w:sz w:val="20"/>
              </w:rPr>
            </w:pPr>
          </w:p>
        </w:tc>
        <w:tc>
          <w:tcPr>
            <w:tcW w:w="2268" w:type="dxa"/>
            <w:tcBorders>
              <w:top w:val="single" w:sz="4" w:space="0" w:color="000000"/>
              <w:left w:val="nil"/>
              <w:bottom w:val="double" w:sz="2" w:space="0" w:color="000000"/>
              <w:right w:val="nil"/>
            </w:tcBorders>
            <w:shd w:val="clear" w:color="auto" w:fill="DFE1B8"/>
          </w:tcPr>
          <w:p>
            <w:pPr>
              <w:pStyle w:val="TableParagraph"/>
              <w:ind w:right="102"/>
              <w:jc w:val="right"/>
              <w:rPr>
                <w:b/>
                <w:sz w:val="19"/>
              </w:rPr>
            </w:pPr>
            <w:r>
              <w:rPr>
                <w:b/>
                <w:w w:val="95"/>
                <w:sz w:val="19"/>
              </w:rPr>
              <w:t>733,074</w:t>
            </w:r>
          </w:p>
        </w:tc>
        <w:tc>
          <w:tcPr>
            <w:tcW w:w="2268" w:type="dxa"/>
            <w:tcBorders>
              <w:top w:val="single" w:sz="4" w:space="0" w:color="000000"/>
              <w:left w:val="nil"/>
              <w:bottom w:val="double" w:sz="2" w:space="0" w:color="000000"/>
            </w:tcBorders>
            <w:shd w:val="clear" w:color="auto" w:fill="F4F4F4"/>
          </w:tcPr>
          <w:p>
            <w:pPr>
              <w:pStyle w:val="TableParagraph"/>
              <w:ind w:right="92"/>
              <w:jc w:val="right"/>
              <w:rPr>
                <w:b/>
                <w:sz w:val="19"/>
              </w:rPr>
            </w:pPr>
            <w:r>
              <w:rPr>
                <w:b/>
                <w:w w:val="95"/>
                <w:sz w:val="19"/>
              </w:rPr>
              <w:t>717,803</w:t>
            </w:r>
          </w:p>
        </w:tc>
      </w:tr>
      <w:tr>
        <w:trPr>
          <w:trHeight w:val="294" w:hRule="atLeast"/>
        </w:trPr>
        <w:tc>
          <w:tcPr>
            <w:tcW w:w="10772" w:type="dxa"/>
            <w:tcBorders>
              <w:right w:val="nil"/>
            </w:tcBorders>
            <w:shd w:val="clear" w:color="auto" w:fill="FAF9F9"/>
          </w:tcPr>
          <w:p>
            <w:pPr>
              <w:pStyle w:val="TableParagraph"/>
              <w:spacing w:before="20"/>
              <w:ind w:left="113"/>
              <w:rPr>
                <w:i/>
                <w:sz w:val="19"/>
              </w:rPr>
            </w:pPr>
            <w:r>
              <w:rPr>
                <w:i/>
                <w:color w:val="6F2770"/>
                <w:sz w:val="19"/>
              </w:rPr>
              <w:t>Financial liabilities</w:t>
            </w:r>
          </w:p>
        </w:tc>
        <w:tc>
          <w:tcPr>
            <w:tcW w:w="2268" w:type="dxa"/>
            <w:tcBorders>
              <w:top w:val="double" w:sz="2" w:space="0" w:color="000000"/>
              <w:left w:val="nil"/>
              <w:bottom w:val="nil"/>
              <w:right w:val="nil"/>
            </w:tcBorders>
            <w:shd w:val="clear" w:color="auto" w:fill="E1E4BB"/>
          </w:tcPr>
          <w:p>
            <w:pPr>
              <w:pStyle w:val="TableParagraph"/>
              <w:spacing w:before="0"/>
              <w:rPr>
                <w:rFonts w:ascii="Times New Roman"/>
                <w:sz w:val="20"/>
              </w:rPr>
            </w:pPr>
          </w:p>
        </w:tc>
        <w:tc>
          <w:tcPr>
            <w:tcW w:w="2268" w:type="dxa"/>
            <w:tcBorders>
              <w:top w:val="double" w:sz="2" w:space="0" w:color="000000"/>
              <w:left w:val="nil"/>
            </w:tcBorders>
            <w:shd w:val="clear" w:color="auto" w:fill="FAF9F9"/>
          </w:tcPr>
          <w:p>
            <w:pPr>
              <w:pStyle w:val="TableParagraph"/>
              <w:spacing w:before="0"/>
              <w:rPr>
                <w:rFonts w:ascii="Times New Roman"/>
                <w:sz w:val="20"/>
              </w:rPr>
            </w:pPr>
          </w:p>
        </w:tc>
      </w:tr>
      <w:tr>
        <w:trPr>
          <w:trHeight w:val="307" w:hRule="atLeast"/>
        </w:trPr>
        <w:tc>
          <w:tcPr>
            <w:tcW w:w="10772" w:type="dxa"/>
            <w:tcBorders>
              <w:right w:val="nil"/>
            </w:tcBorders>
            <w:shd w:val="clear" w:color="auto" w:fill="F4F4F4"/>
          </w:tcPr>
          <w:p>
            <w:pPr>
              <w:pStyle w:val="TableParagraph"/>
              <w:ind w:left="113"/>
              <w:rPr>
                <w:sz w:val="10"/>
              </w:rPr>
            </w:pPr>
            <w:r>
              <w:rPr>
                <w:sz w:val="19"/>
              </w:rPr>
              <w:t>Payables</w:t>
            </w:r>
            <w:r>
              <w:rPr>
                <w:position w:val="6"/>
                <w:sz w:val="10"/>
              </w:rPr>
              <w:t>(b)</w:t>
            </w:r>
          </w:p>
        </w:tc>
        <w:tc>
          <w:tcPr>
            <w:tcW w:w="2268" w:type="dxa"/>
            <w:tcBorders>
              <w:top w:val="nil"/>
              <w:left w:val="nil"/>
              <w:bottom w:val="nil"/>
              <w:right w:val="nil"/>
            </w:tcBorders>
            <w:shd w:val="clear" w:color="auto" w:fill="E1E4BB"/>
          </w:tcPr>
          <w:p>
            <w:pPr>
              <w:pStyle w:val="TableParagraph"/>
              <w:ind w:right="102"/>
              <w:jc w:val="right"/>
              <w:rPr>
                <w:sz w:val="19"/>
              </w:rPr>
            </w:pPr>
            <w:r>
              <w:rPr>
                <w:w w:val="95"/>
                <w:sz w:val="19"/>
              </w:rPr>
              <w:t>112,770</w:t>
            </w:r>
          </w:p>
        </w:tc>
        <w:tc>
          <w:tcPr>
            <w:tcW w:w="2268" w:type="dxa"/>
            <w:tcBorders>
              <w:left w:val="nil"/>
            </w:tcBorders>
            <w:shd w:val="clear" w:color="auto" w:fill="F4F4F4"/>
          </w:tcPr>
          <w:p>
            <w:pPr>
              <w:pStyle w:val="TableParagraph"/>
              <w:ind w:right="92"/>
              <w:jc w:val="right"/>
              <w:rPr>
                <w:sz w:val="19"/>
              </w:rPr>
            </w:pPr>
            <w:r>
              <w:rPr>
                <w:w w:val="95"/>
                <w:sz w:val="19"/>
              </w:rPr>
              <w:t>113,347</w:t>
            </w:r>
          </w:p>
        </w:tc>
      </w:tr>
      <w:tr>
        <w:trPr>
          <w:trHeight w:val="307" w:hRule="atLeast"/>
        </w:trPr>
        <w:tc>
          <w:tcPr>
            <w:tcW w:w="10772" w:type="dxa"/>
            <w:tcBorders>
              <w:right w:val="nil"/>
            </w:tcBorders>
            <w:shd w:val="clear" w:color="auto" w:fill="FAF9F9"/>
          </w:tcPr>
          <w:p>
            <w:pPr>
              <w:pStyle w:val="TableParagraph"/>
              <w:ind w:left="113"/>
              <w:rPr>
                <w:sz w:val="19"/>
              </w:rPr>
            </w:pPr>
            <w:r>
              <w:rPr>
                <w:sz w:val="19"/>
              </w:rPr>
              <w:t>WATC borrowings</w:t>
            </w:r>
          </w:p>
        </w:tc>
        <w:tc>
          <w:tcPr>
            <w:tcW w:w="2268" w:type="dxa"/>
            <w:tcBorders>
              <w:top w:val="nil"/>
              <w:left w:val="nil"/>
              <w:bottom w:val="nil"/>
              <w:right w:val="nil"/>
            </w:tcBorders>
            <w:shd w:val="clear" w:color="auto" w:fill="E1E4BB"/>
          </w:tcPr>
          <w:p>
            <w:pPr>
              <w:pStyle w:val="TableParagraph"/>
              <w:ind w:right="102"/>
              <w:jc w:val="right"/>
              <w:rPr>
                <w:sz w:val="19"/>
              </w:rPr>
            </w:pPr>
            <w:r>
              <w:rPr>
                <w:w w:val="95"/>
                <w:sz w:val="19"/>
              </w:rPr>
              <w:t>24,355</w:t>
            </w:r>
          </w:p>
        </w:tc>
        <w:tc>
          <w:tcPr>
            <w:tcW w:w="2268" w:type="dxa"/>
            <w:tcBorders>
              <w:left w:val="nil"/>
            </w:tcBorders>
            <w:shd w:val="clear" w:color="auto" w:fill="FAF9F9"/>
          </w:tcPr>
          <w:p>
            <w:pPr>
              <w:pStyle w:val="TableParagraph"/>
              <w:ind w:right="92"/>
              <w:jc w:val="right"/>
              <w:rPr>
                <w:sz w:val="19"/>
              </w:rPr>
            </w:pPr>
            <w:r>
              <w:rPr>
                <w:w w:val="95"/>
                <w:sz w:val="19"/>
              </w:rPr>
              <w:t>47,471</w:t>
            </w:r>
          </w:p>
        </w:tc>
      </w:tr>
      <w:tr>
        <w:trPr>
          <w:trHeight w:val="307" w:hRule="atLeast"/>
        </w:trPr>
        <w:tc>
          <w:tcPr>
            <w:tcW w:w="10772" w:type="dxa"/>
            <w:tcBorders>
              <w:right w:val="nil"/>
            </w:tcBorders>
            <w:shd w:val="clear" w:color="auto" w:fill="F4F4F4"/>
          </w:tcPr>
          <w:p>
            <w:pPr>
              <w:pStyle w:val="TableParagraph"/>
              <w:ind w:left="113"/>
              <w:rPr>
                <w:sz w:val="19"/>
              </w:rPr>
            </w:pPr>
            <w:r>
              <w:rPr>
                <w:sz w:val="19"/>
              </w:rPr>
              <w:t>Heritage Maintenance Payments</w:t>
            </w:r>
          </w:p>
        </w:tc>
        <w:tc>
          <w:tcPr>
            <w:tcW w:w="2268" w:type="dxa"/>
            <w:tcBorders>
              <w:top w:val="nil"/>
              <w:left w:val="nil"/>
              <w:bottom w:val="single" w:sz="4" w:space="0" w:color="000000"/>
              <w:right w:val="nil"/>
            </w:tcBorders>
            <w:shd w:val="clear" w:color="auto" w:fill="E1E4BB"/>
          </w:tcPr>
          <w:p>
            <w:pPr>
              <w:pStyle w:val="TableParagraph"/>
              <w:ind w:right="102"/>
              <w:jc w:val="right"/>
              <w:rPr>
                <w:sz w:val="19"/>
              </w:rPr>
            </w:pPr>
            <w:r>
              <w:rPr>
                <w:w w:val="95"/>
                <w:sz w:val="19"/>
              </w:rPr>
              <w:t>55,563</w:t>
            </w:r>
          </w:p>
        </w:tc>
        <w:tc>
          <w:tcPr>
            <w:tcW w:w="2268" w:type="dxa"/>
            <w:tcBorders>
              <w:left w:val="nil"/>
              <w:bottom w:val="single" w:sz="4" w:space="0" w:color="000000"/>
            </w:tcBorders>
            <w:shd w:val="clear" w:color="auto" w:fill="F4F4F4"/>
          </w:tcPr>
          <w:p>
            <w:pPr>
              <w:pStyle w:val="TableParagraph"/>
              <w:ind w:right="92"/>
              <w:jc w:val="right"/>
              <w:rPr>
                <w:sz w:val="19"/>
              </w:rPr>
            </w:pPr>
            <w:r>
              <w:rPr>
                <w:w w:val="95"/>
                <w:sz w:val="19"/>
              </w:rPr>
              <w:t>54,345</w:t>
            </w:r>
          </w:p>
        </w:tc>
      </w:tr>
      <w:tr>
        <w:trPr>
          <w:trHeight w:val="287" w:hRule="atLeast"/>
        </w:trPr>
        <w:tc>
          <w:tcPr>
            <w:tcW w:w="10772" w:type="dxa"/>
            <w:tcBorders>
              <w:right w:val="nil"/>
            </w:tcBorders>
            <w:shd w:val="clear" w:color="auto" w:fill="FAF9F9"/>
          </w:tcPr>
          <w:p>
            <w:pPr>
              <w:pStyle w:val="TableParagraph"/>
              <w:spacing w:before="0"/>
              <w:rPr>
                <w:rFonts w:ascii="Times New Roman"/>
                <w:sz w:val="20"/>
              </w:rPr>
            </w:pPr>
          </w:p>
        </w:tc>
        <w:tc>
          <w:tcPr>
            <w:tcW w:w="2268" w:type="dxa"/>
            <w:tcBorders>
              <w:top w:val="single" w:sz="4" w:space="0" w:color="000000"/>
              <w:left w:val="nil"/>
              <w:bottom w:val="single" w:sz="24" w:space="0" w:color="FFFFFF"/>
              <w:right w:val="nil"/>
            </w:tcBorders>
            <w:shd w:val="clear" w:color="auto" w:fill="E1E4BB"/>
          </w:tcPr>
          <w:p>
            <w:pPr>
              <w:pStyle w:val="TableParagraph"/>
              <w:ind w:right="102"/>
              <w:jc w:val="right"/>
              <w:rPr>
                <w:b/>
                <w:sz w:val="19"/>
              </w:rPr>
            </w:pPr>
            <w:r>
              <w:rPr>
                <w:b/>
                <w:w w:val="95"/>
                <w:sz w:val="19"/>
              </w:rPr>
              <w:t>192,688</w:t>
            </w:r>
          </w:p>
        </w:tc>
        <w:tc>
          <w:tcPr>
            <w:tcW w:w="2268" w:type="dxa"/>
            <w:tcBorders>
              <w:top w:val="single" w:sz="4" w:space="0" w:color="000000"/>
              <w:left w:val="nil"/>
              <w:bottom w:val="single" w:sz="24" w:space="0" w:color="FFFFFF"/>
            </w:tcBorders>
            <w:shd w:val="clear" w:color="auto" w:fill="FAF9F9"/>
          </w:tcPr>
          <w:p>
            <w:pPr>
              <w:pStyle w:val="TableParagraph"/>
              <w:ind w:right="92"/>
              <w:jc w:val="right"/>
              <w:rPr>
                <w:b/>
                <w:sz w:val="19"/>
              </w:rPr>
            </w:pPr>
            <w:r>
              <w:rPr>
                <w:b/>
                <w:w w:val="95"/>
                <w:sz w:val="19"/>
              </w:rPr>
              <w:t>215,163</w:t>
            </w:r>
          </w:p>
        </w:tc>
      </w:tr>
    </w:tbl>
    <w:p>
      <w:pPr>
        <w:pStyle w:val="BodyText"/>
        <w:spacing w:line="20" w:lineRule="exact"/>
        <w:ind w:left="11542"/>
        <w:rPr>
          <w:sz w:val="2"/>
        </w:rPr>
      </w:pPr>
      <w:r>
        <w:rPr>
          <w:sz w:val="2"/>
        </w:rPr>
        <w:pict>
          <v:group style="width:227.3pt;height:.550pt;mso-position-horizontal-relative:char;mso-position-vertical-relative:line" coordorigin="0,0" coordsize="4546,11">
            <v:line style="position:absolute" from="0,5" to="2268,5" stroked="true" strokeweight=".501pt" strokecolor="#000000">
              <v:stroke dashstyle="solid"/>
            </v:line>
            <v:line style="position:absolute" from="2268,5" to="4545,5" stroked="true" strokeweight=".501pt" strokecolor="#000000">
              <v:stroke dashstyle="solid"/>
            </v:line>
          </v:group>
        </w:pict>
      </w:r>
      <w:r>
        <w:rPr>
          <w:sz w:val="2"/>
        </w:rPr>
      </w:r>
    </w:p>
    <w:p>
      <w:pPr>
        <w:pStyle w:val="ListParagraph"/>
        <w:numPr>
          <w:ilvl w:val="0"/>
          <w:numId w:val="17"/>
        </w:numPr>
        <w:tabs>
          <w:tab w:pos="958" w:val="left" w:leader="none"/>
        </w:tabs>
        <w:spacing w:line="240" w:lineRule="auto" w:before="103" w:after="0"/>
        <w:ind w:left="957" w:right="0" w:hanging="192"/>
        <w:jc w:val="left"/>
        <w:rPr>
          <w:sz w:val="15"/>
        </w:rPr>
      </w:pPr>
      <w:r>
        <w:rPr>
          <w:sz w:val="15"/>
        </w:rPr>
        <w:t>The amount of receivables excludes GST recoverable from the </w:t>
      </w:r>
      <w:r>
        <w:rPr>
          <w:spacing w:val="-4"/>
          <w:sz w:val="15"/>
        </w:rPr>
        <w:t>ATO </w:t>
      </w:r>
      <w:r>
        <w:rPr>
          <w:sz w:val="15"/>
        </w:rPr>
        <w:t>(statutory</w:t>
      </w:r>
      <w:r>
        <w:rPr>
          <w:spacing w:val="-8"/>
          <w:sz w:val="15"/>
        </w:rPr>
        <w:t> </w:t>
      </w:r>
      <w:r>
        <w:rPr>
          <w:sz w:val="15"/>
        </w:rPr>
        <w:t>receivable).</w:t>
      </w:r>
    </w:p>
    <w:p>
      <w:pPr>
        <w:pStyle w:val="ListParagraph"/>
        <w:numPr>
          <w:ilvl w:val="0"/>
          <w:numId w:val="17"/>
        </w:numPr>
        <w:tabs>
          <w:tab w:pos="966" w:val="left" w:leader="none"/>
        </w:tabs>
        <w:spacing w:line="240" w:lineRule="auto" w:before="27" w:after="0"/>
        <w:ind w:left="965" w:right="0" w:hanging="200"/>
        <w:jc w:val="left"/>
        <w:rPr>
          <w:sz w:val="15"/>
        </w:rPr>
      </w:pPr>
      <w:r>
        <w:rPr>
          <w:sz w:val="15"/>
        </w:rPr>
        <w:t>The amount of payables excludes GST payable to the </w:t>
      </w:r>
      <w:r>
        <w:rPr>
          <w:spacing w:val="-4"/>
          <w:sz w:val="15"/>
        </w:rPr>
        <w:t>ATO </w:t>
      </w:r>
      <w:r>
        <w:rPr>
          <w:sz w:val="15"/>
        </w:rPr>
        <w:t>(statutory</w:t>
      </w:r>
      <w:r>
        <w:rPr>
          <w:spacing w:val="-5"/>
          <w:sz w:val="15"/>
        </w:rPr>
        <w:t> </w:t>
      </w:r>
      <w:r>
        <w:rPr>
          <w:sz w:val="15"/>
        </w:rPr>
        <w:t>payable).</w:t>
      </w:r>
    </w:p>
    <w:p>
      <w:pPr>
        <w:spacing w:after="0" w:line="240" w:lineRule="auto"/>
        <w:jc w:val="left"/>
        <w:rPr>
          <w:sz w:val="15"/>
        </w:rPr>
        <w:sectPr>
          <w:footerReference w:type="default" r:id="rId172"/>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1928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Heading6"/>
        <w:numPr>
          <w:ilvl w:val="0"/>
          <w:numId w:val="17"/>
        </w:numPr>
        <w:tabs>
          <w:tab w:pos="1084" w:val="left" w:leader="none"/>
        </w:tabs>
        <w:spacing w:line="240" w:lineRule="auto" w:before="279" w:after="0"/>
        <w:ind w:left="1083" w:right="0" w:hanging="318"/>
        <w:jc w:val="left"/>
      </w:pPr>
      <w:r>
        <w:rPr/>
        <w:t>Financial instrument</w:t>
      </w:r>
      <w:r>
        <w:rPr>
          <w:spacing w:val="-1"/>
        </w:rPr>
        <w:t> </w:t>
      </w:r>
      <w:r>
        <w:rPr/>
        <w:t>disclosures</w:t>
      </w:r>
    </w:p>
    <w:p>
      <w:pPr>
        <w:spacing w:before="11"/>
        <w:ind w:left="765" w:right="0" w:firstLine="0"/>
        <w:jc w:val="left"/>
        <w:rPr>
          <w:i/>
          <w:sz w:val="22"/>
        </w:rPr>
      </w:pPr>
      <w:r>
        <w:rPr>
          <w:i/>
          <w:sz w:val="22"/>
        </w:rPr>
        <w:t>Credit risk</w:t>
      </w:r>
    </w:p>
    <w:p>
      <w:pPr>
        <w:pStyle w:val="BodyText"/>
        <w:spacing w:line="249" w:lineRule="auto" w:before="11"/>
        <w:ind w:left="765" w:right="799"/>
      </w:pPr>
      <w:r>
        <w:rPr/>
        <w:t>The</w:t>
      </w:r>
      <w:r>
        <w:rPr>
          <w:spacing w:val="-26"/>
        </w:rPr>
        <w:t> </w:t>
      </w:r>
      <w:r>
        <w:rPr>
          <w:spacing w:val="-3"/>
        </w:rPr>
        <w:t>following</w:t>
      </w:r>
      <w:r>
        <w:rPr>
          <w:spacing w:val="-26"/>
        </w:rPr>
        <w:t> </w:t>
      </w:r>
      <w:r>
        <w:rPr>
          <w:spacing w:val="-3"/>
        </w:rPr>
        <w:t>table</w:t>
      </w:r>
      <w:r>
        <w:rPr>
          <w:spacing w:val="-25"/>
        </w:rPr>
        <w:t> </w:t>
      </w:r>
      <w:r>
        <w:rPr>
          <w:spacing w:val="-3"/>
        </w:rPr>
        <w:t>discloses</w:t>
      </w:r>
      <w:r>
        <w:rPr>
          <w:spacing w:val="-26"/>
        </w:rPr>
        <w:t> </w:t>
      </w:r>
      <w:r>
        <w:rPr/>
        <w:t>the</w:t>
      </w:r>
      <w:r>
        <w:rPr>
          <w:spacing w:val="-25"/>
        </w:rPr>
        <w:t> </w:t>
      </w:r>
      <w:r>
        <w:rPr>
          <w:spacing w:val="-5"/>
        </w:rPr>
        <w:t>Department’s</w:t>
      </w:r>
      <w:r>
        <w:rPr>
          <w:spacing w:val="-26"/>
        </w:rPr>
        <w:t> </w:t>
      </w:r>
      <w:r>
        <w:rPr>
          <w:spacing w:val="-3"/>
        </w:rPr>
        <w:t>maximum</w:t>
      </w:r>
      <w:r>
        <w:rPr>
          <w:spacing w:val="-25"/>
        </w:rPr>
        <w:t> </w:t>
      </w:r>
      <w:r>
        <w:rPr>
          <w:spacing w:val="-4"/>
        </w:rPr>
        <w:t>exposure</w:t>
      </w:r>
      <w:r>
        <w:rPr>
          <w:spacing w:val="-26"/>
        </w:rPr>
        <w:t> </w:t>
      </w:r>
      <w:r>
        <w:rPr/>
        <w:t>to</w:t>
      </w:r>
      <w:r>
        <w:rPr>
          <w:spacing w:val="-25"/>
        </w:rPr>
        <w:t> </w:t>
      </w:r>
      <w:r>
        <w:rPr>
          <w:spacing w:val="-4"/>
        </w:rPr>
        <w:t>credit</w:t>
      </w:r>
      <w:r>
        <w:rPr>
          <w:spacing w:val="-26"/>
        </w:rPr>
        <w:t> </w:t>
      </w:r>
      <w:r>
        <w:rPr>
          <w:spacing w:val="-3"/>
        </w:rPr>
        <w:t>risk,</w:t>
      </w:r>
      <w:r>
        <w:rPr>
          <w:spacing w:val="-25"/>
        </w:rPr>
        <w:t> </w:t>
      </w:r>
      <w:r>
        <w:rPr>
          <w:spacing w:val="-4"/>
        </w:rPr>
        <w:t>interest</w:t>
      </w:r>
      <w:r>
        <w:rPr>
          <w:spacing w:val="-26"/>
        </w:rPr>
        <w:t> </w:t>
      </w:r>
      <w:r>
        <w:rPr>
          <w:spacing w:val="-3"/>
        </w:rPr>
        <w:t>rate</w:t>
      </w:r>
      <w:r>
        <w:rPr>
          <w:spacing w:val="-25"/>
        </w:rPr>
        <w:t> </w:t>
      </w:r>
      <w:r>
        <w:rPr>
          <w:spacing w:val="-4"/>
        </w:rPr>
        <w:t>exposures</w:t>
      </w:r>
      <w:r>
        <w:rPr>
          <w:spacing w:val="-26"/>
        </w:rPr>
        <w:t> </w:t>
      </w:r>
      <w:r>
        <w:rPr/>
        <w:t>and</w:t>
      </w:r>
      <w:r>
        <w:rPr>
          <w:spacing w:val="-25"/>
        </w:rPr>
        <w:t> </w:t>
      </w:r>
      <w:r>
        <w:rPr/>
        <w:t>the</w:t>
      </w:r>
      <w:r>
        <w:rPr>
          <w:spacing w:val="-26"/>
        </w:rPr>
        <w:t> </w:t>
      </w:r>
      <w:r>
        <w:rPr>
          <w:spacing w:val="-3"/>
        </w:rPr>
        <w:t>ageing</w:t>
      </w:r>
      <w:r>
        <w:rPr>
          <w:spacing w:val="-25"/>
        </w:rPr>
        <w:t> </w:t>
      </w:r>
      <w:r>
        <w:rPr>
          <w:spacing w:val="-3"/>
        </w:rPr>
        <w:t>analysis</w:t>
      </w:r>
      <w:r>
        <w:rPr>
          <w:spacing w:val="-26"/>
        </w:rPr>
        <w:t> </w:t>
      </w:r>
      <w:r>
        <w:rPr/>
        <w:t>of</w:t>
      </w:r>
      <w:r>
        <w:rPr>
          <w:spacing w:val="-25"/>
        </w:rPr>
        <w:t> </w:t>
      </w:r>
      <w:r>
        <w:rPr>
          <w:spacing w:val="-3"/>
        </w:rPr>
        <w:t>financial</w:t>
      </w:r>
      <w:r>
        <w:rPr>
          <w:spacing w:val="-26"/>
        </w:rPr>
        <w:t> </w:t>
      </w:r>
      <w:r>
        <w:rPr>
          <w:spacing w:val="-3"/>
        </w:rPr>
        <w:t>assets.</w:t>
      </w:r>
      <w:r>
        <w:rPr>
          <w:spacing w:val="-25"/>
        </w:rPr>
        <w:t> </w:t>
      </w:r>
      <w:r>
        <w:rPr/>
        <w:t>The</w:t>
      </w:r>
      <w:r>
        <w:rPr>
          <w:spacing w:val="-26"/>
        </w:rPr>
        <w:t> </w:t>
      </w:r>
      <w:r>
        <w:rPr>
          <w:spacing w:val="-5"/>
        </w:rPr>
        <w:t>Department’s </w:t>
      </w:r>
      <w:r>
        <w:rPr>
          <w:spacing w:val="-3"/>
        </w:rPr>
        <w:t>maximum </w:t>
      </w:r>
      <w:r>
        <w:rPr>
          <w:spacing w:val="-4"/>
        </w:rPr>
        <w:t>exposure </w:t>
      </w:r>
      <w:r>
        <w:rPr/>
        <w:t>to </w:t>
      </w:r>
      <w:r>
        <w:rPr>
          <w:spacing w:val="-4"/>
        </w:rPr>
        <w:t>credit </w:t>
      </w:r>
      <w:r>
        <w:rPr>
          <w:spacing w:val="-3"/>
        </w:rPr>
        <w:t>risk </w:t>
      </w:r>
      <w:r>
        <w:rPr/>
        <w:t>at the end of the </w:t>
      </w:r>
      <w:r>
        <w:rPr>
          <w:spacing w:val="-4"/>
        </w:rPr>
        <w:t>reporting </w:t>
      </w:r>
      <w:r>
        <w:rPr>
          <w:spacing w:val="-3"/>
        </w:rPr>
        <w:t>period </w:t>
      </w:r>
      <w:r>
        <w:rPr/>
        <w:t>is the </w:t>
      </w:r>
      <w:r>
        <w:rPr>
          <w:spacing w:val="-3"/>
        </w:rPr>
        <w:t>carrying amount </w:t>
      </w:r>
      <w:r>
        <w:rPr/>
        <w:t>of </w:t>
      </w:r>
      <w:r>
        <w:rPr>
          <w:spacing w:val="-3"/>
        </w:rPr>
        <w:t>financial assets </w:t>
      </w:r>
      <w:r>
        <w:rPr/>
        <w:t>as </w:t>
      </w:r>
      <w:r>
        <w:rPr>
          <w:spacing w:val="-3"/>
        </w:rPr>
        <w:t>shown </w:t>
      </w:r>
      <w:r>
        <w:rPr>
          <w:spacing w:val="-5"/>
        </w:rPr>
        <w:t>below. </w:t>
      </w:r>
      <w:r>
        <w:rPr/>
        <w:t>The </w:t>
      </w:r>
      <w:r>
        <w:rPr>
          <w:spacing w:val="-3"/>
        </w:rPr>
        <w:t>table discloses </w:t>
      </w:r>
      <w:r>
        <w:rPr/>
        <w:t>the </w:t>
      </w:r>
      <w:r>
        <w:rPr>
          <w:spacing w:val="-3"/>
        </w:rPr>
        <w:t>ageing of financial</w:t>
      </w:r>
      <w:r>
        <w:rPr>
          <w:spacing w:val="-24"/>
        </w:rPr>
        <w:t> </w:t>
      </w:r>
      <w:r>
        <w:rPr>
          <w:spacing w:val="-3"/>
        </w:rPr>
        <w:t>assets</w:t>
      </w:r>
      <w:r>
        <w:rPr>
          <w:spacing w:val="-24"/>
        </w:rPr>
        <w:t> </w:t>
      </w:r>
      <w:r>
        <w:rPr>
          <w:spacing w:val="-3"/>
        </w:rPr>
        <w:t>that</w:t>
      </w:r>
      <w:r>
        <w:rPr>
          <w:spacing w:val="-24"/>
        </w:rPr>
        <w:t> </w:t>
      </w:r>
      <w:r>
        <w:rPr>
          <w:spacing w:val="-4"/>
        </w:rPr>
        <w:t>are</w:t>
      </w:r>
      <w:r>
        <w:rPr>
          <w:spacing w:val="-23"/>
        </w:rPr>
        <w:t> </w:t>
      </w:r>
      <w:r>
        <w:rPr>
          <w:spacing w:val="-3"/>
        </w:rPr>
        <w:t>past</w:t>
      </w:r>
      <w:r>
        <w:rPr>
          <w:spacing w:val="-24"/>
        </w:rPr>
        <w:t> </w:t>
      </w:r>
      <w:r>
        <w:rPr/>
        <w:t>due</w:t>
      </w:r>
      <w:r>
        <w:rPr>
          <w:spacing w:val="-24"/>
        </w:rPr>
        <w:t> </w:t>
      </w:r>
      <w:r>
        <w:rPr/>
        <w:t>but</w:t>
      </w:r>
      <w:r>
        <w:rPr>
          <w:spacing w:val="-23"/>
        </w:rPr>
        <w:t> </w:t>
      </w:r>
      <w:r>
        <w:rPr/>
        <w:t>not</w:t>
      </w:r>
      <w:r>
        <w:rPr>
          <w:spacing w:val="-24"/>
        </w:rPr>
        <w:t> </w:t>
      </w:r>
      <w:r>
        <w:rPr>
          <w:spacing w:val="-4"/>
        </w:rPr>
        <w:t>impaired</w:t>
      </w:r>
      <w:r>
        <w:rPr>
          <w:spacing w:val="-24"/>
        </w:rPr>
        <w:t> </w:t>
      </w:r>
      <w:r>
        <w:rPr/>
        <w:t>and</w:t>
      </w:r>
      <w:r>
        <w:rPr>
          <w:spacing w:val="-24"/>
        </w:rPr>
        <w:t> </w:t>
      </w:r>
      <w:r>
        <w:rPr>
          <w:spacing w:val="-4"/>
        </w:rPr>
        <w:t>impaired</w:t>
      </w:r>
      <w:r>
        <w:rPr>
          <w:spacing w:val="-23"/>
        </w:rPr>
        <w:t> </w:t>
      </w:r>
      <w:r>
        <w:rPr>
          <w:spacing w:val="-3"/>
        </w:rPr>
        <w:t>financial</w:t>
      </w:r>
      <w:r>
        <w:rPr>
          <w:spacing w:val="-24"/>
        </w:rPr>
        <w:t> </w:t>
      </w:r>
      <w:r>
        <w:rPr>
          <w:spacing w:val="-3"/>
        </w:rPr>
        <w:t>assets.</w:t>
      </w:r>
      <w:r>
        <w:rPr>
          <w:spacing w:val="-24"/>
        </w:rPr>
        <w:t> </w:t>
      </w:r>
      <w:r>
        <w:rPr/>
        <w:t>The</w:t>
      </w:r>
      <w:r>
        <w:rPr>
          <w:spacing w:val="-23"/>
        </w:rPr>
        <w:t> </w:t>
      </w:r>
      <w:r>
        <w:rPr>
          <w:spacing w:val="-3"/>
        </w:rPr>
        <w:t>table</w:t>
      </w:r>
      <w:r>
        <w:rPr>
          <w:spacing w:val="-24"/>
        </w:rPr>
        <w:t> </w:t>
      </w:r>
      <w:r>
        <w:rPr/>
        <w:t>is</w:t>
      </w:r>
      <w:r>
        <w:rPr>
          <w:spacing w:val="-24"/>
        </w:rPr>
        <w:t> </w:t>
      </w:r>
      <w:r>
        <w:rPr>
          <w:spacing w:val="-3"/>
        </w:rPr>
        <w:t>based</w:t>
      </w:r>
      <w:r>
        <w:rPr>
          <w:spacing w:val="-23"/>
        </w:rPr>
        <w:t> </w:t>
      </w:r>
      <w:r>
        <w:rPr/>
        <w:t>on</w:t>
      </w:r>
      <w:r>
        <w:rPr>
          <w:spacing w:val="-24"/>
        </w:rPr>
        <w:t> </w:t>
      </w:r>
      <w:r>
        <w:rPr>
          <w:spacing w:val="-3"/>
        </w:rPr>
        <w:t>information</w:t>
      </w:r>
      <w:r>
        <w:rPr>
          <w:spacing w:val="-24"/>
        </w:rPr>
        <w:t> </w:t>
      </w:r>
      <w:r>
        <w:rPr>
          <w:spacing w:val="-4"/>
        </w:rPr>
        <w:t>provided</w:t>
      </w:r>
      <w:r>
        <w:rPr>
          <w:spacing w:val="-24"/>
        </w:rPr>
        <w:t> </w:t>
      </w:r>
      <w:r>
        <w:rPr/>
        <w:t>to</w:t>
      </w:r>
      <w:r>
        <w:rPr>
          <w:spacing w:val="-23"/>
        </w:rPr>
        <w:t> </w:t>
      </w:r>
      <w:r>
        <w:rPr>
          <w:spacing w:val="-3"/>
        </w:rPr>
        <w:t>senior</w:t>
      </w:r>
      <w:r>
        <w:rPr>
          <w:spacing w:val="-24"/>
        </w:rPr>
        <w:t> </w:t>
      </w:r>
      <w:r>
        <w:rPr>
          <w:spacing w:val="-3"/>
        </w:rPr>
        <w:t>management</w:t>
      </w:r>
      <w:r>
        <w:rPr>
          <w:spacing w:val="-24"/>
        </w:rPr>
        <w:t> </w:t>
      </w:r>
      <w:r>
        <w:rPr/>
        <w:t>of</w:t>
      </w:r>
      <w:r>
        <w:rPr>
          <w:spacing w:val="-23"/>
        </w:rPr>
        <w:t> </w:t>
      </w:r>
      <w:r>
        <w:rPr/>
        <w:t>the</w:t>
      </w:r>
      <w:r>
        <w:rPr>
          <w:spacing w:val="-24"/>
        </w:rPr>
        <w:t> </w:t>
      </w:r>
      <w:r>
        <w:rPr>
          <w:spacing w:val="-3"/>
        </w:rPr>
        <w:t>Department.</w:t>
      </w:r>
    </w:p>
    <w:p>
      <w:pPr>
        <w:pStyle w:val="BodyText"/>
        <w:spacing w:before="2"/>
        <w:rPr>
          <w:sz w:val="23"/>
        </w:rPr>
      </w:pPr>
    </w:p>
    <w:p>
      <w:pPr>
        <w:pStyle w:val="BodyText"/>
        <w:spacing w:before="1"/>
        <w:ind w:left="765"/>
      </w:pPr>
      <w:r>
        <w:rPr/>
        <w:t>The Department does not hold any collateral as security or other credit enhancement relating to the financial assets it holds.</w:t>
      </w:r>
    </w:p>
    <w:p>
      <w:pPr>
        <w:spacing w:before="65" w:after="44"/>
        <w:ind w:left="785" w:right="0" w:firstLine="0"/>
        <w:jc w:val="left"/>
        <w:rPr>
          <w:b/>
          <w:sz w:val="19"/>
        </w:rPr>
      </w:pPr>
      <w:r>
        <w:rPr>
          <w:b/>
          <w:sz w:val="19"/>
        </w:rPr>
        <w:t>Ageing analysis of financial assets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430"/>
        <w:gridCol w:w="1134"/>
        <w:gridCol w:w="3118"/>
        <w:gridCol w:w="1190"/>
        <w:gridCol w:w="1190"/>
        <w:gridCol w:w="1190"/>
        <w:gridCol w:w="1190"/>
        <w:gridCol w:w="1190"/>
        <w:gridCol w:w="1644"/>
      </w:tblGrid>
      <w:tr>
        <w:trPr>
          <w:trHeight w:val="1089" w:hRule="atLeast"/>
        </w:trPr>
        <w:tc>
          <w:tcPr>
            <w:tcW w:w="4564" w:type="dxa"/>
            <w:gridSpan w:val="2"/>
            <w:tcBorders>
              <w:top w:val="nil"/>
              <w:bottom w:val="nil"/>
              <w:right w:val="nil"/>
            </w:tcBorders>
            <w:shd w:val="clear" w:color="auto" w:fill="783A79"/>
          </w:tcPr>
          <w:p>
            <w:pPr>
              <w:pStyle w:val="TableParagraph"/>
              <w:spacing w:before="1"/>
              <w:rPr>
                <w:b/>
                <w:sz w:val="32"/>
              </w:rPr>
            </w:pPr>
          </w:p>
          <w:p>
            <w:pPr>
              <w:pStyle w:val="TableParagraph"/>
              <w:spacing w:line="249" w:lineRule="auto" w:before="1"/>
              <w:ind w:left="3739" w:right="101" w:hanging="64"/>
              <w:jc w:val="right"/>
              <w:rPr>
                <w:b/>
                <w:sz w:val="19"/>
              </w:rPr>
            </w:pPr>
            <w:r>
              <w:rPr>
                <w:b/>
                <w:color w:val="FFFFFF"/>
                <w:w w:val="95"/>
                <w:sz w:val="19"/>
              </w:rPr>
              <w:t>Carrying Amount</w:t>
            </w:r>
          </w:p>
          <w:p>
            <w:pPr>
              <w:pStyle w:val="TableParagraph"/>
              <w:spacing w:before="1"/>
              <w:ind w:right="101"/>
              <w:jc w:val="right"/>
              <w:rPr>
                <w:b/>
                <w:sz w:val="19"/>
              </w:rPr>
            </w:pPr>
            <w:r>
              <w:rPr>
                <w:b/>
                <w:color w:val="FFFFFF"/>
                <w:w w:val="95"/>
                <w:sz w:val="19"/>
              </w:rPr>
              <w:t>$000</w:t>
            </w:r>
          </w:p>
        </w:tc>
        <w:tc>
          <w:tcPr>
            <w:tcW w:w="3118" w:type="dxa"/>
            <w:tcBorders>
              <w:top w:val="nil"/>
              <w:left w:val="nil"/>
              <w:bottom w:val="nil"/>
              <w:right w:val="single" w:sz="4" w:space="0" w:color="000000"/>
            </w:tcBorders>
            <w:shd w:val="clear" w:color="auto" w:fill="783A79"/>
          </w:tcPr>
          <w:p>
            <w:pPr>
              <w:pStyle w:val="TableParagraph"/>
              <w:spacing w:before="42"/>
              <w:ind w:right="96"/>
              <w:jc w:val="right"/>
              <w:rPr>
                <w:b/>
                <w:sz w:val="19"/>
              </w:rPr>
            </w:pPr>
            <w:r>
              <w:rPr>
                <w:b/>
                <w:color w:val="FFFFFF"/>
                <w:sz w:val="19"/>
              </w:rPr>
              <w:t>Not past due and not</w:t>
            </w:r>
            <w:r>
              <w:rPr>
                <w:b/>
                <w:color w:val="FFFFFF"/>
                <w:spacing w:val="9"/>
                <w:sz w:val="19"/>
              </w:rPr>
              <w:t> </w:t>
            </w:r>
            <w:r>
              <w:rPr>
                <w:b/>
                <w:color w:val="FFFFFF"/>
                <w:sz w:val="19"/>
              </w:rPr>
              <w:t>impaired</w:t>
            </w:r>
          </w:p>
          <w:p>
            <w:pPr>
              <w:pStyle w:val="TableParagraph"/>
              <w:spacing w:before="0"/>
              <w:rPr>
                <w:b/>
                <w:sz w:val="22"/>
              </w:rPr>
            </w:pPr>
          </w:p>
          <w:p>
            <w:pPr>
              <w:pStyle w:val="TableParagraph"/>
              <w:spacing w:before="2"/>
              <w:rPr>
                <w:b/>
                <w:sz w:val="27"/>
              </w:rPr>
            </w:pPr>
          </w:p>
          <w:p>
            <w:pPr>
              <w:pStyle w:val="TableParagraph"/>
              <w:spacing w:before="0"/>
              <w:ind w:right="96"/>
              <w:jc w:val="right"/>
              <w:rPr>
                <w:b/>
                <w:sz w:val="19"/>
              </w:rPr>
            </w:pPr>
            <w:r>
              <w:rPr>
                <w:b/>
                <w:color w:val="FFFFFF"/>
                <w:w w:val="95"/>
                <w:sz w:val="19"/>
              </w:rPr>
              <w:t>$000</w:t>
            </w:r>
          </w:p>
        </w:tc>
        <w:tc>
          <w:tcPr>
            <w:tcW w:w="1190"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501" w:right="83"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1"/>
              <w:ind w:left="659"/>
              <w:rPr>
                <w:b/>
                <w:sz w:val="19"/>
              </w:rPr>
            </w:pPr>
            <w:r>
              <w:rPr>
                <w:b/>
                <w:color w:val="FFFFFF"/>
                <w:sz w:val="19"/>
              </w:rPr>
              <w:t>$000</w:t>
            </w:r>
          </w:p>
        </w:tc>
        <w:tc>
          <w:tcPr>
            <w:tcW w:w="3570" w:type="dxa"/>
            <w:gridSpan w:val="3"/>
            <w:tcBorders>
              <w:top w:val="nil"/>
              <w:left w:val="nil"/>
              <w:bottom w:val="nil"/>
              <w:right w:val="nil"/>
            </w:tcBorders>
            <w:shd w:val="clear" w:color="auto" w:fill="783A79"/>
          </w:tcPr>
          <w:p>
            <w:pPr>
              <w:pStyle w:val="TableParagraph"/>
              <w:spacing w:before="42"/>
              <w:ind w:left="628"/>
              <w:rPr>
                <w:b/>
                <w:sz w:val="19"/>
              </w:rPr>
            </w:pPr>
            <w:r>
              <w:rPr>
                <w:b/>
                <w:color w:val="FFFFFF"/>
                <w:sz w:val="19"/>
              </w:rPr>
              <w:t>Past due but not impaired</w:t>
            </w:r>
          </w:p>
          <w:p>
            <w:pPr>
              <w:pStyle w:val="TableParagraph"/>
              <w:tabs>
                <w:tab w:pos="1436" w:val="left" w:leader="none"/>
                <w:tab w:pos="1493" w:val="left" w:leader="none"/>
                <w:tab w:pos="2634" w:val="left" w:leader="none"/>
              </w:tabs>
              <w:spacing w:line="249" w:lineRule="auto" w:before="109"/>
              <w:ind w:left="404" w:right="99" w:firstLine="393"/>
              <w:rPr>
                <w:b/>
                <w:sz w:val="19"/>
              </w:rPr>
            </w:pPr>
            <w:r>
              <w:rPr>
                <w:b/>
                <w:color w:val="FFFFFF"/>
                <w:sz w:val="19"/>
              </w:rPr>
              <w:t>1-3</w:t>
              <w:tab/>
              <w:t>3</w:t>
            </w:r>
            <w:r>
              <w:rPr>
                <w:b/>
                <w:color w:val="FFFFFF"/>
                <w:spacing w:val="-2"/>
                <w:sz w:val="19"/>
              </w:rPr>
              <w:t> </w:t>
            </w:r>
            <w:r>
              <w:rPr>
                <w:b/>
                <w:color w:val="FFFFFF"/>
                <w:sz w:val="19"/>
              </w:rPr>
              <w:t>months</w:t>
              <w:tab/>
              <w:t>1-5 </w:t>
            </w:r>
            <w:r>
              <w:rPr>
                <w:b/>
                <w:color w:val="FFFFFF"/>
                <w:spacing w:val="-4"/>
                <w:sz w:val="19"/>
              </w:rPr>
              <w:t>years </w:t>
            </w:r>
            <w:r>
              <w:rPr>
                <w:b/>
                <w:color w:val="FFFFFF"/>
                <w:sz w:val="19"/>
              </w:rPr>
              <w:t>months</w:t>
              <w:tab/>
              <w:tab/>
              <w:t>to 1 year</w:t>
            </w:r>
          </w:p>
          <w:p>
            <w:pPr>
              <w:pStyle w:val="TableParagraph"/>
              <w:tabs>
                <w:tab w:pos="1855" w:val="left" w:leader="none"/>
                <w:tab w:pos="3045" w:val="left" w:leader="none"/>
              </w:tabs>
              <w:spacing w:before="2"/>
              <w:ind w:left="664"/>
              <w:rPr>
                <w:b/>
                <w:sz w:val="19"/>
              </w:rPr>
            </w:pPr>
            <w:r>
              <w:rPr>
                <w:b/>
                <w:color w:val="FFFFFF"/>
                <w:sz w:val="19"/>
              </w:rPr>
              <w:t>$000</w:t>
              <w:tab/>
              <w:t>$000</w:t>
              <w:tab/>
              <w:t>$000</w:t>
            </w:r>
          </w:p>
        </w:tc>
        <w:tc>
          <w:tcPr>
            <w:tcW w:w="1190" w:type="dxa"/>
            <w:tcBorders>
              <w:top w:val="nil"/>
              <w:left w:val="nil"/>
              <w:bottom w:val="nil"/>
              <w:right w:val="single" w:sz="4" w:space="0" w:color="000000"/>
            </w:tcBorders>
            <w:shd w:val="clear" w:color="auto" w:fill="783A79"/>
          </w:tcPr>
          <w:p>
            <w:pPr>
              <w:pStyle w:val="TableParagraph"/>
              <w:spacing w:before="1"/>
              <w:rPr>
                <w:b/>
                <w:sz w:val="32"/>
              </w:rPr>
            </w:pPr>
          </w:p>
          <w:p>
            <w:pPr>
              <w:pStyle w:val="TableParagraph"/>
              <w:spacing w:line="249" w:lineRule="auto" w:before="1"/>
              <w:ind w:left="437" w:right="83" w:hanging="271"/>
              <w:rPr>
                <w:b/>
                <w:sz w:val="19"/>
              </w:rPr>
            </w:pPr>
            <w:r>
              <w:rPr>
                <w:b/>
                <w:color w:val="FFFFFF"/>
                <w:sz w:val="19"/>
              </w:rPr>
              <w:t>More </w:t>
            </w:r>
            <w:r>
              <w:rPr>
                <w:b/>
                <w:color w:val="FFFFFF"/>
                <w:spacing w:val="-4"/>
                <w:sz w:val="19"/>
              </w:rPr>
              <w:t>than </w:t>
            </w:r>
            <w:r>
              <w:rPr>
                <w:b/>
                <w:color w:val="FFFFFF"/>
                <w:sz w:val="19"/>
              </w:rPr>
              <w:t>5</w:t>
            </w:r>
            <w:r>
              <w:rPr>
                <w:b/>
                <w:color w:val="FFFFFF"/>
                <w:spacing w:val="-1"/>
                <w:sz w:val="19"/>
              </w:rPr>
              <w:t> </w:t>
            </w:r>
            <w:r>
              <w:rPr>
                <w:b/>
                <w:color w:val="FFFFFF"/>
                <w:spacing w:val="-4"/>
                <w:sz w:val="19"/>
              </w:rPr>
              <w:t>years</w:t>
            </w:r>
          </w:p>
          <w:p>
            <w:pPr>
              <w:pStyle w:val="TableParagraph"/>
              <w:spacing w:before="1"/>
              <w:ind w:left="666"/>
              <w:rPr>
                <w:b/>
                <w:sz w:val="19"/>
              </w:rPr>
            </w:pPr>
            <w:r>
              <w:rPr>
                <w:b/>
                <w:color w:val="FFFFFF"/>
                <w:sz w:val="19"/>
              </w:rPr>
              <w:t>$000</w:t>
            </w:r>
          </w:p>
        </w:tc>
        <w:tc>
          <w:tcPr>
            <w:tcW w:w="1644"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127" w:right="98" w:firstLine="612"/>
              <w:jc w:val="right"/>
              <w:rPr>
                <w:b/>
                <w:sz w:val="19"/>
              </w:rPr>
            </w:pPr>
            <w:r>
              <w:rPr>
                <w:b/>
                <w:color w:val="FFFFFF"/>
                <w:spacing w:val="-1"/>
                <w:sz w:val="19"/>
              </w:rPr>
              <w:t>Impaired </w:t>
            </w:r>
            <w:r>
              <w:rPr>
                <w:b/>
                <w:color w:val="FFFFFF"/>
                <w:sz w:val="19"/>
              </w:rPr>
              <w:t>financial</w:t>
            </w:r>
            <w:r>
              <w:rPr>
                <w:b/>
                <w:color w:val="FFFFFF"/>
                <w:spacing w:val="-4"/>
                <w:sz w:val="19"/>
              </w:rPr>
              <w:t> </w:t>
            </w:r>
            <w:r>
              <w:rPr>
                <w:b/>
                <w:color w:val="FFFFFF"/>
                <w:spacing w:val="-3"/>
                <w:sz w:val="19"/>
              </w:rPr>
              <w:t>assets</w:t>
            </w:r>
          </w:p>
          <w:p>
            <w:pPr>
              <w:pStyle w:val="TableParagraph"/>
              <w:spacing w:before="1"/>
              <w:ind w:right="98"/>
              <w:jc w:val="right"/>
              <w:rPr>
                <w:b/>
                <w:sz w:val="19"/>
              </w:rPr>
            </w:pPr>
            <w:r>
              <w:rPr>
                <w:b/>
                <w:color w:val="FFFFFF"/>
                <w:w w:val="95"/>
                <w:sz w:val="19"/>
              </w:rPr>
              <w:t>$000</w:t>
            </w:r>
          </w:p>
        </w:tc>
      </w:tr>
      <w:tr>
        <w:trPr>
          <w:trHeight w:val="295" w:hRule="atLeast"/>
        </w:trPr>
        <w:tc>
          <w:tcPr>
            <w:tcW w:w="3430" w:type="dxa"/>
            <w:vMerge w:val="restart"/>
            <w:tcBorders>
              <w:top w:val="nil"/>
            </w:tcBorders>
            <w:shd w:val="clear" w:color="auto" w:fill="FAF9F9"/>
          </w:tcPr>
          <w:p>
            <w:pPr>
              <w:pStyle w:val="TableParagraph"/>
              <w:spacing w:before="42"/>
              <w:ind w:left="113"/>
              <w:rPr>
                <w:b/>
                <w:sz w:val="19"/>
              </w:rPr>
            </w:pPr>
            <w:r>
              <w:rPr>
                <w:b/>
                <w:sz w:val="19"/>
              </w:rPr>
              <w:t>2018</w:t>
            </w:r>
          </w:p>
          <w:p>
            <w:pPr>
              <w:pStyle w:val="TableParagraph"/>
              <w:spacing w:before="87"/>
              <w:ind w:left="113"/>
              <w:rPr>
                <w:sz w:val="19"/>
              </w:rPr>
            </w:pPr>
            <w:r>
              <w:rPr>
                <w:sz w:val="19"/>
              </w:rPr>
              <w:t>Cash and cash equivalents</w:t>
            </w:r>
          </w:p>
        </w:tc>
        <w:tc>
          <w:tcPr>
            <w:tcW w:w="1134" w:type="dxa"/>
            <w:vMerge w:val="restart"/>
            <w:tcBorders>
              <w:top w:val="nil"/>
            </w:tcBorders>
            <w:shd w:val="clear" w:color="auto" w:fill="FAF9F9"/>
          </w:tcPr>
          <w:p>
            <w:pPr>
              <w:pStyle w:val="TableParagraph"/>
              <w:spacing w:before="3"/>
              <w:rPr>
                <w:b/>
                <w:sz w:val="30"/>
              </w:rPr>
            </w:pPr>
          </w:p>
          <w:p>
            <w:pPr>
              <w:pStyle w:val="TableParagraph"/>
              <w:spacing w:before="0"/>
              <w:ind w:left="439"/>
              <w:rPr>
                <w:sz w:val="19"/>
              </w:rPr>
            </w:pPr>
            <w:r>
              <w:rPr>
                <w:sz w:val="19"/>
              </w:rPr>
              <w:t>75,890</w:t>
            </w:r>
          </w:p>
        </w:tc>
        <w:tc>
          <w:tcPr>
            <w:tcW w:w="3118" w:type="dxa"/>
            <w:vMerge w:val="restart"/>
            <w:tcBorders>
              <w:top w:val="nil"/>
              <w:right w:val="single" w:sz="4" w:space="0" w:color="000000"/>
            </w:tcBorders>
            <w:shd w:val="clear" w:color="auto" w:fill="FAF9F9"/>
          </w:tcPr>
          <w:p>
            <w:pPr>
              <w:pStyle w:val="TableParagraph"/>
              <w:spacing w:before="3"/>
              <w:rPr>
                <w:b/>
                <w:sz w:val="30"/>
              </w:rPr>
            </w:pPr>
          </w:p>
          <w:p>
            <w:pPr>
              <w:pStyle w:val="TableParagraph"/>
              <w:spacing w:before="0"/>
              <w:ind w:right="96"/>
              <w:jc w:val="right"/>
              <w:rPr>
                <w:sz w:val="19"/>
              </w:rPr>
            </w:pPr>
            <w:r>
              <w:rPr>
                <w:w w:val="95"/>
                <w:sz w:val="19"/>
              </w:rPr>
              <w:t>75,890</w:t>
            </w:r>
          </w:p>
        </w:tc>
        <w:tc>
          <w:tcPr>
            <w:tcW w:w="1190" w:type="dxa"/>
            <w:vMerge w:val="restart"/>
            <w:tcBorders>
              <w:top w:val="nil"/>
              <w:left w:val="single" w:sz="4" w:space="0" w:color="000000"/>
            </w:tcBorders>
            <w:shd w:val="clear" w:color="auto" w:fill="FAF9F9"/>
          </w:tcPr>
          <w:p>
            <w:pPr>
              <w:pStyle w:val="TableParagraph"/>
              <w:spacing w:before="3"/>
              <w:rPr>
                <w:b/>
                <w:sz w:val="30"/>
              </w:rPr>
            </w:pPr>
          </w:p>
          <w:p>
            <w:pPr>
              <w:pStyle w:val="TableParagraph"/>
              <w:spacing w:before="0"/>
              <w:ind w:right="91"/>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90"/>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90"/>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89"/>
              <w:jc w:val="right"/>
              <w:rPr>
                <w:sz w:val="19"/>
              </w:rPr>
            </w:pPr>
            <w:r>
              <w:rPr>
                <w:w w:val="111"/>
                <w:sz w:val="19"/>
              </w:rPr>
              <w:t>-</w:t>
            </w:r>
          </w:p>
        </w:tc>
        <w:tc>
          <w:tcPr>
            <w:tcW w:w="1190" w:type="dxa"/>
            <w:tcBorders>
              <w:top w:val="nil"/>
              <w:right w:val="single" w:sz="4" w:space="0" w:color="000000"/>
            </w:tcBorders>
            <w:shd w:val="clear" w:color="auto" w:fill="F4F4F4"/>
          </w:tcPr>
          <w:p>
            <w:pPr>
              <w:pStyle w:val="TableParagraph"/>
              <w:spacing w:before="0"/>
              <w:rPr>
                <w:rFonts w:ascii="Times New Roman"/>
                <w:sz w:val="20"/>
              </w:rPr>
            </w:pPr>
          </w:p>
        </w:tc>
        <w:tc>
          <w:tcPr>
            <w:tcW w:w="1644" w:type="dxa"/>
            <w:tcBorders>
              <w:top w:val="nil"/>
              <w:left w:val="single" w:sz="4" w:space="0" w:color="000000"/>
              <w:right w:val="nil"/>
            </w:tcBorders>
            <w:shd w:val="clear" w:color="auto" w:fill="F4F4F4"/>
          </w:tcPr>
          <w:p>
            <w:pPr>
              <w:pStyle w:val="TableParagraph"/>
              <w:spacing w:before="0"/>
              <w:rPr>
                <w:rFonts w:ascii="Times New Roman"/>
                <w:sz w:val="20"/>
              </w:rPr>
            </w:pPr>
          </w:p>
        </w:tc>
      </w:tr>
      <w:tr>
        <w:trPr>
          <w:trHeight w:val="285" w:hRule="atLeast"/>
        </w:trPr>
        <w:tc>
          <w:tcPr>
            <w:tcW w:w="3430" w:type="dxa"/>
            <w:vMerge/>
            <w:tcBorders>
              <w:top w:val="nil"/>
            </w:tcBorders>
            <w:shd w:val="clear" w:color="auto" w:fill="FAF9F9"/>
          </w:tcPr>
          <w:p>
            <w:pPr>
              <w:rPr>
                <w:sz w:val="2"/>
                <w:szCs w:val="2"/>
              </w:rPr>
            </w:pPr>
          </w:p>
        </w:tc>
        <w:tc>
          <w:tcPr>
            <w:tcW w:w="1134" w:type="dxa"/>
            <w:vMerge/>
            <w:tcBorders>
              <w:top w:val="nil"/>
            </w:tcBorders>
            <w:shd w:val="clear" w:color="auto" w:fill="FAF9F9"/>
          </w:tcPr>
          <w:p>
            <w:pPr>
              <w:rPr>
                <w:sz w:val="2"/>
                <w:szCs w:val="2"/>
              </w:rPr>
            </w:pPr>
          </w:p>
        </w:tc>
        <w:tc>
          <w:tcPr>
            <w:tcW w:w="3118" w:type="dxa"/>
            <w:vMerge/>
            <w:tcBorders>
              <w:top w:val="nil"/>
              <w:right w:val="single" w:sz="4" w:space="0" w:color="000000"/>
            </w:tcBorders>
            <w:shd w:val="clear" w:color="auto" w:fill="FAF9F9"/>
          </w:tcPr>
          <w:p>
            <w:pPr>
              <w:rPr>
                <w:sz w:val="2"/>
                <w:szCs w:val="2"/>
              </w:rPr>
            </w:pPr>
          </w:p>
        </w:tc>
        <w:tc>
          <w:tcPr>
            <w:tcW w:w="1190" w:type="dxa"/>
            <w:vMerge/>
            <w:tcBorders>
              <w:top w:val="nil"/>
              <w:left w:val="single" w:sz="4" w:space="0" w:color="000000"/>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tcBorders>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9"/>
              <w:jc w:val="right"/>
              <w:rPr>
                <w:sz w:val="19"/>
              </w:rPr>
            </w:pPr>
            <w:r>
              <w:rPr>
                <w:w w:val="111"/>
                <w:sz w:val="19"/>
              </w:rPr>
              <w:t>-</w:t>
            </w:r>
          </w:p>
        </w:tc>
      </w:tr>
      <w:tr>
        <w:trPr>
          <w:trHeight w:val="285" w:hRule="atLeast"/>
        </w:trPr>
        <w:tc>
          <w:tcPr>
            <w:tcW w:w="3430" w:type="dxa"/>
            <w:vMerge w:val="restart"/>
            <w:shd w:val="clear" w:color="auto" w:fill="FAF9F9"/>
          </w:tcPr>
          <w:p>
            <w:pPr>
              <w:pStyle w:val="TableParagraph"/>
              <w:ind w:left="112"/>
              <w:rPr>
                <w:sz w:val="19"/>
              </w:rPr>
            </w:pPr>
            <w:r>
              <w:rPr>
                <w:sz w:val="19"/>
              </w:rPr>
              <w:t>Restricted cash and cash equivalents</w:t>
            </w:r>
          </w:p>
          <w:p>
            <w:pPr>
              <w:pStyle w:val="TableParagraph"/>
              <w:spacing w:before="87"/>
              <w:ind w:left="112"/>
              <w:rPr>
                <w:sz w:val="10"/>
              </w:rPr>
            </w:pPr>
            <w:r>
              <w:rPr>
                <w:sz w:val="19"/>
              </w:rPr>
              <w:t>Receivables</w:t>
            </w:r>
            <w:r>
              <w:rPr>
                <w:position w:val="6"/>
                <w:sz w:val="10"/>
              </w:rPr>
              <w:t>(a)</w:t>
            </w:r>
          </w:p>
        </w:tc>
        <w:tc>
          <w:tcPr>
            <w:tcW w:w="1134" w:type="dxa"/>
            <w:vMerge w:val="restart"/>
            <w:shd w:val="clear" w:color="auto" w:fill="FAF9F9"/>
          </w:tcPr>
          <w:p>
            <w:pPr>
              <w:pStyle w:val="TableParagraph"/>
              <w:ind w:left="544"/>
              <w:rPr>
                <w:sz w:val="19"/>
              </w:rPr>
            </w:pPr>
            <w:r>
              <w:rPr>
                <w:sz w:val="19"/>
              </w:rPr>
              <w:t>1,735</w:t>
            </w:r>
          </w:p>
          <w:p>
            <w:pPr>
              <w:pStyle w:val="TableParagraph"/>
              <w:spacing w:before="87"/>
              <w:ind w:left="333"/>
              <w:rPr>
                <w:sz w:val="19"/>
              </w:rPr>
            </w:pPr>
            <w:r>
              <w:rPr>
                <w:sz w:val="19"/>
              </w:rPr>
              <w:t>130,929</w:t>
            </w:r>
          </w:p>
        </w:tc>
        <w:tc>
          <w:tcPr>
            <w:tcW w:w="3118" w:type="dxa"/>
            <w:vMerge w:val="restart"/>
            <w:tcBorders>
              <w:right w:val="single" w:sz="4" w:space="0" w:color="000000"/>
            </w:tcBorders>
            <w:shd w:val="clear" w:color="auto" w:fill="FAF9F9"/>
          </w:tcPr>
          <w:p>
            <w:pPr>
              <w:pStyle w:val="TableParagraph"/>
              <w:ind w:right="96"/>
              <w:jc w:val="right"/>
              <w:rPr>
                <w:sz w:val="19"/>
              </w:rPr>
            </w:pPr>
            <w:r>
              <w:rPr>
                <w:spacing w:val="-1"/>
                <w:sz w:val="19"/>
              </w:rPr>
              <w:t>1,735</w:t>
            </w:r>
          </w:p>
          <w:p>
            <w:pPr>
              <w:pStyle w:val="TableParagraph"/>
              <w:spacing w:before="87"/>
              <w:ind w:right="96"/>
              <w:jc w:val="right"/>
              <w:rPr>
                <w:sz w:val="19"/>
              </w:rPr>
            </w:pPr>
            <w:r>
              <w:rPr>
                <w:w w:val="95"/>
                <w:sz w:val="19"/>
              </w:rPr>
              <w:t>123,336</w:t>
            </w:r>
          </w:p>
        </w:tc>
        <w:tc>
          <w:tcPr>
            <w:tcW w:w="1190" w:type="dxa"/>
            <w:vMerge w:val="restart"/>
            <w:tcBorders>
              <w:left w:val="single" w:sz="4" w:space="0" w:color="000000"/>
            </w:tcBorders>
            <w:shd w:val="clear" w:color="auto" w:fill="FAF9F9"/>
          </w:tcPr>
          <w:p>
            <w:pPr>
              <w:pStyle w:val="TableParagraph"/>
              <w:ind w:right="91"/>
              <w:jc w:val="right"/>
              <w:rPr>
                <w:sz w:val="19"/>
              </w:rPr>
            </w:pPr>
            <w:r>
              <w:rPr>
                <w:w w:val="111"/>
                <w:sz w:val="19"/>
              </w:rPr>
              <w:t>-</w:t>
            </w:r>
          </w:p>
          <w:p>
            <w:pPr>
              <w:pStyle w:val="TableParagraph"/>
              <w:spacing w:before="87"/>
              <w:ind w:right="90"/>
              <w:jc w:val="right"/>
              <w:rPr>
                <w:sz w:val="19"/>
              </w:rPr>
            </w:pPr>
            <w:r>
              <w:rPr>
                <w:w w:val="95"/>
                <w:sz w:val="19"/>
              </w:rPr>
              <w:t>5,808</w:t>
            </w:r>
          </w:p>
        </w:tc>
        <w:tc>
          <w:tcPr>
            <w:tcW w:w="1190" w:type="dxa"/>
            <w:vMerge w:val="restart"/>
            <w:shd w:val="clear" w:color="auto" w:fill="FAF9F9"/>
          </w:tcPr>
          <w:p>
            <w:pPr>
              <w:pStyle w:val="TableParagraph"/>
              <w:ind w:right="90"/>
              <w:jc w:val="right"/>
              <w:rPr>
                <w:sz w:val="19"/>
              </w:rPr>
            </w:pPr>
            <w:r>
              <w:rPr>
                <w:w w:val="111"/>
                <w:sz w:val="19"/>
              </w:rPr>
              <w:t>-</w:t>
            </w:r>
          </w:p>
          <w:p>
            <w:pPr>
              <w:pStyle w:val="TableParagraph"/>
              <w:spacing w:before="87"/>
              <w:ind w:right="90"/>
              <w:jc w:val="right"/>
              <w:rPr>
                <w:sz w:val="19"/>
              </w:rPr>
            </w:pPr>
            <w:r>
              <w:rPr>
                <w:w w:val="95"/>
                <w:sz w:val="19"/>
              </w:rPr>
              <w:t>1,257</w:t>
            </w:r>
          </w:p>
        </w:tc>
        <w:tc>
          <w:tcPr>
            <w:tcW w:w="1190" w:type="dxa"/>
            <w:vMerge w:val="restart"/>
            <w:shd w:val="clear" w:color="auto" w:fill="FAF9F9"/>
          </w:tcPr>
          <w:p>
            <w:pPr>
              <w:pStyle w:val="TableParagraph"/>
              <w:ind w:right="90"/>
              <w:jc w:val="right"/>
              <w:rPr>
                <w:sz w:val="19"/>
              </w:rPr>
            </w:pPr>
            <w:r>
              <w:rPr>
                <w:w w:val="111"/>
                <w:sz w:val="19"/>
              </w:rPr>
              <w:t>-</w:t>
            </w:r>
          </w:p>
          <w:p>
            <w:pPr>
              <w:pStyle w:val="TableParagraph"/>
              <w:spacing w:before="87"/>
              <w:ind w:right="89"/>
              <w:jc w:val="right"/>
              <w:rPr>
                <w:sz w:val="19"/>
              </w:rPr>
            </w:pPr>
            <w:r>
              <w:rPr>
                <w:w w:val="95"/>
                <w:sz w:val="19"/>
              </w:rPr>
              <w:t>501</w:t>
            </w:r>
          </w:p>
        </w:tc>
        <w:tc>
          <w:tcPr>
            <w:tcW w:w="1190" w:type="dxa"/>
            <w:vMerge w:val="restart"/>
            <w:shd w:val="clear" w:color="auto" w:fill="FAF9F9"/>
          </w:tcPr>
          <w:p>
            <w:pPr>
              <w:pStyle w:val="TableParagraph"/>
              <w:ind w:right="89"/>
              <w:jc w:val="right"/>
              <w:rPr>
                <w:sz w:val="19"/>
              </w:rPr>
            </w:pPr>
            <w:r>
              <w:rPr>
                <w:w w:val="111"/>
                <w:sz w:val="19"/>
              </w:rPr>
              <w:t>-</w:t>
            </w:r>
          </w:p>
          <w:p>
            <w:pPr>
              <w:pStyle w:val="TableParagraph"/>
              <w:spacing w:before="87"/>
              <w:ind w:right="89"/>
              <w:jc w:val="right"/>
              <w:rPr>
                <w:sz w:val="19"/>
              </w:rPr>
            </w:pPr>
            <w:r>
              <w:rPr>
                <w:w w:val="95"/>
                <w:sz w:val="19"/>
              </w:rPr>
              <w:t>27</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9"/>
              <w:jc w:val="right"/>
              <w:rPr>
                <w:sz w:val="19"/>
              </w:rPr>
            </w:pPr>
            <w:r>
              <w:rPr>
                <w:w w:val="111"/>
                <w:sz w:val="19"/>
              </w:rPr>
              <w:t>-</w:t>
            </w:r>
          </w:p>
        </w:tc>
      </w:tr>
      <w:tr>
        <w:trPr>
          <w:trHeight w:val="285" w:hRule="atLeast"/>
        </w:trPr>
        <w:tc>
          <w:tcPr>
            <w:tcW w:w="3430" w:type="dxa"/>
            <w:vMerge/>
            <w:tcBorders>
              <w:top w:val="nil"/>
            </w:tcBorders>
            <w:shd w:val="clear" w:color="auto" w:fill="FAF9F9"/>
          </w:tcPr>
          <w:p>
            <w:pPr>
              <w:rPr>
                <w:sz w:val="2"/>
                <w:szCs w:val="2"/>
              </w:rPr>
            </w:pPr>
          </w:p>
        </w:tc>
        <w:tc>
          <w:tcPr>
            <w:tcW w:w="1134" w:type="dxa"/>
            <w:vMerge/>
            <w:tcBorders>
              <w:top w:val="nil"/>
            </w:tcBorders>
            <w:shd w:val="clear" w:color="auto" w:fill="FAF9F9"/>
          </w:tcPr>
          <w:p>
            <w:pPr>
              <w:rPr>
                <w:sz w:val="2"/>
                <w:szCs w:val="2"/>
              </w:rPr>
            </w:pPr>
          </w:p>
        </w:tc>
        <w:tc>
          <w:tcPr>
            <w:tcW w:w="3118" w:type="dxa"/>
            <w:vMerge/>
            <w:tcBorders>
              <w:top w:val="nil"/>
              <w:right w:val="single" w:sz="4" w:space="0" w:color="000000"/>
            </w:tcBorders>
            <w:shd w:val="clear" w:color="auto" w:fill="FAF9F9"/>
          </w:tcPr>
          <w:p>
            <w:pPr>
              <w:rPr>
                <w:sz w:val="2"/>
                <w:szCs w:val="2"/>
              </w:rPr>
            </w:pPr>
          </w:p>
        </w:tc>
        <w:tc>
          <w:tcPr>
            <w:tcW w:w="1190" w:type="dxa"/>
            <w:vMerge/>
            <w:tcBorders>
              <w:top w:val="nil"/>
              <w:left w:val="single" w:sz="4" w:space="0" w:color="000000"/>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tcBorders>
              <w:right w:val="single" w:sz="4" w:space="0" w:color="000000"/>
            </w:tcBorders>
            <w:shd w:val="clear" w:color="auto" w:fill="FAF9F9"/>
          </w:tcPr>
          <w:p>
            <w:pPr>
              <w:pStyle w:val="TableParagraph"/>
              <w:ind w:right="93"/>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8"/>
              <w:jc w:val="right"/>
              <w:rPr>
                <w:sz w:val="19"/>
              </w:rPr>
            </w:pPr>
            <w:r>
              <w:rPr>
                <w:w w:val="111"/>
                <w:sz w:val="19"/>
              </w:rPr>
              <w:t>-</w:t>
            </w:r>
          </w:p>
        </w:tc>
      </w:tr>
      <w:tr>
        <w:trPr>
          <w:trHeight w:val="285" w:hRule="atLeast"/>
        </w:trPr>
        <w:tc>
          <w:tcPr>
            <w:tcW w:w="3430" w:type="dxa"/>
            <w:shd w:val="clear" w:color="auto" w:fill="F4F4F4"/>
          </w:tcPr>
          <w:p>
            <w:pPr>
              <w:pStyle w:val="TableParagraph"/>
              <w:ind w:left="113"/>
              <w:rPr>
                <w:sz w:val="19"/>
              </w:rPr>
            </w:pPr>
            <w:r>
              <w:rPr>
                <w:sz w:val="19"/>
              </w:rPr>
              <w:t>Finance lease receivables</w:t>
            </w:r>
          </w:p>
        </w:tc>
        <w:tc>
          <w:tcPr>
            <w:tcW w:w="1134" w:type="dxa"/>
            <w:shd w:val="clear" w:color="auto" w:fill="F4F4F4"/>
          </w:tcPr>
          <w:p>
            <w:pPr>
              <w:pStyle w:val="TableParagraph"/>
              <w:ind w:right="91"/>
              <w:jc w:val="right"/>
              <w:rPr>
                <w:sz w:val="19"/>
              </w:rPr>
            </w:pPr>
            <w:r>
              <w:rPr>
                <w:w w:val="95"/>
                <w:sz w:val="19"/>
              </w:rPr>
              <w:t>657</w:t>
            </w:r>
          </w:p>
        </w:tc>
        <w:tc>
          <w:tcPr>
            <w:tcW w:w="3118" w:type="dxa"/>
            <w:tcBorders>
              <w:right w:val="single" w:sz="4" w:space="0" w:color="000000"/>
            </w:tcBorders>
            <w:shd w:val="clear" w:color="auto" w:fill="F4F4F4"/>
          </w:tcPr>
          <w:p>
            <w:pPr>
              <w:pStyle w:val="TableParagraph"/>
              <w:ind w:right="96"/>
              <w:jc w:val="right"/>
              <w:rPr>
                <w:sz w:val="19"/>
              </w:rPr>
            </w:pPr>
            <w:r>
              <w:rPr>
                <w:sz w:val="19"/>
              </w:rPr>
              <w:t>639</w:t>
            </w:r>
          </w:p>
        </w:tc>
        <w:tc>
          <w:tcPr>
            <w:tcW w:w="1190" w:type="dxa"/>
            <w:tcBorders>
              <w:left w:val="single" w:sz="4" w:space="0" w:color="000000"/>
            </w:tcBorders>
            <w:shd w:val="clear" w:color="auto" w:fill="F4F4F4"/>
          </w:tcPr>
          <w:p>
            <w:pPr>
              <w:pStyle w:val="TableParagraph"/>
              <w:ind w:right="91"/>
              <w:jc w:val="right"/>
              <w:rPr>
                <w:sz w:val="19"/>
              </w:rPr>
            </w:pPr>
            <w:r>
              <w:rPr>
                <w:w w:val="95"/>
                <w:sz w:val="19"/>
              </w:rPr>
              <w:t>18</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89"/>
              <w:jc w:val="right"/>
              <w:rPr>
                <w:sz w:val="19"/>
              </w:rPr>
            </w:pPr>
            <w:r>
              <w:rPr>
                <w:w w:val="111"/>
                <w:sz w:val="19"/>
              </w:rPr>
              <w:t>-</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8"/>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3"/>
              <w:rPr>
                <w:sz w:val="19"/>
              </w:rPr>
            </w:pPr>
            <w:r>
              <w:rPr>
                <w:sz w:val="19"/>
              </w:rPr>
              <w:t>Amounts receivable for services</w:t>
            </w:r>
          </w:p>
        </w:tc>
        <w:tc>
          <w:tcPr>
            <w:tcW w:w="1134" w:type="dxa"/>
            <w:tcBorders>
              <w:left w:val="nil"/>
              <w:bottom w:val="single" w:sz="4" w:space="0" w:color="000000"/>
              <w:right w:val="nil"/>
            </w:tcBorders>
            <w:shd w:val="clear" w:color="auto" w:fill="FAF9F9"/>
          </w:tcPr>
          <w:p>
            <w:pPr>
              <w:pStyle w:val="TableParagraph"/>
              <w:ind w:right="101"/>
              <w:jc w:val="right"/>
              <w:rPr>
                <w:sz w:val="19"/>
              </w:rPr>
            </w:pPr>
            <w:r>
              <w:rPr>
                <w:w w:val="95"/>
                <w:sz w:val="19"/>
              </w:rPr>
              <w:t>523,863</w:t>
            </w:r>
          </w:p>
        </w:tc>
        <w:tc>
          <w:tcPr>
            <w:tcW w:w="3118" w:type="dxa"/>
            <w:tcBorders>
              <w:left w:val="nil"/>
              <w:bottom w:val="single" w:sz="4" w:space="0" w:color="000000"/>
              <w:right w:val="single" w:sz="4" w:space="0" w:color="000000"/>
            </w:tcBorders>
            <w:shd w:val="clear" w:color="auto" w:fill="FAF9F9"/>
          </w:tcPr>
          <w:p>
            <w:pPr>
              <w:pStyle w:val="TableParagraph"/>
              <w:ind w:right="96"/>
              <w:jc w:val="right"/>
              <w:rPr>
                <w:sz w:val="19"/>
              </w:rPr>
            </w:pPr>
            <w:r>
              <w:rPr>
                <w:w w:val="95"/>
                <w:sz w:val="19"/>
              </w:rPr>
              <w:t>523,863</w:t>
            </w:r>
          </w:p>
        </w:tc>
        <w:tc>
          <w:tcPr>
            <w:tcW w:w="1190" w:type="dxa"/>
            <w:tcBorders>
              <w:left w:val="single" w:sz="4" w:space="0" w:color="000000"/>
              <w:bottom w:val="single" w:sz="4" w:space="0" w:color="000000"/>
              <w:right w:val="nil"/>
            </w:tcBorders>
            <w:shd w:val="clear" w:color="auto" w:fill="FAF9F9"/>
          </w:tcPr>
          <w:p>
            <w:pPr>
              <w:pStyle w:val="TableParagraph"/>
              <w:ind w:right="101"/>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100"/>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100"/>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99"/>
              <w:jc w:val="right"/>
              <w:rPr>
                <w:sz w:val="19"/>
              </w:rPr>
            </w:pPr>
            <w:r>
              <w:rPr>
                <w:w w:val="111"/>
                <w:sz w:val="19"/>
              </w:rPr>
              <w:t>-</w:t>
            </w:r>
          </w:p>
        </w:tc>
        <w:tc>
          <w:tcPr>
            <w:tcW w:w="1190" w:type="dxa"/>
            <w:tcBorders>
              <w:left w:val="nil"/>
              <w:bottom w:val="single" w:sz="4" w:space="0" w:color="000000"/>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bottom w:val="single" w:sz="4" w:space="0" w:color="000000"/>
              <w:right w:val="nil"/>
            </w:tcBorders>
            <w:shd w:val="clear" w:color="auto" w:fill="FAF9F9"/>
          </w:tcPr>
          <w:p>
            <w:pPr>
              <w:pStyle w:val="TableParagraph"/>
              <w:ind w:right="99"/>
              <w:jc w:val="right"/>
              <w:rPr>
                <w:sz w:val="19"/>
              </w:rPr>
            </w:pPr>
            <w:r>
              <w:rPr>
                <w:w w:val="111"/>
                <w:sz w:val="19"/>
              </w:rPr>
              <w:t>-</w:t>
            </w:r>
          </w:p>
        </w:tc>
      </w:tr>
      <w:tr>
        <w:trPr>
          <w:trHeight w:val="273" w:hRule="atLeast"/>
        </w:trPr>
        <w:tc>
          <w:tcPr>
            <w:tcW w:w="3430" w:type="dxa"/>
            <w:vMerge w:val="restart"/>
            <w:shd w:val="clear" w:color="auto" w:fill="FAF9F9"/>
          </w:tcPr>
          <w:p>
            <w:pPr>
              <w:pStyle w:val="TableParagraph"/>
              <w:spacing w:before="4"/>
              <w:rPr>
                <w:b/>
                <w:sz w:val="29"/>
              </w:rPr>
            </w:pPr>
          </w:p>
          <w:p>
            <w:pPr>
              <w:pStyle w:val="TableParagraph"/>
              <w:spacing w:before="0"/>
              <w:ind w:left="112"/>
              <w:rPr>
                <w:b/>
                <w:sz w:val="19"/>
              </w:rPr>
            </w:pPr>
            <w:r>
              <w:rPr>
                <w:b/>
                <w:sz w:val="19"/>
              </w:rPr>
              <w:t>2017</w:t>
            </w:r>
          </w:p>
        </w:tc>
        <w:tc>
          <w:tcPr>
            <w:tcW w:w="1134" w:type="dxa"/>
            <w:tcBorders>
              <w:top w:val="single" w:sz="4" w:space="0" w:color="000000"/>
              <w:bottom w:val="double" w:sz="2" w:space="0" w:color="000000"/>
            </w:tcBorders>
            <w:shd w:val="clear" w:color="auto" w:fill="F4F4F4"/>
          </w:tcPr>
          <w:p>
            <w:pPr>
              <w:pStyle w:val="TableParagraph"/>
              <w:ind w:right="92"/>
              <w:jc w:val="right"/>
              <w:rPr>
                <w:b/>
                <w:sz w:val="19"/>
              </w:rPr>
            </w:pPr>
            <w:r>
              <w:rPr>
                <w:b/>
                <w:w w:val="95"/>
                <w:sz w:val="19"/>
              </w:rPr>
              <w:t>733,074</w:t>
            </w:r>
          </w:p>
        </w:tc>
        <w:tc>
          <w:tcPr>
            <w:tcW w:w="3118" w:type="dxa"/>
            <w:tcBorders>
              <w:top w:val="single" w:sz="4" w:space="0" w:color="000000"/>
              <w:bottom w:val="double" w:sz="2" w:space="0" w:color="000000"/>
              <w:right w:val="single" w:sz="4" w:space="0" w:color="000000"/>
            </w:tcBorders>
            <w:shd w:val="clear" w:color="auto" w:fill="F4F4F4"/>
          </w:tcPr>
          <w:p>
            <w:pPr>
              <w:pStyle w:val="TableParagraph"/>
              <w:ind w:right="97"/>
              <w:jc w:val="right"/>
              <w:rPr>
                <w:b/>
                <w:sz w:val="19"/>
              </w:rPr>
            </w:pPr>
            <w:r>
              <w:rPr>
                <w:b/>
                <w:w w:val="95"/>
                <w:sz w:val="19"/>
              </w:rPr>
              <w:t>725,463</w:t>
            </w:r>
          </w:p>
        </w:tc>
        <w:tc>
          <w:tcPr>
            <w:tcW w:w="1190" w:type="dxa"/>
            <w:tcBorders>
              <w:top w:val="single" w:sz="4" w:space="0" w:color="000000"/>
              <w:left w:val="single" w:sz="4" w:space="0" w:color="000000"/>
              <w:bottom w:val="double" w:sz="2" w:space="0" w:color="000000"/>
            </w:tcBorders>
            <w:shd w:val="clear" w:color="auto" w:fill="F4F4F4"/>
          </w:tcPr>
          <w:p>
            <w:pPr>
              <w:pStyle w:val="TableParagraph"/>
              <w:ind w:right="91"/>
              <w:jc w:val="right"/>
              <w:rPr>
                <w:b/>
                <w:sz w:val="19"/>
              </w:rPr>
            </w:pPr>
            <w:r>
              <w:rPr>
                <w:b/>
                <w:w w:val="95"/>
                <w:sz w:val="19"/>
              </w:rPr>
              <w:t>5,826</w:t>
            </w:r>
          </w:p>
        </w:tc>
        <w:tc>
          <w:tcPr>
            <w:tcW w:w="1190" w:type="dxa"/>
            <w:tcBorders>
              <w:top w:val="single" w:sz="4" w:space="0" w:color="000000"/>
              <w:bottom w:val="double" w:sz="2" w:space="0" w:color="000000"/>
            </w:tcBorders>
            <w:shd w:val="clear" w:color="auto" w:fill="F4F4F4"/>
          </w:tcPr>
          <w:p>
            <w:pPr>
              <w:pStyle w:val="TableParagraph"/>
              <w:ind w:right="91"/>
              <w:jc w:val="right"/>
              <w:rPr>
                <w:b/>
                <w:sz w:val="19"/>
              </w:rPr>
            </w:pPr>
            <w:r>
              <w:rPr>
                <w:b/>
                <w:w w:val="95"/>
                <w:sz w:val="19"/>
              </w:rPr>
              <w:t>1,257</w:t>
            </w:r>
          </w:p>
        </w:tc>
        <w:tc>
          <w:tcPr>
            <w:tcW w:w="1190" w:type="dxa"/>
            <w:tcBorders>
              <w:top w:val="single" w:sz="4" w:space="0" w:color="000000"/>
              <w:bottom w:val="double" w:sz="2" w:space="0" w:color="000000"/>
            </w:tcBorders>
            <w:shd w:val="clear" w:color="auto" w:fill="F4F4F4"/>
          </w:tcPr>
          <w:p>
            <w:pPr>
              <w:pStyle w:val="TableParagraph"/>
              <w:ind w:right="90"/>
              <w:jc w:val="right"/>
              <w:rPr>
                <w:b/>
                <w:sz w:val="19"/>
              </w:rPr>
            </w:pPr>
            <w:r>
              <w:rPr>
                <w:b/>
                <w:w w:val="95"/>
                <w:sz w:val="19"/>
              </w:rPr>
              <w:t>501</w:t>
            </w:r>
          </w:p>
        </w:tc>
        <w:tc>
          <w:tcPr>
            <w:tcW w:w="1190" w:type="dxa"/>
            <w:tcBorders>
              <w:top w:val="single" w:sz="4" w:space="0" w:color="000000"/>
              <w:bottom w:val="double" w:sz="2" w:space="0" w:color="000000"/>
            </w:tcBorders>
            <w:shd w:val="clear" w:color="auto" w:fill="F4F4F4"/>
          </w:tcPr>
          <w:p>
            <w:pPr>
              <w:pStyle w:val="TableParagraph"/>
              <w:ind w:right="89"/>
              <w:jc w:val="right"/>
              <w:rPr>
                <w:b/>
                <w:sz w:val="19"/>
              </w:rPr>
            </w:pPr>
            <w:r>
              <w:rPr>
                <w:b/>
                <w:w w:val="95"/>
                <w:sz w:val="19"/>
              </w:rPr>
              <w:t>27</w:t>
            </w:r>
          </w:p>
        </w:tc>
        <w:tc>
          <w:tcPr>
            <w:tcW w:w="1190" w:type="dxa"/>
            <w:tcBorders>
              <w:top w:val="single" w:sz="4" w:space="0" w:color="000000"/>
              <w:bottom w:val="double" w:sz="2" w:space="0" w:color="000000"/>
              <w:right w:val="single" w:sz="4" w:space="0" w:color="000000"/>
            </w:tcBorders>
            <w:shd w:val="clear" w:color="auto" w:fill="F4F4F4"/>
          </w:tcPr>
          <w:p>
            <w:pPr>
              <w:pStyle w:val="TableParagraph"/>
              <w:ind w:right="94"/>
              <w:jc w:val="right"/>
              <w:rPr>
                <w:b/>
                <w:sz w:val="19"/>
              </w:rPr>
            </w:pPr>
            <w:r>
              <w:rPr>
                <w:b/>
                <w:w w:val="122"/>
                <w:sz w:val="19"/>
              </w:rPr>
              <w:t>-</w:t>
            </w:r>
          </w:p>
        </w:tc>
        <w:tc>
          <w:tcPr>
            <w:tcW w:w="1644" w:type="dxa"/>
            <w:tcBorders>
              <w:top w:val="single" w:sz="4" w:space="0" w:color="000000"/>
              <w:left w:val="single" w:sz="4" w:space="0" w:color="000000"/>
              <w:bottom w:val="double" w:sz="2" w:space="0" w:color="000000"/>
              <w:right w:val="nil"/>
            </w:tcBorders>
            <w:shd w:val="clear" w:color="auto" w:fill="F4F4F4"/>
          </w:tcPr>
          <w:p>
            <w:pPr>
              <w:pStyle w:val="TableParagraph"/>
              <w:ind w:right="99"/>
              <w:jc w:val="right"/>
              <w:rPr>
                <w:b/>
                <w:sz w:val="19"/>
              </w:rPr>
            </w:pPr>
            <w:r>
              <w:rPr>
                <w:b/>
                <w:w w:val="122"/>
                <w:sz w:val="19"/>
              </w:rPr>
              <w:t>-</w:t>
            </w:r>
          </w:p>
        </w:tc>
      </w:tr>
      <w:tr>
        <w:trPr>
          <w:trHeight w:val="273" w:hRule="atLeast"/>
        </w:trPr>
        <w:tc>
          <w:tcPr>
            <w:tcW w:w="3430" w:type="dxa"/>
            <w:vMerge/>
            <w:tcBorders>
              <w:top w:val="nil"/>
            </w:tcBorders>
            <w:shd w:val="clear" w:color="auto" w:fill="FAF9F9"/>
          </w:tcPr>
          <w:p>
            <w:pPr>
              <w:rPr>
                <w:sz w:val="2"/>
                <w:szCs w:val="2"/>
              </w:rPr>
            </w:pPr>
          </w:p>
        </w:tc>
        <w:tc>
          <w:tcPr>
            <w:tcW w:w="4252" w:type="dxa"/>
            <w:gridSpan w:val="2"/>
            <w:tcBorders>
              <w:top w:val="double" w:sz="2" w:space="0" w:color="000000"/>
              <w:right w:val="single" w:sz="4" w:space="0" w:color="000000"/>
            </w:tcBorders>
            <w:shd w:val="clear" w:color="auto" w:fill="FAF9F9"/>
          </w:tcPr>
          <w:p>
            <w:pPr>
              <w:pStyle w:val="TableParagraph"/>
              <w:spacing w:before="0"/>
              <w:rPr>
                <w:rFonts w:ascii="Times New Roman"/>
                <w:sz w:val="20"/>
              </w:rPr>
            </w:pPr>
          </w:p>
        </w:tc>
        <w:tc>
          <w:tcPr>
            <w:tcW w:w="5950" w:type="dxa"/>
            <w:gridSpan w:val="5"/>
            <w:tcBorders>
              <w:top w:val="double" w:sz="2" w:space="0" w:color="000000"/>
              <w:left w:val="single" w:sz="4" w:space="0" w:color="000000"/>
              <w:right w:val="single" w:sz="4" w:space="0" w:color="000000"/>
            </w:tcBorders>
            <w:shd w:val="clear" w:color="auto" w:fill="FAF9F9"/>
          </w:tcPr>
          <w:p>
            <w:pPr>
              <w:pStyle w:val="TableParagraph"/>
              <w:spacing w:before="0"/>
              <w:rPr>
                <w:rFonts w:ascii="Times New Roman"/>
                <w:sz w:val="20"/>
              </w:rPr>
            </w:pPr>
          </w:p>
        </w:tc>
        <w:tc>
          <w:tcPr>
            <w:tcW w:w="1644" w:type="dxa"/>
            <w:tcBorders>
              <w:top w:val="double" w:sz="2" w:space="0" w:color="000000"/>
              <w:left w:val="single" w:sz="4" w:space="0" w:color="000000"/>
              <w:right w:val="nil"/>
            </w:tcBorders>
            <w:shd w:val="clear" w:color="auto" w:fill="FAF9F9"/>
          </w:tcPr>
          <w:p>
            <w:pPr>
              <w:pStyle w:val="TableParagraph"/>
              <w:spacing w:before="0"/>
              <w:rPr>
                <w:rFonts w:ascii="Times New Roman"/>
                <w:sz w:val="20"/>
              </w:rPr>
            </w:pPr>
          </w:p>
        </w:tc>
      </w:tr>
      <w:tr>
        <w:trPr>
          <w:trHeight w:val="285" w:hRule="atLeast"/>
        </w:trPr>
        <w:tc>
          <w:tcPr>
            <w:tcW w:w="3430" w:type="dxa"/>
            <w:shd w:val="clear" w:color="auto" w:fill="F4F4F4"/>
          </w:tcPr>
          <w:p>
            <w:pPr>
              <w:pStyle w:val="TableParagraph"/>
              <w:ind w:left="112"/>
              <w:rPr>
                <w:sz w:val="19"/>
              </w:rPr>
            </w:pPr>
            <w:r>
              <w:rPr>
                <w:sz w:val="19"/>
              </w:rPr>
              <w:t>Cash and cash equivalents</w:t>
            </w:r>
          </w:p>
        </w:tc>
        <w:tc>
          <w:tcPr>
            <w:tcW w:w="1134" w:type="dxa"/>
            <w:shd w:val="clear" w:color="auto" w:fill="F4F4F4"/>
          </w:tcPr>
          <w:p>
            <w:pPr>
              <w:pStyle w:val="TableParagraph"/>
              <w:ind w:right="92"/>
              <w:jc w:val="right"/>
              <w:rPr>
                <w:sz w:val="19"/>
              </w:rPr>
            </w:pPr>
            <w:r>
              <w:rPr>
                <w:w w:val="95"/>
                <w:sz w:val="19"/>
              </w:rPr>
              <w:t>70,618</w:t>
            </w:r>
          </w:p>
        </w:tc>
        <w:tc>
          <w:tcPr>
            <w:tcW w:w="3118" w:type="dxa"/>
            <w:tcBorders>
              <w:right w:val="single" w:sz="4" w:space="0" w:color="000000"/>
            </w:tcBorders>
            <w:shd w:val="clear" w:color="auto" w:fill="F4F4F4"/>
          </w:tcPr>
          <w:p>
            <w:pPr>
              <w:pStyle w:val="TableParagraph"/>
              <w:ind w:right="97"/>
              <w:jc w:val="right"/>
              <w:rPr>
                <w:sz w:val="19"/>
              </w:rPr>
            </w:pPr>
            <w:r>
              <w:rPr>
                <w:w w:val="95"/>
                <w:sz w:val="19"/>
              </w:rPr>
              <w:t>70,618</w:t>
            </w:r>
          </w:p>
        </w:tc>
        <w:tc>
          <w:tcPr>
            <w:tcW w:w="1190" w:type="dxa"/>
            <w:tcBorders>
              <w:left w:val="single" w:sz="4" w:space="0" w:color="000000"/>
            </w:tcBorders>
            <w:shd w:val="clear" w:color="auto" w:fill="F4F4F4"/>
          </w:tcPr>
          <w:p>
            <w:pPr>
              <w:pStyle w:val="TableParagraph"/>
              <w:ind w:right="91"/>
              <w:jc w:val="right"/>
              <w:rPr>
                <w:sz w:val="19"/>
              </w:rPr>
            </w:pPr>
            <w:r>
              <w:rPr>
                <w:w w:val="111"/>
                <w:sz w:val="19"/>
              </w:rPr>
              <w:t>-</w:t>
            </w:r>
          </w:p>
        </w:tc>
        <w:tc>
          <w:tcPr>
            <w:tcW w:w="1190" w:type="dxa"/>
            <w:shd w:val="clear" w:color="auto" w:fill="F4F4F4"/>
          </w:tcPr>
          <w:p>
            <w:pPr>
              <w:pStyle w:val="TableParagraph"/>
              <w:ind w:right="91"/>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9"/>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2"/>
              <w:rPr>
                <w:sz w:val="19"/>
              </w:rPr>
            </w:pPr>
            <w:r>
              <w:rPr>
                <w:sz w:val="19"/>
              </w:rPr>
              <w:t>Restricted cash and cash equivalents</w:t>
            </w:r>
          </w:p>
        </w:tc>
        <w:tc>
          <w:tcPr>
            <w:tcW w:w="1134" w:type="dxa"/>
            <w:tcBorders>
              <w:left w:val="nil"/>
              <w:right w:val="nil"/>
            </w:tcBorders>
            <w:shd w:val="clear" w:color="auto" w:fill="FAF9F9"/>
          </w:tcPr>
          <w:p>
            <w:pPr>
              <w:pStyle w:val="TableParagraph"/>
              <w:ind w:right="102"/>
              <w:jc w:val="right"/>
              <w:rPr>
                <w:sz w:val="19"/>
              </w:rPr>
            </w:pPr>
            <w:r>
              <w:rPr>
                <w:w w:val="95"/>
                <w:sz w:val="19"/>
              </w:rPr>
              <w:t>3,569</w:t>
            </w:r>
          </w:p>
        </w:tc>
        <w:tc>
          <w:tcPr>
            <w:tcW w:w="3118" w:type="dxa"/>
            <w:tcBorders>
              <w:left w:val="nil"/>
              <w:right w:val="single" w:sz="4" w:space="0" w:color="000000"/>
            </w:tcBorders>
            <w:shd w:val="clear" w:color="auto" w:fill="FAF9F9"/>
          </w:tcPr>
          <w:p>
            <w:pPr>
              <w:pStyle w:val="TableParagraph"/>
              <w:ind w:right="97"/>
              <w:jc w:val="right"/>
              <w:rPr>
                <w:sz w:val="19"/>
              </w:rPr>
            </w:pPr>
            <w:r>
              <w:rPr>
                <w:w w:val="95"/>
                <w:sz w:val="19"/>
              </w:rPr>
              <w:t>3,569</w:t>
            </w:r>
          </w:p>
        </w:tc>
        <w:tc>
          <w:tcPr>
            <w:tcW w:w="1190" w:type="dxa"/>
            <w:tcBorders>
              <w:left w:val="single" w:sz="4" w:space="0" w:color="000000"/>
              <w:right w:val="nil"/>
            </w:tcBorders>
            <w:shd w:val="clear" w:color="auto" w:fill="FAF9F9"/>
          </w:tcPr>
          <w:p>
            <w:pPr>
              <w:pStyle w:val="TableParagraph"/>
              <w:ind w:right="101"/>
              <w:jc w:val="right"/>
              <w:rPr>
                <w:sz w:val="19"/>
              </w:rPr>
            </w:pPr>
            <w:r>
              <w:rPr>
                <w:w w:val="111"/>
                <w:sz w:val="19"/>
              </w:rPr>
              <w:t>-</w:t>
            </w:r>
          </w:p>
        </w:tc>
        <w:tc>
          <w:tcPr>
            <w:tcW w:w="1190" w:type="dxa"/>
            <w:tcBorders>
              <w:left w:val="nil"/>
              <w:right w:val="nil"/>
            </w:tcBorders>
            <w:shd w:val="clear" w:color="auto" w:fill="FAF9F9"/>
          </w:tcPr>
          <w:p>
            <w:pPr>
              <w:pStyle w:val="TableParagraph"/>
              <w:ind w:right="101"/>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9"/>
              <w:jc w:val="right"/>
              <w:rPr>
                <w:sz w:val="19"/>
              </w:rPr>
            </w:pPr>
            <w:r>
              <w:rPr>
                <w:w w:val="111"/>
                <w:sz w:val="19"/>
              </w:rPr>
              <w:t>-</w:t>
            </w:r>
          </w:p>
        </w:tc>
      </w:tr>
      <w:tr>
        <w:trPr>
          <w:trHeight w:val="285" w:hRule="atLeast"/>
        </w:trPr>
        <w:tc>
          <w:tcPr>
            <w:tcW w:w="3430" w:type="dxa"/>
            <w:shd w:val="clear" w:color="auto" w:fill="F4F4F4"/>
          </w:tcPr>
          <w:p>
            <w:pPr>
              <w:pStyle w:val="TableParagraph"/>
              <w:ind w:left="112"/>
              <w:rPr>
                <w:sz w:val="10"/>
              </w:rPr>
            </w:pPr>
            <w:r>
              <w:rPr>
                <w:sz w:val="19"/>
              </w:rPr>
              <w:t>Receivables</w:t>
            </w:r>
            <w:r>
              <w:rPr>
                <w:position w:val="6"/>
                <w:sz w:val="10"/>
              </w:rPr>
              <w:t>(a)</w:t>
            </w:r>
          </w:p>
        </w:tc>
        <w:tc>
          <w:tcPr>
            <w:tcW w:w="1134" w:type="dxa"/>
            <w:shd w:val="clear" w:color="auto" w:fill="F4F4F4"/>
          </w:tcPr>
          <w:p>
            <w:pPr>
              <w:pStyle w:val="TableParagraph"/>
              <w:ind w:right="91"/>
              <w:jc w:val="right"/>
              <w:rPr>
                <w:sz w:val="19"/>
              </w:rPr>
            </w:pPr>
            <w:r>
              <w:rPr>
                <w:w w:val="95"/>
                <w:sz w:val="19"/>
              </w:rPr>
              <w:t>178,379</w:t>
            </w:r>
          </w:p>
        </w:tc>
        <w:tc>
          <w:tcPr>
            <w:tcW w:w="3118" w:type="dxa"/>
            <w:tcBorders>
              <w:right w:val="single" w:sz="4" w:space="0" w:color="000000"/>
            </w:tcBorders>
            <w:shd w:val="clear" w:color="auto" w:fill="F4F4F4"/>
          </w:tcPr>
          <w:p>
            <w:pPr>
              <w:pStyle w:val="TableParagraph"/>
              <w:ind w:right="96"/>
              <w:jc w:val="right"/>
              <w:rPr>
                <w:sz w:val="19"/>
              </w:rPr>
            </w:pPr>
            <w:r>
              <w:rPr>
                <w:w w:val="95"/>
                <w:sz w:val="19"/>
              </w:rPr>
              <w:t>172,696</w:t>
            </w:r>
          </w:p>
        </w:tc>
        <w:tc>
          <w:tcPr>
            <w:tcW w:w="1190" w:type="dxa"/>
            <w:tcBorders>
              <w:left w:val="single" w:sz="4" w:space="0" w:color="000000"/>
            </w:tcBorders>
            <w:shd w:val="clear" w:color="auto" w:fill="F4F4F4"/>
          </w:tcPr>
          <w:p>
            <w:pPr>
              <w:pStyle w:val="TableParagraph"/>
              <w:ind w:right="90"/>
              <w:jc w:val="right"/>
              <w:rPr>
                <w:sz w:val="19"/>
              </w:rPr>
            </w:pPr>
            <w:r>
              <w:rPr>
                <w:w w:val="95"/>
                <w:sz w:val="19"/>
              </w:rPr>
              <w:t>2,618</w:t>
            </w:r>
          </w:p>
        </w:tc>
        <w:tc>
          <w:tcPr>
            <w:tcW w:w="1190" w:type="dxa"/>
            <w:shd w:val="clear" w:color="auto" w:fill="F4F4F4"/>
          </w:tcPr>
          <w:p>
            <w:pPr>
              <w:pStyle w:val="TableParagraph"/>
              <w:ind w:right="90"/>
              <w:jc w:val="right"/>
              <w:rPr>
                <w:sz w:val="19"/>
              </w:rPr>
            </w:pPr>
            <w:r>
              <w:rPr>
                <w:w w:val="95"/>
                <w:sz w:val="19"/>
              </w:rPr>
              <w:t>15</w:t>
            </w:r>
          </w:p>
        </w:tc>
        <w:tc>
          <w:tcPr>
            <w:tcW w:w="1190" w:type="dxa"/>
            <w:shd w:val="clear" w:color="auto" w:fill="F4F4F4"/>
          </w:tcPr>
          <w:p>
            <w:pPr>
              <w:pStyle w:val="TableParagraph"/>
              <w:ind w:right="89"/>
              <w:jc w:val="right"/>
              <w:rPr>
                <w:sz w:val="19"/>
              </w:rPr>
            </w:pPr>
            <w:r>
              <w:rPr>
                <w:w w:val="95"/>
                <w:sz w:val="19"/>
              </w:rPr>
              <w:t>67</w:t>
            </w:r>
          </w:p>
        </w:tc>
        <w:tc>
          <w:tcPr>
            <w:tcW w:w="1190" w:type="dxa"/>
            <w:shd w:val="clear" w:color="auto" w:fill="F4F4F4"/>
          </w:tcPr>
          <w:p>
            <w:pPr>
              <w:pStyle w:val="TableParagraph"/>
              <w:ind w:right="89"/>
              <w:jc w:val="right"/>
              <w:rPr>
                <w:sz w:val="19"/>
              </w:rPr>
            </w:pPr>
            <w:r>
              <w:rPr>
                <w:w w:val="95"/>
                <w:sz w:val="19"/>
              </w:rPr>
              <w:t>2,983</w:t>
            </w:r>
          </w:p>
        </w:tc>
        <w:tc>
          <w:tcPr>
            <w:tcW w:w="1190" w:type="dxa"/>
            <w:tcBorders>
              <w:right w:val="single" w:sz="4" w:space="0" w:color="000000"/>
            </w:tcBorders>
            <w:shd w:val="clear" w:color="auto" w:fill="F4F4F4"/>
          </w:tcPr>
          <w:p>
            <w:pPr>
              <w:pStyle w:val="TableParagraph"/>
              <w:ind w:right="93"/>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8"/>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3"/>
              <w:rPr>
                <w:sz w:val="19"/>
              </w:rPr>
            </w:pPr>
            <w:r>
              <w:rPr>
                <w:sz w:val="19"/>
              </w:rPr>
              <w:t>Finance lease receivables</w:t>
            </w:r>
          </w:p>
        </w:tc>
        <w:tc>
          <w:tcPr>
            <w:tcW w:w="1134" w:type="dxa"/>
            <w:tcBorders>
              <w:left w:val="nil"/>
              <w:right w:val="nil"/>
            </w:tcBorders>
            <w:shd w:val="clear" w:color="auto" w:fill="FAF9F9"/>
          </w:tcPr>
          <w:p>
            <w:pPr>
              <w:pStyle w:val="TableParagraph"/>
              <w:ind w:right="101"/>
              <w:jc w:val="right"/>
              <w:rPr>
                <w:sz w:val="19"/>
              </w:rPr>
            </w:pPr>
            <w:r>
              <w:rPr>
                <w:w w:val="95"/>
                <w:sz w:val="19"/>
              </w:rPr>
              <w:t>1,091</w:t>
            </w:r>
          </w:p>
        </w:tc>
        <w:tc>
          <w:tcPr>
            <w:tcW w:w="3118" w:type="dxa"/>
            <w:tcBorders>
              <w:left w:val="nil"/>
              <w:right w:val="single" w:sz="4" w:space="0" w:color="000000"/>
            </w:tcBorders>
            <w:shd w:val="clear" w:color="auto" w:fill="FAF9F9"/>
          </w:tcPr>
          <w:p>
            <w:pPr>
              <w:pStyle w:val="TableParagraph"/>
              <w:ind w:right="96"/>
              <w:jc w:val="right"/>
              <w:rPr>
                <w:sz w:val="19"/>
              </w:rPr>
            </w:pPr>
            <w:r>
              <w:rPr>
                <w:w w:val="95"/>
                <w:sz w:val="19"/>
              </w:rPr>
              <w:t>1,069</w:t>
            </w:r>
          </w:p>
        </w:tc>
        <w:tc>
          <w:tcPr>
            <w:tcW w:w="1190" w:type="dxa"/>
            <w:tcBorders>
              <w:left w:val="single" w:sz="4" w:space="0" w:color="000000"/>
              <w:right w:val="nil"/>
            </w:tcBorders>
            <w:shd w:val="clear" w:color="auto" w:fill="FAF9F9"/>
          </w:tcPr>
          <w:p>
            <w:pPr>
              <w:pStyle w:val="TableParagraph"/>
              <w:ind w:right="101"/>
              <w:jc w:val="right"/>
              <w:rPr>
                <w:sz w:val="19"/>
              </w:rPr>
            </w:pPr>
            <w:r>
              <w:rPr>
                <w:w w:val="95"/>
                <w:sz w:val="19"/>
              </w:rPr>
              <w:t>22</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99"/>
              <w:jc w:val="right"/>
              <w:rPr>
                <w:sz w:val="19"/>
              </w:rPr>
            </w:pPr>
            <w:r>
              <w:rPr>
                <w:w w:val="111"/>
                <w:sz w:val="19"/>
              </w:rPr>
              <w:t>-</w:t>
            </w:r>
          </w:p>
        </w:tc>
        <w:tc>
          <w:tcPr>
            <w:tcW w:w="1190" w:type="dxa"/>
            <w:tcBorders>
              <w:left w:val="nil"/>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8"/>
              <w:jc w:val="right"/>
              <w:rPr>
                <w:sz w:val="19"/>
              </w:rPr>
            </w:pPr>
            <w:r>
              <w:rPr>
                <w:w w:val="111"/>
                <w:sz w:val="19"/>
              </w:rPr>
              <w:t>-</w:t>
            </w:r>
          </w:p>
        </w:tc>
      </w:tr>
      <w:tr>
        <w:trPr>
          <w:trHeight w:val="285" w:hRule="atLeast"/>
        </w:trPr>
        <w:tc>
          <w:tcPr>
            <w:tcW w:w="3430" w:type="dxa"/>
            <w:vMerge w:val="restart"/>
            <w:shd w:val="clear" w:color="auto" w:fill="FAF9F9"/>
          </w:tcPr>
          <w:p>
            <w:pPr>
              <w:pStyle w:val="TableParagraph"/>
              <w:ind w:left="113"/>
              <w:rPr>
                <w:sz w:val="19"/>
              </w:rPr>
            </w:pPr>
            <w:r>
              <w:rPr>
                <w:sz w:val="19"/>
              </w:rPr>
              <w:t>Amounts receivable for services</w:t>
            </w:r>
          </w:p>
        </w:tc>
        <w:tc>
          <w:tcPr>
            <w:tcW w:w="1134" w:type="dxa"/>
            <w:tcBorders>
              <w:bottom w:val="single" w:sz="4" w:space="0" w:color="000000"/>
            </w:tcBorders>
            <w:shd w:val="clear" w:color="auto" w:fill="F4F4F4"/>
          </w:tcPr>
          <w:p>
            <w:pPr>
              <w:pStyle w:val="TableParagraph"/>
              <w:ind w:right="91"/>
              <w:jc w:val="right"/>
              <w:rPr>
                <w:sz w:val="19"/>
              </w:rPr>
            </w:pPr>
            <w:r>
              <w:rPr>
                <w:w w:val="95"/>
                <w:sz w:val="19"/>
              </w:rPr>
              <w:t>464,146</w:t>
            </w:r>
          </w:p>
        </w:tc>
        <w:tc>
          <w:tcPr>
            <w:tcW w:w="3118" w:type="dxa"/>
            <w:tcBorders>
              <w:bottom w:val="single" w:sz="4" w:space="0" w:color="000000"/>
              <w:right w:val="single" w:sz="4" w:space="0" w:color="000000"/>
            </w:tcBorders>
            <w:shd w:val="clear" w:color="auto" w:fill="F4F4F4"/>
          </w:tcPr>
          <w:p>
            <w:pPr>
              <w:pStyle w:val="TableParagraph"/>
              <w:ind w:right="96"/>
              <w:jc w:val="right"/>
              <w:rPr>
                <w:sz w:val="19"/>
              </w:rPr>
            </w:pPr>
            <w:r>
              <w:rPr>
                <w:w w:val="95"/>
                <w:sz w:val="19"/>
              </w:rPr>
              <w:t>464,146</w:t>
            </w:r>
          </w:p>
        </w:tc>
        <w:tc>
          <w:tcPr>
            <w:tcW w:w="1190" w:type="dxa"/>
            <w:tcBorders>
              <w:left w:val="single" w:sz="4" w:space="0" w:color="000000"/>
              <w:bottom w:val="single" w:sz="4" w:space="0" w:color="000000"/>
            </w:tcBorders>
            <w:shd w:val="clear" w:color="auto" w:fill="F4F4F4"/>
          </w:tcPr>
          <w:p>
            <w:pPr>
              <w:pStyle w:val="TableParagraph"/>
              <w:ind w:right="91"/>
              <w:jc w:val="right"/>
              <w:rPr>
                <w:sz w:val="19"/>
              </w:rPr>
            </w:pPr>
            <w:r>
              <w:rPr>
                <w:w w:val="111"/>
                <w:sz w:val="19"/>
              </w:rPr>
              <w:t>-</w:t>
            </w:r>
          </w:p>
        </w:tc>
        <w:tc>
          <w:tcPr>
            <w:tcW w:w="1190" w:type="dxa"/>
            <w:tcBorders>
              <w:bottom w:val="single" w:sz="4" w:space="0" w:color="000000"/>
            </w:tcBorders>
            <w:shd w:val="clear" w:color="auto" w:fill="F4F4F4"/>
          </w:tcPr>
          <w:p>
            <w:pPr>
              <w:pStyle w:val="TableParagraph"/>
              <w:ind w:right="90"/>
              <w:jc w:val="right"/>
              <w:rPr>
                <w:sz w:val="19"/>
              </w:rPr>
            </w:pPr>
            <w:r>
              <w:rPr>
                <w:w w:val="111"/>
                <w:sz w:val="19"/>
              </w:rPr>
              <w:t>-</w:t>
            </w:r>
          </w:p>
        </w:tc>
        <w:tc>
          <w:tcPr>
            <w:tcW w:w="1190" w:type="dxa"/>
            <w:tcBorders>
              <w:bottom w:val="single" w:sz="4" w:space="0" w:color="000000"/>
            </w:tcBorders>
            <w:shd w:val="clear" w:color="auto" w:fill="F4F4F4"/>
          </w:tcPr>
          <w:p>
            <w:pPr>
              <w:pStyle w:val="TableParagraph"/>
              <w:ind w:right="90"/>
              <w:jc w:val="right"/>
              <w:rPr>
                <w:sz w:val="19"/>
              </w:rPr>
            </w:pPr>
            <w:r>
              <w:rPr>
                <w:w w:val="111"/>
                <w:sz w:val="19"/>
              </w:rPr>
              <w:t>-</w:t>
            </w:r>
          </w:p>
        </w:tc>
        <w:tc>
          <w:tcPr>
            <w:tcW w:w="1190" w:type="dxa"/>
            <w:tcBorders>
              <w:bottom w:val="single" w:sz="4" w:space="0" w:color="000000"/>
            </w:tcBorders>
            <w:shd w:val="clear" w:color="auto" w:fill="F4F4F4"/>
          </w:tcPr>
          <w:p>
            <w:pPr>
              <w:pStyle w:val="TableParagraph"/>
              <w:ind w:right="89"/>
              <w:jc w:val="right"/>
              <w:rPr>
                <w:sz w:val="19"/>
              </w:rPr>
            </w:pPr>
            <w:r>
              <w:rPr>
                <w:w w:val="111"/>
                <w:sz w:val="19"/>
              </w:rPr>
              <w:t>-</w:t>
            </w:r>
          </w:p>
        </w:tc>
        <w:tc>
          <w:tcPr>
            <w:tcW w:w="1190" w:type="dxa"/>
            <w:tcBorders>
              <w:bottom w:val="single" w:sz="4" w:space="0" w:color="000000"/>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bottom w:val="single" w:sz="4" w:space="0" w:color="000000"/>
              <w:right w:val="nil"/>
            </w:tcBorders>
            <w:shd w:val="clear" w:color="auto" w:fill="F4F4F4"/>
          </w:tcPr>
          <w:p>
            <w:pPr>
              <w:pStyle w:val="TableParagraph"/>
              <w:ind w:right="99"/>
              <w:jc w:val="right"/>
              <w:rPr>
                <w:sz w:val="19"/>
              </w:rPr>
            </w:pPr>
            <w:r>
              <w:rPr>
                <w:w w:val="111"/>
                <w:sz w:val="19"/>
              </w:rPr>
              <w:t>-</w:t>
            </w:r>
          </w:p>
        </w:tc>
      </w:tr>
      <w:tr>
        <w:trPr>
          <w:trHeight w:val="253" w:hRule="atLeast"/>
        </w:trPr>
        <w:tc>
          <w:tcPr>
            <w:tcW w:w="3430" w:type="dxa"/>
            <w:vMerge/>
            <w:tcBorders>
              <w:top w:val="nil"/>
            </w:tcBorders>
            <w:shd w:val="clear" w:color="auto" w:fill="FAF9F9"/>
          </w:tcPr>
          <w:p>
            <w:pPr>
              <w:rPr>
                <w:sz w:val="2"/>
                <w:szCs w:val="2"/>
              </w:rPr>
            </w:pPr>
          </w:p>
        </w:tc>
        <w:tc>
          <w:tcPr>
            <w:tcW w:w="1134" w:type="dxa"/>
            <w:tcBorders>
              <w:top w:val="single" w:sz="4" w:space="0" w:color="000000"/>
              <w:bottom w:val="single" w:sz="34" w:space="0" w:color="FFFFFF"/>
              <w:right w:val="nil"/>
            </w:tcBorders>
            <w:shd w:val="clear" w:color="auto" w:fill="FAF9F9"/>
          </w:tcPr>
          <w:p>
            <w:pPr>
              <w:pStyle w:val="TableParagraph"/>
              <w:spacing w:line="201" w:lineRule="exact"/>
              <w:ind w:right="102"/>
              <w:jc w:val="right"/>
              <w:rPr>
                <w:b/>
                <w:sz w:val="19"/>
              </w:rPr>
            </w:pPr>
            <w:r>
              <w:rPr>
                <w:b/>
                <w:w w:val="95"/>
                <w:sz w:val="19"/>
              </w:rPr>
              <w:t>717,803</w:t>
            </w:r>
          </w:p>
        </w:tc>
        <w:tc>
          <w:tcPr>
            <w:tcW w:w="3118"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ind w:right="97"/>
              <w:jc w:val="right"/>
              <w:rPr>
                <w:b/>
                <w:sz w:val="19"/>
              </w:rPr>
            </w:pPr>
            <w:r>
              <w:rPr>
                <w:b/>
                <w:w w:val="95"/>
                <w:sz w:val="19"/>
              </w:rPr>
              <w:t>712,098</w:t>
            </w:r>
          </w:p>
        </w:tc>
        <w:tc>
          <w:tcPr>
            <w:tcW w:w="1190"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ind w:right="101"/>
              <w:jc w:val="right"/>
              <w:rPr>
                <w:b/>
                <w:sz w:val="19"/>
              </w:rPr>
            </w:pPr>
            <w:r>
              <w:rPr>
                <w:b/>
                <w:w w:val="95"/>
                <w:sz w:val="19"/>
              </w:rPr>
              <w:t>2,640</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101"/>
              <w:jc w:val="right"/>
              <w:rPr>
                <w:b/>
                <w:sz w:val="19"/>
              </w:rPr>
            </w:pPr>
            <w:r>
              <w:rPr>
                <w:b/>
                <w:w w:val="95"/>
                <w:sz w:val="19"/>
              </w:rPr>
              <w:t>15</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100"/>
              <w:jc w:val="right"/>
              <w:rPr>
                <w:b/>
                <w:sz w:val="19"/>
              </w:rPr>
            </w:pPr>
            <w:r>
              <w:rPr>
                <w:b/>
                <w:w w:val="95"/>
                <w:sz w:val="19"/>
              </w:rPr>
              <w:t>67</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99"/>
              <w:jc w:val="right"/>
              <w:rPr>
                <w:b/>
                <w:sz w:val="19"/>
              </w:rPr>
            </w:pPr>
            <w:r>
              <w:rPr>
                <w:b/>
                <w:w w:val="95"/>
                <w:sz w:val="19"/>
              </w:rPr>
              <w:t>2,983</w:t>
            </w:r>
          </w:p>
        </w:tc>
        <w:tc>
          <w:tcPr>
            <w:tcW w:w="1190"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ind w:right="94"/>
              <w:jc w:val="right"/>
              <w:rPr>
                <w:b/>
                <w:sz w:val="19"/>
              </w:rPr>
            </w:pPr>
            <w:r>
              <w:rPr>
                <w:b/>
                <w:w w:val="122"/>
                <w:sz w:val="19"/>
              </w:rPr>
              <w:t>-</w:t>
            </w:r>
          </w:p>
        </w:tc>
        <w:tc>
          <w:tcPr>
            <w:tcW w:w="1644" w:type="dxa"/>
            <w:tcBorders>
              <w:top w:val="single" w:sz="4" w:space="0" w:color="000000"/>
              <w:left w:val="single" w:sz="4" w:space="0" w:color="000000"/>
              <w:bottom w:val="single" w:sz="24" w:space="0" w:color="FFFFFF"/>
              <w:right w:val="nil"/>
            </w:tcBorders>
            <w:shd w:val="clear" w:color="auto" w:fill="FAF9F9"/>
          </w:tcPr>
          <w:p>
            <w:pPr>
              <w:pStyle w:val="TableParagraph"/>
              <w:spacing w:line="201" w:lineRule="exact"/>
              <w:ind w:right="99"/>
              <w:jc w:val="right"/>
              <w:rPr>
                <w:b/>
                <w:sz w:val="19"/>
              </w:rPr>
            </w:pPr>
            <w:r>
              <w:rPr>
                <w:b/>
                <w:w w:val="122"/>
                <w:sz w:val="19"/>
              </w:rPr>
              <w:t>-</w:t>
            </w:r>
          </w:p>
        </w:tc>
      </w:tr>
    </w:tbl>
    <w:p>
      <w:pPr>
        <w:pStyle w:val="BodyText"/>
        <w:spacing w:line="20" w:lineRule="exact"/>
        <w:ind w:left="12023"/>
        <w:rPr>
          <w:sz w:val="2"/>
        </w:rPr>
      </w:pPr>
      <w:r>
        <w:rPr>
          <w:sz w:val="2"/>
        </w:rPr>
        <w:pict>
          <v:group style="width:201.3pt;height:.550pt;mso-position-horizontal-relative:char;mso-position-vertical-relative:line" coordorigin="0,0" coordsize="4026,11">
            <v:line style="position:absolute" from="0,5" to="1191,5" stroked="true" strokeweight=".501pt" strokecolor="#000000">
              <v:stroke dashstyle="solid"/>
            </v:line>
            <v:line style="position:absolute" from="1191,5" to="2381,5" stroked="true" strokeweight=".501pt" strokecolor="#000000">
              <v:stroke dashstyle="solid"/>
            </v:line>
            <v:line style="position:absolute" from="2381,5" to="4025,5" stroked="true" strokeweight=".501pt" strokecolor="#000000">
              <v:stroke dashstyle="solid"/>
            </v:line>
          </v:group>
        </w:pict>
      </w:r>
      <w:r>
        <w:rPr>
          <w:sz w:val="2"/>
        </w:rPr>
      </w:r>
    </w:p>
    <w:p>
      <w:pPr>
        <w:spacing w:before="85"/>
        <w:ind w:left="765" w:right="0" w:firstLine="0"/>
        <w:jc w:val="left"/>
        <w:rPr>
          <w:sz w:val="15"/>
        </w:rPr>
      </w:pPr>
      <w:r>
        <w:rPr>
          <w:sz w:val="15"/>
        </w:rPr>
        <w:t>(a) The amount of receivables excludes the GST recoverable from the ATO (statutory receivable).</w:t>
      </w:r>
    </w:p>
    <w:p>
      <w:pPr>
        <w:spacing w:after="0"/>
        <w:jc w:val="left"/>
        <w:rPr>
          <w:sz w:val="15"/>
        </w:rPr>
        <w:sectPr>
          <w:footerReference w:type="default" r:id="rId173"/>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1952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spacing w:before="280"/>
        <w:ind w:left="765" w:right="0" w:firstLine="0"/>
        <w:jc w:val="left"/>
        <w:rPr>
          <w:i/>
          <w:sz w:val="22"/>
        </w:rPr>
      </w:pPr>
      <w:r>
        <w:rPr>
          <w:i/>
          <w:sz w:val="22"/>
        </w:rPr>
        <w:t>Liquidity risk and interest rate exposure</w:t>
      </w:r>
    </w:p>
    <w:p>
      <w:pPr>
        <w:pStyle w:val="BodyText"/>
        <w:spacing w:line="249" w:lineRule="auto" w:before="11"/>
        <w:ind w:left="765" w:right="799"/>
      </w:pPr>
      <w:r>
        <w:rPr/>
        <w:t>The</w:t>
      </w:r>
      <w:r>
        <w:rPr>
          <w:spacing w:val="-32"/>
        </w:rPr>
        <w:t> </w:t>
      </w:r>
      <w:r>
        <w:rPr>
          <w:spacing w:val="-3"/>
        </w:rPr>
        <w:t>following</w:t>
      </w:r>
      <w:r>
        <w:rPr>
          <w:spacing w:val="-32"/>
        </w:rPr>
        <w:t> </w:t>
      </w:r>
      <w:r>
        <w:rPr>
          <w:spacing w:val="-3"/>
        </w:rPr>
        <w:t>table</w:t>
      </w:r>
      <w:r>
        <w:rPr>
          <w:spacing w:val="-32"/>
        </w:rPr>
        <w:t> </w:t>
      </w:r>
      <w:r>
        <w:rPr>
          <w:spacing w:val="-3"/>
        </w:rPr>
        <w:t>details</w:t>
      </w:r>
      <w:r>
        <w:rPr>
          <w:spacing w:val="-32"/>
        </w:rPr>
        <w:t> </w:t>
      </w:r>
      <w:r>
        <w:rPr/>
        <w:t>the</w:t>
      </w:r>
      <w:r>
        <w:rPr>
          <w:spacing w:val="-32"/>
        </w:rPr>
        <w:t> </w:t>
      </w:r>
      <w:r>
        <w:rPr>
          <w:spacing w:val="-5"/>
        </w:rPr>
        <w:t>Department’s</w:t>
      </w:r>
      <w:r>
        <w:rPr>
          <w:spacing w:val="-31"/>
        </w:rPr>
        <w:t> </w:t>
      </w:r>
      <w:r>
        <w:rPr>
          <w:spacing w:val="-4"/>
        </w:rPr>
        <w:t>interest</w:t>
      </w:r>
      <w:r>
        <w:rPr>
          <w:spacing w:val="-32"/>
        </w:rPr>
        <w:t> </w:t>
      </w:r>
      <w:r>
        <w:rPr>
          <w:spacing w:val="-3"/>
        </w:rPr>
        <w:t>rate</w:t>
      </w:r>
      <w:r>
        <w:rPr>
          <w:spacing w:val="-32"/>
        </w:rPr>
        <w:t> </w:t>
      </w:r>
      <w:r>
        <w:rPr>
          <w:spacing w:val="-4"/>
        </w:rPr>
        <w:t>exposure</w:t>
      </w:r>
      <w:r>
        <w:rPr>
          <w:spacing w:val="-32"/>
        </w:rPr>
        <w:t> </w:t>
      </w:r>
      <w:r>
        <w:rPr/>
        <w:t>and</w:t>
      </w:r>
      <w:r>
        <w:rPr>
          <w:spacing w:val="-32"/>
        </w:rPr>
        <w:t> </w:t>
      </w:r>
      <w:r>
        <w:rPr/>
        <w:t>the</w:t>
      </w:r>
      <w:r>
        <w:rPr>
          <w:spacing w:val="-31"/>
        </w:rPr>
        <w:t> </w:t>
      </w:r>
      <w:r>
        <w:rPr>
          <w:spacing w:val="-3"/>
        </w:rPr>
        <w:t>contractual</w:t>
      </w:r>
      <w:r>
        <w:rPr>
          <w:spacing w:val="-32"/>
        </w:rPr>
        <w:t> </w:t>
      </w:r>
      <w:r>
        <w:rPr>
          <w:spacing w:val="-3"/>
        </w:rPr>
        <w:t>maturity</w:t>
      </w:r>
      <w:r>
        <w:rPr>
          <w:spacing w:val="-32"/>
        </w:rPr>
        <w:t> </w:t>
      </w:r>
      <w:r>
        <w:rPr>
          <w:spacing w:val="-3"/>
        </w:rPr>
        <w:t>analysis</w:t>
      </w:r>
      <w:r>
        <w:rPr>
          <w:spacing w:val="-32"/>
        </w:rPr>
        <w:t> </w:t>
      </w:r>
      <w:r>
        <w:rPr/>
        <w:t>of</w:t>
      </w:r>
      <w:r>
        <w:rPr>
          <w:spacing w:val="-32"/>
        </w:rPr>
        <w:t> </w:t>
      </w:r>
      <w:r>
        <w:rPr>
          <w:spacing w:val="-3"/>
        </w:rPr>
        <w:t>financial</w:t>
      </w:r>
      <w:r>
        <w:rPr>
          <w:spacing w:val="-32"/>
        </w:rPr>
        <w:t> </w:t>
      </w:r>
      <w:r>
        <w:rPr>
          <w:spacing w:val="-3"/>
        </w:rPr>
        <w:t>assets</w:t>
      </w:r>
      <w:r>
        <w:rPr>
          <w:spacing w:val="-31"/>
        </w:rPr>
        <w:t> </w:t>
      </w:r>
      <w:r>
        <w:rPr/>
        <w:t>and</w:t>
      </w:r>
      <w:r>
        <w:rPr>
          <w:spacing w:val="-32"/>
        </w:rPr>
        <w:t> </w:t>
      </w:r>
      <w:r>
        <w:rPr>
          <w:spacing w:val="-3"/>
        </w:rPr>
        <w:t>financial</w:t>
      </w:r>
      <w:r>
        <w:rPr>
          <w:spacing w:val="-32"/>
        </w:rPr>
        <w:t> </w:t>
      </w:r>
      <w:r>
        <w:rPr>
          <w:spacing w:val="-3"/>
        </w:rPr>
        <w:t>liabilities.</w:t>
      </w:r>
      <w:r>
        <w:rPr>
          <w:spacing w:val="-32"/>
        </w:rPr>
        <w:t> </w:t>
      </w:r>
      <w:r>
        <w:rPr/>
        <w:t>The</w:t>
      </w:r>
      <w:r>
        <w:rPr>
          <w:spacing w:val="-32"/>
        </w:rPr>
        <w:t> </w:t>
      </w:r>
      <w:r>
        <w:rPr>
          <w:spacing w:val="-3"/>
        </w:rPr>
        <w:t>maturity</w:t>
      </w:r>
      <w:r>
        <w:rPr>
          <w:spacing w:val="-31"/>
        </w:rPr>
        <w:t> </w:t>
      </w:r>
      <w:r>
        <w:rPr>
          <w:spacing w:val="-3"/>
        </w:rPr>
        <w:t>analysis section</w:t>
      </w:r>
      <w:r>
        <w:rPr>
          <w:spacing w:val="-12"/>
        </w:rPr>
        <w:t> </w:t>
      </w:r>
      <w:r>
        <w:rPr>
          <w:spacing w:val="-3"/>
        </w:rPr>
        <w:t>includes</w:t>
      </w:r>
      <w:r>
        <w:rPr>
          <w:spacing w:val="-11"/>
        </w:rPr>
        <w:t> </w:t>
      </w:r>
      <w:r>
        <w:rPr>
          <w:spacing w:val="-4"/>
        </w:rPr>
        <w:t>interest</w:t>
      </w:r>
      <w:r>
        <w:rPr>
          <w:spacing w:val="-11"/>
        </w:rPr>
        <w:t> </w:t>
      </w:r>
      <w:r>
        <w:rPr/>
        <w:t>and</w:t>
      </w:r>
      <w:r>
        <w:rPr>
          <w:spacing w:val="-11"/>
        </w:rPr>
        <w:t> </w:t>
      </w:r>
      <w:r>
        <w:rPr>
          <w:spacing w:val="-3"/>
        </w:rPr>
        <w:t>principal</w:t>
      </w:r>
      <w:r>
        <w:rPr>
          <w:spacing w:val="-11"/>
        </w:rPr>
        <w:t> </w:t>
      </w:r>
      <w:r>
        <w:rPr>
          <w:spacing w:val="-3"/>
        </w:rPr>
        <w:t>cash</w:t>
      </w:r>
      <w:r>
        <w:rPr>
          <w:spacing w:val="-11"/>
        </w:rPr>
        <w:t> </w:t>
      </w:r>
      <w:r>
        <w:rPr>
          <w:spacing w:val="-3"/>
        </w:rPr>
        <w:t>flows.</w:t>
      </w:r>
      <w:r>
        <w:rPr>
          <w:spacing w:val="-12"/>
        </w:rPr>
        <w:t> </w:t>
      </w:r>
      <w:r>
        <w:rPr/>
        <w:t>The</w:t>
      </w:r>
      <w:r>
        <w:rPr>
          <w:spacing w:val="-11"/>
        </w:rPr>
        <w:t> </w:t>
      </w:r>
      <w:r>
        <w:rPr>
          <w:spacing w:val="-4"/>
        </w:rPr>
        <w:t>interest</w:t>
      </w:r>
      <w:r>
        <w:rPr>
          <w:spacing w:val="-11"/>
        </w:rPr>
        <w:t> </w:t>
      </w:r>
      <w:r>
        <w:rPr>
          <w:spacing w:val="-3"/>
        </w:rPr>
        <w:t>rate</w:t>
      </w:r>
      <w:r>
        <w:rPr>
          <w:spacing w:val="-11"/>
        </w:rPr>
        <w:t> </w:t>
      </w:r>
      <w:r>
        <w:rPr>
          <w:spacing w:val="-4"/>
        </w:rPr>
        <w:t>exposure</w:t>
      </w:r>
      <w:r>
        <w:rPr>
          <w:spacing w:val="-11"/>
        </w:rPr>
        <w:t> </w:t>
      </w:r>
      <w:r>
        <w:rPr>
          <w:spacing w:val="-3"/>
        </w:rPr>
        <w:t>section</w:t>
      </w:r>
      <w:r>
        <w:rPr>
          <w:spacing w:val="-11"/>
        </w:rPr>
        <w:t> </w:t>
      </w:r>
      <w:r>
        <w:rPr>
          <w:spacing w:val="-3"/>
        </w:rPr>
        <w:t>analyses</w:t>
      </w:r>
      <w:r>
        <w:rPr>
          <w:spacing w:val="-12"/>
        </w:rPr>
        <w:t> </w:t>
      </w:r>
      <w:r>
        <w:rPr>
          <w:spacing w:val="-3"/>
        </w:rPr>
        <w:t>only</w:t>
      </w:r>
      <w:r>
        <w:rPr>
          <w:spacing w:val="-11"/>
        </w:rPr>
        <w:t> </w:t>
      </w:r>
      <w:r>
        <w:rPr/>
        <w:t>the</w:t>
      </w:r>
      <w:r>
        <w:rPr>
          <w:spacing w:val="-11"/>
        </w:rPr>
        <w:t> </w:t>
      </w:r>
      <w:r>
        <w:rPr>
          <w:spacing w:val="-3"/>
        </w:rPr>
        <w:t>carrying</w:t>
      </w:r>
      <w:r>
        <w:rPr>
          <w:spacing w:val="-11"/>
        </w:rPr>
        <w:t> </w:t>
      </w:r>
      <w:r>
        <w:rPr>
          <w:spacing w:val="-3"/>
        </w:rPr>
        <w:t>amounts</w:t>
      </w:r>
      <w:r>
        <w:rPr>
          <w:spacing w:val="-11"/>
        </w:rPr>
        <w:t> </w:t>
      </w:r>
      <w:r>
        <w:rPr/>
        <w:t>of</w:t>
      </w:r>
      <w:r>
        <w:rPr>
          <w:spacing w:val="-11"/>
        </w:rPr>
        <w:t> </w:t>
      </w:r>
      <w:r>
        <w:rPr>
          <w:spacing w:val="-3"/>
        </w:rPr>
        <w:t>each</w:t>
      </w:r>
      <w:r>
        <w:rPr>
          <w:spacing w:val="-11"/>
        </w:rPr>
        <w:t> </w:t>
      </w:r>
      <w:r>
        <w:rPr>
          <w:spacing w:val="-3"/>
        </w:rPr>
        <w:t>item.</w:t>
      </w:r>
    </w:p>
    <w:p>
      <w:pPr>
        <w:pStyle w:val="BodyText"/>
        <w:spacing w:before="3"/>
        <w:rPr>
          <w:sz w:val="14"/>
        </w:rPr>
      </w:pPr>
    </w:p>
    <w:p>
      <w:pPr>
        <w:spacing w:before="108" w:after="44"/>
        <w:ind w:left="785" w:right="0" w:firstLine="0"/>
        <w:jc w:val="left"/>
        <w:rPr>
          <w:b/>
          <w:sz w:val="19"/>
        </w:rPr>
      </w:pPr>
      <w:r>
        <w:rPr>
          <w:b/>
          <w:sz w:val="19"/>
        </w:rPr>
        <w:t>Interest rate exposure and maturity analysis of financial assets and financials liabilities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764"/>
        <w:gridCol w:w="1099"/>
        <w:gridCol w:w="1042"/>
        <w:gridCol w:w="1042"/>
        <w:gridCol w:w="1042"/>
        <w:gridCol w:w="1042"/>
        <w:gridCol w:w="1042"/>
        <w:gridCol w:w="1042"/>
        <w:gridCol w:w="1042"/>
        <w:gridCol w:w="1042"/>
        <w:gridCol w:w="1042"/>
        <w:gridCol w:w="1042"/>
      </w:tblGrid>
      <w:tr>
        <w:trPr>
          <w:trHeight w:val="1454" w:hRule="atLeast"/>
        </w:trPr>
        <w:tc>
          <w:tcPr>
            <w:tcW w:w="9031" w:type="dxa"/>
            <w:gridSpan w:val="6"/>
            <w:tcBorders>
              <w:top w:val="nil"/>
              <w:bottom w:val="nil"/>
              <w:right w:val="single" w:sz="4" w:space="0" w:color="000000"/>
            </w:tcBorders>
            <w:shd w:val="clear" w:color="auto" w:fill="783A79"/>
          </w:tcPr>
          <w:p>
            <w:pPr>
              <w:pStyle w:val="TableParagraph"/>
              <w:tabs>
                <w:tab w:pos="6474" w:val="left" w:leader="none"/>
              </w:tabs>
              <w:spacing w:before="42"/>
              <w:ind w:left="3899"/>
              <w:rPr>
                <w:b/>
                <w:sz w:val="19"/>
              </w:rPr>
            </w:pPr>
            <w:r>
              <w:rPr>
                <w:b/>
                <w:color w:val="FFFFFF"/>
                <w:sz w:val="19"/>
              </w:rPr>
              <w:t>Weighted</w:t>
              <w:tab/>
              <w:t>Interest rate</w:t>
            </w:r>
            <w:r>
              <w:rPr>
                <w:b/>
                <w:color w:val="FFFFFF"/>
                <w:spacing w:val="1"/>
                <w:sz w:val="19"/>
              </w:rPr>
              <w:t> </w:t>
            </w:r>
            <w:r>
              <w:rPr>
                <w:b/>
                <w:color w:val="FFFFFF"/>
                <w:sz w:val="19"/>
              </w:rPr>
              <w:t>exposure</w:t>
            </w:r>
          </w:p>
          <w:p>
            <w:pPr>
              <w:pStyle w:val="TableParagraph"/>
              <w:tabs>
                <w:tab w:pos="6319" w:val="left" w:leader="none"/>
                <w:tab w:pos="7363" w:val="left" w:leader="none"/>
                <w:tab w:pos="8476" w:val="left" w:leader="none"/>
              </w:tabs>
              <w:spacing w:line="172" w:lineRule="auto" w:before="59"/>
              <w:ind w:left="3962" w:right="90" w:firstLine="45"/>
              <w:jc w:val="both"/>
              <w:rPr>
                <w:b/>
                <w:sz w:val="19"/>
              </w:rPr>
            </w:pPr>
            <w:r>
              <w:rPr>
                <w:b/>
                <w:color w:val="FFFFFF"/>
                <w:position w:val="10"/>
                <w:sz w:val="19"/>
              </w:rPr>
              <w:t>Average     </w:t>
            </w:r>
            <w:r>
              <w:rPr>
                <w:b/>
                <w:color w:val="FFFFFF"/>
                <w:sz w:val="19"/>
              </w:rPr>
              <w:t>Carrying         </w:t>
            </w:r>
            <w:r>
              <w:rPr>
                <w:b/>
                <w:color w:val="FFFFFF"/>
                <w:spacing w:val="7"/>
                <w:sz w:val="19"/>
              </w:rPr>
              <w:t> </w:t>
            </w:r>
            <w:r>
              <w:rPr>
                <w:b/>
                <w:color w:val="FFFFFF"/>
                <w:sz w:val="19"/>
              </w:rPr>
              <w:t>Fixed    </w:t>
            </w:r>
            <w:r>
              <w:rPr>
                <w:b/>
                <w:color w:val="FFFFFF"/>
                <w:spacing w:val="44"/>
                <w:sz w:val="19"/>
              </w:rPr>
              <w:t> </w:t>
            </w:r>
            <w:r>
              <w:rPr>
                <w:b/>
                <w:color w:val="FFFFFF"/>
                <w:sz w:val="19"/>
              </w:rPr>
              <w:t>Variable</w:t>
              <w:tab/>
            </w:r>
            <w:r>
              <w:rPr>
                <w:b/>
                <w:color w:val="FFFFFF"/>
                <w:spacing w:val="-5"/>
                <w:sz w:val="19"/>
              </w:rPr>
              <w:t>Non- </w:t>
            </w:r>
            <w:r>
              <w:rPr>
                <w:b/>
                <w:color w:val="FFFFFF"/>
                <w:position w:val="10"/>
                <w:sz w:val="19"/>
              </w:rPr>
              <w:t>Effective   </w:t>
            </w:r>
            <w:r>
              <w:rPr>
                <w:b/>
                <w:color w:val="FFFFFF"/>
                <w:sz w:val="19"/>
              </w:rPr>
              <w:t>Amount   Interest   Interest   </w:t>
            </w:r>
            <w:r>
              <w:rPr>
                <w:b/>
                <w:color w:val="FFFFFF"/>
                <w:spacing w:val="-3"/>
                <w:sz w:val="19"/>
              </w:rPr>
              <w:t>Interest   </w:t>
            </w:r>
            <w:r>
              <w:rPr>
                <w:b/>
                <w:color w:val="FFFFFF"/>
                <w:position w:val="10"/>
                <w:sz w:val="19"/>
              </w:rPr>
              <w:t>Interest</w:t>
              <w:tab/>
            </w:r>
            <w:r>
              <w:rPr>
                <w:b/>
                <w:color w:val="FFFFFF"/>
                <w:sz w:val="19"/>
              </w:rPr>
              <w:t>Rate</w:t>
              <w:tab/>
              <w:t>Rate</w:t>
            </w:r>
            <w:r>
              <w:rPr>
                <w:b/>
                <w:color w:val="FFFFFF"/>
                <w:spacing w:val="27"/>
                <w:sz w:val="19"/>
              </w:rPr>
              <w:t> </w:t>
            </w:r>
            <w:r>
              <w:rPr>
                <w:b/>
                <w:color w:val="FFFFFF"/>
                <w:sz w:val="19"/>
              </w:rPr>
              <w:t>Bearing</w:t>
            </w:r>
          </w:p>
          <w:p>
            <w:pPr>
              <w:pStyle w:val="TableParagraph"/>
              <w:spacing w:line="81" w:lineRule="exact" w:before="0"/>
              <w:ind w:left="4303" w:right="4240"/>
              <w:jc w:val="center"/>
              <w:rPr>
                <w:b/>
                <w:sz w:val="19"/>
              </w:rPr>
            </w:pPr>
            <w:r>
              <w:rPr>
                <w:b/>
                <w:color w:val="FFFFFF"/>
                <w:w w:val="105"/>
                <w:sz w:val="19"/>
              </w:rPr>
              <w:t>Rate</w:t>
            </w:r>
          </w:p>
          <w:p>
            <w:pPr>
              <w:pStyle w:val="TableParagraph"/>
              <w:tabs>
                <w:tab w:pos="5371" w:val="left" w:leader="none"/>
                <w:tab w:pos="6414" w:val="left" w:leader="none"/>
                <w:tab w:pos="7457" w:val="left" w:leader="none"/>
                <w:tab w:pos="8500" w:val="left" w:leader="none"/>
              </w:tabs>
              <w:spacing w:before="13"/>
              <w:ind w:left="4560"/>
              <w:rPr>
                <w:b/>
                <w:sz w:val="19"/>
              </w:rPr>
            </w:pPr>
            <w:r>
              <w:rPr>
                <w:b/>
                <w:color w:val="FFFFFF"/>
                <w:sz w:val="19"/>
              </w:rPr>
              <w:t>%</w:t>
              <w:tab/>
              <w:t>$000</w:t>
              <w:tab/>
              <w:t>$000</w:t>
              <w:tab/>
              <w:t>$000</w:t>
              <w:tab/>
              <w:t>$000</w:t>
            </w:r>
          </w:p>
        </w:tc>
        <w:tc>
          <w:tcPr>
            <w:tcW w:w="1042" w:type="dxa"/>
            <w:tcBorders>
              <w:top w:val="nil"/>
              <w:left w:val="single" w:sz="4" w:space="0" w:color="000000"/>
              <w:bottom w:val="nil"/>
              <w:right w:val="single" w:sz="4" w:space="0" w:color="000000"/>
            </w:tcBorders>
            <w:shd w:val="clear" w:color="auto" w:fill="783A79"/>
          </w:tcPr>
          <w:p>
            <w:pPr>
              <w:pStyle w:val="TableParagraph"/>
              <w:spacing w:before="1"/>
              <w:rPr>
                <w:b/>
                <w:sz w:val="32"/>
              </w:rPr>
            </w:pPr>
          </w:p>
          <w:p>
            <w:pPr>
              <w:pStyle w:val="TableParagraph"/>
              <w:spacing w:line="249" w:lineRule="auto" w:before="1"/>
              <w:ind w:left="229" w:right="72" w:hanging="39"/>
              <w:rPr>
                <w:b/>
                <w:sz w:val="19"/>
              </w:rPr>
            </w:pPr>
            <w:r>
              <w:rPr>
                <w:b/>
                <w:color w:val="FFFFFF"/>
                <w:sz w:val="19"/>
              </w:rPr>
              <w:t>Nominal </w:t>
            </w:r>
            <w:r>
              <w:rPr>
                <w:b/>
                <w:color w:val="FFFFFF"/>
                <w:w w:val="95"/>
                <w:sz w:val="19"/>
              </w:rPr>
              <w:t>Amount</w:t>
            </w:r>
          </w:p>
          <w:p>
            <w:pPr>
              <w:pStyle w:val="TableParagraph"/>
              <w:spacing w:before="5"/>
              <w:rPr>
                <w:b/>
                <w:sz w:val="31"/>
              </w:rPr>
            </w:pPr>
          </w:p>
          <w:p>
            <w:pPr>
              <w:pStyle w:val="TableParagraph"/>
              <w:spacing w:before="0"/>
              <w:ind w:left="518"/>
              <w:rPr>
                <w:b/>
                <w:sz w:val="19"/>
              </w:rPr>
            </w:pPr>
            <w:r>
              <w:rPr>
                <w:b/>
                <w:color w:val="FFFFFF"/>
                <w:sz w:val="19"/>
              </w:rPr>
              <w:t>$000</w:t>
            </w:r>
          </w:p>
        </w:tc>
        <w:tc>
          <w:tcPr>
            <w:tcW w:w="1042"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361" w:right="75"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5"/>
              <w:rPr>
                <w:b/>
                <w:sz w:val="31"/>
              </w:rPr>
            </w:pPr>
          </w:p>
          <w:p>
            <w:pPr>
              <w:pStyle w:val="TableParagraph"/>
              <w:spacing w:before="0"/>
              <w:ind w:left="519"/>
              <w:rPr>
                <w:b/>
                <w:sz w:val="19"/>
              </w:rPr>
            </w:pPr>
            <w:r>
              <w:rPr>
                <w:b/>
                <w:color w:val="FFFFFF"/>
                <w:sz w:val="19"/>
              </w:rPr>
              <w:t>$000</w:t>
            </w:r>
          </w:p>
        </w:tc>
        <w:tc>
          <w:tcPr>
            <w:tcW w:w="3126" w:type="dxa"/>
            <w:gridSpan w:val="3"/>
            <w:tcBorders>
              <w:top w:val="nil"/>
              <w:left w:val="nil"/>
              <w:bottom w:val="nil"/>
              <w:right w:val="nil"/>
            </w:tcBorders>
            <w:shd w:val="clear" w:color="auto" w:fill="783A79"/>
          </w:tcPr>
          <w:p>
            <w:pPr>
              <w:pStyle w:val="TableParagraph"/>
              <w:spacing w:before="42"/>
              <w:ind w:left="930"/>
              <w:rPr>
                <w:b/>
                <w:sz w:val="19"/>
              </w:rPr>
            </w:pPr>
            <w:r>
              <w:rPr>
                <w:b/>
                <w:color w:val="FFFFFF"/>
                <w:sz w:val="19"/>
              </w:rPr>
              <w:t>Maturity dates</w:t>
            </w:r>
          </w:p>
          <w:p>
            <w:pPr>
              <w:pStyle w:val="TableParagraph"/>
              <w:tabs>
                <w:tab w:pos="1885" w:val="left" w:leader="none"/>
                <w:tab w:pos="2745" w:val="left" w:leader="none"/>
              </w:tabs>
              <w:spacing w:before="109"/>
              <w:ind w:left="659"/>
              <w:rPr>
                <w:b/>
                <w:sz w:val="19"/>
              </w:rPr>
            </w:pPr>
            <w:r>
              <w:rPr>
                <w:b/>
                <w:color w:val="FFFFFF"/>
                <w:w w:val="105"/>
                <w:sz w:val="19"/>
              </w:rPr>
              <w:t>1-3</w:t>
              <w:tab/>
              <w:t>3</w:t>
              <w:tab/>
              <w:t>1-5</w:t>
            </w:r>
          </w:p>
          <w:p>
            <w:pPr>
              <w:pStyle w:val="TableParagraph"/>
              <w:tabs>
                <w:tab w:pos="1308" w:val="left" w:leader="none"/>
                <w:tab w:pos="2541" w:val="left" w:leader="none"/>
              </w:tabs>
              <w:spacing w:line="249" w:lineRule="auto" w:before="10"/>
              <w:ind w:left="265" w:right="90"/>
              <w:jc w:val="center"/>
              <w:rPr>
                <w:b/>
                <w:sz w:val="19"/>
              </w:rPr>
            </w:pPr>
            <w:r>
              <w:rPr>
                <w:b/>
                <w:color w:val="FFFFFF"/>
                <w:sz w:val="19"/>
              </w:rPr>
              <w:t>months</w:t>
              <w:tab/>
              <w:t>months</w:t>
              <w:tab/>
            </w:r>
            <w:r>
              <w:rPr>
                <w:b/>
                <w:color w:val="FFFFFF"/>
                <w:spacing w:val="-4"/>
                <w:sz w:val="19"/>
              </w:rPr>
              <w:t>years </w:t>
            </w:r>
            <w:r>
              <w:rPr>
                <w:b/>
                <w:color w:val="FFFFFF"/>
                <w:sz w:val="19"/>
              </w:rPr>
              <w:t>to 1 year</w:t>
            </w:r>
          </w:p>
          <w:p>
            <w:pPr>
              <w:pStyle w:val="TableParagraph"/>
              <w:tabs>
                <w:tab w:pos="1476" w:val="left" w:leader="none"/>
                <w:tab w:pos="2519" w:val="left" w:leader="none"/>
              </w:tabs>
              <w:spacing w:before="133"/>
              <w:ind w:left="433"/>
              <w:jc w:val="center"/>
              <w:rPr>
                <w:b/>
                <w:sz w:val="19"/>
              </w:rPr>
            </w:pPr>
            <w:r>
              <w:rPr>
                <w:b/>
                <w:color w:val="FFFFFF"/>
                <w:sz w:val="19"/>
              </w:rPr>
              <w:t>$000</w:t>
              <w:tab/>
              <w:t>$000</w:t>
              <w:tab/>
              <w:t>$000</w:t>
            </w:r>
          </w:p>
        </w:tc>
        <w:tc>
          <w:tcPr>
            <w:tcW w:w="1042" w:type="dxa"/>
            <w:tcBorders>
              <w:top w:val="nil"/>
              <w:left w:val="nil"/>
              <w:bottom w:val="nil"/>
              <w:right w:val="nil"/>
            </w:tcBorders>
            <w:shd w:val="clear" w:color="auto" w:fill="783A79"/>
          </w:tcPr>
          <w:p>
            <w:pPr>
              <w:pStyle w:val="TableParagraph"/>
              <w:spacing w:before="1"/>
              <w:rPr>
                <w:b/>
                <w:sz w:val="32"/>
              </w:rPr>
            </w:pPr>
          </w:p>
          <w:p>
            <w:pPr>
              <w:pStyle w:val="TableParagraph"/>
              <w:spacing w:line="249" w:lineRule="auto" w:before="1"/>
              <w:ind w:left="391" w:right="88" w:firstLine="91"/>
              <w:jc w:val="both"/>
              <w:rPr>
                <w:b/>
                <w:sz w:val="19"/>
              </w:rPr>
            </w:pPr>
            <w:r>
              <w:rPr>
                <w:b/>
                <w:color w:val="FFFFFF"/>
                <w:sz w:val="19"/>
              </w:rPr>
              <w:t>More than 5 years</w:t>
            </w:r>
          </w:p>
          <w:p>
            <w:pPr>
              <w:pStyle w:val="TableParagraph"/>
              <w:spacing w:before="134"/>
              <w:ind w:left="528"/>
              <w:rPr>
                <w:b/>
                <w:sz w:val="19"/>
              </w:rPr>
            </w:pPr>
            <w:r>
              <w:rPr>
                <w:b/>
                <w:color w:val="FFFFFF"/>
                <w:sz w:val="19"/>
              </w:rPr>
              <w:t>$000</w:t>
            </w:r>
          </w:p>
        </w:tc>
      </w:tr>
      <w:tr>
        <w:trPr>
          <w:trHeight w:val="606" w:hRule="atLeast"/>
        </w:trPr>
        <w:tc>
          <w:tcPr>
            <w:tcW w:w="3764" w:type="dxa"/>
            <w:tcBorders>
              <w:top w:val="nil"/>
              <w:left w:val="nil"/>
              <w:bottom w:val="nil"/>
              <w:right w:val="nil"/>
            </w:tcBorders>
            <w:shd w:val="clear" w:color="auto" w:fill="FFFFFF"/>
          </w:tcPr>
          <w:p>
            <w:pPr>
              <w:pStyle w:val="TableParagraph"/>
              <w:spacing w:before="37"/>
              <w:ind w:left="123"/>
              <w:rPr>
                <w:b/>
                <w:sz w:val="19"/>
              </w:rPr>
            </w:pPr>
            <w:r>
              <w:rPr>
                <w:b/>
                <w:sz w:val="19"/>
              </w:rPr>
              <w:t>2018</w:t>
            </w:r>
          </w:p>
          <w:p>
            <w:pPr>
              <w:pStyle w:val="TableParagraph"/>
              <w:spacing w:before="87"/>
              <w:ind w:left="123"/>
              <w:rPr>
                <w:i/>
                <w:sz w:val="19"/>
              </w:rPr>
            </w:pPr>
            <w:r>
              <w:rPr>
                <w:i/>
                <w:color w:val="6F2770"/>
                <w:sz w:val="19"/>
              </w:rPr>
              <w:t>Financial assets</w:t>
            </w:r>
          </w:p>
        </w:tc>
        <w:tc>
          <w:tcPr>
            <w:tcW w:w="1099"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single" w:sz="4" w:space="0" w:color="000000"/>
            </w:tcBorders>
            <w:shd w:val="clear" w:color="auto" w:fill="FFFFFF"/>
          </w:tcPr>
          <w:p>
            <w:pPr>
              <w:pStyle w:val="TableParagraph"/>
              <w:spacing w:before="0"/>
              <w:rPr>
                <w:rFonts w:ascii="Times New Roman"/>
                <w:sz w:val="20"/>
              </w:rPr>
            </w:pPr>
          </w:p>
        </w:tc>
        <w:tc>
          <w:tcPr>
            <w:tcW w:w="1042" w:type="dxa"/>
            <w:tcBorders>
              <w:top w:val="nil"/>
              <w:left w:val="single" w:sz="4" w:space="0" w:color="000000"/>
              <w:bottom w:val="nil"/>
              <w:right w:val="single" w:sz="4" w:space="0" w:color="000000"/>
            </w:tcBorders>
            <w:shd w:val="clear" w:color="auto" w:fill="FFFFFF"/>
          </w:tcPr>
          <w:p>
            <w:pPr>
              <w:pStyle w:val="TableParagraph"/>
              <w:spacing w:before="0"/>
              <w:rPr>
                <w:rFonts w:ascii="Times New Roman"/>
                <w:sz w:val="20"/>
              </w:rPr>
            </w:pPr>
          </w:p>
        </w:tc>
        <w:tc>
          <w:tcPr>
            <w:tcW w:w="1042" w:type="dxa"/>
            <w:tcBorders>
              <w:top w:val="nil"/>
              <w:left w:val="single" w:sz="4" w:space="0" w:color="000000"/>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r>
      <w:tr>
        <w:trPr>
          <w:trHeight w:val="601" w:hRule="atLeast"/>
        </w:trPr>
        <w:tc>
          <w:tcPr>
            <w:tcW w:w="3764" w:type="dxa"/>
            <w:tcBorders>
              <w:top w:val="nil"/>
              <w:left w:val="nil"/>
              <w:bottom w:val="nil"/>
              <w:right w:val="nil"/>
            </w:tcBorders>
            <w:shd w:val="clear" w:color="auto" w:fill="FFFFFF"/>
          </w:tcPr>
          <w:p>
            <w:pPr>
              <w:pStyle w:val="TableParagraph"/>
              <w:spacing w:before="42"/>
              <w:ind w:left="123"/>
              <w:rPr>
                <w:sz w:val="19"/>
              </w:rPr>
            </w:pPr>
            <w:r>
              <w:rPr>
                <w:sz w:val="19"/>
              </w:rPr>
              <w:t>Cash and cash equivalents</w:t>
            </w:r>
          </w:p>
          <w:p>
            <w:pPr>
              <w:pStyle w:val="TableParagraph"/>
              <w:spacing w:before="87"/>
              <w:ind w:left="122"/>
              <w:rPr>
                <w:sz w:val="19"/>
              </w:rPr>
            </w:pPr>
            <w:r>
              <w:rPr>
                <w:sz w:val="19"/>
              </w:rPr>
              <w:t>Restricted cash and cash equivalents</w:t>
            </w:r>
          </w:p>
        </w:tc>
        <w:tc>
          <w:tcPr>
            <w:tcW w:w="1099" w:type="dxa"/>
            <w:tcBorders>
              <w:top w:val="nil"/>
              <w:left w:val="nil"/>
              <w:bottom w:val="nil"/>
              <w:right w:val="nil"/>
            </w:tcBorders>
            <w:shd w:val="clear" w:color="auto" w:fill="FFFFFF"/>
          </w:tcPr>
          <w:p>
            <w:pPr>
              <w:pStyle w:val="TableParagraph"/>
              <w:spacing w:before="42"/>
              <w:ind w:right="100"/>
              <w:jc w:val="right"/>
              <w:rPr>
                <w:sz w:val="19"/>
              </w:rPr>
            </w:pPr>
            <w:r>
              <w:rPr>
                <w:w w:val="95"/>
                <w:sz w:val="19"/>
              </w:rPr>
              <w:t>1.96</w:t>
            </w:r>
          </w:p>
          <w:p>
            <w:pPr>
              <w:pStyle w:val="TableParagraph"/>
              <w:spacing w:before="87"/>
              <w:ind w:right="100"/>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left="339" w:right="81"/>
              <w:jc w:val="center"/>
              <w:rPr>
                <w:sz w:val="19"/>
              </w:rPr>
            </w:pPr>
            <w:r>
              <w:rPr>
                <w:sz w:val="19"/>
              </w:rPr>
              <w:t>75,890</w:t>
            </w:r>
          </w:p>
          <w:p>
            <w:pPr>
              <w:pStyle w:val="TableParagraph"/>
              <w:spacing w:before="87"/>
              <w:ind w:left="444" w:right="81"/>
              <w:jc w:val="center"/>
              <w:rPr>
                <w:sz w:val="19"/>
              </w:rPr>
            </w:pPr>
            <w:r>
              <w:rPr>
                <w:sz w:val="19"/>
              </w:rPr>
              <w:t>1,735</w:t>
            </w:r>
          </w:p>
        </w:tc>
        <w:tc>
          <w:tcPr>
            <w:tcW w:w="1042" w:type="dxa"/>
            <w:tcBorders>
              <w:top w:val="nil"/>
              <w:left w:val="nil"/>
              <w:bottom w:val="nil"/>
              <w:right w:val="nil"/>
            </w:tcBorders>
            <w:shd w:val="clear" w:color="auto" w:fill="FFFFFF"/>
          </w:tcPr>
          <w:p>
            <w:pPr>
              <w:pStyle w:val="TableParagraph"/>
              <w:spacing w:before="42"/>
              <w:ind w:right="98"/>
              <w:jc w:val="right"/>
              <w:rPr>
                <w:sz w:val="19"/>
              </w:rPr>
            </w:pPr>
            <w:r>
              <w:rPr>
                <w:w w:val="111"/>
                <w:sz w:val="19"/>
              </w:rPr>
              <w:t>-</w:t>
            </w:r>
          </w:p>
          <w:p>
            <w:pPr>
              <w:pStyle w:val="TableParagraph"/>
              <w:spacing w:before="87"/>
              <w:ind w:right="98"/>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7"/>
              <w:jc w:val="right"/>
              <w:rPr>
                <w:sz w:val="19"/>
              </w:rPr>
            </w:pPr>
            <w:r>
              <w:rPr>
                <w:w w:val="95"/>
                <w:sz w:val="19"/>
              </w:rPr>
              <w:t>11,960</w:t>
            </w:r>
          </w:p>
          <w:p>
            <w:pPr>
              <w:pStyle w:val="TableParagraph"/>
              <w:spacing w:before="87"/>
              <w:ind w:right="97"/>
              <w:jc w:val="right"/>
              <w:rPr>
                <w:sz w:val="19"/>
              </w:rPr>
            </w:pPr>
            <w:r>
              <w:rPr>
                <w:w w:val="111"/>
                <w:sz w:val="19"/>
              </w:rPr>
              <w:t>-</w:t>
            </w:r>
          </w:p>
        </w:tc>
        <w:tc>
          <w:tcPr>
            <w:tcW w:w="1042" w:type="dxa"/>
            <w:tcBorders>
              <w:top w:val="nil"/>
              <w:left w:val="nil"/>
              <w:bottom w:val="nil"/>
              <w:right w:val="single" w:sz="4" w:space="0" w:color="000000"/>
            </w:tcBorders>
            <w:shd w:val="clear" w:color="auto" w:fill="FFFFFF"/>
          </w:tcPr>
          <w:p>
            <w:pPr>
              <w:pStyle w:val="TableParagraph"/>
              <w:spacing w:before="42"/>
              <w:ind w:left="342" w:right="72"/>
              <w:jc w:val="center"/>
              <w:rPr>
                <w:sz w:val="19"/>
              </w:rPr>
            </w:pPr>
            <w:r>
              <w:rPr>
                <w:sz w:val="19"/>
              </w:rPr>
              <w:t>63,930</w:t>
            </w:r>
          </w:p>
          <w:p>
            <w:pPr>
              <w:pStyle w:val="TableParagraph"/>
              <w:spacing w:before="87"/>
              <w:ind w:left="447" w:right="72"/>
              <w:jc w:val="center"/>
              <w:rPr>
                <w:sz w:val="19"/>
              </w:rPr>
            </w:pPr>
            <w:r>
              <w:rPr>
                <w:sz w:val="19"/>
              </w:rPr>
              <w:t>1,735</w:t>
            </w:r>
          </w:p>
        </w:tc>
        <w:tc>
          <w:tcPr>
            <w:tcW w:w="1042" w:type="dxa"/>
            <w:tcBorders>
              <w:top w:val="nil"/>
              <w:left w:val="single" w:sz="4" w:space="0" w:color="000000"/>
              <w:bottom w:val="nil"/>
              <w:right w:val="single" w:sz="4" w:space="0" w:color="000000"/>
            </w:tcBorders>
            <w:shd w:val="clear" w:color="auto" w:fill="FFFFFF"/>
          </w:tcPr>
          <w:p>
            <w:pPr>
              <w:pStyle w:val="TableParagraph"/>
              <w:spacing w:before="42"/>
              <w:ind w:left="338" w:right="71"/>
              <w:jc w:val="center"/>
              <w:rPr>
                <w:sz w:val="19"/>
              </w:rPr>
            </w:pPr>
            <w:r>
              <w:rPr>
                <w:sz w:val="19"/>
              </w:rPr>
              <w:t>75,890</w:t>
            </w:r>
          </w:p>
          <w:p>
            <w:pPr>
              <w:pStyle w:val="TableParagraph"/>
              <w:spacing w:before="87"/>
              <w:ind w:left="443" w:right="71"/>
              <w:jc w:val="center"/>
              <w:rPr>
                <w:sz w:val="19"/>
              </w:rPr>
            </w:pPr>
            <w:r>
              <w:rPr>
                <w:sz w:val="19"/>
              </w:rPr>
              <w:t>1,735</w:t>
            </w:r>
          </w:p>
        </w:tc>
        <w:tc>
          <w:tcPr>
            <w:tcW w:w="1042" w:type="dxa"/>
            <w:tcBorders>
              <w:top w:val="nil"/>
              <w:left w:val="single" w:sz="4" w:space="0" w:color="000000"/>
              <w:bottom w:val="nil"/>
              <w:right w:val="nil"/>
            </w:tcBorders>
            <w:shd w:val="clear" w:color="auto" w:fill="FFFFFF"/>
          </w:tcPr>
          <w:p>
            <w:pPr>
              <w:pStyle w:val="TableParagraph"/>
              <w:spacing w:before="42"/>
              <w:ind w:right="93"/>
              <w:jc w:val="right"/>
              <w:rPr>
                <w:sz w:val="19"/>
              </w:rPr>
            </w:pPr>
            <w:r>
              <w:rPr>
                <w:w w:val="95"/>
                <w:sz w:val="19"/>
              </w:rPr>
              <w:t>75,890</w:t>
            </w:r>
          </w:p>
          <w:p>
            <w:pPr>
              <w:pStyle w:val="TableParagraph"/>
              <w:spacing w:before="87"/>
              <w:ind w:right="94"/>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2"/>
              <w:jc w:val="right"/>
              <w:rPr>
                <w:sz w:val="19"/>
              </w:rPr>
            </w:pPr>
            <w:r>
              <w:rPr>
                <w:w w:val="111"/>
                <w:sz w:val="19"/>
              </w:rPr>
              <w:t>-</w:t>
            </w:r>
          </w:p>
          <w:p>
            <w:pPr>
              <w:pStyle w:val="TableParagraph"/>
              <w:spacing w:before="87"/>
              <w:ind w:right="92"/>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1"/>
              <w:jc w:val="right"/>
              <w:rPr>
                <w:sz w:val="19"/>
              </w:rPr>
            </w:pPr>
            <w:r>
              <w:rPr>
                <w:w w:val="111"/>
                <w:sz w:val="19"/>
              </w:rPr>
              <w:t>-</w:t>
            </w:r>
          </w:p>
          <w:p>
            <w:pPr>
              <w:pStyle w:val="TableParagraph"/>
              <w:spacing w:before="87"/>
              <w:ind w:right="91"/>
              <w:jc w:val="right"/>
              <w:rPr>
                <w:sz w:val="19"/>
              </w:rPr>
            </w:pPr>
            <w:r>
              <w:rPr>
                <w:w w:val="95"/>
                <w:sz w:val="19"/>
              </w:rPr>
              <w:t>946</w:t>
            </w:r>
          </w:p>
        </w:tc>
        <w:tc>
          <w:tcPr>
            <w:tcW w:w="1042" w:type="dxa"/>
            <w:tcBorders>
              <w:top w:val="nil"/>
              <w:left w:val="nil"/>
              <w:bottom w:val="nil"/>
              <w:right w:val="nil"/>
            </w:tcBorders>
            <w:shd w:val="clear" w:color="auto" w:fill="FFFFFF"/>
          </w:tcPr>
          <w:p>
            <w:pPr>
              <w:pStyle w:val="TableParagraph"/>
              <w:spacing w:before="42"/>
              <w:ind w:right="90"/>
              <w:jc w:val="right"/>
              <w:rPr>
                <w:sz w:val="19"/>
              </w:rPr>
            </w:pPr>
            <w:r>
              <w:rPr>
                <w:w w:val="111"/>
                <w:sz w:val="19"/>
              </w:rPr>
              <w:t>-</w:t>
            </w:r>
          </w:p>
          <w:p>
            <w:pPr>
              <w:pStyle w:val="TableParagraph"/>
              <w:spacing w:before="87"/>
              <w:ind w:right="90"/>
              <w:jc w:val="right"/>
              <w:rPr>
                <w:sz w:val="19"/>
              </w:rPr>
            </w:pPr>
            <w:r>
              <w:rPr>
                <w:w w:val="95"/>
                <w:sz w:val="19"/>
              </w:rPr>
              <w:t>55</w:t>
            </w:r>
          </w:p>
        </w:tc>
        <w:tc>
          <w:tcPr>
            <w:tcW w:w="1042" w:type="dxa"/>
            <w:tcBorders>
              <w:top w:val="nil"/>
              <w:left w:val="nil"/>
              <w:bottom w:val="nil"/>
              <w:right w:val="nil"/>
            </w:tcBorders>
            <w:shd w:val="clear" w:color="auto" w:fill="FFFFFF"/>
          </w:tcPr>
          <w:p>
            <w:pPr>
              <w:pStyle w:val="TableParagraph"/>
              <w:spacing w:before="42"/>
              <w:ind w:right="89"/>
              <w:jc w:val="right"/>
              <w:rPr>
                <w:sz w:val="19"/>
              </w:rPr>
            </w:pPr>
            <w:r>
              <w:rPr>
                <w:w w:val="111"/>
                <w:sz w:val="19"/>
              </w:rPr>
              <w:t>-</w:t>
            </w:r>
          </w:p>
          <w:p>
            <w:pPr>
              <w:pStyle w:val="TableParagraph"/>
              <w:spacing w:before="87"/>
              <w:ind w:right="89"/>
              <w:jc w:val="right"/>
              <w:rPr>
                <w:sz w:val="19"/>
              </w:rPr>
            </w:pPr>
            <w:r>
              <w:rPr>
                <w:w w:val="95"/>
                <w:sz w:val="19"/>
              </w:rPr>
              <w:t>734</w:t>
            </w:r>
          </w:p>
        </w:tc>
      </w:tr>
      <w:tr>
        <w:trPr>
          <w:trHeight w:val="280" w:hRule="atLeast"/>
        </w:trPr>
        <w:tc>
          <w:tcPr>
            <w:tcW w:w="3764" w:type="dxa"/>
            <w:tcBorders>
              <w:bottom w:val="nil"/>
            </w:tcBorders>
            <w:shd w:val="clear" w:color="auto" w:fill="F4F4F4"/>
          </w:tcPr>
          <w:p>
            <w:pPr>
              <w:pStyle w:val="TableParagraph"/>
              <w:ind w:left="112"/>
              <w:rPr>
                <w:sz w:val="10"/>
              </w:rPr>
            </w:pPr>
            <w:r>
              <w:rPr>
                <w:sz w:val="19"/>
              </w:rPr>
              <w:t>Receivables</w:t>
            </w:r>
            <w:r>
              <w:rPr>
                <w:position w:val="6"/>
                <w:sz w:val="10"/>
              </w:rPr>
              <w:t>(a)</w:t>
            </w:r>
          </w:p>
        </w:tc>
        <w:tc>
          <w:tcPr>
            <w:tcW w:w="1099" w:type="dxa"/>
            <w:tcBorders>
              <w:bottom w:val="nil"/>
            </w:tcBorders>
            <w:shd w:val="clear" w:color="auto" w:fill="F4F4F4"/>
          </w:tcPr>
          <w:p>
            <w:pPr>
              <w:pStyle w:val="TableParagraph"/>
              <w:ind w:right="90"/>
              <w:jc w:val="right"/>
              <w:rPr>
                <w:sz w:val="19"/>
              </w:rPr>
            </w:pPr>
            <w:r>
              <w:rPr>
                <w:w w:val="111"/>
                <w:sz w:val="19"/>
              </w:rPr>
              <w:t>-</w:t>
            </w:r>
          </w:p>
        </w:tc>
        <w:tc>
          <w:tcPr>
            <w:tcW w:w="1042" w:type="dxa"/>
            <w:tcBorders>
              <w:bottom w:val="nil"/>
            </w:tcBorders>
            <w:shd w:val="clear" w:color="auto" w:fill="F4F4F4"/>
          </w:tcPr>
          <w:p>
            <w:pPr>
              <w:pStyle w:val="TableParagraph"/>
              <w:ind w:right="89"/>
              <w:jc w:val="right"/>
              <w:rPr>
                <w:sz w:val="19"/>
              </w:rPr>
            </w:pPr>
            <w:r>
              <w:rPr>
                <w:w w:val="95"/>
                <w:sz w:val="19"/>
              </w:rPr>
              <w:t>130,929</w:t>
            </w:r>
          </w:p>
        </w:tc>
        <w:tc>
          <w:tcPr>
            <w:tcW w:w="1042" w:type="dxa"/>
            <w:tcBorders>
              <w:bottom w:val="nil"/>
            </w:tcBorders>
            <w:shd w:val="clear" w:color="auto" w:fill="F4F4F4"/>
          </w:tcPr>
          <w:p>
            <w:pPr>
              <w:pStyle w:val="TableParagraph"/>
              <w:ind w:right="87"/>
              <w:jc w:val="right"/>
              <w:rPr>
                <w:sz w:val="19"/>
              </w:rPr>
            </w:pPr>
            <w:r>
              <w:rPr>
                <w:w w:val="111"/>
                <w:sz w:val="19"/>
              </w:rPr>
              <w:t>-</w:t>
            </w:r>
          </w:p>
        </w:tc>
        <w:tc>
          <w:tcPr>
            <w:tcW w:w="1042" w:type="dxa"/>
            <w:tcBorders>
              <w:bottom w:val="nil"/>
            </w:tcBorders>
            <w:shd w:val="clear" w:color="auto" w:fill="F4F4F4"/>
          </w:tcPr>
          <w:p>
            <w:pPr>
              <w:pStyle w:val="TableParagraph"/>
              <w:ind w:right="86"/>
              <w:jc w:val="right"/>
              <w:rPr>
                <w:sz w:val="19"/>
              </w:rPr>
            </w:pPr>
            <w:r>
              <w:rPr>
                <w:w w:val="111"/>
                <w:sz w:val="19"/>
              </w:rPr>
              <w:t>-</w:t>
            </w:r>
          </w:p>
        </w:tc>
        <w:tc>
          <w:tcPr>
            <w:tcW w:w="1042" w:type="dxa"/>
            <w:tcBorders>
              <w:bottom w:val="nil"/>
              <w:right w:val="single" w:sz="4" w:space="0" w:color="000000"/>
            </w:tcBorders>
            <w:shd w:val="clear" w:color="auto" w:fill="F4F4F4"/>
          </w:tcPr>
          <w:p>
            <w:pPr>
              <w:pStyle w:val="TableParagraph"/>
              <w:ind w:right="90"/>
              <w:jc w:val="right"/>
              <w:rPr>
                <w:sz w:val="19"/>
              </w:rPr>
            </w:pPr>
            <w:r>
              <w:rPr>
                <w:w w:val="95"/>
                <w:sz w:val="19"/>
              </w:rPr>
              <w:t>130,929</w:t>
            </w:r>
          </w:p>
        </w:tc>
        <w:tc>
          <w:tcPr>
            <w:tcW w:w="1042" w:type="dxa"/>
            <w:vMerge w:val="restart"/>
            <w:tcBorders>
              <w:left w:val="single" w:sz="4" w:space="0" w:color="000000"/>
              <w:bottom w:val="single" w:sz="4" w:space="0" w:color="000000"/>
              <w:right w:val="single" w:sz="4" w:space="0" w:color="000000"/>
            </w:tcBorders>
            <w:shd w:val="clear" w:color="auto" w:fill="FAF9F9"/>
          </w:tcPr>
          <w:p>
            <w:pPr>
              <w:pStyle w:val="TableParagraph"/>
              <w:ind w:left="253"/>
              <w:rPr>
                <w:sz w:val="19"/>
              </w:rPr>
            </w:pPr>
            <w:r>
              <w:rPr>
                <w:sz w:val="19"/>
              </w:rPr>
              <w:t>130,929</w:t>
            </w:r>
          </w:p>
          <w:p>
            <w:pPr>
              <w:pStyle w:val="TableParagraph"/>
              <w:spacing w:before="87"/>
              <w:ind w:left="623"/>
              <w:rPr>
                <w:sz w:val="19"/>
              </w:rPr>
            </w:pPr>
            <w:r>
              <w:rPr>
                <w:sz w:val="19"/>
              </w:rPr>
              <w:t>686</w:t>
            </w:r>
          </w:p>
          <w:p>
            <w:pPr>
              <w:pStyle w:val="TableParagraph"/>
              <w:spacing w:before="88"/>
              <w:ind w:left="252"/>
              <w:rPr>
                <w:sz w:val="19"/>
              </w:rPr>
            </w:pPr>
            <w:r>
              <w:rPr>
                <w:sz w:val="19"/>
              </w:rPr>
              <w:t>523,863</w:t>
            </w:r>
          </w:p>
        </w:tc>
        <w:tc>
          <w:tcPr>
            <w:tcW w:w="1042" w:type="dxa"/>
            <w:tcBorders>
              <w:left w:val="single" w:sz="4" w:space="0" w:color="000000"/>
              <w:bottom w:val="nil"/>
            </w:tcBorders>
            <w:shd w:val="clear" w:color="auto" w:fill="F4F4F4"/>
          </w:tcPr>
          <w:p>
            <w:pPr>
              <w:pStyle w:val="TableParagraph"/>
              <w:ind w:right="83"/>
              <w:jc w:val="right"/>
              <w:rPr>
                <w:sz w:val="19"/>
              </w:rPr>
            </w:pPr>
            <w:r>
              <w:rPr>
                <w:w w:val="95"/>
                <w:sz w:val="19"/>
              </w:rPr>
              <w:t>128,981</w:t>
            </w:r>
          </w:p>
        </w:tc>
        <w:tc>
          <w:tcPr>
            <w:tcW w:w="1042" w:type="dxa"/>
            <w:tcBorders>
              <w:bottom w:val="nil"/>
            </w:tcBorders>
            <w:shd w:val="clear" w:color="auto" w:fill="F4F4F4"/>
          </w:tcPr>
          <w:p>
            <w:pPr>
              <w:pStyle w:val="TableParagraph"/>
              <w:ind w:right="82"/>
              <w:jc w:val="right"/>
              <w:rPr>
                <w:sz w:val="19"/>
              </w:rPr>
            </w:pPr>
            <w:r>
              <w:rPr>
                <w:w w:val="111"/>
                <w:sz w:val="19"/>
              </w:rPr>
              <w:t>-</w:t>
            </w:r>
          </w:p>
        </w:tc>
        <w:tc>
          <w:tcPr>
            <w:tcW w:w="1042" w:type="dxa"/>
            <w:tcBorders>
              <w:bottom w:val="nil"/>
            </w:tcBorders>
            <w:shd w:val="clear" w:color="auto" w:fill="F4F4F4"/>
          </w:tcPr>
          <w:p>
            <w:pPr>
              <w:pStyle w:val="TableParagraph"/>
              <w:ind w:right="81"/>
              <w:jc w:val="right"/>
              <w:rPr>
                <w:sz w:val="19"/>
              </w:rPr>
            </w:pPr>
            <w:r>
              <w:rPr>
                <w:w w:val="95"/>
                <w:sz w:val="19"/>
              </w:rPr>
              <w:t>1,413</w:t>
            </w:r>
          </w:p>
        </w:tc>
        <w:tc>
          <w:tcPr>
            <w:tcW w:w="1042" w:type="dxa"/>
            <w:tcBorders>
              <w:bottom w:val="nil"/>
            </w:tcBorders>
            <w:shd w:val="clear" w:color="auto" w:fill="F4F4F4"/>
          </w:tcPr>
          <w:p>
            <w:pPr>
              <w:pStyle w:val="TableParagraph"/>
              <w:ind w:right="80"/>
              <w:jc w:val="right"/>
              <w:rPr>
                <w:sz w:val="19"/>
              </w:rPr>
            </w:pPr>
            <w:r>
              <w:rPr>
                <w:w w:val="95"/>
                <w:sz w:val="19"/>
              </w:rPr>
              <w:t>535</w:t>
            </w:r>
          </w:p>
        </w:tc>
        <w:tc>
          <w:tcPr>
            <w:tcW w:w="1042" w:type="dxa"/>
            <w:tcBorders>
              <w:bottom w:val="nil"/>
              <w:right w:val="nil"/>
            </w:tcBorders>
            <w:shd w:val="clear" w:color="auto" w:fill="F4F4F4"/>
          </w:tcPr>
          <w:p>
            <w:pPr>
              <w:pStyle w:val="TableParagraph"/>
              <w:ind w:right="89"/>
              <w:jc w:val="right"/>
              <w:rPr>
                <w:sz w:val="19"/>
              </w:rPr>
            </w:pPr>
            <w:r>
              <w:rPr>
                <w:w w:val="111"/>
                <w:sz w:val="19"/>
              </w:rPr>
              <w:t>-</w:t>
            </w:r>
          </w:p>
        </w:tc>
      </w:tr>
      <w:tr>
        <w:trPr>
          <w:trHeight w:val="315" w:hRule="atLeast"/>
        </w:trPr>
        <w:tc>
          <w:tcPr>
            <w:tcW w:w="3764" w:type="dxa"/>
            <w:tcBorders>
              <w:top w:val="nil"/>
              <w:bottom w:val="nil"/>
              <w:right w:val="nil"/>
            </w:tcBorders>
            <w:shd w:val="clear" w:color="auto" w:fill="FAF9F9"/>
          </w:tcPr>
          <w:p>
            <w:pPr>
              <w:pStyle w:val="TableParagraph"/>
              <w:spacing w:before="47"/>
              <w:ind w:left="112"/>
              <w:rPr>
                <w:sz w:val="19"/>
              </w:rPr>
            </w:pPr>
            <w:r>
              <w:rPr>
                <w:sz w:val="19"/>
              </w:rPr>
              <w:t>Finance lease receivables</w:t>
            </w:r>
          </w:p>
        </w:tc>
        <w:tc>
          <w:tcPr>
            <w:tcW w:w="1099" w:type="dxa"/>
            <w:tcBorders>
              <w:top w:val="nil"/>
              <w:left w:val="nil"/>
              <w:bottom w:val="nil"/>
              <w:right w:val="nil"/>
            </w:tcBorders>
            <w:shd w:val="clear" w:color="auto" w:fill="FAF9F9"/>
          </w:tcPr>
          <w:p>
            <w:pPr>
              <w:pStyle w:val="TableParagraph"/>
              <w:spacing w:before="47"/>
              <w:ind w:right="100"/>
              <w:jc w:val="right"/>
              <w:rPr>
                <w:sz w:val="19"/>
              </w:rPr>
            </w:pPr>
            <w:r>
              <w:rPr>
                <w:w w:val="95"/>
                <w:sz w:val="19"/>
              </w:rPr>
              <w:t>3.64</w:t>
            </w:r>
          </w:p>
        </w:tc>
        <w:tc>
          <w:tcPr>
            <w:tcW w:w="1042" w:type="dxa"/>
            <w:tcBorders>
              <w:top w:val="nil"/>
              <w:left w:val="nil"/>
              <w:bottom w:val="nil"/>
              <w:right w:val="nil"/>
            </w:tcBorders>
            <w:shd w:val="clear" w:color="auto" w:fill="FAF9F9"/>
          </w:tcPr>
          <w:p>
            <w:pPr>
              <w:pStyle w:val="TableParagraph"/>
              <w:spacing w:before="47"/>
              <w:ind w:right="99"/>
              <w:jc w:val="right"/>
              <w:rPr>
                <w:sz w:val="19"/>
              </w:rPr>
            </w:pPr>
            <w:r>
              <w:rPr>
                <w:w w:val="95"/>
                <w:sz w:val="19"/>
              </w:rPr>
              <w:t>657</w:t>
            </w:r>
          </w:p>
        </w:tc>
        <w:tc>
          <w:tcPr>
            <w:tcW w:w="1042" w:type="dxa"/>
            <w:tcBorders>
              <w:top w:val="nil"/>
              <w:left w:val="nil"/>
              <w:bottom w:val="nil"/>
              <w:right w:val="nil"/>
            </w:tcBorders>
            <w:shd w:val="clear" w:color="auto" w:fill="FAF9F9"/>
          </w:tcPr>
          <w:p>
            <w:pPr>
              <w:pStyle w:val="TableParagraph"/>
              <w:spacing w:before="47"/>
              <w:ind w:right="98"/>
              <w:jc w:val="right"/>
              <w:rPr>
                <w:sz w:val="19"/>
              </w:rPr>
            </w:pPr>
            <w:r>
              <w:rPr>
                <w:w w:val="95"/>
                <w:sz w:val="19"/>
              </w:rPr>
              <w:t>657</w:t>
            </w:r>
          </w:p>
        </w:tc>
        <w:tc>
          <w:tcPr>
            <w:tcW w:w="1042" w:type="dxa"/>
            <w:tcBorders>
              <w:top w:val="nil"/>
              <w:left w:val="nil"/>
              <w:bottom w:val="nil"/>
              <w:right w:val="nil"/>
            </w:tcBorders>
            <w:shd w:val="clear" w:color="auto" w:fill="FAF9F9"/>
          </w:tcPr>
          <w:p>
            <w:pPr>
              <w:pStyle w:val="TableParagraph"/>
              <w:spacing w:before="47"/>
              <w:ind w:right="97"/>
              <w:jc w:val="right"/>
              <w:rPr>
                <w:sz w:val="19"/>
              </w:rPr>
            </w:pPr>
            <w:r>
              <w:rPr>
                <w:w w:val="111"/>
                <w:sz w:val="19"/>
              </w:rPr>
              <w:t>-</w:t>
            </w:r>
          </w:p>
        </w:tc>
        <w:tc>
          <w:tcPr>
            <w:tcW w:w="1042" w:type="dxa"/>
            <w:tcBorders>
              <w:top w:val="nil"/>
              <w:left w:val="nil"/>
              <w:bottom w:val="nil"/>
              <w:right w:val="single" w:sz="4" w:space="0" w:color="000000"/>
            </w:tcBorders>
            <w:shd w:val="clear" w:color="auto" w:fill="FAF9F9"/>
          </w:tcPr>
          <w:p>
            <w:pPr>
              <w:pStyle w:val="TableParagraph"/>
              <w:spacing w:before="47"/>
              <w:ind w:right="91"/>
              <w:jc w:val="right"/>
              <w:rPr>
                <w:sz w:val="19"/>
              </w:rPr>
            </w:pPr>
            <w:r>
              <w:rPr>
                <w:w w:val="111"/>
                <w:sz w:val="19"/>
              </w:rPr>
              <w:t>-</w:t>
            </w:r>
          </w:p>
        </w:tc>
        <w:tc>
          <w:tcPr>
            <w:tcW w:w="1042" w:type="dxa"/>
            <w:vMerge/>
            <w:tcBorders>
              <w:top w:val="nil"/>
              <w:left w:val="single" w:sz="4" w:space="0" w:color="000000"/>
              <w:bottom w:val="single" w:sz="4" w:space="0" w:color="000000"/>
              <w:right w:val="single" w:sz="4" w:space="0" w:color="000000"/>
            </w:tcBorders>
            <w:shd w:val="clear" w:color="auto" w:fill="FAF9F9"/>
          </w:tcPr>
          <w:p>
            <w:pPr>
              <w:rPr>
                <w:sz w:val="2"/>
                <w:szCs w:val="2"/>
              </w:rPr>
            </w:pPr>
          </w:p>
        </w:tc>
        <w:tc>
          <w:tcPr>
            <w:tcW w:w="1042" w:type="dxa"/>
            <w:tcBorders>
              <w:top w:val="nil"/>
              <w:left w:val="single" w:sz="4" w:space="0" w:color="000000"/>
              <w:bottom w:val="nil"/>
              <w:right w:val="nil"/>
            </w:tcBorders>
            <w:shd w:val="clear" w:color="auto" w:fill="FAF9F9"/>
          </w:tcPr>
          <w:p>
            <w:pPr>
              <w:pStyle w:val="TableParagraph"/>
              <w:spacing w:before="47"/>
              <w:ind w:right="93"/>
              <w:jc w:val="right"/>
              <w:rPr>
                <w:sz w:val="19"/>
              </w:rPr>
            </w:pPr>
            <w:r>
              <w:rPr>
                <w:w w:val="95"/>
                <w:sz w:val="19"/>
              </w:rPr>
              <w:t>19</w:t>
            </w:r>
          </w:p>
        </w:tc>
        <w:tc>
          <w:tcPr>
            <w:tcW w:w="1042" w:type="dxa"/>
            <w:tcBorders>
              <w:top w:val="nil"/>
              <w:left w:val="nil"/>
              <w:bottom w:val="nil"/>
              <w:right w:val="nil"/>
            </w:tcBorders>
            <w:shd w:val="clear" w:color="auto" w:fill="FAF9F9"/>
          </w:tcPr>
          <w:p>
            <w:pPr>
              <w:pStyle w:val="TableParagraph"/>
              <w:spacing w:before="47"/>
              <w:ind w:right="92"/>
              <w:jc w:val="right"/>
              <w:rPr>
                <w:sz w:val="19"/>
              </w:rPr>
            </w:pPr>
            <w:r>
              <w:rPr>
                <w:w w:val="95"/>
                <w:sz w:val="19"/>
              </w:rPr>
              <w:t>95</w:t>
            </w:r>
          </w:p>
        </w:tc>
        <w:tc>
          <w:tcPr>
            <w:tcW w:w="1042" w:type="dxa"/>
            <w:tcBorders>
              <w:top w:val="nil"/>
              <w:left w:val="nil"/>
              <w:bottom w:val="nil"/>
              <w:right w:val="nil"/>
            </w:tcBorders>
            <w:shd w:val="clear" w:color="auto" w:fill="FAF9F9"/>
          </w:tcPr>
          <w:p>
            <w:pPr>
              <w:pStyle w:val="TableParagraph"/>
              <w:spacing w:before="47"/>
              <w:ind w:right="91"/>
              <w:jc w:val="right"/>
              <w:rPr>
                <w:sz w:val="19"/>
              </w:rPr>
            </w:pPr>
            <w:r>
              <w:rPr>
                <w:w w:val="95"/>
                <w:sz w:val="19"/>
              </w:rPr>
              <w:t>314</w:t>
            </w:r>
          </w:p>
        </w:tc>
        <w:tc>
          <w:tcPr>
            <w:tcW w:w="1042" w:type="dxa"/>
            <w:tcBorders>
              <w:top w:val="nil"/>
              <w:left w:val="nil"/>
              <w:bottom w:val="nil"/>
              <w:right w:val="nil"/>
            </w:tcBorders>
            <w:shd w:val="clear" w:color="auto" w:fill="FAF9F9"/>
          </w:tcPr>
          <w:p>
            <w:pPr>
              <w:pStyle w:val="TableParagraph"/>
              <w:spacing w:before="47"/>
              <w:ind w:right="90"/>
              <w:jc w:val="right"/>
              <w:rPr>
                <w:sz w:val="19"/>
              </w:rPr>
            </w:pPr>
            <w:r>
              <w:rPr>
                <w:w w:val="95"/>
                <w:sz w:val="19"/>
              </w:rPr>
              <w:t>227</w:t>
            </w:r>
          </w:p>
        </w:tc>
        <w:tc>
          <w:tcPr>
            <w:tcW w:w="1042" w:type="dxa"/>
            <w:tcBorders>
              <w:top w:val="nil"/>
              <w:left w:val="nil"/>
              <w:bottom w:val="nil"/>
              <w:right w:val="nil"/>
            </w:tcBorders>
            <w:shd w:val="clear" w:color="auto" w:fill="FAF9F9"/>
          </w:tcPr>
          <w:p>
            <w:pPr>
              <w:pStyle w:val="TableParagraph"/>
              <w:spacing w:before="47"/>
              <w:ind w:right="89"/>
              <w:jc w:val="right"/>
              <w:rPr>
                <w:sz w:val="19"/>
              </w:rPr>
            </w:pPr>
            <w:r>
              <w:rPr>
                <w:w w:val="95"/>
                <w:sz w:val="19"/>
              </w:rPr>
              <w:t>31</w:t>
            </w:r>
          </w:p>
        </w:tc>
      </w:tr>
      <w:tr>
        <w:trPr>
          <w:trHeight w:val="285" w:hRule="atLeast"/>
        </w:trPr>
        <w:tc>
          <w:tcPr>
            <w:tcW w:w="3764" w:type="dxa"/>
            <w:vMerge w:val="restart"/>
            <w:tcBorders>
              <w:top w:val="nil"/>
              <w:left w:val="nil"/>
              <w:bottom w:val="nil"/>
              <w:right w:val="nil"/>
            </w:tcBorders>
            <w:shd w:val="clear" w:color="auto" w:fill="FFFFFF"/>
          </w:tcPr>
          <w:p>
            <w:pPr>
              <w:pStyle w:val="TableParagraph"/>
              <w:spacing w:before="27"/>
              <w:ind w:left="122"/>
              <w:rPr>
                <w:sz w:val="19"/>
              </w:rPr>
            </w:pPr>
            <w:r>
              <w:rPr>
                <w:sz w:val="19"/>
              </w:rPr>
              <w:t>Amounts receivable for services</w:t>
            </w:r>
          </w:p>
        </w:tc>
        <w:tc>
          <w:tcPr>
            <w:tcW w:w="1099" w:type="dxa"/>
            <w:vMerge w:val="restart"/>
            <w:tcBorders>
              <w:top w:val="nil"/>
              <w:left w:val="nil"/>
              <w:bottom w:val="nil"/>
              <w:right w:val="nil"/>
            </w:tcBorders>
            <w:shd w:val="clear" w:color="auto" w:fill="FFFFFF"/>
          </w:tcPr>
          <w:p>
            <w:pPr>
              <w:pStyle w:val="TableParagraph"/>
              <w:spacing w:before="27"/>
              <w:ind w:right="100"/>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9"/>
              <w:jc w:val="right"/>
              <w:rPr>
                <w:sz w:val="19"/>
              </w:rPr>
            </w:pPr>
            <w:r>
              <w:rPr>
                <w:w w:val="95"/>
                <w:sz w:val="19"/>
              </w:rPr>
              <w:t>523,863</w:t>
            </w:r>
          </w:p>
        </w:tc>
        <w:tc>
          <w:tcPr>
            <w:tcW w:w="1042" w:type="dxa"/>
            <w:tcBorders>
              <w:top w:val="nil"/>
              <w:bottom w:val="single" w:sz="4" w:space="0" w:color="000000"/>
            </w:tcBorders>
            <w:shd w:val="clear" w:color="auto" w:fill="F4F4F4"/>
          </w:tcPr>
          <w:p>
            <w:pPr>
              <w:pStyle w:val="TableParagraph"/>
              <w:spacing w:before="27"/>
              <w:ind w:right="88"/>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7"/>
              <w:jc w:val="right"/>
              <w:rPr>
                <w:sz w:val="19"/>
              </w:rPr>
            </w:pPr>
            <w:r>
              <w:rPr>
                <w:w w:val="111"/>
                <w:sz w:val="19"/>
              </w:rPr>
              <w:t>-</w:t>
            </w:r>
          </w:p>
        </w:tc>
        <w:tc>
          <w:tcPr>
            <w:tcW w:w="1042" w:type="dxa"/>
            <w:tcBorders>
              <w:top w:val="nil"/>
              <w:bottom w:val="single" w:sz="4" w:space="0" w:color="000000"/>
              <w:right w:val="single" w:sz="4" w:space="0" w:color="000000"/>
            </w:tcBorders>
            <w:shd w:val="clear" w:color="auto" w:fill="F4F4F4"/>
          </w:tcPr>
          <w:p>
            <w:pPr>
              <w:pStyle w:val="TableParagraph"/>
              <w:spacing w:before="27"/>
              <w:ind w:right="91"/>
              <w:jc w:val="right"/>
              <w:rPr>
                <w:sz w:val="19"/>
              </w:rPr>
            </w:pPr>
            <w:r>
              <w:rPr>
                <w:w w:val="95"/>
                <w:sz w:val="19"/>
              </w:rPr>
              <w:t>523,863</w:t>
            </w:r>
          </w:p>
        </w:tc>
        <w:tc>
          <w:tcPr>
            <w:tcW w:w="1042" w:type="dxa"/>
            <w:vMerge/>
            <w:tcBorders>
              <w:top w:val="nil"/>
              <w:left w:val="single" w:sz="4" w:space="0" w:color="000000"/>
              <w:bottom w:val="single" w:sz="4" w:space="0" w:color="000000"/>
              <w:right w:val="single" w:sz="4" w:space="0" w:color="000000"/>
            </w:tcBorders>
            <w:shd w:val="clear" w:color="auto" w:fill="FAF9F9"/>
          </w:tcPr>
          <w:p>
            <w:pPr>
              <w:rPr>
                <w:sz w:val="2"/>
                <w:szCs w:val="2"/>
              </w:rPr>
            </w:pPr>
          </w:p>
        </w:tc>
        <w:tc>
          <w:tcPr>
            <w:tcW w:w="1042" w:type="dxa"/>
            <w:tcBorders>
              <w:top w:val="nil"/>
              <w:left w:val="single" w:sz="4" w:space="0" w:color="000000"/>
              <w:bottom w:val="single" w:sz="4" w:space="0" w:color="000000"/>
            </w:tcBorders>
            <w:shd w:val="clear" w:color="auto" w:fill="F4F4F4"/>
          </w:tcPr>
          <w:p>
            <w:pPr>
              <w:pStyle w:val="TableParagraph"/>
              <w:spacing w:before="27"/>
              <w:ind w:right="84"/>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3"/>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2"/>
              <w:jc w:val="right"/>
              <w:rPr>
                <w:sz w:val="19"/>
              </w:rPr>
            </w:pPr>
            <w:r>
              <w:rPr>
                <w:w w:val="95"/>
                <w:sz w:val="19"/>
              </w:rPr>
              <w:t>779</w:t>
            </w:r>
          </w:p>
        </w:tc>
        <w:tc>
          <w:tcPr>
            <w:tcW w:w="1042" w:type="dxa"/>
            <w:tcBorders>
              <w:top w:val="nil"/>
              <w:bottom w:val="single" w:sz="4" w:space="0" w:color="000000"/>
            </w:tcBorders>
            <w:shd w:val="clear" w:color="auto" w:fill="F4F4F4"/>
          </w:tcPr>
          <w:p>
            <w:pPr>
              <w:pStyle w:val="TableParagraph"/>
              <w:spacing w:before="27"/>
              <w:ind w:right="82"/>
              <w:jc w:val="right"/>
              <w:rPr>
                <w:sz w:val="19"/>
              </w:rPr>
            </w:pPr>
            <w:r>
              <w:rPr>
                <w:w w:val="95"/>
                <w:sz w:val="19"/>
              </w:rPr>
              <w:t>3,270</w:t>
            </w:r>
          </w:p>
        </w:tc>
        <w:tc>
          <w:tcPr>
            <w:tcW w:w="1042" w:type="dxa"/>
            <w:tcBorders>
              <w:top w:val="nil"/>
              <w:bottom w:val="single" w:sz="4" w:space="0" w:color="000000"/>
              <w:right w:val="nil"/>
            </w:tcBorders>
            <w:shd w:val="clear" w:color="auto" w:fill="F4F4F4"/>
          </w:tcPr>
          <w:p>
            <w:pPr>
              <w:pStyle w:val="TableParagraph"/>
              <w:spacing w:before="27"/>
              <w:ind w:right="89"/>
              <w:jc w:val="right"/>
              <w:rPr>
                <w:sz w:val="19"/>
              </w:rPr>
            </w:pPr>
            <w:r>
              <w:rPr>
                <w:w w:val="95"/>
                <w:sz w:val="19"/>
              </w:rPr>
              <w:t>519,814</w:t>
            </w:r>
          </w:p>
        </w:tc>
      </w:tr>
      <w:tr>
        <w:trPr>
          <w:trHeight w:val="278" w:hRule="atLeast"/>
        </w:trPr>
        <w:tc>
          <w:tcPr>
            <w:tcW w:w="3764" w:type="dxa"/>
            <w:vMerge/>
            <w:tcBorders>
              <w:top w:val="nil"/>
              <w:left w:val="nil"/>
              <w:bottom w:val="nil"/>
              <w:right w:val="nil"/>
            </w:tcBorders>
            <w:shd w:val="clear" w:color="auto" w:fill="FFFFFF"/>
          </w:tcPr>
          <w:p>
            <w:pPr>
              <w:rPr>
                <w:sz w:val="2"/>
                <w:szCs w:val="2"/>
              </w:rPr>
            </w:pPr>
          </w:p>
        </w:tc>
        <w:tc>
          <w:tcPr>
            <w:tcW w:w="1099" w:type="dxa"/>
            <w:vMerge/>
            <w:tcBorders>
              <w:top w:val="nil"/>
              <w:left w:val="nil"/>
              <w:bottom w:val="nil"/>
              <w:right w:val="nil"/>
            </w:tcBorders>
            <w:shd w:val="clear" w:color="auto" w:fill="FFFFFF"/>
          </w:tcPr>
          <w:p>
            <w:pPr>
              <w:rPr>
                <w:sz w:val="2"/>
                <w:szCs w:val="2"/>
              </w:rPr>
            </w:pP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100"/>
              <w:jc w:val="right"/>
              <w:rPr>
                <w:b/>
                <w:sz w:val="19"/>
              </w:rPr>
            </w:pPr>
            <w:r>
              <w:rPr>
                <w:b/>
                <w:w w:val="95"/>
                <w:sz w:val="19"/>
              </w:rPr>
              <w:t>733,074</w:t>
            </w: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99"/>
              <w:jc w:val="right"/>
              <w:rPr>
                <w:b/>
                <w:sz w:val="19"/>
              </w:rPr>
            </w:pPr>
            <w:r>
              <w:rPr>
                <w:b/>
                <w:w w:val="95"/>
                <w:sz w:val="19"/>
              </w:rPr>
              <w:t>657</w:t>
            </w: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97"/>
              <w:jc w:val="right"/>
              <w:rPr>
                <w:b/>
                <w:sz w:val="19"/>
              </w:rPr>
            </w:pPr>
            <w:r>
              <w:rPr>
                <w:b/>
                <w:w w:val="95"/>
                <w:sz w:val="19"/>
              </w:rPr>
              <w:t>11,960</w:t>
            </w:r>
          </w:p>
        </w:tc>
        <w:tc>
          <w:tcPr>
            <w:tcW w:w="1042" w:type="dxa"/>
            <w:tcBorders>
              <w:top w:val="single" w:sz="4" w:space="0" w:color="000000"/>
              <w:left w:val="nil"/>
              <w:bottom w:val="double" w:sz="2" w:space="0" w:color="000000"/>
              <w:right w:val="single" w:sz="4" w:space="0" w:color="000000"/>
            </w:tcBorders>
            <w:shd w:val="clear" w:color="auto" w:fill="FFFFFF"/>
          </w:tcPr>
          <w:p>
            <w:pPr>
              <w:pStyle w:val="TableParagraph"/>
              <w:spacing w:before="37"/>
              <w:ind w:right="91"/>
              <w:jc w:val="right"/>
              <w:rPr>
                <w:b/>
                <w:sz w:val="19"/>
              </w:rPr>
            </w:pPr>
            <w:r>
              <w:rPr>
                <w:b/>
                <w:w w:val="95"/>
                <w:sz w:val="19"/>
              </w:rPr>
              <w:t>720,457</w:t>
            </w:r>
          </w:p>
        </w:tc>
        <w:tc>
          <w:tcPr>
            <w:tcW w:w="1042" w:type="dxa"/>
            <w:tcBorders>
              <w:top w:val="single" w:sz="4" w:space="0" w:color="000000"/>
              <w:left w:val="single" w:sz="4" w:space="0" w:color="000000"/>
              <w:bottom w:val="double" w:sz="2" w:space="0" w:color="000000"/>
              <w:right w:val="single" w:sz="4" w:space="0" w:color="000000"/>
            </w:tcBorders>
            <w:shd w:val="clear" w:color="auto" w:fill="FAF9F9"/>
          </w:tcPr>
          <w:p>
            <w:pPr>
              <w:pStyle w:val="TableParagraph"/>
              <w:spacing w:before="37"/>
              <w:ind w:right="90"/>
              <w:jc w:val="right"/>
              <w:rPr>
                <w:b/>
                <w:sz w:val="19"/>
              </w:rPr>
            </w:pPr>
            <w:r>
              <w:rPr>
                <w:b/>
                <w:w w:val="95"/>
                <w:sz w:val="19"/>
              </w:rPr>
              <w:t>733,103</w:t>
            </w:r>
          </w:p>
        </w:tc>
        <w:tc>
          <w:tcPr>
            <w:tcW w:w="1042" w:type="dxa"/>
            <w:tcBorders>
              <w:top w:val="single" w:sz="4" w:space="0" w:color="000000"/>
              <w:left w:val="single" w:sz="4" w:space="0" w:color="000000"/>
              <w:bottom w:val="double" w:sz="2" w:space="0" w:color="000000"/>
              <w:right w:val="nil"/>
            </w:tcBorders>
            <w:shd w:val="clear" w:color="auto" w:fill="FAF9F9"/>
          </w:tcPr>
          <w:p>
            <w:pPr>
              <w:pStyle w:val="TableParagraph"/>
              <w:spacing w:before="37"/>
              <w:ind w:right="94"/>
              <w:jc w:val="right"/>
              <w:rPr>
                <w:b/>
                <w:sz w:val="19"/>
              </w:rPr>
            </w:pPr>
            <w:r>
              <w:rPr>
                <w:b/>
                <w:w w:val="95"/>
                <w:sz w:val="19"/>
              </w:rPr>
              <w:t>204,890</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3"/>
              <w:jc w:val="right"/>
              <w:rPr>
                <w:b/>
                <w:sz w:val="19"/>
              </w:rPr>
            </w:pPr>
            <w:r>
              <w:rPr>
                <w:b/>
                <w:w w:val="95"/>
                <w:sz w:val="19"/>
              </w:rPr>
              <w:t>95</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2"/>
              <w:jc w:val="right"/>
              <w:rPr>
                <w:b/>
                <w:sz w:val="19"/>
              </w:rPr>
            </w:pPr>
            <w:r>
              <w:rPr>
                <w:b/>
                <w:w w:val="95"/>
                <w:sz w:val="19"/>
              </w:rPr>
              <w:t>3,452</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1"/>
              <w:jc w:val="right"/>
              <w:rPr>
                <w:b/>
                <w:sz w:val="19"/>
              </w:rPr>
            </w:pPr>
            <w:r>
              <w:rPr>
                <w:b/>
                <w:w w:val="95"/>
                <w:sz w:val="19"/>
              </w:rPr>
              <w:t>4,087</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0"/>
              <w:jc w:val="right"/>
              <w:rPr>
                <w:b/>
                <w:sz w:val="19"/>
              </w:rPr>
            </w:pPr>
            <w:r>
              <w:rPr>
                <w:b/>
                <w:w w:val="95"/>
                <w:sz w:val="19"/>
              </w:rPr>
              <w:t>520,579</w:t>
            </w:r>
          </w:p>
        </w:tc>
      </w:tr>
      <w:tr>
        <w:trPr>
          <w:trHeight w:val="273" w:hRule="atLeast"/>
        </w:trPr>
        <w:tc>
          <w:tcPr>
            <w:tcW w:w="3764" w:type="dxa"/>
            <w:shd w:val="clear" w:color="auto" w:fill="F4F4F4"/>
          </w:tcPr>
          <w:p>
            <w:pPr>
              <w:pStyle w:val="TableParagraph"/>
              <w:spacing w:before="0"/>
              <w:rPr>
                <w:rFonts w:ascii="Times New Roman"/>
                <w:sz w:val="20"/>
              </w:rPr>
            </w:pPr>
          </w:p>
        </w:tc>
        <w:tc>
          <w:tcPr>
            <w:tcW w:w="1099" w:type="dxa"/>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righ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left w:val="single" w:sz="4" w:space="0" w:color="000000"/>
              <w:righ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lef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right w:val="nil"/>
            </w:tcBorders>
            <w:shd w:val="clear" w:color="auto" w:fill="F4F4F4"/>
          </w:tcPr>
          <w:p>
            <w:pPr>
              <w:pStyle w:val="TableParagraph"/>
              <w:spacing w:before="0"/>
              <w:rPr>
                <w:rFonts w:ascii="Times New Roman"/>
                <w:sz w:val="20"/>
              </w:rPr>
            </w:pPr>
          </w:p>
        </w:tc>
      </w:tr>
      <w:tr>
        <w:trPr>
          <w:trHeight w:val="285" w:hRule="atLeast"/>
        </w:trPr>
        <w:tc>
          <w:tcPr>
            <w:tcW w:w="9031" w:type="dxa"/>
            <w:gridSpan w:val="6"/>
            <w:tcBorders>
              <w:right w:val="single" w:sz="4" w:space="0" w:color="000000"/>
            </w:tcBorders>
            <w:shd w:val="clear" w:color="auto" w:fill="FAF9F9"/>
          </w:tcPr>
          <w:p>
            <w:pPr>
              <w:pStyle w:val="TableParagraph"/>
              <w:ind w:left="111"/>
              <w:rPr>
                <w:i/>
                <w:sz w:val="19"/>
              </w:rPr>
            </w:pPr>
            <w:r>
              <w:rPr>
                <w:i/>
                <w:color w:val="6F2770"/>
                <w:sz w:val="19"/>
              </w:rPr>
              <w:t>Financial liabilities</w:t>
            </w:r>
          </w:p>
        </w:tc>
        <w:tc>
          <w:tcPr>
            <w:tcW w:w="1042" w:type="dxa"/>
            <w:tcBorders>
              <w:left w:val="single" w:sz="4" w:space="0" w:color="000000"/>
              <w:right w:val="single" w:sz="4" w:space="0" w:color="000000"/>
            </w:tcBorders>
            <w:shd w:val="clear" w:color="auto" w:fill="FAF9F9"/>
          </w:tcPr>
          <w:p>
            <w:pPr>
              <w:pStyle w:val="TableParagraph"/>
              <w:spacing w:before="0"/>
              <w:rPr>
                <w:rFonts w:ascii="Times New Roman"/>
                <w:sz w:val="20"/>
              </w:rPr>
            </w:pPr>
          </w:p>
        </w:tc>
        <w:tc>
          <w:tcPr>
            <w:tcW w:w="5210" w:type="dxa"/>
            <w:gridSpan w:val="5"/>
            <w:tcBorders>
              <w:left w:val="single" w:sz="4" w:space="0" w:color="000000"/>
              <w:right w:val="nil"/>
            </w:tcBorders>
            <w:shd w:val="clear" w:color="auto" w:fill="FAF9F9"/>
          </w:tcPr>
          <w:p>
            <w:pPr>
              <w:pStyle w:val="TableParagraph"/>
              <w:spacing w:before="0"/>
              <w:rPr>
                <w:rFonts w:ascii="Times New Roman"/>
                <w:sz w:val="20"/>
              </w:rPr>
            </w:pPr>
          </w:p>
        </w:tc>
      </w:tr>
      <w:tr>
        <w:trPr>
          <w:trHeight w:val="285" w:hRule="atLeast"/>
        </w:trPr>
        <w:tc>
          <w:tcPr>
            <w:tcW w:w="3764" w:type="dxa"/>
            <w:shd w:val="clear" w:color="auto" w:fill="F4F4F4"/>
          </w:tcPr>
          <w:p>
            <w:pPr>
              <w:pStyle w:val="TableParagraph"/>
              <w:ind w:left="111"/>
              <w:rPr>
                <w:sz w:val="10"/>
              </w:rPr>
            </w:pPr>
            <w:r>
              <w:rPr>
                <w:sz w:val="19"/>
              </w:rPr>
              <w:t>Payables</w:t>
            </w:r>
            <w:r>
              <w:rPr>
                <w:position w:val="6"/>
                <w:sz w:val="10"/>
              </w:rPr>
              <w:t>(b)</w:t>
            </w:r>
          </w:p>
        </w:tc>
        <w:tc>
          <w:tcPr>
            <w:tcW w:w="1099" w:type="dxa"/>
            <w:shd w:val="clear" w:color="auto" w:fill="F4F4F4"/>
          </w:tcPr>
          <w:p>
            <w:pPr>
              <w:pStyle w:val="TableParagraph"/>
              <w:ind w:right="90"/>
              <w:jc w:val="right"/>
              <w:rPr>
                <w:sz w:val="19"/>
              </w:rPr>
            </w:pPr>
            <w:r>
              <w:rPr>
                <w:w w:val="111"/>
                <w:sz w:val="19"/>
              </w:rPr>
              <w:t>-</w:t>
            </w:r>
          </w:p>
        </w:tc>
        <w:tc>
          <w:tcPr>
            <w:tcW w:w="1042" w:type="dxa"/>
            <w:shd w:val="clear" w:color="auto" w:fill="F4F4F4"/>
          </w:tcPr>
          <w:p>
            <w:pPr>
              <w:pStyle w:val="TableParagraph"/>
              <w:ind w:right="89"/>
              <w:jc w:val="right"/>
              <w:rPr>
                <w:sz w:val="19"/>
              </w:rPr>
            </w:pPr>
            <w:r>
              <w:rPr>
                <w:w w:val="95"/>
                <w:sz w:val="19"/>
              </w:rPr>
              <w:t>112,770</w:t>
            </w:r>
          </w:p>
        </w:tc>
        <w:tc>
          <w:tcPr>
            <w:tcW w:w="1042" w:type="dxa"/>
            <w:shd w:val="clear" w:color="auto" w:fill="F4F4F4"/>
          </w:tcPr>
          <w:p>
            <w:pPr>
              <w:pStyle w:val="TableParagraph"/>
              <w:ind w:right="87"/>
              <w:jc w:val="right"/>
              <w:rPr>
                <w:sz w:val="19"/>
              </w:rPr>
            </w:pPr>
            <w:r>
              <w:rPr>
                <w:w w:val="111"/>
                <w:sz w:val="19"/>
              </w:rPr>
              <w:t>-</w:t>
            </w:r>
          </w:p>
        </w:tc>
        <w:tc>
          <w:tcPr>
            <w:tcW w:w="1042" w:type="dxa"/>
            <w:shd w:val="clear" w:color="auto" w:fill="F4F4F4"/>
          </w:tcPr>
          <w:p>
            <w:pPr>
              <w:pStyle w:val="TableParagraph"/>
              <w:ind w:right="86"/>
              <w:jc w:val="right"/>
              <w:rPr>
                <w:sz w:val="19"/>
              </w:rPr>
            </w:pPr>
            <w:r>
              <w:rPr>
                <w:w w:val="111"/>
                <w:sz w:val="19"/>
              </w:rPr>
              <w:t>-</w:t>
            </w:r>
          </w:p>
        </w:tc>
        <w:tc>
          <w:tcPr>
            <w:tcW w:w="1042" w:type="dxa"/>
            <w:tcBorders>
              <w:right w:val="single" w:sz="4" w:space="0" w:color="000000"/>
            </w:tcBorders>
            <w:shd w:val="clear" w:color="auto" w:fill="F4F4F4"/>
          </w:tcPr>
          <w:p>
            <w:pPr>
              <w:pStyle w:val="TableParagraph"/>
              <w:ind w:right="90"/>
              <w:jc w:val="right"/>
              <w:rPr>
                <w:sz w:val="19"/>
              </w:rPr>
            </w:pPr>
            <w:r>
              <w:rPr>
                <w:w w:val="95"/>
                <w:sz w:val="19"/>
              </w:rPr>
              <w:t>112,770</w:t>
            </w:r>
          </w:p>
        </w:tc>
        <w:tc>
          <w:tcPr>
            <w:tcW w:w="1042" w:type="dxa"/>
            <w:tcBorders>
              <w:left w:val="single" w:sz="4" w:space="0" w:color="000000"/>
              <w:right w:val="single" w:sz="4" w:space="0" w:color="000000"/>
            </w:tcBorders>
            <w:shd w:val="clear" w:color="auto" w:fill="F4F4F4"/>
          </w:tcPr>
          <w:p>
            <w:pPr>
              <w:pStyle w:val="TableParagraph"/>
              <w:ind w:right="89"/>
              <w:jc w:val="right"/>
              <w:rPr>
                <w:sz w:val="19"/>
              </w:rPr>
            </w:pPr>
            <w:r>
              <w:rPr>
                <w:w w:val="95"/>
                <w:sz w:val="19"/>
              </w:rPr>
              <w:t>112,770</w:t>
            </w:r>
          </w:p>
        </w:tc>
        <w:tc>
          <w:tcPr>
            <w:tcW w:w="1042" w:type="dxa"/>
            <w:tcBorders>
              <w:left w:val="single" w:sz="4" w:space="0" w:color="000000"/>
            </w:tcBorders>
            <w:shd w:val="clear" w:color="auto" w:fill="F4F4F4"/>
          </w:tcPr>
          <w:p>
            <w:pPr>
              <w:pStyle w:val="TableParagraph"/>
              <w:ind w:right="83"/>
              <w:jc w:val="right"/>
              <w:rPr>
                <w:sz w:val="19"/>
              </w:rPr>
            </w:pPr>
            <w:r>
              <w:rPr>
                <w:w w:val="95"/>
                <w:sz w:val="19"/>
              </w:rPr>
              <w:t>112,765</w:t>
            </w:r>
          </w:p>
        </w:tc>
        <w:tc>
          <w:tcPr>
            <w:tcW w:w="1042" w:type="dxa"/>
            <w:shd w:val="clear" w:color="auto" w:fill="F4F4F4"/>
          </w:tcPr>
          <w:p>
            <w:pPr>
              <w:pStyle w:val="TableParagraph"/>
              <w:ind w:right="82"/>
              <w:jc w:val="right"/>
              <w:rPr>
                <w:sz w:val="19"/>
              </w:rPr>
            </w:pPr>
            <w:r>
              <w:rPr>
                <w:w w:val="99"/>
                <w:sz w:val="19"/>
              </w:rPr>
              <w:t>5</w:t>
            </w:r>
          </w:p>
        </w:tc>
        <w:tc>
          <w:tcPr>
            <w:tcW w:w="1042" w:type="dxa"/>
            <w:shd w:val="clear" w:color="auto" w:fill="F4F4F4"/>
          </w:tcPr>
          <w:p>
            <w:pPr>
              <w:pStyle w:val="TableParagraph"/>
              <w:ind w:right="81"/>
              <w:jc w:val="right"/>
              <w:rPr>
                <w:sz w:val="19"/>
              </w:rPr>
            </w:pPr>
            <w:r>
              <w:rPr>
                <w:w w:val="111"/>
                <w:sz w:val="19"/>
              </w:rPr>
              <w:t>-</w:t>
            </w:r>
          </w:p>
        </w:tc>
        <w:tc>
          <w:tcPr>
            <w:tcW w:w="1042" w:type="dxa"/>
            <w:shd w:val="clear" w:color="auto" w:fill="F4F4F4"/>
          </w:tcPr>
          <w:p>
            <w:pPr>
              <w:pStyle w:val="TableParagraph"/>
              <w:ind w:right="80"/>
              <w:jc w:val="right"/>
              <w:rPr>
                <w:sz w:val="19"/>
              </w:rPr>
            </w:pPr>
            <w:r>
              <w:rPr>
                <w:w w:val="111"/>
                <w:sz w:val="19"/>
              </w:rPr>
              <w:t>-</w:t>
            </w:r>
          </w:p>
        </w:tc>
        <w:tc>
          <w:tcPr>
            <w:tcW w:w="1042" w:type="dxa"/>
            <w:tcBorders>
              <w:right w:val="nil"/>
            </w:tcBorders>
            <w:shd w:val="clear" w:color="auto" w:fill="F4F4F4"/>
          </w:tcPr>
          <w:p>
            <w:pPr>
              <w:pStyle w:val="TableParagraph"/>
              <w:ind w:right="89"/>
              <w:jc w:val="right"/>
              <w:rPr>
                <w:sz w:val="19"/>
              </w:rPr>
            </w:pPr>
            <w:r>
              <w:rPr>
                <w:w w:val="111"/>
                <w:sz w:val="19"/>
              </w:rPr>
              <w:t>-</w:t>
            </w:r>
          </w:p>
        </w:tc>
      </w:tr>
      <w:tr>
        <w:trPr>
          <w:trHeight w:val="285" w:hRule="atLeast"/>
        </w:trPr>
        <w:tc>
          <w:tcPr>
            <w:tcW w:w="3764" w:type="dxa"/>
            <w:tcBorders>
              <w:right w:val="nil"/>
            </w:tcBorders>
            <w:shd w:val="clear" w:color="auto" w:fill="FAF9F9"/>
          </w:tcPr>
          <w:p>
            <w:pPr>
              <w:pStyle w:val="TableParagraph"/>
              <w:ind w:left="112"/>
              <w:rPr>
                <w:sz w:val="19"/>
              </w:rPr>
            </w:pPr>
            <w:r>
              <w:rPr>
                <w:sz w:val="19"/>
              </w:rPr>
              <w:t>WATC borrowings</w:t>
            </w:r>
          </w:p>
        </w:tc>
        <w:tc>
          <w:tcPr>
            <w:tcW w:w="1099" w:type="dxa"/>
            <w:tcBorders>
              <w:left w:val="nil"/>
              <w:right w:val="nil"/>
            </w:tcBorders>
            <w:shd w:val="clear" w:color="auto" w:fill="FAF9F9"/>
          </w:tcPr>
          <w:p>
            <w:pPr>
              <w:pStyle w:val="TableParagraph"/>
              <w:ind w:right="100"/>
              <w:jc w:val="right"/>
              <w:rPr>
                <w:sz w:val="19"/>
              </w:rPr>
            </w:pPr>
            <w:r>
              <w:rPr>
                <w:w w:val="95"/>
                <w:sz w:val="19"/>
              </w:rPr>
              <w:t>2.34</w:t>
            </w:r>
          </w:p>
        </w:tc>
        <w:tc>
          <w:tcPr>
            <w:tcW w:w="1042" w:type="dxa"/>
            <w:tcBorders>
              <w:left w:val="nil"/>
              <w:right w:val="nil"/>
            </w:tcBorders>
            <w:shd w:val="clear" w:color="auto" w:fill="FAF9F9"/>
          </w:tcPr>
          <w:p>
            <w:pPr>
              <w:pStyle w:val="TableParagraph"/>
              <w:ind w:right="99"/>
              <w:jc w:val="right"/>
              <w:rPr>
                <w:sz w:val="19"/>
              </w:rPr>
            </w:pPr>
            <w:r>
              <w:rPr>
                <w:w w:val="95"/>
                <w:sz w:val="19"/>
              </w:rPr>
              <w:t>24,355</w:t>
            </w:r>
          </w:p>
        </w:tc>
        <w:tc>
          <w:tcPr>
            <w:tcW w:w="1042" w:type="dxa"/>
            <w:tcBorders>
              <w:left w:val="nil"/>
              <w:right w:val="nil"/>
            </w:tcBorders>
            <w:shd w:val="clear" w:color="auto" w:fill="FAF9F9"/>
          </w:tcPr>
          <w:p>
            <w:pPr>
              <w:pStyle w:val="TableParagraph"/>
              <w:ind w:right="98"/>
              <w:jc w:val="right"/>
              <w:rPr>
                <w:sz w:val="19"/>
              </w:rPr>
            </w:pPr>
            <w:r>
              <w:rPr>
                <w:w w:val="95"/>
                <w:sz w:val="19"/>
              </w:rPr>
              <w:t>24,355</w:t>
            </w:r>
          </w:p>
        </w:tc>
        <w:tc>
          <w:tcPr>
            <w:tcW w:w="1042" w:type="dxa"/>
            <w:tcBorders>
              <w:left w:val="nil"/>
              <w:right w:val="nil"/>
            </w:tcBorders>
            <w:shd w:val="clear" w:color="auto" w:fill="FAF9F9"/>
          </w:tcPr>
          <w:p>
            <w:pPr>
              <w:pStyle w:val="TableParagraph"/>
              <w:ind w:right="97"/>
              <w:jc w:val="right"/>
              <w:rPr>
                <w:sz w:val="19"/>
              </w:rPr>
            </w:pPr>
            <w:r>
              <w:rPr>
                <w:w w:val="111"/>
                <w:sz w:val="19"/>
              </w:rPr>
              <w:t>-</w:t>
            </w:r>
          </w:p>
        </w:tc>
        <w:tc>
          <w:tcPr>
            <w:tcW w:w="1042" w:type="dxa"/>
            <w:tcBorders>
              <w:left w:val="nil"/>
              <w:right w:val="single" w:sz="4" w:space="0" w:color="000000"/>
            </w:tcBorders>
            <w:shd w:val="clear" w:color="auto" w:fill="FAF9F9"/>
          </w:tcPr>
          <w:p>
            <w:pPr>
              <w:pStyle w:val="TableParagraph"/>
              <w:ind w:right="91"/>
              <w:jc w:val="right"/>
              <w:rPr>
                <w:sz w:val="19"/>
              </w:rPr>
            </w:pPr>
            <w:r>
              <w:rPr>
                <w:w w:val="111"/>
                <w:sz w:val="19"/>
              </w:rPr>
              <w:t>-</w:t>
            </w:r>
          </w:p>
        </w:tc>
        <w:tc>
          <w:tcPr>
            <w:tcW w:w="1042" w:type="dxa"/>
            <w:tcBorders>
              <w:left w:val="single" w:sz="4" w:space="0" w:color="000000"/>
              <w:right w:val="single" w:sz="4" w:space="0" w:color="000000"/>
            </w:tcBorders>
            <w:shd w:val="clear" w:color="auto" w:fill="FAF9F9"/>
          </w:tcPr>
          <w:p>
            <w:pPr>
              <w:pStyle w:val="TableParagraph"/>
              <w:ind w:right="90"/>
              <w:jc w:val="right"/>
              <w:rPr>
                <w:sz w:val="19"/>
              </w:rPr>
            </w:pPr>
            <w:r>
              <w:rPr>
                <w:w w:val="95"/>
                <w:sz w:val="19"/>
              </w:rPr>
              <w:t>24,788</w:t>
            </w:r>
          </w:p>
        </w:tc>
        <w:tc>
          <w:tcPr>
            <w:tcW w:w="1042" w:type="dxa"/>
            <w:tcBorders>
              <w:left w:val="single" w:sz="4" w:space="0" w:color="000000"/>
              <w:right w:val="nil"/>
            </w:tcBorders>
            <w:shd w:val="clear" w:color="auto" w:fill="FAF9F9"/>
          </w:tcPr>
          <w:p>
            <w:pPr>
              <w:pStyle w:val="TableParagraph"/>
              <w:ind w:right="93"/>
              <w:jc w:val="right"/>
              <w:rPr>
                <w:sz w:val="19"/>
              </w:rPr>
            </w:pPr>
            <w:r>
              <w:rPr>
                <w:w w:val="95"/>
                <w:sz w:val="19"/>
              </w:rPr>
              <w:t>1,613</w:t>
            </w:r>
          </w:p>
        </w:tc>
        <w:tc>
          <w:tcPr>
            <w:tcW w:w="1042" w:type="dxa"/>
            <w:tcBorders>
              <w:left w:val="nil"/>
              <w:right w:val="nil"/>
            </w:tcBorders>
            <w:shd w:val="clear" w:color="auto" w:fill="FAF9F9"/>
          </w:tcPr>
          <w:p>
            <w:pPr>
              <w:pStyle w:val="TableParagraph"/>
              <w:ind w:right="92"/>
              <w:jc w:val="right"/>
              <w:rPr>
                <w:sz w:val="19"/>
              </w:rPr>
            </w:pPr>
            <w:r>
              <w:rPr>
                <w:w w:val="95"/>
                <w:sz w:val="19"/>
              </w:rPr>
              <w:t>2,634</w:t>
            </w:r>
          </w:p>
        </w:tc>
        <w:tc>
          <w:tcPr>
            <w:tcW w:w="1042" w:type="dxa"/>
            <w:tcBorders>
              <w:left w:val="nil"/>
              <w:right w:val="nil"/>
            </w:tcBorders>
            <w:shd w:val="clear" w:color="auto" w:fill="FAF9F9"/>
          </w:tcPr>
          <w:p>
            <w:pPr>
              <w:pStyle w:val="TableParagraph"/>
              <w:ind w:right="91"/>
              <w:jc w:val="right"/>
              <w:rPr>
                <w:sz w:val="19"/>
              </w:rPr>
            </w:pPr>
            <w:r>
              <w:rPr>
                <w:w w:val="95"/>
                <w:sz w:val="19"/>
              </w:rPr>
              <w:t>15,075</w:t>
            </w:r>
          </w:p>
        </w:tc>
        <w:tc>
          <w:tcPr>
            <w:tcW w:w="1042" w:type="dxa"/>
            <w:tcBorders>
              <w:left w:val="nil"/>
              <w:right w:val="nil"/>
            </w:tcBorders>
            <w:shd w:val="clear" w:color="auto" w:fill="FAF9F9"/>
          </w:tcPr>
          <w:p>
            <w:pPr>
              <w:pStyle w:val="TableParagraph"/>
              <w:ind w:right="90"/>
              <w:jc w:val="right"/>
              <w:rPr>
                <w:sz w:val="19"/>
              </w:rPr>
            </w:pPr>
            <w:r>
              <w:rPr>
                <w:w w:val="95"/>
                <w:sz w:val="19"/>
              </w:rPr>
              <w:t>5,466</w:t>
            </w:r>
          </w:p>
        </w:tc>
        <w:tc>
          <w:tcPr>
            <w:tcW w:w="1042" w:type="dxa"/>
            <w:tcBorders>
              <w:left w:val="nil"/>
              <w:right w:val="nil"/>
            </w:tcBorders>
            <w:shd w:val="clear" w:color="auto" w:fill="FAF9F9"/>
          </w:tcPr>
          <w:p>
            <w:pPr>
              <w:pStyle w:val="TableParagraph"/>
              <w:ind w:right="89"/>
              <w:jc w:val="right"/>
              <w:rPr>
                <w:sz w:val="19"/>
              </w:rPr>
            </w:pPr>
            <w:r>
              <w:rPr>
                <w:w w:val="111"/>
                <w:sz w:val="19"/>
              </w:rPr>
              <w:t>-</w:t>
            </w:r>
          </w:p>
        </w:tc>
      </w:tr>
      <w:tr>
        <w:trPr>
          <w:trHeight w:val="290" w:hRule="atLeast"/>
        </w:trPr>
        <w:tc>
          <w:tcPr>
            <w:tcW w:w="3764" w:type="dxa"/>
            <w:tcBorders>
              <w:bottom w:val="nil"/>
            </w:tcBorders>
            <w:shd w:val="clear" w:color="auto" w:fill="F4F4F4"/>
          </w:tcPr>
          <w:p>
            <w:pPr>
              <w:pStyle w:val="TableParagraph"/>
              <w:ind w:left="112"/>
              <w:rPr>
                <w:sz w:val="19"/>
              </w:rPr>
            </w:pPr>
            <w:r>
              <w:rPr>
                <w:sz w:val="19"/>
              </w:rPr>
              <w:t>Heritage Maintenance Payments</w:t>
            </w:r>
          </w:p>
        </w:tc>
        <w:tc>
          <w:tcPr>
            <w:tcW w:w="1099" w:type="dxa"/>
            <w:tcBorders>
              <w:bottom w:val="nil"/>
            </w:tcBorders>
            <w:shd w:val="clear" w:color="auto" w:fill="F4F4F4"/>
          </w:tcPr>
          <w:p>
            <w:pPr>
              <w:pStyle w:val="TableParagraph"/>
              <w:ind w:right="90"/>
              <w:jc w:val="right"/>
              <w:rPr>
                <w:sz w:val="19"/>
              </w:rPr>
            </w:pPr>
            <w:r>
              <w:rPr>
                <w:w w:val="95"/>
                <w:sz w:val="19"/>
              </w:rPr>
              <w:t>12.46</w:t>
            </w:r>
          </w:p>
        </w:tc>
        <w:tc>
          <w:tcPr>
            <w:tcW w:w="1042" w:type="dxa"/>
            <w:tcBorders>
              <w:bottom w:val="single" w:sz="4" w:space="0" w:color="000000"/>
            </w:tcBorders>
            <w:shd w:val="clear" w:color="auto" w:fill="F4F4F4"/>
          </w:tcPr>
          <w:p>
            <w:pPr>
              <w:pStyle w:val="TableParagraph"/>
              <w:ind w:right="89"/>
              <w:jc w:val="right"/>
              <w:rPr>
                <w:sz w:val="19"/>
              </w:rPr>
            </w:pPr>
            <w:r>
              <w:rPr>
                <w:w w:val="95"/>
                <w:sz w:val="19"/>
              </w:rPr>
              <w:t>55,563</w:t>
            </w:r>
          </w:p>
        </w:tc>
        <w:tc>
          <w:tcPr>
            <w:tcW w:w="1042" w:type="dxa"/>
            <w:tcBorders>
              <w:bottom w:val="single" w:sz="4" w:space="0" w:color="000000"/>
            </w:tcBorders>
            <w:shd w:val="clear" w:color="auto" w:fill="F4F4F4"/>
          </w:tcPr>
          <w:p>
            <w:pPr>
              <w:pStyle w:val="TableParagraph"/>
              <w:ind w:right="88"/>
              <w:jc w:val="right"/>
              <w:rPr>
                <w:sz w:val="19"/>
              </w:rPr>
            </w:pPr>
            <w:r>
              <w:rPr>
                <w:w w:val="95"/>
                <w:sz w:val="19"/>
              </w:rPr>
              <w:t>55,563</w:t>
            </w:r>
          </w:p>
        </w:tc>
        <w:tc>
          <w:tcPr>
            <w:tcW w:w="1042" w:type="dxa"/>
            <w:tcBorders>
              <w:bottom w:val="single" w:sz="4" w:space="0" w:color="000000"/>
            </w:tcBorders>
            <w:shd w:val="clear" w:color="auto" w:fill="F4F4F4"/>
          </w:tcPr>
          <w:p>
            <w:pPr>
              <w:pStyle w:val="TableParagraph"/>
              <w:ind w:right="87"/>
              <w:jc w:val="right"/>
              <w:rPr>
                <w:sz w:val="19"/>
              </w:rPr>
            </w:pPr>
            <w:r>
              <w:rPr>
                <w:w w:val="111"/>
                <w:sz w:val="19"/>
              </w:rPr>
              <w:t>-</w:t>
            </w:r>
          </w:p>
        </w:tc>
        <w:tc>
          <w:tcPr>
            <w:tcW w:w="1042" w:type="dxa"/>
            <w:tcBorders>
              <w:bottom w:val="single" w:sz="4" w:space="0" w:color="000000"/>
              <w:right w:val="single" w:sz="4" w:space="0" w:color="000000"/>
            </w:tcBorders>
            <w:shd w:val="clear" w:color="auto" w:fill="F4F4F4"/>
          </w:tcPr>
          <w:p>
            <w:pPr>
              <w:pStyle w:val="TableParagraph"/>
              <w:ind w:right="91"/>
              <w:jc w:val="right"/>
              <w:rPr>
                <w:sz w:val="19"/>
              </w:rPr>
            </w:pPr>
            <w:r>
              <w:rPr>
                <w:w w:val="111"/>
                <w:sz w:val="19"/>
              </w:rPr>
              <w:t>-</w:t>
            </w:r>
          </w:p>
        </w:tc>
        <w:tc>
          <w:tcPr>
            <w:tcW w:w="1042" w:type="dxa"/>
            <w:tcBorders>
              <w:left w:val="single" w:sz="4" w:space="0" w:color="000000"/>
              <w:bottom w:val="single" w:sz="4" w:space="0" w:color="000000"/>
              <w:right w:val="single" w:sz="4" w:space="0" w:color="000000"/>
            </w:tcBorders>
            <w:shd w:val="clear" w:color="auto" w:fill="F4F4F4"/>
          </w:tcPr>
          <w:p>
            <w:pPr>
              <w:pStyle w:val="TableParagraph"/>
              <w:ind w:right="90"/>
              <w:jc w:val="right"/>
              <w:rPr>
                <w:sz w:val="19"/>
              </w:rPr>
            </w:pPr>
            <w:r>
              <w:rPr>
                <w:w w:val="95"/>
                <w:sz w:val="19"/>
              </w:rPr>
              <w:t>190,897</w:t>
            </w:r>
          </w:p>
        </w:tc>
        <w:tc>
          <w:tcPr>
            <w:tcW w:w="1042" w:type="dxa"/>
            <w:tcBorders>
              <w:left w:val="single" w:sz="4" w:space="0" w:color="000000"/>
              <w:bottom w:val="single" w:sz="4" w:space="0" w:color="000000"/>
            </w:tcBorders>
            <w:shd w:val="clear" w:color="auto" w:fill="F4F4F4"/>
          </w:tcPr>
          <w:p>
            <w:pPr>
              <w:pStyle w:val="TableParagraph"/>
              <w:ind w:right="84"/>
              <w:jc w:val="right"/>
              <w:rPr>
                <w:sz w:val="19"/>
              </w:rPr>
            </w:pPr>
            <w:r>
              <w:rPr>
                <w:w w:val="95"/>
                <w:sz w:val="19"/>
              </w:rPr>
              <w:t>482</w:t>
            </w:r>
          </w:p>
        </w:tc>
        <w:tc>
          <w:tcPr>
            <w:tcW w:w="1042" w:type="dxa"/>
            <w:tcBorders>
              <w:bottom w:val="single" w:sz="4" w:space="0" w:color="000000"/>
            </w:tcBorders>
            <w:shd w:val="clear" w:color="auto" w:fill="F4F4F4"/>
          </w:tcPr>
          <w:p>
            <w:pPr>
              <w:pStyle w:val="TableParagraph"/>
              <w:ind w:right="83"/>
              <w:jc w:val="right"/>
              <w:rPr>
                <w:sz w:val="19"/>
              </w:rPr>
            </w:pPr>
            <w:r>
              <w:rPr>
                <w:w w:val="95"/>
                <w:sz w:val="19"/>
              </w:rPr>
              <w:t>963</w:t>
            </w:r>
          </w:p>
        </w:tc>
        <w:tc>
          <w:tcPr>
            <w:tcW w:w="1042" w:type="dxa"/>
            <w:tcBorders>
              <w:bottom w:val="single" w:sz="4" w:space="0" w:color="000000"/>
            </w:tcBorders>
            <w:shd w:val="clear" w:color="auto" w:fill="F4F4F4"/>
          </w:tcPr>
          <w:p>
            <w:pPr>
              <w:pStyle w:val="TableParagraph"/>
              <w:ind w:right="82"/>
              <w:jc w:val="right"/>
              <w:rPr>
                <w:sz w:val="19"/>
              </w:rPr>
            </w:pPr>
            <w:r>
              <w:rPr>
                <w:w w:val="95"/>
                <w:sz w:val="19"/>
              </w:rPr>
              <w:t>4,390</w:t>
            </w:r>
          </w:p>
        </w:tc>
        <w:tc>
          <w:tcPr>
            <w:tcW w:w="1042" w:type="dxa"/>
            <w:tcBorders>
              <w:bottom w:val="single" w:sz="4" w:space="0" w:color="000000"/>
            </w:tcBorders>
            <w:shd w:val="clear" w:color="auto" w:fill="F4F4F4"/>
          </w:tcPr>
          <w:p>
            <w:pPr>
              <w:pStyle w:val="TableParagraph"/>
              <w:ind w:right="82"/>
              <w:jc w:val="right"/>
              <w:rPr>
                <w:sz w:val="19"/>
              </w:rPr>
            </w:pPr>
            <w:r>
              <w:rPr>
                <w:w w:val="95"/>
                <w:sz w:val="19"/>
              </w:rPr>
              <w:t>25,612</w:t>
            </w:r>
          </w:p>
        </w:tc>
        <w:tc>
          <w:tcPr>
            <w:tcW w:w="1042" w:type="dxa"/>
            <w:tcBorders>
              <w:bottom w:val="single" w:sz="4" w:space="0" w:color="000000"/>
              <w:right w:val="nil"/>
            </w:tcBorders>
            <w:shd w:val="clear" w:color="auto" w:fill="F4F4F4"/>
          </w:tcPr>
          <w:p>
            <w:pPr>
              <w:pStyle w:val="TableParagraph"/>
              <w:ind w:right="89"/>
              <w:jc w:val="right"/>
              <w:rPr>
                <w:sz w:val="19"/>
              </w:rPr>
            </w:pPr>
            <w:r>
              <w:rPr>
                <w:w w:val="95"/>
                <w:sz w:val="19"/>
              </w:rPr>
              <w:t>159,450</w:t>
            </w:r>
          </w:p>
        </w:tc>
      </w:tr>
      <w:tr>
        <w:trPr>
          <w:trHeight w:val="258" w:hRule="atLeast"/>
        </w:trPr>
        <w:tc>
          <w:tcPr>
            <w:tcW w:w="3764" w:type="dxa"/>
            <w:tcBorders>
              <w:top w:val="nil"/>
              <w:right w:val="nil"/>
            </w:tcBorders>
            <w:shd w:val="clear" w:color="auto" w:fill="FAF9F9"/>
          </w:tcPr>
          <w:p>
            <w:pPr>
              <w:pStyle w:val="TableParagraph"/>
              <w:spacing w:before="0"/>
              <w:rPr>
                <w:rFonts w:ascii="Times New Roman"/>
                <w:sz w:val="18"/>
              </w:rPr>
            </w:pPr>
          </w:p>
        </w:tc>
        <w:tc>
          <w:tcPr>
            <w:tcW w:w="1099" w:type="dxa"/>
            <w:tcBorders>
              <w:top w:val="nil"/>
              <w:left w:val="nil"/>
              <w:right w:val="nil"/>
            </w:tcBorders>
            <w:shd w:val="clear" w:color="auto" w:fill="FAF9F9"/>
          </w:tcPr>
          <w:p>
            <w:pPr>
              <w:pStyle w:val="TableParagraph"/>
              <w:spacing w:before="0"/>
              <w:rPr>
                <w:rFonts w:ascii="Times New Roman"/>
                <w:sz w:val="18"/>
              </w:rPr>
            </w:pP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100"/>
              <w:jc w:val="right"/>
              <w:rPr>
                <w:b/>
                <w:sz w:val="19"/>
              </w:rPr>
            </w:pPr>
            <w:r>
              <w:rPr>
                <w:b/>
                <w:w w:val="95"/>
                <w:sz w:val="19"/>
              </w:rPr>
              <w:t>192,688</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79,918</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7"/>
              <w:jc w:val="right"/>
              <w:rPr>
                <w:b/>
                <w:sz w:val="19"/>
              </w:rPr>
            </w:pPr>
            <w:r>
              <w:rPr>
                <w:b/>
                <w:w w:val="122"/>
                <w:sz w:val="19"/>
              </w:rPr>
              <w:t>-</w:t>
            </w:r>
          </w:p>
        </w:tc>
        <w:tc>
          <w:tcPr>
            <w:tcW w:w="1042"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before="37"/>
              <w:ind w:right="91"/>
              <w:jc w:val="right"/>
              <w:rPr>
                <w:b/>
                <w:sz w:val="19"/>
              </w:rPr>
            </w:pPr>
            <w:r>
              <w:rPr>
                <w:b/>
                <w:w w:val="95"/>
                <w:sz w:val="19"/>
              </w:rPr>
              <w:t>112,770</w:t>
            </w:r>
          </w:p>
        </w:tc>
        <w:tc>
          <w:tcPr>
            <w:tcW w:w="1042" w:type="dxa"/>
            <w:tcBorders>
              <w:top w:val="single" w:sz="4" w:space="0" w:color="000000"/>
              <w:left w:val="single" w:sz="4" w:space="0" w:color="000000"/>
              <w:bottom w:val="single" w:sz="34" w:space="0" w:color="FFFFFF"/>
              <w:right w:val="single" w:sz="4" w:space="0" w:color="000000"/>
            </w:tcBorders>
            <w:shd w:val="clear" w:color="auto" w:fill="FAF9F9"/>
          </w:tcPr>
          <w:p>
            <w:pPr>
              <w:pStyle w:val="TableParagraph"/>
              <w:spacing w:line="201" w:lineRule="exact" w:before="37"/>
              <w:ind w:right="90"/>
              <w:jc w:val="right"/>
              <w:rPr>
                <w:b/>
                <w:sz w:val="19"/>
              </w:rPr>
            </w:pPr>
            <w:r>
              <w:rPr>
                <w:b/>
                <w:w w:val="95"/>
                <w:sz w:val="19"/>
              </w:rPr>
              <w:t>328,455</w:t>
            </w:r>
          </w:p>
        </w:tc>
        <w:tc>
          <w:tcPr>
            <w:tcW w:w="1042"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before="37"/>
              <w:ind w:right="94"/>
              <w:jc w:val="right"/>
              <w:rPr>
                <w:b/>
                <w:sz w:val="19"/>
              </w:rPr>
            </w:pPr>
            <w:r>
              <w:rPr>
                <w:b/>
                <w:w w:val="95"/>
                <w:sz w:val="19"/>
              </w:rPr>
              <w:t>114,860</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3"/>
              <w:jc w:val="right"/>
              <w:rPr>
                <w:b/>
                <w:sz w:val="19"/>
              </w:rPr>
            </w:pPr>
            <w:r>
              <w:rPr>
                <w:b/>
                <w:w w:val="95"/>
                <w:sz w:val="19"/>
              </w:rPr>
              <w:t>3,602</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2"/>
              <w:jc w:val="right"/>
              <w:rPr>
                <w:b/>
                <w:sz w:val="19"/>
              </w:rPr>
            </w:pPr>
            <w:r>
              <w:rPr>
                <w:b/>
                <w:w w:val="95"/>
                <w:sz w:val="19"/>
              </w:rPr>
              <w:t>19,465</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1"/>
              <w:jc w:val="right"/>
              <w:rPr>
                <w:b/>
                <w:sz w:val="19"/>
              </w:rPr>
            </w:pPr>
            <w:r>
              <w:rPr>
                <w:b/>
                <w:w w:val="95"/>
                <w:sz w:val="19"/>
              </w:rPr>
              <w:t>31,078</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0"/>
              <w:jc w:val="right"/>
              <w:rPr>
                <w:b/>
                <w:sz w:val="19"/>
              </w:rPr>
            </w:pPr>
            <w:r>
              <w:rPr>
                <w:b/>
                <w:w w:val="95"/>
                <w:sz w:val="19"/>
              </w:rPr>
              <w:t>159,450</w:t>
            </w:r>
          </w:p>
        </w:tc>
      </w:tr>
    </w:tbl>
    <w:p>
      <w:pPr>
        <w:pStyle w:val="BodyText"/>
        <w:spacing w:line="20" w:lineRule="exact"/>
        <w:ind w:left="12936"/>
        <w:rPr>
          <w:sz w:val="2"/>
        </w:rPr>
      </w:pPr>
      <w:r>
        <w:rPr>
          <w:sz w:val="2"/>
        </w:rPr>
        <w:pict>
          <v:group style="width:156.5pt;height:.550pt;mso-position-horizontal-relative:char;mso-position-vertical-relative:line" coordorigin="0,0" coordsize="3130,11">
            <v:line style="position:absolute" from="0,5" to="1043,5" stroked="true" strokeweight=".501pt" strokecolor="#000000">
              <v:stroke dashstyle="solid"/>
            </v:line>
            <v:line style="position:absolute" from="1043,5" to="2086,5" stroked="true" strokeweight=".501pt" strokecolor="#000000">
              <v:stroke dashstyle="solid"/>
            </v:line>
            <v:line style="position:absolute" from="2086,5" to="3129,5" stroked="true" strokeweight=".501pt" strokecolor="#000000">
              <v:stroke dashstyle="solid"/>
            </v:line>
          </v:group>
        </w:pict>
      </w:r>
      <w:r>
        <w:rPr>
          <w:sz w:val="2"/>
        </w:rPr>
      </w:r>
    </w:p>
    <w:p>
      <w:pPr>
        <w:pStyle w:val="ListParagraph"/>
        <w:numPr>
          <w:ilvl w:val="0"/>
          <w:numId w:val="18"/>
        </w:numPr>
        <w:tabs>
          <w:tab w:pos="958" w:val="left" w:leader="none"/>
        </w:tabs>
        <w:spacing w:line="240" w:lineRule="auto" w:before="85" w:after="0"/>
        <w:ind w:left="957" w:right="0" w:hanging="192"/>
        <w:jc w:val="left"/>
        <w:rPr>
          <w:sz w:val="15"/>
        </w:rPr>
      </w:pPr>
      <w:r>
        <w:rPr>
          <w:sz w:val="15"/>
        </w:rPr>
        <w:t>The amount of receivables excludes GST recoverable from the </w:t>
      </w:r>
      <w:r>
        <w:rPr>
          <w:spacing w:val="-4"/>
          <w:sz w:val="15"/>
        </w:rPr>
        <w:t>ATO </w:t>
      </w:r>
      <w:r>
        <w:rPr>
          <w:sz w:val="15"/>
        </w:rPr>
        <w:t>(statutory</w:t>
      </w:r>
      <w:r>
        <w:rPr>
          <w:spacing w:val="-8"/>
          <w:sz w:val="15"/>
        </w:rPr>
        <w:t> </w:t>
      </w:r>
      <w:r>
        <w:rPr>
          <w:sz w:val="15"/>
        </w:rPr>
        <w:t>receivable).</w:t>
      </w:r>
    </w:p>
    <w:p>
      <w:pPr>
        <w:pStyle w:val="ListParagraph"/>
        <w:numPr>
          <w:ilvl w:val="0"/>
          <w:numId w:val="18"/>
        </w:numPr>
        <w:tabs>
          <w:tab w:pos="966" w:val="left" w:leader="none"/>
        </w:tabs>
        <w:spacing w:line="240" w:lineRule="auto" w:before="28" w:after="0"/>
        <w:ind w:left="965" w:right="0" w:hanging="200"/>
        <w:jc w:val="left"/>
        <w:rPr>
          <w:sz w:val="15"/>
        </w:rPr>
      </w:pPr>
      <w:r>
        <w:rPr>
          <w:sz w:val="15"/>
        </w:rPr>
        <w:t>The amount of payables excludes GST payable to the </w:t>
      </w:r>
      <w:r>
        <w:rPr>
          <w:spacing w:val="-4"/>
          <w:sz w:val="15"/>
        </w:rPr>
        <w:t>ATO </w:t>
      </w:r>
      <w:r>
        <w:rPr>
          <w:sz w:val="15"/>
        </w:rPr>
        <w:t>(statutory</w:t>
      </w:r>
      <w:r>
        <w:rPr>
          <w:spacing w:val="-5"/>
          <w:sz w:val="15"/>
        </w:rPr>
        <w:t> </w:t>
      </w:r>
      <w:r>
        <w:rPr>
          <w:sz w:val="15"/>
        </w:rPr>
        <w:t>payable).</w:t>
      </w:r>
    </w:p>
    <w:p>
      <w:pPr>
        <w:spacing w:after="0" w:line="240" w:lineRule="auto"/>
        <w:jc w:val="left"/>
        <w:rPr>
          <w:sz w:val="15"/>
        </w:rPr>
        <w:sectPr>
          <w:footerReference w:type="default" r:id="rId174"/>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1976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BodyText"/>
        <w:spacing w:before="11"/>
      </w:pPr>
    </w:p>
    <w:p>
      <w:pPr>
        <w:spacing w:before="107" w:after="45"/>
        <w:ind w:left="785" w:right="0" w:firstLine="0"/>
        <w:jc w:val="left"/>
        <w:rPr>
          <w:b/>
          <w:sz w:val="19"/>
        </w:rPr>
      </w:pPr>
      <w:r>
        <w:rPr>
          <w:b/>
          <w:sz w:val="19"/>
        </w:rPr>
        <w:t>Interest rate exposure and maturity analysis of financial assets and financials liabilities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97"/>
        <w:gridCol w:w="1099"/>
        <w:gridCol w:w="1156"/>
        <w:gridCol w:w="1043"/>
        <w:gridCol w:w="1156"/>
        <w:gridCol w:w="1156"/>
        <w:gridCol w:w="1156"/>
        <w:gridCol w:w="1156"/>
        <w:gridCol w:w="986"/>
        <w:gridCol w:w="1043"/>
        <w:gridCol w:w="1043"/>
        <w:gridCol w:w="1100"/>
      </w:tblGrid>
      <w:tr>
        <w:trPr>
          <w:trHeight w:val="1448" w:hRule="atLeast"/>
        </w:trPr>
        <w:tc>
          <w:tcPr>
            <w:tcW w:w="8807" w:type="dxa"/>
            <w:gridSpan w:val="6"/>
            <w:tcBorders>
              <w:top w:val="nil"/>
              <w:bottom w:val="nil"/>
              <w:right w:val="single" w:sz="4" w:space="0" w:color="000000"/>
            </w:tcBorders>
            <w:shd w:val="clear" w:color="auto" w:fill="783A79"/>
          </w:tcPr>
          <w:p>
            <w:pPr>
              <w:pStyle w:val="TableParagraph"/>
              <w:tabs>
                <w:tab w:pos="6134" w:val="left" w:leader="none"/>
              </w:tabs>
              <w:spacing w:before="42"/>
              <w:ind w:left="3332"/>
              <w:rPr>
                <w:b/>
                <w:sz w:val="19"/>
              </w:rPr>
            </w:pPr>
            <w:r>
              <w:rPr>
                <w:b/>
                <w:color w:val="FFFFFF"/>
                <w:sz w:val="19"/>
              </w:rPr>
              <w:t>Weighted</w:t>
              <w:tab/>
              <w:t>Interest rate</w:t>
            </w:r>
            <w:r>
              <w:rPr>
                <w:b/>
                <w:color w:val="FFFFFF"/>
                <w:spacing w:val="1"/>
                <w:sz w:val="19"/>
              </w:rPr>
              <w:t> </w:t>
            </w:r>
            <w:r>
              <w:rPr>
                <w:b/>
                <w:color w:val="FFFFFF"/>
                <w:sz w:val="19"/>
              </w:rPr>
              <w:t>exposure</w:t>
            </w:r>
          </w:p>
          <w:p>
            <w:pPr>
              <w:pStyle w:val="TableParagraph"/>
              <w:tabs>
                <w:tab w:pos="5866" w:val="left" w:leader="none"/>
                <w:tab w:pos="7023" w:val="left" w:leader="none"/>
                <w:tab w:pos="8249" w:val="left" w:leader="none"/>
              </w:tabs>
              <w:spacing w:line="172" w:lineRule="auto" w:before="59"/>
              <w:ind w:left="3395" w:right="93" w:firstLine="45"/>
              <w:jc w:val="both"/>
              <w:rPr>
                <w:b/>
                <w:sz w:val="19"/>
              </w:rPr>
            </w:pPr>
            <w:r>
              <w:rPr>
                <w:b/>
                <w:color w:val="FFFFFF"/>
                <w:position w:val="10"/>
                <w:sz w:val="19"/>
              </w:rPr>
              <w:t>Average       </w:t>
            </w:r>
            <w:r>
              <w:rPr>
                <w:b/>
                <w:color w:val="FFFFFF"/>
                <w:sz w:val="19"/>
              </w:rPr>
              <w:t>Carrying         </w:t>
            </w:r>
            <w:r>
              <w:rPr>
                <w:b/>
                <w:color w:val="FFFFFF"/>
                <w:spacing w:val="15"/>
                <w:sz w:val="19"/>
              </w:rPr>
              <w:t> </w:t>
            </w:r>
            <w:r>
              <w:rPr>
                <w:b/>
                <w:color w:val="FFFFFF"/>
                <w:sz w:val="19"/>
              </w:rPr>
              <w:t>Fixed      </w:t>
            </w:r>
            <w:r>
              <w:rPr>
                <w:b/>
                <w:color w:val="FFFFFF"/>
                <w:spacing w:val="51"/>
                <w:sz w:val="19"/>
              </w:rPr>
              <w:t> </w:t>
            </w:r>
            <w:r>
              <w:rPr>
                <w:b/>
                <w:color w:val="FFFFFF"/>
                <w:sz w:val="19"/>
              </w:rPr>
              <w:t>Variable</w:t>
              <w:tab/>
            </w:r>
            <w:r>
              <w:rPr>
                <w:b/>
                <w:color w:val="FFFFFF"/>
                <w:spacing w:val="-5"/>
                <w:sz w:val="19"/>
              </w:rPr>
              <w:t>Non- </w:t>
            </w:r>
            <w:r>
              <w:rPr>
                <w:b/>
                <w:color w:val="FFFFFF"/>
                <w:position w:val="10"/>
                <w:sz w:val="19"/>
              </w:rPr>
              <w:t>Effective     </w:t>
            </w:r>
            <w:r>
              <w:rPr>
                <w:b/>
                <w:color w:val="FFFFFF"/>
                <w:sz w:val="19"/>
              </w:rPr>
              <w:t>Amount     Interest     Interest     </w:t>
            </w:r>
            <w:r>
              <w:rPr>
                <w:b/>
                <w:color w:val="FFFFFF"/>
                <w:spacing w:val="-3"/>
                <w:sz w:val="19"/>
              </w:rPr>
              <w:t>Interest </w:t>
            </w:r>
            <w:r>
              <w:rPr>
                <w:b/>
                <w:color w:val="FFFFFF"/>
                <w:position w:val="10"/>
                <w:sz w:val="19"/>
              </w:rPr>
              <w:t>Interest</w:t>
              <w:tab/>
            </w:r>
            <w:r>
              <w:rPr>
                <w:b/>
                <w:color w:val="FFFFFF"/>
                <w:sz w:val="19"/>
              </w:rPr>
              <w:t>Rate</w:t>
              <w:tab/>
              <w:t>Rate</w:t>
            </w:r>
            <w:r>
              <w:rPr>
                <w:b/>
                <w:color w:val="FFFFFF"/>
                <w:spacing w:val="35"/>
                <w:sz w:val="19"/>
              </w:rPr>
              <w:t> </w:t>
            </w:r>
            <w:r>
              <w:rPr>
                <w:b/>
                <w:color w:val="FFFFFF"/>
                <w:sz w:val="19"/>
              </w:rPr>
              <w:t>Bearing</w:t>
            </w:r>
          </w:p>
          <w:p>
            <w:pPr>
              <w:pStyle w:val="TableParagraph"/>
              <w:spacing w:line="81" w:lineRule="exact" w:before="0"/>
              <w:ind w:left="3737" w:right="4582"/>
              <w:jc w:val="center"/>
              <w:rPr>
                <w:b/>
                <w:sz w:val="19"/>
              </w:rPr>
            </w:pPr>
            <w:r>
              <w:rPr>
                <w:b/>
                <w:color w:val="FFFFFF"/>
                <w:w w:val="105"/>
                <w:sz w:val="19"/>
              </w:rPr>
              <w:t>Rate</w:t>
            </w:r>
          </w:p>
          <w:p>
            <w:pPr>
              <w:pStyle w:val="TableParagraph"/>
              <w:tabs>
                <w:tab w:pos="4917" w:val="left" w:leader="none"/>
                <w:tab w:pos="5961" w:val="left" w:leader="none"/>
                <w:tab w:pos="7117" w:val="left" w:leader="none"/>
                <w:tab w:pos="8274" w:val="left" w:leader="none"/>
              </w:tabs>
              <w:spacing w:before="13"/>
              <w:ind w:left="3993"/>
              <w:rPr>
                <w:b/>
                <w:sz w:val="19"/>
              </w:rPr>
            </w:pPr>
            <w:r>
              <w:rPr>
                <w:b/>
                <w:color w:val="FFFFFF"/>
                <w:sz w:val="19"/>
              </w:rPr>
              <w:t>%</w:t>
              <w:tab/>
              <w:t>$000</w:t>
              <w:tab/>
              <w:t>$000</w:t>
              <w:tab/>
              <w:t>$000</w:t>
              <w:tab/>
              <w:t>$000</w:t>
            </w:r>
          </w:p>
        </w:tc>
        <w:tc>
          <w:tcPr>
            <w:tcW w:w="1156" w:type="dxa"/>
            <w:tcBorders>
              <w:top w:val="nil"/>
              <w:left w:val="single" w:sz="4" w:space="0" w:color="000000"/>
              <w:bottom w:val="nil"/>
              <w:right w:val="single" w:sz="4" w:space="0" w:color="000000"/>
            </w:tcBorders>
            <w:shd w:val="clear" w:color="auto" w:fill="783A79"/>
          </w:tcPr>
          <w:p>
            <w:pPr>
              <w:pStyle w:val="TableParagraph"/>
              <w:spacing w:before="1"/>
              <w:rPr>
                <w:b/>
                <w:sz w:val="32"/>
              </w:rPr>
            </w:pPr>
          </w:p>
          <w:p>
            <w:pPr>
              <w:pStyle w:val="TableParagraph"/>
              <w:spacing w:line="249" w:lineRule="auto" w:before="0"/>
              <w:ind w:left="340" w:right="75" w:hanging="39"/>
              <w:rPr>
                <w:b/>
                <w:sz w:val="19"/>
              </w:rPr>
            </w:pPr>
            <w:r>
              <w:rPr>
                <w:b/>
                <w:color w:val="FFFFFF"/>
                <w:sz w:val="19"/>
              </w:rPr>
              <w:t>Nominal </w:t>
            </w:r>
            <w:r>
              <w:rPr>
                <w:b/>
                <w:color w:val="FFFFFF"/>
                <w:w w:val="95"/>
                <w:sz w:val="19"/>
              </w:rPr>
              <w:t>Amount</w:t>
            </w:r>
          </w:p>
          <w:p>
            <w:pPr>
              <w:pStyle w:val="TableParagraph"/>
              <w:spacing w:before="5"/>
              <w:rPr>
                <w:b/>
                <w:sz w:val="31"/>
              </w:rPr>
            </w:pPr>
          </w:p>
          <w:p>
            <w:pPr>
              <w:pStyle w:val="TableParagraph"/>
              <w:spacing w:before="1"/>
              <w:ind w:left="628"/>
              <w:rPr>
                <w:b/>
                <w:sz w:val="19"/>
              </w:rPr>
            </w:pPr>
            <w:r>
              <w:rPr>
                <w:b/>
                <w:color w:val="FFFFFF"/>
                <w:sz w:val="19"/>
              </w:rPr>
              <w:t>$000</w:t>
            </w:r>
          </w:p>
        </w:tc>
        <w:tc>
          <w:tcPr>
            <w:tcW w:w="1156"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0"/>
              <w:ind w:left="471" w:right="79"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5"/>
              <w:rPr>
                <w:b/>
                <w:sz w:val="31"/>
              </w:rPr>
            </w:pPr>
          </w:p>
          <w:p>
            <w:pPr>
              <w:pStyle w:val="TableParagraph"/>
              <w:spacing w:before="1"/>
              <w:ind w:left="629"/>
              <w:rPr>
                <w:b/>
                <w:sz w:val="19"/>
              </w:rPr>
            </w:pPr>
            <w:r>
              <w:rPr>
                <w:b/>
                <w:color w:val="FFFFFF"/>
                <w:sz w:val="19"/>
              </w:rPr>
              <w:t>$000</w:t>
            </w:r>
          </w:p>
        </w:tc>
        <w:tc>
          <w:tcPr>
            <w:tcW w:w="3072" w:type="dxa"/>
            <w:gridSpan w:val="3"/>
            <w:tcBorders>
              <w:top w:val="nil"/>
              <w:left w:val="nil"/>
              <w:bottom w:val="nil"/>
              <w:right w:val="nil"/>
            </w:tcBorders>
            <w:shd w:val="clear" w:color="auto" w:fill="783A79"/>
          </w:tcPr>
          <w:p>
            <w:pPr>
              <w:pStyle w:val="TableParagraph"/>
              <w:spacing w:before="42"/>
              <w:ind w:left="869"/>
              <w:rPr>
                <w:b/>
                <w:sz w:val="19"/>
              </w:rPr>
            </w:pPr>
            <w:r>
              <w:rPr>
                <w:b/>
                <w:color w:val="FFFFFF"/>
                <w:sz w:val="19"/>
              </w:rPr>
              <w:t>Maturity dates</w:t>
            </w:r>
          </w:p>
          <w:p>
            <w:pPr>
              <w:pStyle w:val="TableParagraph"/>
              <w:tabs>
                <w:tab w:pos="1824" w:val="left" w:leader="none"/>
                <w:tab w:pos="2684" w:val="left" w:leader="none"/>
              </w:tabs>
              <w:spacing w:before="109"/>
              <w:ind w:left="598"/>
              <w:rPr>
                <w:b/>
                <w:sz w:val="19"/>
              </w:rPr>
            </w:pPr>
            <w:r>
              <w:rPr>
                <w:b/>
                <w:color w:val="FFFFFF"/>
                <w:w w:val="105"/>
                <w:sz w:val="19"/>
              </w:rPr>
              <w:t>1-3</w:t>
              <w:tab/>
              <w:t>3</w:t>
              <w:tab/>
              <w:t>1-5</w:t>
            </w:r>
          </w:p>
          <w:p>
            <w:pPr>
              <w:pStyle w:val="TableParagraph"/>
              <w:tabs>
                <w:tab w:pos="1247" w:val="left" w:leader="none"/>
                <w:tab w:pos="2480" w:val="left" w:leader="none"/>
              </w:tabs>
              <w:spacing w:line="249" w:lineRule="auto" w:before="9"/>
              <w:ind w:left="204" w:right="96"/>
              <w:jc w:val="center"/>
              <w:rPr>
                <w:b/>
                <w:sz w:val="19"/>
              </w:rPr>
            </w:pPr>
            <w:r>
              <w:rPr>
                <w:b/>
                <w:color w:val="FFFFFF"/>
                <w:sz w:val="19"/>
              </w:rPr>
              <w:t>months</w:t>
              <w:tab/>
              <w:t>months</w:t>
              <w:tab/>
            </w:r>
            <w:r>
              <w:rPr>
                <w:b/>
                <w:color w:val="FFFFFF"/>
                <w:spacing w:val="-4"/>
                <w:sz w:val="19"/>
              </w:rPr>
              <w:t>years </w:t>
            </w:r>
            <w:r>
              <w:rPr>
                <w:b/>
                <w:color w:val="FFFFFF"/>
                <w:sz w:val="19"/>
              </w:rPr>
              <w:t>to 1 year</w:t>
            </w:r>
          </w:p>
          <w:p>
            <w:pPr>
              <w:pStyle w:val="TableParagraph"/>
              <w:tabs>
                <w:tab w:pos="1409" w:val="left" w:leader="none"/>
                <w:tab w:pos="2452" w:val="left" w:leader="none"/>
              </w:tabs>
              <w:spacing w:before="134"/>
              <w:ind w:left="366"/>
              <w:jc w:val="center"/>
              <w:rPr>
                <w:b/>
                <w:sz w:val="19"/>
              </w:rPr>
            </w:pPr>
            <w:r>
              <w:rPr>
                <w:b/>
                <w:color w:val="FFFFFF"/>
                <w:sz w:val="19"/>
              </w:rPr>
              <w:t>$000</w:t>
              <w:tab/>
              <w:t>$000</w:t>
              <w:tab/>
              <w:t>$000</w:t>
            </w:r>
          </w:p>
        </w:tc>
        <w:tc>
          <w:tcPr>
            <w:tcW w:w="1100" w:type="dxa"/>
            <w:tcBorders>
              <w:top w:val="nil"/>
              <w:left w:val="nil"/>
              <w:bottom w:val="nil"/>
              <w:right w:val="nil"/>
            </w:tcBorders>
            <w:shd w:val="clear" w:color="auto" w:fill="783A79"/>
          </w:tcPr>
          <w:p>
            <w:pPr>
              <w:pStyle w:val="TableParagraph"/>
              <w:spacing w:before="1"/>
              <w:rPr>
                <w:b/>
                <w:sz w:val="32"/>
              </w:rPr>
            </w:pPr>
          </w:p>
          <w:p>
            <w:pPr>
              <w:pStyle w:val="TableParagraph"/>
              <w:spacing w:line="249" w:lineRule="auto" w:before="0"/>
              <w:ind w:left="441" w:right="96" w:firstLine="91"/>
              <w:jc w:val="both"/>
              <w:rPr>
                <w:b/>
                <w:sz w:val="19"/>
              </w:rPr>
            </w:pPr>
            <w:r>
              <w:rPr>
                <w:b/>
                <w:color w:val="FFFFFF"/>
                <w:sz w:val="19"/>
              </w:rPr>
              <w:t>More than 5 years</w:t>
            </w:r>
          </w:p>
          <w:p>
            <w:pPr>
              <w:pStyle w:val="TableParagraph"/>
              <w:spacing w:before="135"/>
              <w:ind w:left="578"/>
              <w:rPr>
                <w:b/>
                <w:sz w:val="19"/>
              </w:rPr>
            </w:pPr>
            <w:r>
              <w:rPr>
                <w:b/>
                <w:color w:val="FFFFFF"/>
                <w:sz w:val="19"/>
              </w:rPr>
              <w:t>$000</w:t>
            </w:r>
          </w:p>
        </w:tc>
      </w:tr>
      <w:tr>
        <w:trPr>
          <w:trHeight w:val="601" w:hRule="atLeast"/>
        </w:trPr>
        <w:tc>
          <w:tcPr>
            <w:tcW w:w="3197" w:type="dxa"/>
            <w:tcBorders>
              <w:top w:val="nil"/>
            </w:tcBorders>
            <w:shd w:val="clear" w:color="auto" w:fill="FAF9F9"/>
          </w:tcPr>
          <w:p>
            <w:pPr>
              <w:pStyle w:val="TableParagraph"/>
              <w:spacing w:before="42"/>
              <w:ind w:left="113"/>
              <w:rPr>
                <w:b/>
                <w:sz w:val="19"/>
              </w:rPr>
            </w:pPr>
            <w:r>
              <w:rPr>
                <w:b/>
                <w:sz w:val="19"/>
              </w:rPr>
              <w:t>2017</w:t>
            </w:r>
          </w:p>
          <w:p>
            <w:pPr>
              <w:pStyle w:val="TableParagraph"/>
              <w:spacing w:before="87"/>
              <w:ind w:left="113"/>
              <w:rPr>
                <w:i/>
                <w:sz w:val="19"/>
              </w:rPr>
            </w:pPr>
            <w:r>
              <w:rPr>
                <w:i/>
                <w:color w:val="6F2770"/>
                <w:sz w:val="19"/>
              </w:rPr>
              <w:t>Financial Assets</w:t>
            </w:r>
          </w:p>
        </w:tc>
        <w:tc>
          <w:tcPr>
            <w:tcW w:w="1099" w:type="dxa"/>
            <w:tcBorders>
              <w:top w:val="nil"/>
            </w:tcBorders>
            <w:shd w:val="clear" w:color="auto" w:fill="FAF9F9"/>
          </w:tcPr>
          <w:p>
            <w:pPr>
              <w:pStyle w:val="TableParagraph"/>
              <w:spacing w:before="0"/>
              <w:rPr>
                <w:rFonts w:ascii="Times New Roman"/>
                <w:sz w:val="18"/>
              </w:rPr>
            </w:pPr>
          </w:p>
        </w:tc>
        <w:tc>
          <w:tcPr>
            <w:tcW w:w="1156"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156" w:type="dxa"/>
            <w:tcBorders>
              <w:top w:val="nil"/>
            </w:tcBorders>
            <w:shd w:val="clear" w:color="auto" w:fill="FAF9F9"/>
          </w:tcPr>
          <w:p>
            <w:pPr>
              <w:pStyle w:val="TableParagraph"/>
              <w:spacing w:before="0"/>
              <w:rPr>
                <w:rFonts w:ascii="Times New Roman"/>
                <w:sz w:val="18"/>
              </w:rPr>
            </w:pPr>
          </w:p>
        </w:tc>
        <w:tc>
          <w:tcPr>
            <w:tcW w:w="1156" w:type="dxa"/>
            <w:tcBorders>
              <w:top w:val="nil"/>
              <w:right w:val="single" w:sz="4" w:space="0" w:color="000000"/>
            </w:tcBorders>
            <w:shd w:val="clear" w:color="auto" w:fill="FAF9F9"/>
          </w:tcPr>
          <w:p>
            <w:pPr>
              <w:pStyle w:val="TableParagraph"/>
              <w:spacing w:before="0"/>
              <w:rPr>
                <w:rFonts w:ascii="Times New Roman"/>
                <w:sz w:val="18"/>
              </w:rPr>
            </w:pPr>
          </w:p>
        </w:tc>
        <w:tc>
          <w:tcPr>
            <w:tcW w:w="1156" w:type="dxa"/>
            <w:tcBorders>
              <w:top w:val="nil"/>
              <w:left w:val="single" w:sz="4" w:space="0" w:color="000000"/>
              <w:right w:val="single" w:sz="4" w:space="0" w:color="000000"/>
            </w:tcBorders>
            <w:shd w:val="clear" w:color="auto" w:fill="FAF9F9"/>
          </w:tcPr>
          <w:p>
            <w:pPr>
              <w:pStyle w:val="TableParagraph"/>
              <w:spacing w:before="0"/>
              <w:rPr>
                <w:rFonts w:ascii="Times New Roman"/>
                <w:sz w:val="18"/>
              </w:rPr>
            </w:pPr>
          </w:p>
        </w:tc>
        <w:tc>
          <w:tcPr>
            <w:tcW w:w="1156" w:type="dxa"/>
            <w:tcBorders>
              <w:top w:val="nil"/>
              <w:left w:val="single" w:sz="4" w:space="0" w:color="000000"/>
            </w:tcBorders>
            <w:shd w:val="clear" w:color="auto" w:fill="FAF9F9"/>
          </w:tcPr>
          <w:p>
            <w:pPr>
              <w:pStyle w:val="TableParagraph"/>
              <w:spacing w:before="0"/>
              <w:rPr>
                <w:rFonts w:ascii="Times New Roman"/>
                <w:sz w:val="18"/>
              </w:rPr>
            </w:pPr>
          </w:p>
        </w:tc>
        <w:tc>
          <w:tcPr>
            <w:tcW w:w="986"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100" w:type="dxa"/>
            <w:tcBorders>
              <w:top w:val="nil"/>
              <w:right w:val="nil"/>
            </w:tcBorders>
            <w:shd w:val="clear" w:color="auto" w:fill="FAF9F9"/>
          </w:tcPr>
          <w:p>
            <w:pPr>
              <w:pStyle w:val="TableParagraph"/>
              <w:spacing w:before="0"/>
              <w:rPr>
                <w:rFonts w:ascii="Times New Roman"/>
                <w:sz w:val="18"/>
              </w:rPr>
            </w:pPr>
          </w:p>
        </w:tc>
      </w:tr>
      <w:tr>
        <w:trPr>
          <w:trHeight w:val="591" w:hRule="atLeast"/>
        </w:trPr>
        <w:tc>
          <w:tcPr>
            <w:tcW w:w="3197" w:type="dxa"/>
            <w:shd w:val="clear" w:color="auto" w:fill="FAF9F9"/>
          </w:tcPr>
          <w:p>
            <w:pPr>
              <w:pStyle w:val="TableParagraph"/>
              <w:ind w:left="113"/>
              <w:rPr>
                <w:sz w:val="19"/>
              </w:rPr>
            </w:pPr>
            <w:r>
              <w:rPr>
                <w:sz w:val="19"/>
              </w:rPr>
              <w:t>Cash and cash equivalents</w:t>
            </w:r>
          </w:p>
          <w:p>
            <w:pPr>
              <w:pStyle w:val="TableParagraph"/>
              <w:spacing w:before="87"/>
              <w:ind w:left="113"/>
              <w:rPr>
                <w:sz w:val="19"/>
              </w:rPr>
            </w:pPr>
            <w:r>
              <w:rPr>
                <w:spacing w:val="-3"/>
                <w:sz w:val="19"/>
              </w:rPr>
              <w:t>Restricted cash </w:t>
            </w:r>
            <w:r>
              <w:rPr>
                <w:sz w:val="19"/>
              </w:rPr>
              <w:t>and </w:t>
            </w:r>
            <w:r>
              <w:rPr>
                <w:spacing w:val="-3"/>
                <w:sz w:val="19"/>
              </w:rPr>
              <w:t>cash equivalents</w:t>
            </w:r>
          </w:p>
        </w:tc>
        <w:tc>
          <w:tcPr>
            <w:tcW w:w="1099" w:type="dxa"/>
            <w:shd w:val="clear" w:color="auto" w:fill="FAF9F9"/>
          </w:tcPr>
          <w:p>
            <w:pPr>
              <w:pStyle w:val="TableParagraph"/>
              <w:ind w:right="89"/>
              <w:jc w:val="right"/>
              <w:rPr>
                <w:sz w:val="19"/>
              </w:rPr>
            </w:pPr>
            <w:r>
              <w:rPr>
                <w:w w:val="95"/>
                <w:sz w:val="19"/>
              </w:rPr>
              <w:t>1.98</w:t>
            </w:r>
          </w:p>
          <w:p>
            <w:pPr>
              <w:pStyle w:val="TableParagraph"/>
              <w:spacing w:before="87"/>
              <w:ind w:right="89"/>
              <w:jc w:val="right"/>
              <w:rPr>
                <w:sz w:val="19"/>
              </w:rPr>
            </w:pPr>
            <w:r>
              <w:rPr>
                <w:w w:val="111"/>
                <w:sz w:val="19"/>
              </w:rPr>
              <w:t>-</w:t>
            </w:r>
          </w:p>
        </w:tc>
        <w:tc>
          <w:tcPr>
            <w:tcW w:w="1156" w:type="dxa"/>
            <w:shd w:val="clear" w:color="auto" w:fill="FAF9F9"/>
          </w:tcPr>
          <w:p>
            <w:pPr>
              <w:pStyle w:val="TableParagraph"/>
              <w:ind w:left="443" w:right="71"/>
              <w:jc w:val="center"/>
              <w:rPr>
                <w:sz w:val="19"/>
              </w:rPr>
            </w:pPr>
            <w:r>
              <w:rPr>
                <w:sz w:val="19"/>
              </w:rPr>
              <w:t>70,618</w:t>
            </w:r>
          </w:p>
          <w:p>
            <w:pPr>
              <w:pStyle w:val="TableParagraph"/>
              <w:spacing w:before="87"/>
              <w:ind w:left="548" w:right="71"/>
              <w:jc w:val="center"/>
              <w:rPr>
                <w:sz w:val="19"/>
              </w:rPr>
            </w:pPr>
            <w:r>
              <w:rPr>
                <w:sz w:val="19"/>
              </w:rPr>
              <w:t>3,569</w:t>
            </w:r>
          </w:p>
        </w:tc>
        <w:tc>
          <w:tcPr>
            <w:tcW w:w="1043" w:type="dxa"/>
            <w:shd w:val="clear" w:color="auto" w:fill="FAF9F9"/>
          </w:tcPr>
          <w:p>
            <w:pPr>
              <w:pStyle w:val="TableParagraph"/>
              <w:ind w:right="89"/>
              <w:jc w:val="right"/>
              <w:rPr>
                <w:sz w:val="19"/>
              </w:rPr>
            </w:pPr>
            <w:r>
              <w:rPr>
                <w:w w:val="111"/>
                <w:sz w:val="19"/>
              </w:rPr>
              <w:t>-</w:t>
            </w:r>
          </w:p>
          <w:p>
            <w:pPr>
              <w:pStyle w:val="TableParagraph"/>
              <w:spacing w:before="87"/>
              <w:ind w:right="89"/>
              <w:jc w:val="right"/>
              <w:rPr>
                <w:sz w:val="19"/>
              </w:rPr>
            </w:pPr>
            <w:r>
              <w:rPr>
                <w:w w:val="111"/>
                <w:sz w:val="19"/>
              </w:rPr>
              <w:t>-</w:t>
            </w:r>
          </w:p>
        </w:tc>
        <w:tc>
          <w:tcPr>
            <w:tcW w:w="1156" w:type="dxa"/>
            <w:shd w:val="clear" w:color="auto" w:fill="FAF9F9"/>
          </w:tcPr>
          <w:p>
            <w:pPr>
              <w:pStyle w:val="TableParagraph"/>
              <w:ind w:right="88"/>
              <w:jc w:val="right"/>
              <w:rPr>
                <w:sz w:val="19"/>
              </w:rPr>
            </w:pPr>
            <w:r>
              <w:rPr>
                <w:w w:val="95"/>
                <w:sz w:val="19"/>
              </w:rPr>
              <w:t>21,678</w:t>
            </w:r>
          </w:p>
          <w:p>
            <w:pPr>
              <w:pStyle w:val="TableParagraph"/>
              <w:spacing w:before="87"/>
              <w:ind w:right="88"/>
              <w:jc w:val="right"/>
              <w:rPr>
                <w:sz w:val="19"/>
              </w:rPr>
            </w:pPr>
            <w:r>
              <w:rPr>
                <w:w w:val="111"/>
                <w:sz w:val="19"/>
              </w:rPr>
              <w:t>-</w:t>
            </w:r>
          </w:p>
        </w:tc>
        <w:tc>
          <w:tcPr>
            <w:tcW w:w="1156" w:type="dxa"/>
            <w:tcBorders>
              <w:right w:val="single" w:sz="4" w:space="0" w:color="000000"/>
            </w:tcBorders>
            <w:shd w:val="clear" w:color="auto" w:fill="FAF9F9"/>
          </w:tcPr>
          <w:p>
            <w:pPr>
              <w:pStyle w:val="TableParagraph"/>
              <w:ind w:left="435" w:right="66"/>
              <w:jc w:val="center"/>
              <w:rPr>
                <w:sz w:val="19"/>
              </w:rPr>
            </w:pPr>
            <w:r>
              <w:rPr>
                <w:sz w:val="19"/>
              </w:rPr>
              <w:t>48,940</w:t>
            </w:r>
          </w:p>
          <w:p>
            <w:pPr>
              <w:pStyle w:val="TableParagraph"/>
              <w:spacing w:before="87"/>
              <w:ind w:left="541" w:right="66"/>
              <w:jc w:val="center"/>
              <w:rPr>
                <w:sz w:val="19"/>
              </w:rPr>
            </w:pPr>
            <w:r>
              <w:rPr>
                <w:sz w:val="19"/>
              </w:rPr>
              <w:t>3,569</w:t>
            </w:r>
          </w:p>
        </w:tc>
        <w:tc>
          <w:tcPr>
            <w:tcW w:w="1156" w:type="dxa"/>
            <w:tcBorders>
              <w:left w:val="single" w:sz="4" w:space="0" w:color="000000"/>
              <w:right w:val="single" w:sz="4" w:space="0" w:color="000000"/>
            </w:tcBorders>
            <w:shd w:val="clear" w:color="auto" w:fill="FAF9F9"/>
          </w:tcPr>
          <w:p>
            <w:pPr>
              <w:pStyle w:val="TableParagraph"/>
              <w:ind w:left="449" w:right="74"/>
              <w:jc w:val="center"/>
              <w:rPr>
                <w:sz w:val="19"/>
              </w:rPr>
            </w:pPr>
            <w:r>
              <w:rPr>
                <w:sz w:val="19"/>
              </w:rPr>
              <w:t>70,618</w:t>
            </w:r>
          </w:p>
          <w:p>
            <w:pPr>
              <w:pStyle w:val="TableParagraph"/>
              <w:spacing w:before="87"/>
              <w:ind w:left="555" w:right="74"/>
              <w:jc w:val="center"/>
              <w:rPr>
                <w:sz w:val="19"/>
              </w:rPr>
            </w:pPr>
            <w:r>
              <w:rPr>
                <w:sz w:val="19"/>
              </w:rPr>
              <w:t>3,569</w:t>
            </w:r>
          </w:p>
        </w:tc>
        <w:tc>
          <w:tcPr>
            <w:tcW w:w="1156" w:type="dxa"/>
            <w:tcBorders>
              <w:left w:val="single" w:sz="4" w:space="0" w:color="000000"/>
            </w:tcBorders>
            <w:shd w:val="clear" w:color="auto" w:fill="FAF9F9"/>
          </w:tcPr>
          <w:p>
            <w:pPr>
              <w:pStyle w:val="TableParagraph"/>
              <w:ind w:right="87"/>
              <w:jc w:val="right"/>
              <w:rPr>
                <w:sz w:val="19"/>
              </w:rPr>
            </w:pPr>
            <w:r>
              <w:rPr>
                <w:w w:val="95"/>
                <w:sz w:val="19"/>
              </w:rPr>
              <w:t>70,618</w:t>
            </w:r>
          </w:p>
          <w:p>
            <w:pPr>
              <w:pStyle w:val="TableParagraph"/>
              <w:spacing w:before="87"/>
              <w:ind w:right="87"/>
              <w:jc w:val="right"/>
              <w:rPr>
                <w:sz w:val="19"/>
              </w:rPr>
            </w:pPr>
            <w:r>
              <w:rPr>
                <w:w w:val="111"/>
                <w:sz w:val="19"/>
              </w:rPr>
              <w:t>-</w:t>
            </w:r>
          </w:p>
        </w:tc>
        <w:tc>
          <w:tcPr>
            <w:tcW w:w="986"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111"/>
                <w:sz w:val="19"/>
              </w:rPr>
              <w:t>-</w:t>
            </w:r>
          </w:p>
        </w:tc>
        <w:tc>
          <w:tcPr>
            <w:tcW w:w="1043"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111"/>
                <w:sz w:val="19"/>
              </w:rPr>
              <w:t>-</w:t>
            </w:r>
          </w:p>
        </w:tc>
        <w:tc>
          <w:tcPr>
            <w:tcW w:w="1043"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95"/>
                <w:sz w:val="19"/>
              </w:rPr>
              <w:t>3,171</w:t>
            </w:r>
          </w:p>
        </w:tc>
        <w:tc>
          <w:tcPr>
            <w:tcW w:w="1100" w:type="dxa"/>
            <w:tcBorders>
              <w:right w:val="nil"/>
            </w:tcBorders>
            <w:shd w:val="clear" w:color="auto" w:fill="FAF9F9"/>
          </w:tcPr>
          <w:p>
            <w:pPr>
              <w:pStyle w:val="TableParagraph"/>
              <w:ind w:right="96"/>
              <w:jc w:val="right"/>
              <w:rPr>
                <w:sz w:val="19"/>
              </w:rPr>
            </w:pPr>
            <w:r>
              <w:rPr>
                <w:w w:val="111"/>
                <w:sz w:val="19"/>
              </w:rPr>
              <w:t>-</w:t>
            </w:r>
          </w:p>
          <w:p>
            <w:pPr>
              <w:pStyle w:val="TableParagraph"/>
              <w:spacing w:before="87"/>
              <w:ind w:right="96"/>
              <w:jc w:val="right"/>
              <w:rPr>
                <w:sz w:val="19"/>
              </w:rPr>
            </w:pPr>
            <w:r>
              <w:rPr>
                <w:w w:val="95"/>
                <w:sz w:val="19"/>
              </w:rPr>
              <w:t>398</w:t>
            </w:r>
          </w:p>
        </w:tc>
      </w:tr>
      <w:tr>
        <w:trPr>
          <w:trHeight w:val="285" w:hRule="atLeast"/>
        </w:trPr>
        <w:tc>
          <w:tcPr>
            <w:tcW w:w="3197" w:type="dxa"/>
            <w:shd w:val="clear" w:color="auto" w:fill="F4F4F4"/>
          </w:tcPr>
          <w:p>
            <w:pPr>
              <w:pStyle w:val="TableParagraph"/>
              <w:ind w:left="113"/>
              <w:rPr>
                <w:sz w:val="10"/>
              </w:rPr>
            </w:pPr>
            <w:r>
              <w:rPr>
                <w:sz w:val="19"/>
              </w:rPr>
              <w:t>Receivables</w:t>
            </w:r>
            <w:r>
              <w:rPr>
                <w:position w:val="6"/>
                <w:sz w:val="10"/>
              </w:rPr>
              <w:t>(a)</w:t>
            </w:r>
          </w:p>
        </w:tc>
        <w:tc>
          <w:tcPr>
            <w:tcW w:w="1099" w:type="dxa"/>
            <w:shd w:val="clear" w:color="auto" w:fill="F4F4F4"/>
          </w:tcPr>
          <w:p>
            <w:pPr>
              <w:pStyle w:val="TableParagraph"/>
              <w:ind w:right="90"/>
              <w:jc w:val="right"/>
              <w:rPr>
                <w:sz w:val="19"/>
              </w:rPr>
            </w:pPr>
            <w:r>
              <w:rPr>
                <w:w w:val="111"/>
                <w:sz w:val="19"/>
              </w:rPr>
              <w:t>-</w:t>
            </w:r>
          </w:p>
        </w:tc>
        <w:tc>
          <w:tcPr>
            <w:tcW w:w="1156" w:type="dxa"/>
            <w:shd w:val="clear" w:color="auto" w:fill="F4F4F4"/>
          </w:tcPr>
          <w:p>
            <w:pPr>
              <w:pStyle w:val="TableParagraph"/>
              <w:ind w:right="89"/>
              <w:jc w:val="right"/>
              <w:rPr>
                <w:sz w:val="19"/>
              </w:rPr>
            </w:pPr>
            <w:r>
              <w:rPr>
                <w:w w:val="95"/>
                <w:sz w:val="19"/>
              </w:rPr>
              <w:t>178,379</w:t>
            </w:r>
          </w:p>
        </w:tc>
        <w:tc>
          <w:tcPr>
            <w:tcW w:w="1043" w:type="dxa"/>
            <w:shd w:val="clear" w:color="auto" w:fill="F4F4F4"/>
          </w:tcPr>
          <w:p>
            <w:pPr>
              <w:pStyle w:val="TableParagraph"/>
              <w:ind w:right="89"/>
              <w:jc w:val="right"/>
              <w:rPr>
                <w:sz w:val="19"/>
              </w:rPr>
            </w:pPr>
            <w:r>
              <w:rPr>
                <w:w w:val="111"/>
                <w:sz w:val="19"/>
              </w:rPr>
              <w:t>-</w:t>
            </w:r>
          </w:p>
        </w:tc>
        <w:tc>
          <w:tcPr>
            <w:tcW w:w="1156" w:type="dxa"/>
            <w:shd w:val="clear" w:color="auto" w:fill="F4F4F4"/>
          </w:tcPr>
          <w:p>
            <w:pPr>
              <w:pStyle w:val="TableParagraph"/>
              <w:ind w:right="88"/>
              <w:jc w:val="right"/>
              <w:rPr>
                <w:sz w:val="19"/>
              </w:rPr>
            </w:pPr>
            <w:r>
              <w:rPr>
                <w:w w:val="111"/>
                <w:sz w:val="19"/>
              </w:rPr>
              <w:t>-</w:t>
            </w:r>
          </w:p>
        </w:tc>
        <w:tc>
          <w:tcPr>
            <w:tcW w:w="1156" w:type="dxa"/>
            <w:tcBorders>
              <w:right w:val="single" w:sz="4" w:space="0" w:color="000000"/>
            </w:tcBorders>
            <w:shd w:val="clear" w:color="auto" w:fill="F4F4F4"/>
          </w:tcPr>
          <w:p>
            <w:pPr>
              <w:pStyle w:val="TableParagraph"/>
              <w:ind w:right="93"/>
              <w:jc w:val="right"/>
              <w:rPr>
                <w:sz w:val="19"/>
              </w:rPr>
            </w:pPr>
            <w:r>
              <w:rPr>
                <w:w w:val="95"/>
                <w:sz w:val="19"/>
              </w:rPr>
              <w:t>178,379</w:t>
            </w:r>
          </w:p>
        </w:tc>
        <w:tc>
          <w:tcPr>
            <w:tcW w:w="1156" w:type="dxa"/>
            <w:tcBorders>
              <w:left w:val="single" w:sz="4" w:space="0" w:color="000000"/>
              <w:right w:val="single" w:sz="4" w:space="0" w:color="000000"/>
            </w:tcBorders>
            <w:shd w:val="clear" w:color="auto" w:fill="F4F4F4"/>
          </w:tcPr>
          <w:p>
            <w:pPr>
              <w:pStyle w:val="TableParagraph"/>
              <w:ind w:right="92"/>
              <w:jc w:val="right"/>
              <w:rPr>
                <w:sz w:val="19"/>
              </w:rPr>
            </w:pPr>
            <w:r>
              <w:rPr>
                <w:w w:val="95"/>
                <w:sz w:val="19"/>
              </w:rPr>
              <w:t>178,379</w:t>
            </w:r>
          </w:p>
        </w:tc>
        <w:tc>
          <w:tcPr>
            <w:tcW w:w="1156" w:type="dxa"/>
            <w:tcBorders>
              <w:left w:val="single" w:sz="4" w:space="0" w:color="000000"/>
            </w:tcBorders>
            <w:shd w:val="clear" w:color="auto" w:fill="F4F4F4"/>
          </w:tcPr>
          <w:p>
            <w:pPr>
              <w:pStyle w:val="TableParagraph"/>
              <w:ind w:right="87"/>
              <w:jc w:val="right"/>
              <w:rPr>
                <w:sz w:val="19"/>
              </w:rPr>
            </w:pPr>
            <w:r>
              <w:rPr>
                <w:w w:val="95"/>
                <w:sz w:val="19"/>
              </w:rPr>
              <w:t>175,018</w:t>
            </w:r>
          </w:p>
        </w:tc>
        <w:tc>
          <w:tcPr>
            <w:tcW w:w="986" w:type="dxa"/>
            <w:shd w:val="clear" w:color="auto" w:fill="F4F4F4"/>
          </w:tcPr>
          <w:p>
            <w:pPr>
              <w:pStyle w:val="TableParagraph"/>
              <w:ind w:right="86"/>
              <w:jc w:val="right"/>
              <w:rPr>
                <w:sz w:val="19"/>
              </w:rPr>
            </w:pPr>
            <w:r>
              <w:rPr>
                <w:w w:val="111"/>
                <w:sz w:val="19"/>
              </w:rPr>
              <w:t>-</w:t>
            </w:r>
          </w:p>
        </w:tc>
        <w:tc>
          <w:tcPr>
            <w:tcW w:w="1043" w:type="dxa"/>
            <w:shd w:val="clear" w:color="auto" w:fill="F4F4F4"/>
          </w:tcPr>
          <w:p>
            <w:pPr>
              <w:pStyle w:val="TableParagraph"/>
              <w:ind w:right="86"/>
              <w:jc w:val="right"/>
              <w:rPr>
                <w:sz w:val="19"/>
              </w:rPr>
            </w:pPr>
            <w:r>
              <w:rPr>
                <w:w w:val="95"/>
                <w:sz w:val="19"/>
              </w:rPr>
              <w:t>1,413</w:t>
            </w:r>
          </w:p>
        </w:tc>
        <w:tc>
          <w:tcPr>
            <w:tcW w:w="1043" w:type="dxa"/>
            <w:shd w:val="clear" w:color="auto" w:fill="F4F4F4"/>
          </w:tcPr>
          <w:p>
            <w:pPr>
              <w:pStyle w:val="TableParagraph"/>
              <w:ind w:right="86"/>
              <w:jc w:val="right"/>
              <w:rPr>
                <w:sz w:val="19"/>
              </w:rPr>
            </w:pPr>
            <w:r>
              <w:rPr>
                <w:w w:val="95"/>
                <w:sz w:val="19"/>
              </w:rPr>
              <w:t>1,948</w:t>
            </w:r>
          </w:p>
        </w:tc>
        <w:tc>
          <w:tcPr>
            <w:tcW w:w="1100" w:type="dxa"/>
            <w:tcBorders>
              <w:right w:val="nil"/>
            </w:tcBorders>
            <w:shd w:val="clear" w:color="auto" w:fill="F4F4F4"/>
          </w:tcPr>
          <w:p>
            <w:pPr>
              <w:pStyle w:val="TableParagraph"/>
              <w:ind w:right="96"/>
              <w:jc w:val="right"/>
              <w:rPr>
                <w:sz w:val="19"/>
              </w:rPr>
            </w:pPr>
            <w:r>
              <w:rPr>
                <w:w w:val="111"/>
                <w:sz w:val="19"/>
              </w:rPr>
              <w:t>-</w:t>
            </w:r>
          </w:p>
        </w:tc>
      </w:tr>
      <w:tr>
        <w:trPr>
          <w:trHeight w:val="285" w:hRule="atLeast"/>
        </w:trPr>
        <w:tc>
          <w:tcPr>
            <w:tcW w:w="3197" w:type="dxa"/>
            <w:tcBorders>
              <w:right w:val="nil"/>
            </w:tcBorders>
            <w:shd w:val="clear" w:color="auto" w:fill="FAF9F9"/>
          </w:tcPr>
          <w:p>
            <w:pPr>
              <w:pStyle w:val="TableParagraph"/>
              <w:ind w:left="113"/>
              <w:rPr>
                <w:sz w:val="10"/>
              </w:rPr>
            </w:pPr>
            <w:r>
              <w:rPr>
                <w:sz w:val="19"/>
              </w:rPr>
              <w:t>Finance lease receivables</w:t>
            </w:r>
            <w:r>
              <w:rPr>
                <w:position w:val="6"/>
                <w:sz w:val="10"/>
              </w:rPr>
              <w:t>(c)</w:t>
            </w:r>
          </w:p>
        </w:tc>
        <w:tc>
          <w:tcPr>
            <w:tcW w:w="1099" w:type="dxa"/>
            <w:tcBorders>
              <w:left w:val="nil"/>
              <w:right w:val="nil"/>
            </w:tcBorders>
            <w:shd w:val="clear" w:color="auto" w:fill="FAF9F9"/>
          </w:tcPr>
          <w:p>
            <w:pPr>
              <w:pStyle w:val="TableParagraph"/>
              <w:ind w:right="100"/>
              <w:jc w:val="right"/>
              <w:rPr>
                <w:sz w:val="19"/>
              </w:rPr>
            </w:pPr>
            <w:r>
              <w:rPr>
                <w:w w:val="95"/>
                <w:sz w:val="19"/>
              </w:rPr>
              <w:t>4.52</w:t>
            </w:r>
          </w:p>
        </w:tc>
        <w:tc>
          <w:tcPr>
            <w:tcW w:w="1156" w:type="dxa"/>
            <w:tcBorders>
              <w:left w:val="nil"/>
              <w:right w:val="nil"/>
            </w:tcBorders>
            <w:shd w:val="clear" w:color="auto" w:fill="FAF9F9"/>
          </w:tcPr>
          <w:p>
            <w:pPr>
              <w:pStyle w:val="TableParagraph"/>
              <w:ind w:right="99"/>
              <w:jc w:val="right"/>
              <w:rPr>
                <w:sz w:val="19"/>
              </w:rPr>
            </w:pPr>
            <w:r>
              <w:rPr>
                <w:w w:val="95"/>
                <w:sz w:val="19"/>
              </w:rPr>
              <w:t>1,091</w:t>
            </w:r>
          </w:p>
        </w:tc>
        <w:tc>
          <w:tcPr>
            <w:tcW w:w="1043" w:type="dxa"/>
            <w:tcBorders>
              <w:left w:val="nil"/>
              <w:right w:val="nil"/>
            </w:tcBorders>
            <w:shd w:val="clear" w:color="auto" w:fill="FAF9F9"/>
          </w:tcPr>
          <w:p>
            <w:pPr>
              <w:pStyle w:val="TableParagraph"/>
              <w:ind w:right="99"/>
              <w:jc w:val="right"/>
              <w:rPr>
                <w:sz w:val="19"/>
              </w:rPr>
            </w:pPr>
            <w:r>
              <w:rPr>
                <w:w w:val="95"/>
                <w:sz w:val="19"/>
              </w:rPr>
              <w:t>1,091</w:t>
            </w:r>
          </w:p>
        </w:tc>
        <w:tc>
          <w:tcPr>
            <w:tcW w:w="1156" w:type="dxa"/>
            <w:tcBorders>
              <w:left w:val="nil"/>
              <w:right w:val="nil"/>
            </w:tcBorders>
            <w:shd w:val="clear" w:color="auto" w:fill="FAF9F9"/>
          </w:tcPr>
          <w:p>
            <w:pPr>
              <w:pStyle w:val="TableParagraph"/>
              <w:ind w:right="98"/>
              <w:jc w:val="right"/>
              <w:rPr>
                <w:sz w:val="19"/>
              </w:rPr>
            </w:pPr>
            <w:r>
              <w:rPr>
                <w:w w:val="111"/>
                <w:sz w:val="19"/>
              </w:rPr>
              <w:t>-</w:t>
            </w:r>
          </w:p>
        </w:tc>
        <w:tc>
          <w:tcPr>
            <w:tcW w:w="1156" w:type="dxa"/>
            <w:tcBorders>
              <w:left w:val="nil"/>
              <w:right w:val="single" w:sz="4" w:space="0" w:color="000000"/>
            </w:tcBorders>
            <w:shd w:val="clear" w:color="auto" w:fill="FAF9F9"/>
          </w:tcPr>
          <w:p>
            <w:pPr>
              <w:pStyle w:val="TableParagraph"/>
              <w:ind w:right="93"/>
              <w:jc w:val="right"/>
              <w:rPr>
                <w:sz w:val="19"/>
              </w:rPr>
            </w:pPr>
            <w:r>
              <w:rPr>
                <w:w w:val="111"/>
                <w:sz w:val="19"/>
              </w:rPr>
              <w:t>-</w:t>
            </w:r>
          </w:p>
        </w:tc>
        <w:tc>
          <w:tcPr>
            <w:tcW w:w="1156" w:type="dxa"/>
            <w:tcBorders>
              <w:left w:val="single" w:sz="4" w:space="0" w:color="000000"/>
              <w:right w:val="single" w:sz="4" w:space="0" w:color="000000"/>
            </w:tcBorders>
            <w:shd w:val="clear" w:color="auto" w:fill="FAF9F9"/>
          </w:tcPr>
          <w:p>
            <w:pPr>
              <w:pStyle w:val="TableParagraph"/>
              <w:ind w:right="92"/>
              <w:jc w:val="right"/>
              <w:rPr>
                <w:sz w:val="19"/>
              </w:rPr>
            </w:pPr>
            <w:r>
              <w:rPr>
                <w:w w:val="95"/>
                <w:sz w:val="19"/>
              </w:rPr>
              <w:t>1,153</w:t>
            </w:r>
          </w:p>
        </w:tc>
        <w:tc>
          <w:tcPr>
            <w:tcW w:w="1156" w:type="dxa"/>
            <w:tcBorders>
              <w:left w:val="single" w:sz="4" w:space="0" w:color="000000"/>
              <w:right w:val="nil"/>
            </w:tcBorders>
            <w:shd w:val="clear" w:color="auto" w:fill="FAF9F9"/>
          </w:tcPr>
          <w:p>
            <w:pPr>
              <w:pStyle w:val="TableParagraph"/>
              <w:ind w:right="97"/>
              <w:jc w:val="right"/>
              <w:rPr>
                <w:sz w:val="19"/>
              </w:rPr>
            </w:pPr>
            <w:r>
              <w:rPr>
                <w:w w:val="95"/>
                <w:sz w:val="19"/>
              </w:rPr>
              <w:t>24</w:t>
            </w:r>
          </w:p>
        </w:tc>
        <w:tc>
          <w:tcPr>
            <w:tcW w:w="986" w:type="dxa"/>
            <w:tcBorders>
              <w:left w:val="nil"/>
              <w:right w:val="nil"/>
            </w:tcBorders>
            <w:shd w:val="clear" w:color="auto" w:fill="FAF9F9"/>
          </w:tcPr>
          <w:p>
            <w:pPr>
              <w:pStyle w:val="TableParagraph"/>
              <w:ind w:right="96"/>
              <w:jc w:val="right"/>
              <w:rPr>
                <w:sz w:val="19"/>
              </w:rPr>
            </w:pPr>
            <w:r>
              <w:rPr>
                <w:w w:val="95"/>
                <w:sz w:val="19"/>
              </w:rPr>
              <w:t>120</w:t>
            </w:r>
          </w:p>
        </w:tc>
        <w:tc>
          <w:tcPr>
            <w:tcW w:w="1043" w:type="dxa"/>
            <w:tcBorders>
              <w:left w:val="nil"/>
              <w:right w:val="nil"/>
            </w:tcBorders>
            <w:shd w:val="clear" w:color="auto" w:fill="FAF9F9"/>
          </w:tcPr>
          <w:p>
            <w:pPr>
              <w:pStyle w:val="TableParagraph"/>
              <w:ind w:right="96"/>
              <w:jc w:val="right"/>
              <w:rPr>
                <w:sz w:val="19"/>
              </w:rPr>
            </w:pPr>
            <w:r>
              <w:rPr>
                <w:w w:val="95"/>
                <w:sz w:val="19"/>
              </w:rPr>
              <w:t>390</w:t>
            </w:r>
          </w:p>
        </w:tc>
        <w:tc>
          <w:tcPr>
            <w:tcW w:w="1043" w:type="dxa"/>
            <w:tcBorders>
              <w:left w:val="nil"/>
              <w:right w:val="nil"/>
            </w:tcBorders>
            <w:shd w:val="clear" w:color="auto" w:fill="FAF9F9"/>
          </w:tcPr>
          <w:p>
            <w:pPr>
              <w:pStyle w:val="TableParagraph"/>
              <w:ind w:right="96"/>
              <w:jc w:val="right"/>
              <w:rPr>
                <w:sz w:val="19"/>
              </w:rPr>
            </w:pPr>
            <w:r>
              <w:rPr>
                <w:w w:val="95"/>
                <w:sz w:val="19"/>
              </w:rPr>
              <w:t>619</w:t>
            </w:r>
          </w:p>
        </w:tc>
        <w:tc>
          <w:tcPr>
            <w:tcW w:w="1100" w:type="dxa"/>
            <w:tcBorders>
              <w:left w:val="nil"/>
              <w:right w:val="nil"/>
            </w:tcBorders>
            <w:shd w:val="clear" w:color="auto" w:fill="FAF9F9"/>
          </w:tcPr>
          <w:p>
            <w:pPr>
              <w:pStyle w:val="TableParagraph"/>
              <w:ind w:right="96"/>
              <w:jc w:val="right"/>
              <w:rPr>
                <w:sz w:val="19"/>
              </w:rPr>
            </w:pPr>
            <w:r>
              <w:rPr>
                <w:w w:val="111"/>
                <w:sz w:val="19"/>
              </w:rPr>
              <w:t>-</w:t>
            </w:r>
          </w:p>
        </w:tc>
      </w:tr>
      <w:tr>
        <w:trPr>
          <w:trHeight w:val="285" w:hRule="atLeast"/>
        </w:trPr>
        <w:tc>
          <w:tcPr>
            <w:tcW w:w="3197" w:type="dxa"/>
            <w:vMerge w:val="restart"/>
            <w:shd w:val="clear" w:color="auto" w:fill="FAF9F9"/>
          </w:tcPr>
          <w:p>
            <w:pPr>
              <w:pStyle w:val="TableParagraph"/>
              <w:ind w:left="113"/>
              <w:rPr>
                <w:sz w:val="19"/>
              </w:rPr>
            </w:pPr>
            <w:r>
              <w:rPr>
                <w:sz w:val="19"/>
              </w:rPr>
              <w:t>Amounts receivable for services</w:t>
            </w:r>
          </w:p>
        </w:tc>
        <w:tc>
          <w:tcPr>
            <w:tcW w:w="1099" w:type="dxa"/>
            <w:vMerge w:val="restart"/>
            <w:shd w:val="clear" w:color="auto" w:fill="FAF9F9"/>
          </w:tcPr>
          <w:p>
            <w:pPr>
              <w:pStyle w:val="TableParagraph"/>
              <w:ind w:right="90"/>
              <w:jc w:val="right"/>
              <w:rPr>
                <w:sz w:val="19"/>
              </w:rPr>
            </w:pPr>
            <w:r>
              <w:rPr>
                <w:w w:val="111"/>
                <w:sz w:val="19"/>
              </w:rPr>
              <w:t>-</w:t>
            </w:r>
          </w:p>
        </w:tc>
        <w:tc>
          <w:tcPr>
            <w:tcW w:w="1156" w:type="dxa"/>
            <w:tcBorders>
              <w:bottom w:val="single" w:sz="4" w:space="0" w:color="000000"/>
            </w:tcBorders>
            <w:shd w:val="clear" w:color="auto" w:fill="F4F4F4"/>
          </w:tcPr>
          <w:p>
            <w:pPr>
              <w:pStyle w:val="TableParagraph"/>
              <w:ind w:right="89"/>
              <w:jc w:val="right"/>
              <w:rPr>
                <w:sz w:val="19"/>
              </w:rPr>
            </w:pPr>
            <w:r>
              <w:rPr>
                <w:w w:val="95"/>
                <w:sz w:val="19"/>
              </w:rPr>
              <w:t>464,146</w:t>
            </w:r>
          </w:p>
        </w:tc>
        <w:tc>
          <w:tcPr>
            <w:tcW w:w="1043" w:type="dxa"/>
            <w:tcBorders>
              <w:bottom w:val="single" w:sz="4" w:space="0" w:color="000000"/>
            </w:tcBorders>
            <w:shd w:val="clear" w:color="auto" w:fill="F4F4F4"/>
          </w:tcPr>
          <w:p>
            <w:pPr>
              <w:pStyle w:val="TableParagraph"/>
              <w:ind w:right="89"/>
              <w:jc w:val="right"/>
              <w:rPr>
                <w:sz w:val="19"/>
              </w:rPr>
            </w:pPr>
            <w:r>
              <w:rPr>
                <w:w w:val="111"/>
                <w:sz w:val="19"/>
              </w:rPr>
              <w:t>-</w:t>
            </w:r>
          </w:p>
        </w:tc>
        <w:tc>
          <w:tcPr>
            <w:tcW w:w="1156" w:type="dxa"/>
            <w:tcBorders>
              <w:bottom w:val="single" w:sz="4" w:space="0" w:color="000000"/>
            </w:tcBorders>
            <w:shd w:val="clear" w:color="auto" w:fill="F4F4F4"/>
          </w:tcPr>
          <w:p>
            <w:pPr>
              <w:pStyle w:val="TableParagraph"/>
              <w:ind w:right="88"/>
              <w:jc w:val="right"/>
              <w:rPr>
                <w:sz w:val="19"/>
              </w:rPr>
            </w:pPr>
            <w:r>
              <w:rPr>
                <w:w w:val="111"/>
                <w:sz w:val="19"/>
              </w:rPr>
              <w:t>-</w:t>
            </w:r>
          </w:p>
        </w:tc>
        <w:tc>
          <w:tcPr>
            <w:tcW w:w="1156" w:type="dxa"/>
            <w:tcBorders>
              <w:bottom w:val="single" w:sz="4" w:space="0" w:color="000000"/>
              <w:right w:val="single" w:sz="4" w:space="0" w:color="000000"/>
            </w:tcBorders>
            <w:shd w:val="clear" w:color="auto" w:fill="F4F4F4"/>
          </w:tcPr>
          <w:p>
            <w:pPr>
              <w:pStyle w:val="TableParagraph"/>
              <w:ind w:right="93"/>
              <w:jc w:val="right"/>
              <w:rPr>
                <w:sz w:val="19"/>
              </w:rPr>
            </w:pPr>
            <w:r>
              <w:rPr>
                <w:w w:val="95"/>
                <w:sz w:val="19"/>
              </w:rPr>
              <w:t>464,146</w:t>
            </w:r>
          </w:p>
        </w:tc>
        <w:tc>
          <w:tcPr>
            <w:tcW w:w="1156" w:type="dxa"/>
            <w:tcBorders>
              <w:left w:val="single" w:sz="4" w:space="0" w:color="000000"/>
              <w:bottom w:val="single" w:sz="4" w:space="0" w:color="000000"/>
              <w:right w:val="single" w:sz="4" w:space="0" w:color="000000"/>
            </w:tcBorders>
            <w:shd w:val="clear" w:color="auto" w:fill="F4F4F4"/>
          </w:tcPr>
          <w:p>
            <w:pPr>
              <w:pStyle w:val="TableParagraph"/>
              <w:ind w:right="92"/>
              <w:jc w:val="right"/>
              <w:rPr>
                <w:sz w:val="19"/>
              </w:rPr>
            </w:pPr>
            <w:r>
              <w:rPr>
                <w:w w:val="95"/>
                <w:sz w:val="19"/>
              </w:rPr>
              <w:t>464,146</w:t>
            </w:r>
          </w:p>
        </w:tc>
        <w:tc>
          <w:tcPr>
            <w:tcW w:w="1156" w:type="dxa"/>
            <w:tcBorders>
              <w:left w:val="single" w:sz="4" w:space="0" w:color="000000"/>
              <w:bottom w:val="single" w:sz="4" w:space="0" w:color="000000"/>
            </w:tcBorders>
            <w:shd w:val="clear" w:color="auto" w:fill="F4F4F4"/>
          </w:tcPr>
          <w:p>
            <w:pPr>
              <w:pStyle w:val="TableParagraph"/>
              <w:ind w:right="87"/>
              <w:jc w:val="right"/>
              <w:rPr>
                <w:sz w:val="19"/>
              </w:rPr>
            </w:pPr>
            <w:r>
              <w:rPr>
                <w:w w:val="111"/>
                <w:sz w:val="19"/>
              </w:rPr>
              <w:t>-</w:t>
            </w:r>
          </w:p>
        </w:tc>
        <w:tc>
          <w:tcPr>
            <w:tcW w:w="986" w:type="dxa"/>
            <w:tcBorders>
              <w:bottom w:val="single" w:sz="4" w:space="0" w:color="000000"/>
            </w:tcBorders>
            <w:shd w:val="clear" w:color="auto" w:fill="F4F4F4"/>
          </w:tcPr>
          <w:p>
            <w:pPr>
              <w:pStyle w:val="TableParagraph"/>
              <w:ind w:right="86"/>
              <w:jc w:val="right"/>
              <w:rPr>
                <w:sz w:val="19"/>
              </w:rPr>
            </w:pPr>
            <w:r>
              <w:rPr>
                <w:w w:val="111"/>
                <w:sz w:val="19"/>
              </w:rPr>
              <w:t>-</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2,250</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4,699</w:t>
            </w:r>
          </w:p>
        </w:tc>
        <w:tc>
          <w:tcPr>
            <w:tcW w:w="1100" w:type="dxa"/>
            <w:tcBorders>
              <w:bottom w:val="single" w:sz="4" w:space="0" w:color="000000"/>
              <w:right w:val="nil"/>
            </w:tcBorders>
            <w:shd w:val="clear" w:color="auto" w:fill="F4F4F4"/>
          </w:tcPr>
          <w:p>
            <w:pPr>
              <w:pStyle w:val="TableParagraph"/>
              <w:ind w:right="96"/>
              <w:jc w:val="right"/>
              <w:rPr>
                <w:sz w:val="19"/>
              </w:rPr>
            </w:pPr>
            <w:r>
              <w:rPr>
                <w:w w:val="95"/>
                <w:sz w:val="19"/>
              </w:rPr>
              <w:t>457,197</w:t>
            </w:r>
          </w:p>
        </w:tc>
      </w:tr>
      <w:tr>
        <w:trPr>
          <w:trHeight w:val="273" w:hRule="atLeast"/>
        </w:trPr>
        <w:tc>
          <w:tcPr>
            <w:tcW w:w="3197" w:type="dxa"/>
            <w:vMerge/>
            <w:tcBorders>
              <w:top w:val="nil"/>
            </w:tcBorders>
            <w:shd w:val="clear" w:color="auto" w:fill="FAF9F9"/>
          </w:tcPr>
          <w:p>
            <w:pPr>
              <w:rPr>
                <w:sz w:val="2"/>
                <w:szCs w:val="2"/>
              </w:rPr>
            </w:pPr>
          </w:p>
        </w:tc>
        <w:tc>
          <w:tcPr>
            <w:tcW w:w="1099" w:type="dxa"/>
            <w:vMerge/>
            <w:tcBorders>
              <w:top w:val="nil"/>
            </w:tcBorders>
            <w:shd w:val="clear" w:color="auto" w:fill="FAF9F9"/>
          </w:tcPr>
          <w:p>
            <w:pPr>
              <w:rPr>
                <w:sz w:val="2"/>
                <w:szCs w:val="2"/>
              </w:rPr>
            </w:pPr>
          </w:p>
        </w:tc>
        <w:tc>
          <w:tcPr>
            <w:tcW w:w="1156" w:type="dxa"/>
            <w:tcBorders>
              <w:top w:val="single" w:sz="4" w:space="0" w:color="000000"/>
              <w:bottom w:val="double" w:sz="2" w:space="0" w:color="000000"/>
              <w:right w:val="nil"/>
            </w:tcBorders>
            <w:shd w:val="clear" w:color="auto" w:fill="FAF9F9"/>
          </w:tcPr>
          <w:p>
            <w:pPr>
              <w:pStyle w:val="TableParagraph"/>
              <w:ind w:right="99"/>
              <w:jc w:val="right"/>
              <w:rPr>
                <w:b/>
                <w:sz w:val="19"/>
              </w:rPr>
            </w:pPr>
            <w:r>
              <w:rPr>
                <w:b/>
                <w:w w:val="95"/>
                <w:sz w:val="19"/>
              </w:rPr>
              <w:t>717,803</w:t>
            </w:r>
          </w:p>
        </w:tc>
        <w:tc>
          <w:tcPr>
            <w:tcW w:w="1043" w:type="dxa"/>
            <w:tcBorders>
              <w:top w:val="single" w:sz="4" w:space="0" w:color="000000"/>
              <w:left w:val="nil"/>
              <w:bottom w:val="double" w:sz="2" w:space="0" w:color="000000"/>
              <w:right w:val="nil"/>
            </w:tcBorders>
            <w:shd w:val="clear" w:color="auto" w:fill="FAF9F9"/>
          </w:tcPr>
          <w:p>
            <w:pPr>
              <w:pStyle w:val="TableParagraph"/>
              <w:ind w:right="99"/>
              <w:jc w:val="right"/>
              <w:rPr>
                <w:b/>
                <w:sz w:val="19"/>
              </w:rPr>
            </w:pPr>
            <w:r>
              <w:rPr>
                <w:b/>
                <w:w w:val="95"/>
                <w:sz w:val="19"/>
              </w:rPr>
              <w:t>1,091</w:t>
            </w:r>
          </w:p>
        </w:tc>
        <w:tc>
          <w:tcPr>
            <w:tcW w:w="1156" w:type="dxa"/>
            <w:tcBorders>
              <w:top w:val="single" w:sz="4" w:space="0" w:color="000000"/>
              <w:left w:val="nil"/>
              <w:bottom w:val="double" w:sz="2" w:space="0" w:color="000000"/>
              <w:right w:val="nil"/>
            </w:tcBorders>
            <w:shd w:val="clear" w:color="auto" w:fill="FAF9F9"/>
          </w:tcPr>
          <w:p>
            <w:pPr>
              <w:pStyle w:val="TableParagraph"/>
              <w:ind w:right="98"/>
              <w:jc w:val="right"/>
              <w:rPr>
                <w:b/>
                <w:sz w:val="19"/>
              </w:rPr>
            </w:pPr>
            <w:r>
              <w:rPr>
                <w:b/>
                <w:w w:val="95"/>
                <w:sz w:val="19"/>
              </w:rPr>
              <w:t>21,678</w:t>
            </w:r>
          </w:p>
        </w:tc>
        <w:tc>
          <w:tcPr>
            <w:tcW w:w="1156" w:type="dxa"/>
            <w:tcBorders>
              <w:top w:val="single" w:sz="4" w:space="0" w:color="000000"/>
              <w:left w:val="nil"/>
              <w:bottom w:val="double" w:sz="2" w:space="0" w:color="000000"/>
              <w:right w:val="single" w:sz="4" w:space="0" w:color="000000"/>
            </w:tcBorders>
            <w:shd w:val="clear" w:color="auto" w:fill="FAF9F9"/>
          </w:tcPr>
          <w:p>
            <w:pPr>
              <w:pStyle w:val="TableParagraph"/>
              <w:ind w:right="93"/>
              <w:jc w:val="right"/>
              <w:rPr>
                <w:b/>
                <w:sz w:val="19"/>
              </w:rPr>
            </w:pPr>
            <w:r>
              <w:rPr>
                <w:b/>
                <w:w w:val="95"/>
                <w:sz w:val="19"/>
              </w:rPr>
              <w:t>695,034</w:t>
            </w:r>
          </w:p>
        </w:tc>
        <w:tc>
          <w:tcPr>
            <w:tcW w:w="1156" w:type="dxa"/>
            <w:tcBorders>
              <w:top w:val="single" w:sz="4" w:space="0" w:color="000000"/>
              <w:left w:val="single" w:sz="4" w:space="0" w:color="000000"/>
              <w:bottom w:val="double" w:sz="2" w:space="0" w:color="000000"/>
              <w:right w:val="single" w:sz="4" w:space="0" w:color="000000"/>
            </w:tcBorders>
            <w:shd w:val="clear" w:color="auto" w:fill="FAF9F9"/>
          </w:tcPr>
          <w:p>
            <w:pPr>
              <w:pStyle w:val="TableParagraph"/>
              <w:ind w:right="92"/>
              <w:jc w:val="right"/>
              <w:rPr>
                <w:b/>
                <w:sz w:val="19"/>
              </w:rPr>
            </w:pPr>
            <w:r>
              <w:rPr>
                <w:b/>
                <w:w w:val="95"/>
                <w:sz w:val="19"/>
              </w:rPr>
              <w:t>717,865</w:t>
            </w:r>
          </w:p>
        </w:tc>
        <w:tc>
          <w:tcPr>
            <w:tcW w:w="1156" w:type="dxa"/>
            <w:tcBorders>
              <w:top w:val="single" w:sz="4" w:space="0" w:color="000000"/>
              <w:left w:val="single" w:sz="4" w:space="0" w:color="000000"/>
              <w:bottom w:val="double" w:sz="2" w:space="0" w:color="000000"/>
              <w:right w:val="nil"/>
            </w:tcBorders>
            <w:shd w:val="clear" w:color="auto" w:fill="FAF9F9"/>
          </w:tcPr>
          <w:p>
            <w:pPr>
              <w:pStyle w:val="TableParagraph"/>
              <w:ind w:right="97"/>
              <w:jc w:val="right"/>
              <w:rPr>
                <w:b/>
                <w:sz w:val="19"/>
              </w:rPr>
            </w:pPr>
            <w:r>
              <w:rPr>
                <w:b/>
                <w:w w:val="95"/>
                <w:sz w:val="19"/>
              </w:rPr>
              <w:t>245,660</w:t>
            </w:r>
          </w:p>
        </w:tc>
        <w:tc>
          <w:tcPr>
            <w:tcW w:w="986"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120</w:t>
            </w:r>
          </w:p>
        </w:tc>
        <w:tc>
          <w:tcPr>
            <w:tcW w:w="1043"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4,053</w:t>
            </w:r>
          </w:p>
        </w:tc>
        <w:tc>
          <w:tcPr>
            <w:tcW w:w="1043"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10,437</w:t>
            </w:r>
          </w:p>
        </w:tc>
        <w:tc>
          <w:tcPr>
            <w:tcW w:w="1100"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457,595</w:t>
            </w:r>
          </w:p>
        </w:tc>
      </w:tr>
      <w:tr>
        <w:trPr>
          <w:trHeight w:val="273" w:hRule="atLeast"/>
        </w:trPr>
        <w:tc>
          <w:tcPr>
            <w:tcW w:w="3197" w:type="dxa"/>
            <w:shd w:val="clear" w:color="auto" w:fill="F4F4F4"/>
          </w:tcPr>
          <w:p>
            <w:pPr>
              <w:pStyle w:val="TableParagraph"/>
              <w:spacing w:before="0"/>
              <w:rPr>
                <w:rFonts w:ascii="Times New Roman"/>
                <w:sz w:val="18"/>
              </w:rPr>
            </w:pPr>
          </w:p>
        </w:tc>
        <w:tc>
          <w:tcPr>
            <w:tcW w:w="1099" w:type="dxa"/>
            <w:shd w:val="clear" w:color="auto" w:fill="F4F4F4"/>
          </w:tcPr>
          <w:p>
            <w:pPr>
              <w:pStyle w:val="TableParagraph"/>
              <w:spacing w:before="0"/>
              <w:rPr>
                <w:rFonts w:ascii="Times New Roman"/>
                <w:sz w:val="18"/>
              </w:rPr>
            </w:pPr>
          </w:p>
        </w:tc>
        <w:tc>
          <w:tcPr>
            <w:tcW w:w="1156"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156" w:type="dxa"/>
            <w:tcBorders>
              <w:top w:val="double" w:sz="2" w:space="0" w:color="000000"/>
            </w:tcBorders>
            <w:shd w:val="clear" w:color="auto" w:fill="F4F4F4"/>
          </w:tcPr>
          <w:p>
            <w:pPr>
              <w:pStyle w:val="TableParagraph"/>
              <w:spacing w:before="0"/>
              <w:rPr>
                <w:rFonts w:ascii="Times New Roman"/>
                <w:sz w:val="18"/>
              </w:rPr>
            </w:pPr>
          </w:p>
        </w:tc>
        <w:tc>
          <w:tcPr>
            <w:tcW w:w="1156" w:type="dxa"/>
            <w:tcBorders>
              <w:top w:val="double" w:sz="2" w:space="0" w:color="000000"/>
              <w:right w:val="single" w:sz="4" w:space="0" w:color="000000"/>
            </w:tcBorders>
            <w:shd w:val="clear" w:color="auto" w:fill="F4F4F4"/>
          </w:tcPr>
          <w:p>
            <w:pPr>
              <w:pStyle w:val="TableParagraph"/>
              <w:spacing w:before="0"/>
              <w:rPr>
                <w:rFonts w:ascii="Times New Roman"/>
                <w:sz w:val="18"/>
              </w:rPr>
            </w:pPr>
          </w:p>
        </w:tc>
        <w:tc>
          <w:tcPr>
            <w:tcW w:w="1156" w:type="dxa"/>
            <w:tcBorders>
              <w:top w:val="double" w:sz="2" w:space="0" w:color="000000"/>
              <w:left w:val="single" w:sz="4" w:space="0" w:color="000000"/>
              <w:right w:val="single" w:sz="4" w:space="0" w:color="000000"/>
            </w:tcBorders>
            <w:shd w:val="clear" w:color="auto" w:fill="F4F4F4"/>
          </w:tcPr>
          <w:p>
            <w:pPr>
              <w:pStyle w:val="TableParagraph"/>
              <w:spacing w:before="0"/>
              <w:rPr>
                <w:rFonts w:ascii="Times New Roman"/>
                <w:sz w:val="18"/>
              </w:rPr>
            </w:pPr>
          </w:p>
        </w:tc>
        <w:tc>
          <w:tcPr>
            <w:tcW w:w="1156" w:type="dxa"/>
            <w:tcBorders>
              <w:top w:val="double" w:sz="2" w:space="0" w:color="000000"/>
              <w:left w:val="single" w:sz="4" w:space="0" w:color="000000"/>
            </w:tcBorders>
            <w:shd w:val="clear" w:color="auto" w:fill="F4F4F4"/>
          </w:tcPr>
          <w:p>
            <w:pPr>
              <w:pStyle w:val="TableParagraph"/>
              <w:spacing w:before="0"/>
              <w:rPr>
                <w:rFonts w:ascii="Times New Roman"/>
                <w:sz w:val="18"/>
              </w:rPr>
            </w:pPr>
          </w:p>
        </w:tc>
        <w:tc>
          <w:tcPr>
            <w:tcW w:w="986"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100" w:type="dxa"/>
            <w:tcBorders>
              <w:top w:val="double" w:sz="2" w:space="0" w:color="000000"/>
              <w:right w:val="nil"/>
            </w:tcBorders>
            <w:shd w:val="clear" w:color="auto" w:fill="F4F4F4"/>
          </w:tcPr>
          <w:p>
            <w:pPr>
              <w:pStyle w:val="TableParagraph"/>
              <w:spacing w:before="0"/>
              <w:rPr>
                <w:rFonts w:ascii="Times New Roman"/>
                <w:sz w:val="18"/>
              </w:rPr>
            </w:pPr>
          </w:p>
        </w:tc>
      </w:tr>
      <w:tr>
        <w:trPr>
          <w:trHeight w:val="285" w:hRule="atLeast"/>
        </w:trPr>
        <w:tc>
          <w:tcPr>
            <w:tcW w:w="8807" w:type="dxa"/>
            <w:gridSpan w:val="6"/>
            <w:tcBorders>
              <w:right w:val="single" w:sz="4" w:space="0" w:color="000000"/>
            </w:tcBorders>
            <w:shd w:val="clear" w:color="auto" w:fill="FAF9F9"/>
          </w:tcPr>
          <w:p>
            <w:pPr>
              <w:pStyle w:val="TableParagraph"/>
              <w:ind w:left="113"/>
              <w:rPr>
                <w:i/>
                <w:sz w:val="19"/>
              </w:rPr>
            </w:pPr>
            <w:r>
              <w:rPr>
                <w:i/>
                <w:color w:val="6F2770"/>
                <w:sz w:val="19"/>
              </w:rPr>
              <w:t>Financial Liabilities</w:t>
            </w:r>
          </w:p>
        </w:tc>
        <w:tc>
          <w:tcPr>
            <w:tcW w:w="1156" w:type="dxa"/>
            <w:tcBorders>
              <w:left w:val="single" w:sz="4" w:space="0" w:color="000000"/>
              <w:right w:val="single" w:sz="4" w:space="0" w:color="000000"/>
            </w:tcBorders>
            <w:shd w:val="clear" w:color="auto" w:fill="FAF9F9"/>
          </w:tcPr>
          <w:p>
            <w:pPr>
              <w:pStyle w:val="TableParagraph"/>
              <w:spacing w:before="0"/>
              <w:rPr>
                <w:rFonts w:ascii="Times New Roman"/>
                <w:sz w:val="18"/>
              </w:rPr>
            </w:pPr>
          </w:p>
        </w:tc>
        <w:tc>
          <w:tcPr>
            <w:tcW w:w="5328" w:type="dxa"/>
            <w:gridSpan w:val="5"/>
            <w:tcBorders>
              <w:left w:val="single" w:sz="4" w:space="0" w:color="000000"/>
              <w:right w:val="nil"/>
            </w:tcBorders>
            <w:shd w:val="clear" w:color="auto" w:fill="FAF9F9"/>
          </w:tcPr>
          <w:p>
            <w:pPr>
              <w:pStyle w:val="TableParagraph"/>
              <w:spacing w:before="0"/>
              <w:rPr>
                <w:rFonts w:ascii="Times New Roman"/>
                <w:sz w:val="18"/>
              </w:rPr>
            </w:pPr>
          </w:p>
        </w:tc>
      </w:tr>
      <w:tr>
        <w:trPr>
          <w:trHeight w:val="285" w:hRule="atLeast"/>
        </w:trPr>
        <w:tc>
          <w:tcPr>
            <w:tcW w:w="3197" w:type="dxa"/>
            <w:shd w:val="clear" w:color="auto" w:fill="F4F4F4"/>
          </w:tcPr>
          <w:p>
            <w:pPr>
              <w:pStyle w:val="TableParagraph"/>
              <w:ind w:left="113"/>
              <w:rPr>
                <w:sz w:val="10"/>
              </w:rPr>
            </w:pPr>
            <w:r>
              <w:rPr>
                <w:sz w:val="19"/>
              </w:rPr>
              <w:t>Payables</w:t>
            </w:r>
            <w:r>
              <w:rPr>
                <w:position w:val="6"/>
                <w:sz w:val="10"/>
              </w:rPr>
              <w:t>(b)</w:t>
            </w:r>
          </w:p>
        </w:tc>
        <w:tc>
          <w:tcPr>
            <w:tcW w:w="1099" w:type="dxa"/>
            <w:shd w:val="clear" w:color="auto" w:fill="F4F4F4"/>
          </w:tcPr>
          <w:p>
            <w:pPr>
              <w:pStyle w:val="TableParagraph"/>
              <w:ind w:right="90"/>
              <w:jc w:val="right"/>
              <w:rPr>
                <w:sz w:val="19"/>
              </w:rPr>
            </w:pPr>
            <w:r>
              <w:rPr>
                <w:w w:val="111"/>
                <w:sz w:val="19"/>
              </w:rPr>
              <w:t>-</w:t>
            </w:r>
          </w:p>
        </w:tc>
        <w:tc>
          <w:tcPr>
            <w:tcW w:w="1156" w:type="dxa"/>
            <w:shd w:val="clear" w:color="auto" w:fill="F4F4F4"/>
          </w:tcPr>
          <w:p>
            <w:pPr>
              <w:pStyle w:val="TableParagraph"/>
              <w:ind w:right="89"/>
              <w:jc w:val="right"/>
              <w:rPr>
                <w:sz w:val="19"/>
              </w:rPr>
            </w:pPr>
            <w:r>
              <w:rPr>
                <w:w w:val="95"/>
                <w:sz w:val="19"/>
              </w:rPr>
              <w:t>113,347</w:t>
            </w:r>
          </w:p>
        </w:tc>
        <w:tc>
          <w:tcPr>
            <w:tcW w:w="1043" w:type="dxa"/>
            <w:shd w:val="clear" w:color="auto" w:fill="F4F4F4"/>
          </w:tcPr>
          <w:p>
            <w:pPr>
              <w:pStyle w:val="TableParagraph"/>
              <w:ind w:right="89"/>
              <w:jc w:val="right"/>
              <w:rPr>
                <w:sz w:val="19"/>
              </w:rPr>
            </w:pPr>
            <w:r>
              <w:rPr>
                <w:w w:val="111"/>
                <w:sz w:val="19"/>
              </w:rPr>
              <w:t>-</w:t>
            </w:r>
          </w:p>
        </w:tc>
        <w:tc>
          <w:tcPr>
            <w:tcW w:w="1156" w:type="dxa"/>
            <w:shd w:val="clear" w:color="auto" w:fill="F4F4F4"/>
          </w:tcPr>
          <w:p>
            <w:pPr>
              <w:pStyle w:val="TableParagraph"/>
              <w:ind w:right="88"/>
              <w:jc w:val="right"/>
              <w:rPr>
                <w:sz w:val="19"/>
              </w:rPr>
            </w:pPr>
            <w:r>
              <w:rPr>
                <w:w w:val="111"/>
                <w:sz w:val="19"/>
              </w:rPr>
              <w:t>-</w:t>
            </w:r>
          </w:p>
        </w:tc>
        <w:tc>
          <w:tcPr>
            <w:tcW w:w="1156" w:type="dxa"/>
            <w:tcBorders>
              <w:right w:val="single" w:sz="4" w:space="0" w:color="000000"/>
            </w:tcBorders>
            <w:shd w:val="clear" w:color="auto" w:fill="F4F4F4"/>
          </w:tcPr>
          <w:p>
            <w:pPr>
              <w:pStyle w:val="TableParagraph"/>
              <w:ind w:right="93"/>
              <w:jc w:val="right"/>
              <w:rPr>
                <w:sz w:val="19"/>
              </w:rPr>
            </w:pPr>
            <w:r>
              <w:rPr>
                <w:w w:val="95"/>
                <w:sz w:val="19"/>
              </w:rPr>
              <w:t>113,347</w:t>
            </w:r>
          </w:p>
        </w:tc>
        <w:tc>
          <w:tcPr>
            <w:tcW w:w="1156" w:type="dxa"/>
            <w:tcBorders>
              <w:left w:val="single" w:sz="4" w:space="0" w:color="000000"/>
              <w:right w:val="single" w:sz="4" w:space="0" w:color="000000"/>
            </w:tcBorders>
            <w:shd w:val="clear" w:color="auto" w:fill="F4F4F4"/>
          </w:tcPr>
          <w:p>
            <w:pPr>
              <w:pStyle w:val="TableParagraph"/>
              <w:ind w:right="92"/>
              <w:jc w:val="right"/>
              <w:rPr>
                <w:sz w:val="19"/>
              </w:rPr>
            </w:pPr>
            <w:r>
              <w:rPr>
                <w:w w:val="95"/>
                <w:sz w:val="19"/>
              </w:rPr>
              <w:t>113,347</w:t>
            </w:r>
          </w:p>
        </w:tc>
        <w:tc>
          <w:tcPr>
            <w:tcW w:w="1156" w:type="dxa"/>
            <w:tcBorders>
              <w:left w:val="single" w:sz="4" w:space="0" w:color="000000"/>
            </w:tcBorders>
            <w:shd w:val="clear" w:color="auto" w:fill="F4F4F4"/>
          </w:tcPr>
          <w:p>
            <w:pPr>
              <w:pStyle w:val="TableParagraph"/>
              <w:ind w:right="87"/>
              <w:jc w:val="right"/>
              <w:rPr>
                <w:sz w:val="19"/>
              </w:rPr>
            </w:pPr>
            <w:r>
              <w:rPr>
                <w:w w:val="95"/>
                <w:sz w:val="19"/>
              </w:rPr>
              <w:t>113,293</w:t>
            </w:r>
          </w:p>
        </w:tc>
        <w:tc>
          <w:tcPr>
            <w:tcW w:w="986" w:type="dxa"/>
            <w:shd w:val="clear" w:color="auto" w:fill="F4F4F4"/>
          </w:tcPr>
          <w:p>
            <w:pPr>
              <w:pStyle w:val="TableParagraph"/>
              <w:ind w:right="86"/>
              <w:jc w:val="right"/>
              <w:rPr>
                <w:sz w:val="19"/>
              </w:rPr>
            </w:pPr>
            <w:r>
              <w:rPr>
                <w:w w:val="95"/>
                <w:sz w:val="19"/>
              </w:rPr>
              <w:t>17</w:t>
            </w:r>
          </w:p>
        </w:tc>
        <w:tc>
          <w:tcPr>
            <w:tcW w:w="1043" w:type="dxa"/>
            <w:shd w:val="clear" w:color="auto" w:fill="F4F4F4"/>
          </w:tcPr>
          <w:p>
            <w:pPr>
              <w:pStyle w:val="TableParagraph"/>
              <w:ind w:right="86"/>
              <w:jc w:val="right"/>
              <w:rPr>
                <w:sz w:val="19"/>
              </w:rPr>
            </w:pPr>
            <w:r>
              <w:rPr>
                <w:w w:val="95"/>
                <w:sz w:val="19"/>
              </w:rPr>
              <w:t>37</w:t>
            </w:r>
          </w:p>
        </w:tc>
        <w:tc>
          <w:tcPr>
            <w:tcW w:w="1043" w:type="dxa"/>
            <w:shd w:val="clear" w:color="auto" w:fill="F4F4F4"/>
          </w:tcPr>
          <w:p>
            <w:pPr>
              <w:pStyle w:val="TableParagraph"/>
              <w:ind w:right="86"/>
              <w:jc w:val="right"/>
              <w:rPr>
                <w:sz w:val="19"/>
              </w:rPr>
            </w:pPr>
            <w:r>
              <w:rPr>
                <w:w w:val="111"/>
                <w:sz w:val="19"/>
              </w:rPr>
              <w:t>-</w:t>
            </w:r>
          </w:p>
        </w:tc>
        <w:tc>
          <w:tcPr>
            <w:tcW w:w="1100" w:type="dxa"/>
            <w:tcBorders>
              <w:right w:val="nil"/>
            </w:tcBorders>
            <w:shd w:val="clear" w:color="auto" w:fill="F4F4F4"/>
          </w:tcPr>
          <w:p>
            <w:pPr>
              <w:pStyle w:val="TableParagraph"/>
              <w:ind w:right="96"/>
              <w:jc w:val="right"/>
              <w:rPr>
                <w:sz w:val="19"/>
              </w:rPr>
            </w:pPr>
            <w:r>
              <w:rPr>
                <w:w w:val="111"/>
                <w:sz w:val="19"/>
              </w:rPr>
              <w:t>-</w:t>
            </w:r>
          </w:p>
        </w:tc>
      </w:tr>
      <w:tr>
        <w:trPr>
          <w:trHeight w:val="285" w:hRule="atLeast"/>
        </w:trPr>
        <w:tc>
          <w:tcPr>
            <w:tcW w:w="3197" w:type="dxa"/>
            <w:tcBorders>
              <w:right w:val="nil"/>
            </w:tcBorders>
            <w:shd w:val="clear" w:color="auto" w:fill="FAF9F9"/>
          </w:tcPr>
          <w:p>
            <w:pPr>
              <w:pStyle w:val="TableParagraph"/>
              <w:ind w:left="113"/>
              <w:rPr>
                <w:sz w:val="10"/>
              </w:rPr>
            </w:pPr>
            <w:r>
              <w:rPr>
                <w:sz w:val="19"/>
              </w:rPr>
              <w:t>WATC borrowings</w:t>
            </w:r>
            <w:r>
              <w:rPr>
                <w:position w:val="6"/>
                <w:sz w:val="10"/>
              </w:rPr>
              <w:t>(c)</w:t>
            </w:r>
          </w:p>
        </w:tc>
        <w:tc>
          <w:tcPr>
            <w:tcW w:w="1099" w:type="dxa"/>
            <w:tcBorders>
              <w:left w:val="nil"/>
              <w:right w:val="nil"/>
            </w:tcBorders>
            <w:shd w:val="clear" w:color="auto" w:fill="FAF9F9"/>
          </w:tcPr>
          <w:p>
            <w:pPr>
              <w:pStyle w:val="TableParagraph"/>
              <w:ind w:right="100"/>
              <w:jc w:val="right"/>
              <w:rPr>
                <w:sz w:val="19"/>
              </w:rPr>
            </w:pPr>
            <w:r>
              <w:rPr>
                <w:w w:val="95"/>
                <w:sz w:val="19"/>
              </w:rPr>
              <w:t>2.52</w:t>
            </w:r>
          </w:p>
        </w:tc>
        <w:tc>
          <w:tcPr>
            <w:tcW w:w="1156" w:type="dxa"/>
            <w:tcBorders>
              <w:left w:val="nil"/>
              <w:right w:val="nil"/>
            </w:tcBorders>
            <w:shd w:val="clear" w:color="auto" w:fill="FAF9F9"/>
          </w:tcPr>
          <w:p>
            <w:pPr>
              <w:pStyle w:val="TableParagraph"/>
              <w:ind w:right="99"/>
              <w:jc w:val="right"/>
              <w:rPr>
                <w:sz w:val="19"/>
              </w:rPr>
            </w:pPr>
            <w:r>
              <w:rPr>
                <w:w w:val="95"/>
                <w:sz w:val="19"/>
              </w:rPr>
              <w:t>47,471</w:t>
            </w:r>
          </w:p>
        </w:tc>
        <w:tc>
          <w:tcPr>
            <w:tcW w:w="1043" w:type="dxa"/>
            <w:tcBorders>
              <w:left w:val="nil"/>
              <w:right w:val="nil"/>
            </w:tcBorders>
            <w:shd w:val="clear" w:color="auto" w:fill="FAF9F9"/>
          </w:tcPr>
          <w:p>
            <w:pPr>
              <w:pStyle w:val="TableParagraph"/>
              <w:ind w:right="99"/>
              <w:jc w:val="right"/>
              <w:rPr>
                <w:sz w:val="19"/>
              </w:rPr>
            </w:pPr>
            <w:r>
              <w:rPr>
                <w:w w:val="95"/>
                <w:sz w:val="19"/>
              </w:rPr>
              <w:t>47,471</w:t>
            </w:r>
          </w:p>
        </w:tc>
        <w:tc>
          <w:tcPr>
            <w:tcW w:w="1156" w:type="dxa"/>
            <w:tcBorders>
              <w:left w:val="nil"/>
              <w:right w:val="nil"/>
            </w:tcBorders>
            <w:shd w:val="clear" w:color="auto" w:fill="FAF9F9"/>
          </w:tcPr>
          <w:p>
            <w:pPr>
              <w:pStyle w:val="TableParagraph"/>
              <w:ind w:right="98"/>
              <w:jc w:val="right"/>
              <w:rPr>
                <w:sz w:val="19"/>
              </w:rPr>
            </w:pPr>
            <w:r>
              <w:rPr>
                <w:w w:val="111"/>
                <w:sz w:val="19"/>
              </w:rPr>
              <w:t>-</w:t>
            </w:r>
          </w:p>
        </w:tc>
        <w:tc>
          <w:tcPr>
            <w:tcW w:w="1156" w:type="dxa"/>
            <w:tcBorders>
              <w:left w:val="nil"/>
              <w:right w:val="single" w:sz="4" w:space="0" w:color="000000"/>
            </w:tcBorders>
            <w:shd w:val="clear" w:color="auto" w:fill="FAF9F9"/>
          </w:tcPr>
          <w:p>
            <w:pPr>
              <w:pStyle w:val="TableParagraph"/>
              <w:ind w:right="93"/>
              <w:jc w:val="right"/>
              <w:rPr>
                <w:sz w:val="19"/>
              </w:rPr>
            </w:pPr>
            <w:r>
              <w:rPr>
                <w:w w:val="111"/>
                <w:sz w:val="19"/>
              </w:rPr>
              <w:t>-</w:t>
            </w:r>
          </w:p>
        </w:tc>
        <w:tc>
          <w:tcPr>
            <w:tcW w:w="1156" w:type="dxa"/>
            <w:tcBorders>
              <w:left w:val="single" w:sz="4" w:space="0" w:color="000000"/>
              <w:right w:val="single" w:sz="4" w:space="0" w:color="000000"/>
            </w:tcBorders>
            <w:shd w:val="clear" w:color="auto" w:fill="FAF9F9"/>
          </w:tcPr>
          <w:p>
            <w:pPr>
              <w:pStyle w:val="TableParagraph"/>
              <w:ind w:right="92"/>
              <w:jc w:val="right"/>
              <w:rPr>
                <w:sz w:val="19"/>
              </w:rPr>
            </w:pPr>
            <w:r>
              <w:rPr>
                <w:w w:val="95"/>
                <w:sz w:val="19"/>
              </w:rPr>
              <w:t>48,871</w:t>
            </w:r>
          </w:p>
        </w:tc>
        <w:tc>
          <w:tcPr>
            <w:tcW w:w="1156" w:type="dxa"/>
            <w:tcBorders>
              <w:left w:val="single" w:sz="4" w:space="0" w:color="000000"/>
              <w:right w:val="nil"/>
            </w:tcBorders>
            <w:shd w:val="clear" w:color="auto" w:fill="FAF9F9"/>
          </w:tcPr>
          <w:p>
            <w:pPr>
              <w:pStyle w:val="TableParagraph"/>
              <w:ind w:right="97"/>
              <w:jc w:val="right"/>
              <w:rPr>
                <w:sz w:val="19"/>
              </w:rPr>
            </w:pPr>
            <w:r>
              <w:rPr>
                <w:w w:val="95"/>
                <w:sz w:val="19"/>
              </w:rPr>
              <w:t>2,678</w:t>
            </w:r>
          </w:p>
        </w:tc>
        <w:tc>
          <w:tcPr>
            <w:tcW w:w="986" w:type="dxa"/>
            <w:tcBorders>
              <w:left w:val="nil"/>
              <w:right w:val="nil"/>
            </w:tcBorders>
            <w:shd w:val="clear" w:color="auto" w:fill="FAF9F9"/>
          </w:tcPr>
          <w:p>
            <w:pPr>
              <w:pStyle w:val="TableParagraph"/>
              <w:ind w:right="96"/>
              <w:jc w:val="right"/>
              <w:rPr>
                <w:sz w:val="19"/>
              </w:rPr>
            </w:pPr>
            <w:r>
              <w:rPr>
                <w:w w:val="95"/>
                <w:sz w:val="19"/>
              </w:rPr>
              <w:t>3,370</w:t>
            </w:r>
          </w:p>
        </w:tc>
        <w:tc>
          <w:tcPr>
            <w:tcW w:w="1043" w:type="dxa"/>
            <w:tcBorders>
              <w:left w:val="nil"/>
              <w:right w:val="nil"/>
            </w:tcBorders>
            <w:shd w:val="clear" w:color="auto" w:fill="FAF9F9"/>
          </w:tcPr>
          <w:p>
            <w:pPr>
              <w:pStyle w:val="TableParagraph"/>
              <w:ind w:right="96"/>
              <w:jc w:val="right"/>
              <w:rPr>
                <w:sz w:val="19"/>
              </w:rPr>
            </w:pPr>
            <w:r>
              <w:rPr>
                <w:w w:val="95"/>
                <w:sz w:val="19"/>
              </w:rPr>
              <w:t>18,036</w:t>
            </w:r>
          </w:p>
        </w:tc>
        <w:tc>
          <w:tcPr>
            <w:tcW w:w="1043" w:type="dxa"/>
            <w:tcBorders>
              <w:left w:val="nil"/>
              <w:right w:val="nil"/>
            </w:tcBorders>
            <w:shd w:val="clear" w:color="auto" w:fill="FAF9F9"/>
          </w:tcPr>
          <w:p>
            <w:pPr>
              <w:pStyle w:val="TableParagraph"/>
              <w:ind w:right="96"/>
              <w:jc w:val="right"/>
              <w:rPr>
                <w:sz w:val="19"/>
              </w:rPr>
            </w:pPr>
            <w:r>
              <w:rPr>
                <w:w w:val="95"/>
                <w:sz w:val="19"/>
              </w:rPr>
              <w:t>24,787</w:t>
            </w:r>
          </w:p>
        </w:tc>
        <w:tc>
          <w:tcPr>
            <w:tcW w:w="1100" w:type="dxa"/>
            <w:tcBorders>
              <w:left w:val="nil"/>
              <w:right w:val="nil"/>
            </w:tcBorders>
            <w:shd w:val="clear" w:color="auto" w:fill="FAF9F9"/>
          </w:tcPr>
          <w:p>
            <w:pPr>
              <w:pStyle w:val="TableParagraph"/>
              <w:ind w:right="96"/>
              <w:jc w:val="right"/>
              <w:rPr>
                <w:sz w:val="19"/>
              </w:rPr>
            </w:pPr>
            <w:r>
              <w:rPr>
                <w:w w:val="111"/>
                <w:sz w:val="19"/>
              </w:rPr>
              <w:t>-</w:t>
            </w:r>
          </w:p>
        </w:tc>
      </w:tr>
      <w:tr>
        <w:trPr>
          <w:trHeight w:val="290" w:hRule="atLeast"/>
        </w:trPr>
        <w:tc>
          <w:tcPr>
            <w:tcW w:w="3197" w:type="dxa"/>
            <w:tcBorders>
              <w:bottom w:val="nil"/>
            </w:tcBorders>
            <w:shd w:val="clear" w:color="auto" w:fill="F4F4F4"/>
          </w:tcPr>
          <w:p>
            <w:pPr>
              <w:pStyle w:val="TableParagraph"/>
              <w:ind w:left="113"/>
              <w:rPr>
                <w:sz w:val="10"/>
              </w:rPr>
            </w:pPr>
            <w:r>
              <w:rPr>
                <w:sz w:val="19"/>
              </w:rPr>
              <w:t>Heritage Maintenance Payments</w:t>
            </w:r>
            <w:r>
              <w:rPr>
                <w:position w:val="6"/>
                <w:sz w:val="10"/>
              </w:rPr>
              <w:t>(c)</w:t>
            </w:r>
          </w:p>
        </w:tc>
        <w:tc>
          <w:tcPr>
            <w:tcW w:w="1099" w:type="dxa"/>
            <w:tcBorders>
              <w:bottom w:val="nil"/>
            </w:tcBorders>
            <w:shd w:val="clear" w:color="auto" w:fill="F4F4F4"/>
          </w:tcPr>
          <w:p>
            <w:pPr>
              <w:pStyle w:val="TableParagraph"/>
              <w:ind w:right="90"/>
              <w:jc w:val="right"/>
              <w:rPr>
                <w:sz w:val="19"/>
              </w:rPr>
            </w:pPr>
            <w:r>
              <w:rPr>
                <w:w w:val="95"/>
                <w:sz w:val="19"/>
              </w:rPr>
              <w:t>12.46</w:t>
            </w:r>
          </w:p>
        </w:tc>
        <w:tc>
          <w:tcPr>
            <w:tcW w:w="1156" w:type="dxa"/>
            <w:tcBorders>
              <w:bottom w:val="single" w:sz="4" w:space="0" w:color="000000"/>
            </w:tcBorders>
            <w:shd w:val="clear" w:color="auto" w:fill="F4F4F4"/>
          </w:tcPr>
          <w:p>
            <w:pPr>
              <w:pStyle w:val="TableParagraph"/>
              <w:ind w:right="89"/>
              <w:jc w:val="right"/>
              <w:rPr>
                <w:sz w:val="19"/>
              </w:rPr>
            </w:pPr>
            <w:r>
              <w:rPr>
                <w:w w:val="95"/>
                <w:sz w:val="19"/>
              </w:rPr>
              <w:t>54,345</w:t>
            </w:r>
          </w:p>
        </w:tc>
        <w:tc>
          <w:tcPr>
            <w:tcW w:w="1043" w:type="dxa"/>
            <w:tcBorders>
              <w:bottom w:val="single" w:sz="4" w:space="0" w:color="000000"/>
            </w:tcBorders>
            <w:shd w:val="clear" w:color="auto" w:fill="F4F4F4"/>
          </w:tcPr>
          <w:p>
            <w:pPr>
              <w:pStyle w:val="TableParagraph"/>
              <w:ind w:right="89"/>
              <w:jc w:val="right"/>
              <w:rPr>
                <w:sz w:val="19"/>
              </w:rPr>
            </w:pPr>
            <w:r>
              <w:rPr>
                <w:w w:val="95"/>
                <w:sz w:val="19"/>
              </w:rPr>
              <w:t>54,345</w:t>
            </w:r>
          </w:p>
        </w:tc>
        <w:tc>
          <w:tcPr>
            <w:tcW w:w="1156" w:type="dxa"/>
            <w:tcBorders>
              <w:bottom w:val="single" w:sz="4" w:space="0" w:color="000000"/>
            </w:tcBorders>
            <w:shd w:val="clear" w:color="auto" w:fill="F4F4F4"/>
          </w:tcPr>
          <w:p>
            <w:pPr>
              <w:pStyle w:val="TableParagraph"/>
              <w:ind w:right="88"/>
              <w:jc w:val="right"/>
              <w:rPr>
                <w:sz w:val="19"/>
              </w:rPr>
            </w:pPr>
            <w:r>
              <w:rPr>
                <w:w w:val="111"/>
                <w:sz w:val="19"/>
              </w:rPr>
              <w:t>-</w:t>
            </w:r>
          </w:p>
        </w:tc>
        <w:tc>
          <w:tcPr>
            <w:tcW w:w="1156" w:type="dxa"/>
            <w:tcBorders>
              <w:bottom w:val="single" w:sz="4" w:space="0" w:color="000000"/>
              <w:right w:val="single" w:sz="4" w:space="0" w:color="000000"/>
            </w:tcBorders>
            <w:shd w:val="clear" w:color="auto" w:fill="F4F4F4"/>
          </w:tcPr>
          <w:p>
            <w:pPr>
              <w:pStyle w:val="TableParagraph"/>
              <w:ind w:right="93"/>
              <w:jc w:val="right"/>
              <w:rPr>
                <w:sz w:val="19"/>
              </w:rPr>
            </w:pPr>
            <w:r>
              <w:rPr>
                <w:w w:val="111"/>
                <w:sz w:val="19"/>
              </w:rPr>
              <w:t>-</w:t>
            </w:r>
          </w:p>
        </w:tc>
        <w:tc>
          <w:tcPr>
            <w:tcW w:w="1156" w:type="dxa"/>
            <w:tcBorders>
              <w:left w:val="single" w:sz="4" w:space="0" w:color="000000"/>
              <w:bottom w:val="single" w:sz="4" w:space="0" w:color="000000"/>
              <w:right w:val="single" w:sz="4" w:space="0" w:color="000000"/>
            </w:tcBorders>
            <w:shd w:val="clear" w:color="auto" w:fill="F4F4F4"/>
          </w:tcPr>
          <w:p>
            <w:pPr>
              <w:pStyle w:val="TableParagraph"/>
              <w:ind w:right="92"/>
              <w:jc w:val="right"/>
              <w:rPr>
                <w:sz w:val="19"/>
              </w:rPr>
            </w:pPr>
            <w:r>
              <w:rPr>
                <w:w w:val="95"/>
                <w:sz w:val="19"/>
              </w:rPr>
              <w:t>196,520</w:t>
            </w:r>
          </w:p>
        </w:tc>
        <w:tc>
          <w:tcPr>
            <w:tcW w:w="1156" w:type="dxa"/>
            <w:tcBorders>
              <w:left w:val="single" w:sz="4" w:space="0" w:color="000000"/>
              <w:bottom w:val="single" w:sz="4" w:space="0" w:color="000000"/>
            </w:tcBorders>
            <w:shd w:val="clear" w:color="auto" w:fill="F4F4F4"/>
          </w:tcPr>
          <w:p>
            <w:pPr>
              <w:pStyle w:val="TableParagraph"/>
              <w:ind w:right="87"/>
              <w:jc w:val="right"/>
              <w:rPr>
                <w:sz w:val="19"/>
              </w:rPr>
            </w:pPr>
            <w:r>
              <w:rPr>
                <w:w w:val="95"/>
                <w:sz w:val="19"/>
              </w:rPr>
              <w:t>464</w:t>
            </w:r>
          </w:p>
        </w:tc>
        <w:tc>
          <w:tcPr>
            <w:tcW w:w="986" w:type="dxa"/>
            <w:tcBorders>
              <w:bottom w:val="single" w:sz="4" w:space="0" w:color="000000"/>
            </w:tcBorders>
            <w:shd w:val="clear" w:color="auto" w:fill="F4F4F4"/>
          </w:tcPr>
          <w:p>
            <w:pPr>
              <w:pStyle w:val="TableParagraph"/>
              <w:ind w:right="86"/>
              <w:jc w:val="right"/>
              <w:rPr>
                <w:sz w:val="19"/>
              </w:rPr>
            </w:pPr>
            <w:r>
              <w:rPr>
                <w:w w:val="95"/>
                <w:sz w:val="19"/>
              </w:rPr>
              <w:t>929</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4,231</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24,686</w:t>
            </w:r>
          </w:p>
        </w:tc>
        <w:tc>
          <w:tcPr>
            <w:tcW w:w="1100" w:type="dxa"/>
            <w:tcBorders>
              <w:bottom w:val="single" w:sz="4" w:space="0" w:color="000000"/>
              <w:right w:val="nil"/>
            </w:tcBorders>
            <w:shd w:val="clear" w:color="auto" w:fill="F4F4F4"/>
          </w:tcPr>
          <w:p>
            <w:pPr>
              <w:pStyle w:val="TableParagraph"/>
              <w:ind w:right="96"/>
              <w:jc w:val="right"/>
              <w:rPr>
                <w:sz w:val="19"/>
              </w:rPr>
            </w:pPr>
            <w:r>
              <w:rPr>
                <w:w w:val="95"/>
                <w:sz w:val="19"/>
              </w:rPr>
              <w:t>166,210</w:t>
            </w:r>
          </w:p>
        </w:tc>
      </w:tr>
      <w:tr>
        <w:trPr>
          <w:trHeight w:val="258" w:hRule="atLeast"/>
        </w:trPr>
        <w:tc>
          <w:tcPr>
            <w:tcW w:w="3197" w:type="dxa"/>
            <w:tcBorders>
              <w:top w:val="nil"/>
              <w:right w:val="nil"/>
            </w:tcBorders>
            <w:shd w:val="clear" w:color="auto" w:fill="FAF9F9"/>
          </w:tcPr>
          <w:p>
            <w:pPr>
              <w:pStyle w:val="TableParagraph"/>
              <w:spacing w:before="0"/>
              <w:rPr>
                <w:rFonts w:ascii="Times New Roman"/>
                <w:sz w:val="18"/>
              </w:rPr>
            </w:pPr>
          </w:p>
        </w:tc>
        <w:tc>
          <w:tcPr>
            <w:tcW w:w="1099" w:type="dxa"/>
            <w:tcBorders>
              <w:top w:val="nil"/>
              <w:left w:val="nil"/>
              <w:right w:val="nil"/>
            </w:tcBorders>
            <w:shd w:val="clear" w:color="auto" w:fill="FAF9F9"/>
          </w:tcPr>
          <w:p>
            <w:pPr>
              <w:pStyle w:val="TableParagraph"/>
              <w:spacing w:before="0"/>
              <w:rPr>
                <w:rFonts w:ascii="Times New Roman"/>
                <w:sz w:val="18"/>
              </w:rPr>
            </w:pPr>
          </w:p>
        </w:tc>
        <w:tc>
          <w:tcPr>
            <w:tcW w:w="115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215,163</w:t>
            </w:r>
          </w:p>
        </w:tc>
        <w:tc>
          <w:tcPr>
            <w:tcW w:w="1043"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101,816</w:t>
            </w:r>
          </w:p>
        </w:tc>
        <w:tc>
          <w:tcPr>
            <w:tcW w:w="115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8"/>
              <w:jc w:val="right"/>
              <w:rPr>
                <w:b/>
                <w:sz w:val="19"/>
              </w:rPr>
            </w:pPr>
            <w:r>
              <w:rPr>
                <w:b/>
                <w:w w:val="122"/>
                <w:sz w:val="19"/>
              </w:rPr>
              <w:t>-</w:t>
            </w:r>
          </w:p>
        </w:tc>
        <w:tc>
          <w:tcPr>
            <w:tcW w:w="1156"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before="37"/>
              <w:ind w:right="93"/>
              <w:jc w:val="right"/>
              <w:rPr>
                <w:b/>
                <w:sz w:val="19"/>
              </w:rPr>
            </w:pPr>
            <w:r>
              <w:rPr>
                <w:b/>
                <w:w w:val="95"/>
                <w:sz w:val="19"/>
              </w:rPr>
              <w:t>113,347</w:t>
            </w:r>
          </w:p>
        </w:tc>
        <w:tc>
          <w:tcPr>
            <w:tcW w:w="1156" w:type="dxa"/>
            <w:tcBorders>
              <w:top w:val="single" w:sz="4" w:space="0" w:color="000000"/>
              <w:left w:val="single" w:sz="4" w:space="0" w:color="000000"/>
              <w:bottom w:val="single" w:sz="34" w:space="0" w:color="FFFFFF"/>
              <w:right w:val="single" w:sz="4" w:space="0" w:color="000000"/>
            </w:tcBorders>
            <w:shd w:val="clear" w:color="auto" w:fill="FAF9F9"/>
          </w:tcPr>
          <w:p>
            <w:pPr>
              <w:pStyle w:val="TableParagraph"/>
              <w:spacing w:line="201" w:lineRule="exact" w:before="37"/>
              <w:ind w:right="92"/>
              <w:jc w:val="right"/>
              <w:rPr>
                <w:b/>
                <w:sz w:val="19"/>
              </w:rPr>
            </w:pPr>
            <w:r>
              <w:rPr>
                <w:b/>
                <w:w w:val="95"/>
                <w:sz w:val="19"/>
              </w:rPr>
              <w:t>358,738</w:t>
            </w:r>
          </w:p>
        </w:tc>
        <w:tc>
          <w:tcPr>
            <w:tcW w:w="1156"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before="37"/>
              <w:ind w:right="97"/>
              <w:jc w:val="right"/>
              <w:rPr>
                <w:b/>
                <w:sz w:val="19"/>
              </w:rPr>
            </w:pPr>
            <w:r>
              <w:rPr>
                <w:b/>
                <w:w w:val="95"/>
                <w:sz w:val="19"/>
              </w:rPr>
              <w:t>116,434</w:t>
            </w:r>
          </w:p>
        </w:tc>
        <w:tc>
          <w:tcPr>
            <w:tcW w:w="98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6"/>
              <w:jc w:val="right"/>
              <w:rPr>
                <w:b/>
                <w:sz w:val="19"/>
              </w:rPr>
            </w:pPr>
            <w:r>
              <w:rPr>
                <w:b/>
                <w:w w:val="95"/>
                <w:sz w:val="19"/>
              </w:rPr>
              <w:t>4,316</w:t>
            </w:r>
          </w:p>
        </w:tc>
        <w:tc>
          <w:tcPr>
            <w:tcW w:w="1043"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6"/>
              <w:jc w:val="right"/>
              <w:rPr>
                <w:b/>
                <w:sz w:val="19"/>
              </w:rPr>
            </w:pPr>
            <w:r>
              <w:rPr>
                <w:b/>
                <w:w w:val="95"/>
                <w:sz w:val="19"/>
              </w:rPr>
              <w:t>22,305</w:t>
            </w:r>
          </w:p>
        </w:tc>
        <w:tc>
          <w:tcPr>
            <w:tcW w:w="1043" w:type="dxa"/>
            <w:tcBorders>
              <w:top w:val="single" w:sz="4" w:space="0" w:color="000000"/>
              <w:left w:val="nil"/>
              <w:bottom w:val="single" w:sz="24" w:space="0" w:color="FFFFFF"/>
              <w:right w:val="nil"/>
            </w:tcBorders>
            <w:shd w:val="clear" w:color="auto" w:fill="FAF9F9"/>
          </w:tcPr>
          <w:p>
            <w:pPr>
              <w:pStyle w:val="TableParagraph"/>
              <w:spacing w:line="201" w:lineRule="exact" w:before="37"/>
              <w:ind w:right="96"/>
              <w:jc w:val="right"/>
              <w:rPr>
                <w:b/>
                <w:sz w:val="19"/>
              </w:rPr>
            </w:pPr>
            <w:r>
              <w:rPr>
                <w:b/>
                <w:w w:val="95"/>
                <w:sz w:val="19"/>
              </w:rPr>
              <w:t>49,473</w:t>
            </w:r>
          </w:p>
        </w:tc>
        <w:tc>
          <w:tcPr>
            <w:tcW w:w="1100" w:type="dxa"/>
            <w:tcBorders>
              <w:top w:val="single" w:sz="4" w:space="0" w:color="000000"/>
              <w:left w:val="nil"/>
              <w:bottom w:val="single" w:sz="24" w:space="0" w:color="FFFFFF"/>
              <w:right w:val="nil"/>
            </w:tcBorders>
            <w:shd w:val="clear" w:color="auto" w:fill="FAF9F9"/>
          </w:tcPr>
          <w:p>
            <w:pPr>
              <w:pStyle w:val="TableParagraph"/>
              <w:spacing w:line="201" w:lineRule="exact" w:before="37"/>
              <w:ind w:right="96"/>
              <w:jc w:val="right"/>
              <w:rPr>
                <w:b/>
                <w:sz w:val="19"/>
              </w:rPr>
            </w:pPr>
            <w:r>
              <w:rPr>
                <w:b/>
                <w:w w:val="95"/>
                <w:sz w:val="19"/>
              </w:rPr>
              <w:t>166,210</w:t>
            </w:r>
          </w:p>
        </w:tc>
      </w:tr>
    </w:tbl>
    <w:p>
      <w:pPr>
        <w:pStyle w:val="BodyText"/>
        <w:spacing w:line="20" w:lineRule="exact"/>
        <w:ind w:left="13923"/>
        <w:rPr>
          <w:sz w:val="2"/>
        </w:rPr>
      </w:pPr>
      <w:r>
        <w:rPr>
          <w:sz w:val="2"/>
        </w:rPr>
        <w:pict>
          <v:group style="width:107.15pt;height:.550pt;mso-position-horizontal-relative:char;mso-position-vertical-relative:line" coordorigin="0,0" coordsize="2143,11">
            <v:line style="position:absolute" from="0,5" to="1043,5" stroked="true" strokeweight=".501pt" strokecolor="#000000">
              <v:stroke dashstyle="solid"/>
            </v:line>
            <v:line style="position:absolute" from="1043,5" to="2143,5" stroked="true" strokeweight=".501pt" strokecolor="#000000">
              <v:stroke dashstyle="solid"/>
            </v:line>
          </v:group>
        </w:pict>
      </w:r>
      <w:r>
        <w:rPr>
          <w:sz w:val="2"/>
        </w:rPr>
      </w:r>
    </w:p>
    <w:p>
      <w:pPr>
        <w:pStyle w:val="BodyText"/>
        <w:spacing w:before="4"/>
        <w:rPr>
          <w:b/>
          <w:sz w:val="27"/>
        </w:rPr>
      </w:pPr>
    </w:p>
    <w:p>
      <w:pPr>
        <w:pStyle w:val="ListParagraph"/>
        <w:numPr>
          <w:ilvl w:val="0"/>
          <w:numId w:val="19"/>
        </w:numPr>
        <w:tabs>
          <w:tab w:pos="958" w:val="left" w:leader="none"/>
        </w:tabs>
        <w:spacing w:line="240" w:lineRule="auto" w:before="0" w:after="0"/>
        <w:ind w:left="957" w:right="0" w:hanging="192"/>
        <w:jc w:val="left"/>
        <w:rPr>
          <w:sz w:val="15"/>
        </w:rPr>
      </w:pPr>
      <w:r>
        <w:rPr>
          <w:sz w:val="15"/>
        </w:rPr>
        <w:t>The amount of receivables excludes GST recoverable from the </w:t>
      </w:r>
      <w:r>
        <w:rPr>
          <w:spacing w:val="-4"/>
          <w:sz w:val="15"/>
        </w:rPr>
        <w:t>ATO </w:t>
      </w:r>
      <w:r>
        <w:rPr>
          <w:sz w:val="15"/>
        </w:rPr>
        <w:t>(statutory</w:t>
      </w:r>
      <w:r>
        <w:rPr>
          <w:spacing w:val="-8"/>
          <w:sz w:val="15"/>
        </w:rPr>
        <w:t> </w:t>
      </w:r>
      <w:r>
        <w:rPr>
          <w:sz w:val="15"/>
        </w:rPr>
        <w:t>receivable).</w:t>
      </w:r>
    </w:p>
    <w:p>
      <w:pPr>
        <w:pStyle w:val="ListParagraph"/>
        <w:numPr>
          <w:ilvl w:val="0"/>
          <w:numId w:val="19"/>
        </w:numPr>
        <w:tabs>
          <w:tab w:pos="966" w:val="left" w:leader="none"/>
        </w:tabs>
        <w:spacing w:line="240" w:lineRule="auto" w:before="27" w:after="0"/>
        <w:ind w:left="965" w:right="0" w:hanging="200"/>
        <w:jc w:val="left"/>
        <w:rPr>
          <w:sz w:val="15"/>
        </w:rPr>
      </w:pPr>
      <w:r>
        <w:rPr>
          <w:sz w:val="15"/>
        </w:rPr>
        <w:t>The amount of payables excludes GST payable to the </w:t>
      </w:r>
      <w:r>
        <w:rPr>
          <w:spacing w:val="-4"/>
          <w:sz w:val="15"/>
        </w:rPr>
        <w:t>ATO </w:t>
      </w:r>
      <w:r>
        <w:rPr>
          <w:sz w:val="15"/>
        </w:rPr>
        <w:t>(statutory</w:t>
      </w:r>
      <w:r>
        <w:rPr>
          <w:spacing w:val="-5"/>
          <w:sz w:val="15"/>
        </w:rPr>
        <w:t> </w:t>
      </w:r>
      <w:r>
        <w:rPr>
          <w:sz w:val="15"/>
        </w:rPr>
        <w:t>payable).</w:t>
      </w:r>
    </w:p>
    <w:p>
      <w:pPr>
        <w:pStyle w:val="ListParagraph"/>
        <w:numPr>
          <w:ilvl w:val="0"/>
          <w:numId w:val="19"/>
        </w:numPr>
        <w:tabs>
          <w:tab w:pos="958" w:val="left" w:leader="none"/>
        </w:tabs>
        <w:spacing w:line="240" w:lineRule="auto" w:before="28" w:after="0"/>
        <w:ind w:left="957" w:right="0" w:hanging="192"/>
        <w:jc w:val="left"/>
        <w:rPr>
          <w:sz w:val="15"/>
        </w:rPr>
      </w:pPr>
      <w:r>
        <w:rPr>
          <w:sz w:val="15"/>
        </w:rPr>
        <w:t>The maturity analysis section includes interest and principal cash</w:t>
      </w:r>
      <w:r>
        <w:rPr>
          <w:spacing w:val="-6"/>
          <w:sz w:val="15"/>
        </w:rPr>
        <w:t> </w:t>
      </w:r>
      <w:r>
        <w:rPr>
          <w:sz w:val="15"/>
        </w:rPr>
        <w:t>flows.</w:t>
      </w:r>
    </w:p>
    <w:p>
      <w:pPr>
        <w:spacing w:after="0" w:line="240" w:lineRule="auto"/>
        <w:jc w:val="left"/>
        <w:rPr>
          <w:sz w:val="15"/>
        </w:rPr>
        <w:sectPr>
          <w:footerReference w:type="default" r:id="rId175"/>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2000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BodyText"/>
        <w:spacing w:before="4"/>
        <w:rPr>
          <w:sz w:val="15"/>
        </w:rPr>
      </w:pPr>
    </w:p>
    <w:p>
      <w:pPr>
        <w:spacing w:after="0"/>
        <w:rPr>
          <w:sz w:val="15"/>
        </w:rPr>
        <w:sectPr>
          <w:footerReference w:type="default" r:id="rId176"/>
          <w:pgSz w:w="16840" w:h="11910" w:orient="landscape"/>
          <w:pgMar w:footer="774" w:header="0" w:top="0" w:bottom="960" w:left="0" w:right="0"/>
        </w:sectPr>
      </w:pPr>
    </w:p>
    <w:p>
      <w:pPr>
        <w:spacing w:before="103"/>
        <w:ind w:left="765" w:right="0" w:firstLine="0"/>
        <w:jc w:val="left"/>
        <w:rPr>
          <w:i/>
          <w:sz w:val="22"/>
        </w:rPr>
      </w:pPr>
      <w:r>
        <w:rPr>
          <w:i/>
          <w:sz w:val="22"/>
        </w:rPr>
        <w:t>Interest rate sensitivity analysis</w:t>
      </w:r>
    </w:p>
    <w:p>
      <w:pPr>
        <w:pStyle w:val="BodyText"/>
        <w:spacing w:line="249" w:lineRule="auto" w:before="11"/>
        <w:ind w:left="765" w:right="-7"/>
      </w:pPr>
      <w:r>
        <w:rPr/>
        <w:t>The</w:t>
      </w:r>
      <w:r>
        <w:rPr>
          <w:spacing w:val="-23"/>
        </w:rPr>
        <w:t> </w:t>
      </w:r>
      <w:r>
        <w:rPr/>
        <w:t>following</w:t>
      </w:r>
      <w:r>
        <w:rPr>
          <w:spacing w:val="-23"/>
        </w:rPr>
        <w:t> </w:t>
      </w:r>
      <w:r>
        <w:rPr/>
        <w:t>table</w:t>
      </w:r>
      <w:r>
        <w:rPr>
          <w:spacing w:val="-22"/>
        </w:rPr>
        <w:t> </w:t>
      </w:r>
      <w:r>
        <w:rPr/>
        <w:t>represents</w:t>
      </w:r>
      <w:r>
        <w:rPr>
          <w:spacing w:val="-23"/>
        </w:rPr>
        <w:t> </w:t>
      </w:r>
      <w:r>
        <w:rPr/>
        <w:t>a</w:t>
      </w:r>
      <w:r>
        <w:rPr>
          <w:spacing w:val="-22"/>
        </w:rPr>
        <w:t> </w:t>
      </w:r>
      <w:r>
        <w:rPr/>
        <w:t>summary</w:t>
      </w:r>
      <w:r>
        <w:rPr>
          <w:spacing w:val="-23"/>
        </w:rPr>
        <w:t> </w:t>
      </w:r>
      <w:r>
        <w:rPr/>
        <w:t>of</w:t>
      </w:r>
      <w:r>
        <w:rPr>
          <w:spacing w:val="-22"/>
        </w:rPr>
        <w:t> </w:t>
      </w:r>
      <w:r>
        <w:rPr/>
        <w:t>the</w:t>
      </w:r>
      <w:r>
        <w:rPr>
          <w:spacing w:val="-23"/>
        </w:rPr>
        <w:t> </w:t>
      </w:r>
      <w:r>
        <w:rPr/>
        <w:t>interest</w:t>
      </w:r>
      <w:r>
        <w:rPr>
          <w:spacing w:val="-22"/>
        </w:rPr>
        <w:t> </w:t>
      </w:r>
      <w:r>
        <w:rPr/>
        <w:t>rate</w:t>
      </w:r>
      <w:r>
        <w:rPr>
          <w:spacing w:val="-23"/>
        </w:rPr>
        <w:t> </w:t>
      </w:r>
      <w:r>
        <w:rPr/>
        <w:t>sensitivity</w:t>
      </w:r>
      <w:r>
        <w:rPr>
          <w:spacing w:val="-22"/>
        </w:rPr>
        <w:t> </w:t>
      </w:r>
      <w:r>
        <w:rPr/>
        <w:t>of</w:t>
      </w:r>
      <w:r>
        <w:rPr>
          <w:spacing w:val="-23"/>
        </w:rPr>
        <w:t> </w:t>
      </w:r>
      <w:r>
        <w:rPr>
          <w:spacing w:val="-7"/>
        </w:rPr>
        <w:t>the </w:t>
      </w:r>
      <w:r>
        <w:rPr>
          <w:spacing w:val="-3"/>
        </w:rPr>
        <w:t>Department’s</w:t>
      </w:r>
      <w:r>
        <w:rPr>
          <w:spacing w:val="-19"/>
        </w:rPr>
        <w:t> </w:t>
      </w:r>
      <w:r>
        <w:rPr/>
        <w:t>financial</w:t>
      </w:r>
      <w:r>
        <w:rPr>
          <w:spacing w:val="-18"/>
        </w:rPr>
        <w:t> </w:t>
      </w:r>
      <w:r>
        <w:rPr/>
        <w:t>assets</w:t>
      </w:r>
      <w:r>
        <w:rPr>
          <w:spacing w:val="-18"/>
        </w:rPr>
        <w:t> </w:t>
      </w:r>
      <w:r>
        <w:rPr/>
        <w:t>and</w:t>
      </w:r>
      <w:r>
        <w:rPr>
          <w:spacing w:val="-19"/>
        </w:rPr>
        <w:t> </w:t>
      </w:r>
      <w:r>
        <w:rPr/>
        <w:t>liabilities</w:t>
      </w:r>
      <w:r>
        <w:rPr>
          <w:spacing w:val="-18"/>
        </w:rPr>
        <w:t> </w:t>
      </w:r>
      <w:r>
        <w:rPr/>
        <w:t>at</w:t>
      </w:r>
      <w:r>
        <w:rPr>
          <w:spacing w:val="-18"/>
        </w:rPr>
        <w:t> </w:t>
      </w:r>
      <w:r>
        <w:rPr/>
        <w:t>the</w:t>
      </w:r>
      <w:r>
        <w:rPr>
          <w:spacing w:val="-19"/>
        </w:rPr>
        <w:t> </w:t>
      </w:r>
      <w:r>
        <w:rPr/>
        <w:t>end</w:t>
      </w:r>
      <w:r>
        <w:rPr>
          <w:spacing w:val="-18"/>
        </w:rPr>
        <w:t> </w:t>
      </w:r>
      <w:r>
        <w:rPr/>
        <w:t>of</w:t>
      </w:r>
      <w:r>
        <w:rPr>
          <w:spacing w:val="-18"/>
        </w:rPr>
        <w:t> </w:t>
      </w:r>
      <w:r>
        <w:rPr/>
        <w:t>the</w:t>
      </w:r>
      <w:r>
        <w:rPr>
          <w:spacing w:val="-18"/>
        </w:rPr>
        <w:t> </w:t>
      </w:r>
      <w:r>
        <w:rPr/>
        <w:t>reporting</w:t>
      </w:r>
      <w:r>
        <w:rPr>
          <w:spacing w:val="-19"/>
        </w:rPr>
        <w:t> </w:t>
      </w:r>
      <w:r>
        <w:rPr/>
        <w:t>period on</w:t>
      </w:r>
      <w:r>
        <w:rPr>
          <w:spacing w:val="-10"/>
        </w:rPr>
        <w:t> </w:t>
      </w:r>
      <w:r>
        <w:rPr/>
        <w:t>the</w:t>
      </w:r>
      <w:r>
        <w:rPr>
          <w:spacing w:val="-10"/>
        </w:rPr>
        <w:t> </w:t>
      </w:r>
      <w:r>
        <w:rPr/>
        <w:t>surplus</w:t>
      </w:r>
      <w:r>
        <w:rPr>
          <w:spacing w:val="-10"/>
        </w:rPr>
        <w:t> </w:t>
      </w:r>
      <w:r>
        <w:rPr/>
        <w:t>for</w:t>
      </w:r>
      <w:r>
        <w:rPr>
          <w:spacing w:val="-10"/>
        </w:rPr>
        <w:t> </w:t>
      </w:r>
      <w:r>
        <w:rPr/>
        <w:t>the</w:t>
      </w:r>
      <w:r>
        <w:rPr>
          <w:spacing w:val="-10"/>
        </w:rPr>
        <w:t> </w:t>
      </w:r>
      <w:r>
        <w:rPr/>
        <w:t>period</w:t>
      </w:r>
      <w:r>
        <w:rPr>
          <w:spacing w:val="-10"/>
        </w:rPr>
        <w:t> </w:t>
      </w:r>
      <w:r>
        <w:rPr/>
        <w:t>and</w:t>
      </w:r>
      <w:r>
        <w:rPr>
          <w:spacing w:val="-10"/>
        </w:rPr>
        <w:t> </w:t>
      </w:r>
      <w:r>
        <w:rPr/>
        <w:t>equity</w:t>
      </w:r>
      <w:r>
        <w:rPr>
          <w:spacing w:val="-10"/>
        </w:rPr>
        <w:t> </w:t>
      </w:r>
      <w:r>
        <w:rPr/>
        <w:t>for</w:t>
      </w:r>
      <w:r>
        <w:rPr>
          <w:spacing w:val="-10"/>
        </w:rPr>
        <w:t> </w:t>
      </w:r>
      <w:r>
        <w:rPr/>
        <w:t>a</w:t>
      </w:r>
      <w:r>
        <w:rPr>
          <w:spacing w:val="-10"/>
        </w:rPr>
        <w:t> </w:t>
      </w:r>
      <w:r>
        <w:rPr/>
        <w:t>1%</w:t>
      </w:r>
      <w:r>
        <w:rPr>
          <w:spacing w:val="-10"/>
        </w:rPr>
        <w:t> </w:t>
      </w:r>
      <w:r>
        <w:rPr/>
        <w:t>change</w:t>
      </w:r>
      <w:r>
        <w:rPr>
          <w:spacing w:val="-10"/>
        </w:rPr>
        <w:t> </w:t>
      </w:r>
      <w:r>
        <w:rPr/>
        <w:t>in</w:t>
      </w:r>
      <w:r>
        <w:rPr>
          <w:spacing w:val="-10"/>
        </w:rPr>
        <w:t> </w:t>
      </w:r>
      <w:r>
        <w:rPr/>
        <w:t>interest</w:t>
      </w:r>
      <w:r>
        <w:rPr>
          <w:spacing w:val="-10"/>
        </w:rPr>
        <w:t> </w:t>
      </w:r>
      <w:r>
        <w:rPr/>
        <w:t>rates.</w:t>
      </w:r>
    </w:p>
    <w:p>
      <w:pPr>
        <w:pStyle w:val="BodyText"/>
        <w:spacing w:line="249" w:lineRule="auto" w:before="3"/>
        <w:ind w:left="765" w:right="315"/>
      </w:pPr>
      <w:r>
        <w:rPr/>
        <w:t>It</w:t>
      </w:r>
      <w:r>
        <w:rPr>
          <w:spacing w:val="-16"/>
        </w:rPr>
        <w:t> </w:t>
      </w:r>
      <w:r>
        <w:rPr/>
        <w:t>is</w:t>
      </w:r>
      <w:r>
        <w:rPr>
          <w:spacing w:val="-15"/>
        </w:rPr>
        <w:t> </w:t>
      </w:r>
      <w:r>
        <w:rPr/>
        <w:t>assumed</w:t>
      </w:r>
      <w:r>
        <w:rPr>
          <w:spacing w:val="-15"/>
        </w:rPr>
        <w:t> </w:t>
      </w:r>
      <w:r>
        <w:rPr/>
        <w:t>that</w:t>
      </w:r>
      <w:r>
        <w:rPr>
          <w:spacing w:val="-15"/>
        </w:rPr>
        <w:t> </w:t>
      </w:r>
      <w:r>
        <w:rPr/>
        <w:t>the</w:t>
      </w:r>
      <w:r>
        <w:rPr>
          <w:spacing w:val="-15"/>
        </w:rPr>
        <w:t> </w:t>
      </w:r>
      <w:r>
        <w:rPr/>
        <w:t>change</w:t>
      </w:r>
      <w:r>
        <w:rPr>
          <w:spacing w:val="-15"/>
        </w:rPr>
        <w:t> </w:t>
      </w:r>
      <w:r>
        <w:rPr/>
        <w:t>in</w:t>
      </w:r>
      <w:r>
        <w:rPr>
          <w:spacing w:val="-15"/>
        </w:rPr>
        <w:t> </w:t>
      </w:r>
      <w:r>
        <w:rPr/>
        <w:t>interest</w:t>
      </w:r>
      <w:r>
        <w:rPr>
          <w:spacing w:val="-15"/>
        </w:rPr>
        <w:t> </w:t>
      </w:r>
      <w:r>
        <w:rPr/>
        <w:t>rates</w:t>
      </w:r>
      <w:r>
        <w:rPr>
          <w:spacing w:val="-15"/>
        </w:rPr>
        <w:t> </w:t>
      </w:r>
      <w:r>
        <w:rPr/>
        <w:t>is</w:t>
      </w:r>
      <w:r>
        <w:rPr>
          <w:spacing w:val="-15"/>
        </w:rPr>
        <w:t> </w:t>
      </w:r>
      <w:r>
        <w:rPr/>
        <w:t>held</w:t>
      </w:r>
      <w:r>
        <w:rPr>
          <w:spacing w:val="-16"/>
        </w:rPr>
        <w:t> </w:t>
      </w:r>
      <w:r>
        <w:rPr/>
        <w:t>constant</w:t>
      </w:r>
      <w:r>
        <w:rPr>
          <w:spacing w:val="-15"/>
        </w:rPr>
        <w:t> </w:t>
      </w:r>
      <w:r>
        <w:rPr>
          <w:spacing w:val="-3"/>
        </w:rPr>
        <w:t>throughout </w:t>
      </w:r>
      <w:r>
        <w:rPr/>
        <w:t>the reporting</w:t>
      </w:r>
      <w:r>
        <w:rPr>
          <w:spacing w:val="-2"/>
        </w:rPr>
        <w:t> </w:t>
      </w:r>
      <w:r>
        <w:rPr/>
        <w:t>period.</w:t>
      </w:r>
    </w:p>
    <w:p>
      <w:pPr>
        <w:spacing w:before="103"/>
        <w:ind w:left="560" w:right="0" w:firstLine="0"/>
        <w:jc w:val="left"/>
        <w:rPr>
          <w:i/>
          <w:sz w:val="22"/>
        </w:rPr>
      </w:pPr>
      <w:r>
        <w:rPr/>
        <w:br w:type="column"/>
      </w:r>
      <w:r>
        <w:rPr>
          <w:i/>
          <w:sz w:val="22"/>
        </w:rPr>
        <w:t>Fair values</w:t>
      </w:r>
    </w:p>
    <w:p>
      <w:pPr>
        <w:pStyle w:val="BodyText"/>
        <w:spacing w:line="249" w:lineRule="auto" w:before="11"/>
        <w:ind w:left="560" w:right="1389"/>
      </w:pPr>
      <w:r>
        <w:rPr/>
        <w:t>All</w:t>
      </w:r>
      <w:r>
        <w:rPr>
          <w:spacing w:val="-32"/>
        </w:rPr>
        <w:t> </w:t>
      </w:r>
      <w:r>
        <w:rPr/>
        <w:t>financial</w:t>
      </w:r>
      <w:r>
        <w:rPr>
          <w:spacing w:val="-32"/>
        </w:rPr>
        <w:t> </w:t>
      </w:r>
      <w:r>
        <w:rPr/>
        <w:t>assets</w:t>
      </w:r>
      <w:r>
        <w:rPr>
          <w:spacing w:val="-32"/>
        </w:rPr>
        <w:t> </w:t>
      </w:r>
      <w:r>
        <w:rPr/>
        <w:t>and</w:t>
      </w:r>
      <w:r>
        <w:rPr>
          <w:spacing w:val="-32"/>
        </w:rPr>
        <w:t> </w:t>
      </w:r>
      <w:r>
        <w:rPr/>
        <w:t>liabilities</w:t>
      </w:r>
      <w:r>
        <w:rPr>
          <w:spacing w:val="-31"/>
        </w:rPr>
        <w:t> </w:t>
      </w:r>
      <w:r>
        <w:rPr/>
        <w:t>recognised</w:t>
      </w:r>
      <w:r>
        <w:rPr>
          <w:spacing w:val="-32"/>
        </w:rPr>
        <w:t> </w:t>
      </w:r>
      <w:r>
        <w:rPr/>
        <w:t>in</w:t>
      </w:r>
      <w:r>
        <w:rPr>
          <w:spacing w:val="-32"/>
        </w:rPr>
        <w:t> </w:t>
      </w:r>
      <w:r>
        <w:rPr/>
        <w:t>the</w:t>
      </w:r>
      <w:r>
        <w:rPr>
          <w:spacing w:val="-32"/>
        </w:rPr>
        <w:t> </w:t>
      </w:r>
      <w:r>
        <w:rPr/>
        <w:t>Statement</w:t>
      </w:r>
      <w:r>
        <w:rPr>
          <w:spacing w:val="-31"/>
        </w:rPr>
        <w:t> </w:t>
      </w:r>
      <w:r>
        <w:rPr/>
        <w:t>of</w:t>
      </w:r>
      <w:r>
        <w:rPr>
          <w:spacing w:val="-32"/>
        </w:rPr>
        <w:t> </w:t>
      </w:r>
      <w:r>
        <w:rPr/>
        <w:t>Financial Position,</w:t>
      </w:r>
      <w:r>
        <w:rPr>
          <w:spacing w:val="-20"/>
        </w:rPr>
        <w:t> </w:t>
      </w:r>
      <w:r>
        <w:rPr/>
        <w:t>whether</w:t>
      </w:r>
      <w:r>
        <w:rPr>
          <w:spacing w:val="-19"/>
        </w:rPr>
        <w:t> </w:t>
      </w:r>
      <w:r>
        <w:rPr/>
        <w:t>they</w:t>
      </w:r>
      <w:r>
        <w:rPr>
          <w:spacing w:val="-19"/>
        </w:rPr>
        <w:t> </w:t>
      </w:r>
      <w:r>
        <w:rPr/>
        <w:t>are</w:t>
      </w:r>
      <w:r>
        <w:rPr>
          <w:spacing w:val="-20"/>
        </w:rPr>
        <w:t> </w:t>
      </w:r>
      <w:r>
        <w:rPr/>
        <w:t>carried</w:t>
      </w:r>
      <w:r>
        <w:rPr>
          <w:spacing w:val="-19"/>
        </w:rPr>
        <w:t> </w:t>
      </w:r>
      <w:r>
        <w:rPr/>
        <w:t>at</w:t>
      </w:r>
      <w:r>
        <w:rPr>
          <w:spacing w:val="-19"/>
        </w:rPr>
        <w:t> </w:t>
      </w:r>
      <w:r>
        <w:rPr/>
        <w:t>cost</w:t>
      </w:r>
      <w:r>
        <w:rPr>
          <w:spacing w:val="-19"/>
        </w:rPr>
        <w:t> </w:t>
      </w:r>
      <w:r>
        <w:rPr/>
        <w:t>or</w:t>
      </w:r>
      <w:r>
        <w:rPr>
          <w:spacing w:val="-20"/>
        </w:rPr>
        <w:t> </w:t>
      </w:r>
      <w:r>
        <w:rPr/>
        <w:t>fair</w:t>
      </w:r>
      <w:r>
        <w:rPr>
          <w:spacing w:val="-19"/>
        </w:rPr>
        <w:t> </w:t>
      </w:r>
      <w:r>
        <w:rPr/>
        <w:t>value,</w:t>
      </w:r>
      <w:r>
        <w:rPr>
          <w:spacing w:val="-19"/>
        </w:rPr>
        <w:t> </w:t>
      </w:r>
      <w:r>
        <w:rPr/>
        <w:t>are</w:t>
      </w:r>
      <w:r>
        <w:rPr>
          <w:spacing w:val="-20"/>
        </w:rPr>
        <w:t> </w:t>
      </w:r>
      <w:r>
        <w:rPr/>
        <w:t>recognised</w:t>
      </w:r>
      <w:r>
        <w:rPr>
          <w:spacing w:val="-19"/>
        </w:rPr>
        <w:t> </w:t>
      </w:r>
      <w:r>
        <w:rPr/>
        <w:t>at amounts</w:t>
      </w:r>
      <w:r>
        <w:rPr>
          <w:spacing w:val="-24"/>
        </w:rPr>
        <w:t> </w:t>
      </w:r>
      <w:r>
        <w:rPr/>
        <w:t>that</w:t>
      </w:r>
      <w:r>
        <w:rPr>
          <w:spacing w:val="-23"/>
        </w:rPr>
        <w:t> </w:t>
      </w:r>
      <w:r>
        <w:rPr/>
        <w:t>represent</w:t>
      </w:r>
      <w:r>
        <w:rPr>
          <w:spacing w:val="-23"/>
        </w:rPr>
        <w:t> </w:t>
      </w:r>
      <w:r>
        <w:rPr/>
        <w:t>a</w:t>
      </w:r>
      <w:r>
        <w:rPr>
          <w:spacing w:val="-23"/>
        </w:rPr>
        <w:t> </w:t>
      </w:r>
      <w:r>
        <w:rPr/>
        <w:t>reasonable</w:t>
      </w:r>
      <w:r>
        <w:rPr>
          <w:spacing w:val="-23"/>
        </w:rPr>
        <w:t> </w:t>
      </w:r>
      <w:r>
        <w:rPr/>
        <w:t>approximation</w:t>
      </w:r>
      <w:r>
        <w:rPr>
          <w:spacing w:val="-23"/>
        </w:rPr>
        <w:t> </w:t>
      </w:r>
      <w:r>
        <w:rPr/>
        <w:t>of</w:t>
      </w:r>
      <w:r>
        <w:rPr>
          <w:spacing w:val="-23"/>
        </w:rPr>
        <w:t> </w:t>
      </w:r>
      <w:r>
        <w:rPr/>
        <w:t>fair</w:t>
      </w:r>
      <w:r>
        <w:rPr>
          <w:spacing w:val="-24"/>
        </w:rPr>
        <w:t> </w:t>
      </w:r>
      <w:r>
        <w:rPr/>
        <w:t>value</w:t>
      </w:r>
      <w:r>
        <w:rPr>
          <w:spacing w:val="-23"/>
        </w:rPr>
        <w:t> </w:t>
      </w:r>
      <w:r>
        <w:rPr/>
        <w:t>unless otherwise stated in the applicable</w:t>
      </w:r>
      <w:r>
        <w:rPr>
          <w:spacing w:val="-10"/>
        </w:rPr>
        <w:t> </w:t>
      </w:r>
      <w:r>
        <w:rPr/>
        <w:t>notes.</w:t>
      </w:r>
    </w:p>
    <w:p>
      <w:pPr>
        <w:pStyle w:val="BodyText"/>
        <w:spacing w:before="8"/>
        <w:rPr>
          <w:sz w:val="23"/>
        </w:rPr>
      </w:pPr>
    </w:p>
    <w:p>
      <w:pPr>
        <w:pStyle w:val="Heading4"/>
        <w:spacing w:before="0"/>
        <w:ind w:left="560"/>
      </w:pPr>
      <w:r>
        <w:rPr/>
        <w:pict>
          <v:shape style="position:absolute;margin-left:38.2677pt;margin-top:16.408384pt;width:371.85pt;height:92.6pt;mso-position-horizontal-relative:page;mso-position-vertical-relative:paragraph;z-index:2003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51"/>
                    <w:gridCol w:w="1020"/>
                    <w:gridCol w:w="963"/>
                    <w:gridCol w:w="963"/>
                    <w:gridCol w:w="963"/>
                    <w:gridCol w:w="963"/>
                  </w:tblGrid>
                  <w:tr>
                    <w:trPr>
                      <w:trHeight w:val="844" w:hRule="atLeast"/>
                    </w:trPr>
                    <w:tc>
                      <w:tcPr>
                        <w:tcW w:w="7423" w:type="dxa"/>
                        <w:gridSpan w:val="6"/>
                        <w:tcBorders>
                          <w:top w:val="nil"/>
                          <w:bottom w:val="nil"/>
                          <w:right w:val="nil"/>
                        </w:tcBorders>
                        <w:shd w:val="clear" w:color="auto" w:fill="783A79"/>
                      </w:tcPr>
                      <w:p>
                        <w:pPr>
                          <w:pStyle w:val="TableParagraph"/>
                          <w:tabs>
                            <w:tab w:pos="3732" w:val="left" w:leader="none"/>
                            <w:tab w:pos="3764" w:val="left" w:leader="none"/>
                            <w:tab w:pos="4819" w:val="left" w:leader="none"/>
                            <w:tab w:pos="5659" w:val="left" w:leader="none"/>
                            <w:tab w:pos="6747" w:val="left" w:leader="none"/>
                          </w:tabs>
                          <w:spacing w:line="247" w:lineRule="auto" w:before="42"/>
                          <w:ind w:left="2768" w:right="97" w:hanging="85"/>
                          <w:rPr>
                            <w:b/>
                            <w:sz w:val="19"/>
                          </w:rPr>
                        </w:pPr>
                        <w:r>
                          <w:rPr>
                            <w:b/>
                            <w:color w:val="FFFFFF"/>
                            <w:sz w:val="19"/>
                          </w:rPr>
                          <w:t>Carrying</w:t>
                          <w:tab/>
                          <w:tab/>
                          <w:t>-100</w:t>
                        </w:r>
                        <w:r>
                          <w:rPr>
                            <w:b/>
                            <w:color w:val="FFFFFF"/>
                            <w:spacing w:val="-1"/>
                            <w:sz w:val="19"/>
                          </w:rPr>
                          <w:t> </w:t>
                        </w:r>
                        <w:r>
                          <w:rPr>
                            <w:b/>
                            <w:color w:val="FFFFFF"/>
                            <w:sz w:val="19"/>
                          </w:rPr>
                          <w:t>basis points</w:t>
                          <w:tab/>
                          <w:t>+100 basis points </w:t>
                        </w:r>
                        <w:r>
                          <w:rPr>
                            <w:b/>
                            <w:color w:val="FFFFFF"/>
                            <w:position w:val="8"/>
                            <w:sz w:val="19"/>
                          </w:rPr>
                          <w:t>amount</w:t>
                          <w:tab/>
                        </w:r>
                        <w:r>
                          <w:rPr>
                            <w:b/>
                            <w:color w:val="FFFFFF"/>
                            <w:sz w:val="19"/>
                          </w:rPr>
                          <w:t>Surplus</w:t>
                          <w:tab/>
                          <w:t>Equity</w:t>
                          <w:tab/>
                          <w:t>Surplus</w:t>
                          <w:tab/>
                        </w:r>
                        <w:r>
                          <w:rPr>
                            <w:b/>
                            <w:color w:val="FFFFFF"/>
                            <w:spacing w:val="-3"/>
                            <w:w w:val="95"/>
                            <w:sz w:val="19"/>
                          </w:rPr>
                          <w:t>Equity</w:t>
                        </w:r>
                      </w:p>
                      <w:p>
                        <w:pPr>
                          <w:pStyle w:val="TableParagraph"/>
                          <w:tabs>
                            <w:tab w:pos="3035" w:val="left" w:leader="none"/>
                            <w:tab w:pos="3999" w:val="left" w:leader="none"/>
                            <w:tab w:pos="4963" w:val="left" w:leader="none"/>
                            <w:tab w:pos="5927" w:val="left" w:leader="none"/>
                            <w:tab w:pos="6890" w:val="left" w:leader="none"/>
                          </w:tabs>
                          <w:spacing w:before="4"/>
                          <w:ind w:left="113"/>
                          <w:rPr>
                            <w:b/>
                            <w:sz w:val="19"/>
                          </w:rPr>
                        </w:pPr>
                        <w:r>
                          <w:rPr>
                            <w:b/>
                            <w:color w:val="FFFFFF"/>
                            <w:sz w:val="19"/>
                          </w:rPr>
                          <w:t>2018</w:t>
                          <w:tab/>
                          <w:t>$000</w:t>
                          <w:tab/>
                          <w:t>$000</w:t>
                          <w:tab/>
                          <w:t>$000</w:t>
                          <w:tab/>
                          <w:t>$000</w:t>
                          <w:tab/>
                          <w:t>$000</w:t>
                        </w:r>
                      </w:p>
                    </w:tc>
                  </w:tr>
                  <w:tr>
                    <w:trPr>
                      <w:trHeight w:val="322" w:hRule="atLeast"/>
                    </w:trPr>
                    <w:tc>
                      <w:tcPr>
                        <w:tcW w:w="2551" w:type="dxa"/>
                        <w:tcBorders>
                          <w:top w:val="nil"/>
                          <w:bottom w:val="nil"/>
                        </w:tcBorders>
                        <w:shd w:val="clear" w:color="auto" w:fill="F4F4F4"/>
                      </w:tcPr>
                      <w:p>
                        <w:pPr>
                          <w:pStyle w:val="TableParagraph"/>
                          <w:spacing w:before="37"/>
                          <w:ind w:left="113"/>
                          <w:rPr>
                            <w:i/>
                            <w:sz w:val="19"/>
                          </w:rPr>
                        </w:pPr>
                        <w:r>
                          <w:rPr>
                            <w:i/>
                            <w:color w:val="6F2770"/>
                            <w:sz w:val="19"/>
                          </w:rPr>
                          <w:t>Financial Assets</w:t>
                        </w:r>
                      </w:p>
                    </w:tc>
                    <w:tc>
                      <w:tcPr>
                        <w:tcW w:w="1020"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right w:val="nil"/>
                        </w:tcBorders>
                        <w:shd w:val="clear" w:color="auto" w:fill="F4F4F4"/>
                      </w:tcPr>
                      <w:p>
                        <w:pPr>
                          <w:pStyle w:val="TableParagraph"/>
                          <w:spacing w:before="0"/>
                          <w:rPr>
                            <w:rFonts w:ascii="Times New Roman"/>
                            <w:sz w:val="22"/>
                          </w:rPr>
                        </w:pPr>
                      </w:p>
                    </w:tc>
                  </w:tr>
                  <w:tr>
                    <w:trPr>
                      <w:trHeight w:val="317" w:hRule="atLeast"/>
                    </w:trPr>
                    <w:tc>
                      <w:tcPr>
                        <w:tcW w:w="2551" w:type="dxa"/>
                        <w:tcBorders>
                          <w:top w:val="nil"/>
                        </w:tcBorders>
                        <w:shd w:val="clear" w:color="auto" w:fill="FAF9F9"/>
                      </w:tcPr>
                      <w:p>
                        <w:pPr>
                          <w:pStyle w:val="TableParagraph"/>
                          <w:spacing w:before="42"/>
                          <w:ind w:left="113"/>
                          <w:rPr>
                            <w:sz w:val="19"/>
                          </w:rPr>
                        </w:pPr>
                        <w:r>
                          <w:rPr>
                            <w:sz w:val="19"/>
                          </w:rPr>
                          <w:t>Cash and cash equivalents</w:t>
                        </w:r>
                      </w:p>
                    </w:tc>
                    <w:tc>
                      <w:tcPr>
                        <w:tcW w:w="1020" w:type="dxa"/>
                        <w:tcBorders>
                          <w:top w:val="nil"/>
                          <w:bottom w:val="single" w:sz="4" w:space="0" w:color="58595B"/>
                        </w:tcBorders>
                        <w:shd w:val="clear" w:color="auto" w:fill="FAF9F9"/>
                      </w:tcPr>
                      <w:p>
                        <w:pPr>
                          <w:pStyle w:val="TableParagraph"/>
                          <w:spacing w:before="42"/>
                          <w:ind w:right="90"/>
                          <w:jc w:val="right"/>
                          <w:rPr>
                            <w:sz w:val="19"/>
                          </w:rPr>
                        </w:pPr>
                        <w:r>
                          <w:rPr>
                            <w:w w:val="95"/>
                            <w:sz w:val="19"/>
                          </w:rPr>
                          <w:t>11,960</w:t>
                        </w:r>
                      </w:p>
                    </w:tc>
                    <w:tc>
                      <w:tcPr>
                        <w:tcW w:w="963" w:type="dxa"/>
                        <w:tcBorders>
                          <w:top w:val="nil"/>
                          <w:bottom w:val="single" w:sz="4" w:space="0" w:color="58595B"/>
                        </w:tcBorders>
                        <w:shd w:val="clear" w:color="auto" w:fill="FAF9F9"/>
                      </w:tcPr>
                      <w:p>
                        <w:pPr>
                          <w:pStyle w:val="TableParagraph"/>
                          <w:spacing w:before="42"/>
                          <w:ind w:right="89"/>
                          <w:jc w:val="right"/>
                          <w:rPr>
                            <w:sz w:val="19"/>
                          </w:rPr>
                        </w:pPr>
                        <w:r>
                          <w:rPr>
                            <w:w w:val="90"/>
                            <w:sz w:val="19"/>
                          </w:rPr>
                          <w:t>(120)</w:t>
                        </w:r>
                      </w:p>
                    </w:tc>
                    <w:tc>
                      <w:tcPr>
                        <w:tcW w:w="963" w:type="dxa"/>
                        <w:tcBorders>
                          <w:top w:val="nil"/>
                          <w:bottom w:val="single" w:sz="4" w:space="0" w:color="58595B"/>
                        </w:tcBorders>
                        <w:shd w:val="clear" w:color="auto" w:fill="FAF9F9"/>
                      </w:tcPr>
                      <w:p>
                        <w:pPr>
                          <w:pStyle w:val="TableParagraph"/>
                          <w:spacing w:before="42"/>
                          <w:ind w:right="88"/>
                          <w:jc w:val="right"/>
                          <w:rPr>
                            <w:sz w:val="19"/>
                          </w:rPr>
                        </w:pPr>
                        <w:r>
                          <w:rPr>
                            <w:w w:val="90"/>
                            <w:sz w:val="19"/>
                          </w:rPr>
                          <w:t>(120)</w:t>
                        </w:r>
                      </w:p>
                    </w:tc>
                    <w:tc>
                      <w:tcPr>
                        <w:tcW w:w="963" w:type="dxa"/>
                        <w:tcBorders>
                          <w:top w:val="nil"/>
                          <w:bottom w:val="single" w:sz="4" w:space="0" w:color="58595B"/>
                        </w:tcBorders>
                        <w:shd w:val="clear" w:color="auto" w:fill="FAF9F9"/>
                      </w:tcPr>
                      <w:p>
                        <w:pPr>
                          <w:pStyle w:val="TableParagraph"/>
                          <w:spacing w:before="42"/>
                          <w:ind w:right="87"/>
                          <w:jc w:val="right"/>
                          <w:rPr>
                            <w:sz w:val="19"/>
                          </w:rPr>
                        </w:pPr>
                        <w:r>
                          <w:rPr>
                            <w:w w:val="95"/>
                            <w:sz w:val="19"/>
                          </w:rPr>
                          <w:t>120</w:t>
                        </w:r>
                      </w:p>
                    </w:tc>
                    <w:tc>
                      <w:tcPr>
                        <w:tcW w:w="963" w:type="dxa"/>
                        <w:tcBorders>
                          <w:top w:val="nil"/>
                          <w:bottom w:val="single" w:sz="4" w:space="0" w:color="58595B"/>
                          <w:right w:val="nil"/>
                        </w:tcBorders>
                        <w:shd w:val="clear" w:color="auto" w:fill="FAF9F9"/>
                      </w:tcPr>
                      <w:p>
                        <w:pPr>
                          <w:pStyle w:val="TableParagraph"/>
                          <w:spacing w:before="42"/>
                          <w:ind w:right="97"/>
                          <w:jc w:val="right"/>
                          <w:rPr>
                            <w:sz w:val="19"/>
                          </w:rPr>
                        </w:pPr>
                        <w:r>
                          <w:rPr>
                            <w:w w:val="95"/>
                            <w:sz w:val="19"/>
                          </w:rPr>
                          <w:t>120</w:t>
                        </w:r>
                      </w:p>
                    </w:tc>
                  </w:tr>
                  <w:tr>
                    <w:trPr>
                      <w:trHeight w:val="287" w:hRule="atLeast"/>
                    </w:trPr>
                    <w:tc>
                      <w:tcPr>
                        <w:tcW w:w="2551" w:type="dxa"/>
                        <w:shd w:val="clear" w:color="auto" w:fill="F4F4F4"/>
                      </w:tcPr>
                      <w:p>
                        <w:pPr>
                          <w:pStyle w:val="TableParagraph"/>
                          <w:ind w:left="113"/>
                          <w:rPr>
                            <w:b/>
                            <w:sz w:val="19"/>
                          </w:rPr>
                        </w:pPr>
                        <w:r>
                          <w:rPr>
                            <w:b/>
                            <w:sz w:val="19"/>
                          </w:rPr>
                          <w:t>Total increase/(decrease)</w:t>
                        </w:r>
                      </w:p>
                    </w:tc>
                    <w:tc>
                      <w:tcPr>
                        <w:tcW w:w="1020" w:type="dxa"/>
                        <w:tcBorders>
                          <w:top w:val="single" w:sz="4" w:space="0" w:color="58595B"/>
                          <w:bottom w:val="single" w:sz="24" w:space="0" w:color="FFFFFF"/>
                        </w:tcBorders>
                        <w:shd w:val="clear" w:color="auto" w:fill="F4F4F4"/>
                      </w:tcPr>
                      <w:p>
                        <w:pPr>
                          <w:pStyle w:val="TableParagraph"/>
                          <w:ind w:right="90"/>
                          <w:jc w:val="right"/>
                          <w:rPr>
                            <w:b/>
                            <w:sz w:val="19"/>
                          </w:rPr>
                        </w:pPr>
                        <w:r>
                          <w:rPr>
                            <w:b/>
                            <w:w w:val="95"/>
                            <w:sz w:val="19"/>
                          </w:rPr>
                          <w:t>11,960</w:t>
                        </w:r>
                      </w:p>
                    </w:tc>
                    <w:tc>
                      <w:tcPr>
                        <w:tcW w:w="963" w:type="dxa"/>
                        <w:tcBorders>
                          <w:top w:val="single" w:sz="4" w:space="0" w:color="58595B"/>
                          <w:bottom w:val="single" w:sz="24" w:space="0" w:color="FFFFFF"/>
                        </w:tcBorders>
                        <w:shd w:val="clear" w:color="auto" w:fill="F4F4F4"/>
                      </w:tcPr>
                      <w:p>
                        <w:pPr>
                          <w:pStyle w:val="TableParagraph"/>
                          <w:ind w:right="89"/>
                          <w:jc w:val="right"/>
                          <w:rPr>
                            <w:b/>
                            <w:sz w:val="19"/>
                          </w:rPr>
                        </w:pPr>
                        <w:r>
                          <w:rPr>
                            <w:b/>
                            <w:w w:val="95"/>
                            <w:sz w:val="19"/>
                          </w:rPr>
                          <w:t>(120)</w:t>
                        </w:r>
                      </w:p>
                    </w:tc>
                    <w:tc>
                      <w:tcPr>
                        <w:tcW w:w="963" w:type="dxa"/>
                        <w:tcBorders>
                          <w:top w:val="single" w:sz="4" w:space="0" w:color="58595B"/>
                          <w:bottom w:val="single" w:sz="24" w:space="0" w:color="FFFFFF"/>
                        </w:tcBorders>
                        <w:shd w:val="clear" w:color="auto" w:fill="F4F4F4"/>
                      </w:tcPr>
                      <w:p>
                        <w:pPr>
                          <w:pStyle w:val="TableParagraph"/>
                          <w:ind w:right="88"/>
                          <w:jc w:val="right"/>
                          <w:rPr>
                            <w:b/>
                            <w:sz w:val="19"/>
                          </w:rPr>
                        </w:pPr>
                        <w:r>
                          <w:rPr>
                            <w:b/>
                            <w:w w:val="95"/>
                            <w:sz w:val="19"/>
                          </w:rPr>
                          <w:t>(120)</w:t>
                        </w:r>
                      </w:p>
                    </w:tc>
                    <w:tc>
                      <w:tcPr>
                        <w:tcW w:w="963" w:type="dxa"/>
                        <w:tcBorders>
                          <w:top w:val="single" w:sz="4" w:space="0" w:color="58595B"/>
                          <w:bottom w:val="single" w:sz="24" w:space="0" w:color="FFFFFF"/>
                        </w:tcBorders>
                        <w:shd w:val="clear" w:color="auto" w:fill="F4F4F4"/>
                      </w:tcPr>
                      <w:p>
                        <w:pPr>
                          <w:pStyle w:val="TableParagraph"/>
                          <w:ind w:right="87"/>
                          <w:jc w:val="right"/>
                          <w:rPr>
                            <w:b/>
                            <w:sz w:val="19"/>
                          </w:rPr>
                        </w:pPr>
                        <w:r>
                          <w:rPr>
                            <w:b/>
                            <w:w w:val="95"/>
                            <w:sz w:val="19"/>
                          </w:rPr>
                          <w:t>120</w:t>
                        </w:r>
                      </w:p>
                    </w:tc>
                    <w:tc>
                      <w:tcPr>
                        <w:tcW w:w="963" w:type="dxa"/>
                        <w:tcBorders>
                          <w:top w:val="single" w:sz="4" w:space="0" w:color="58595B"/>
                          <w:bottom w:val="single" w:sz="24" w:space="0" w:color="FFFFFF"/>
                          <w:right w:val="nil"/>
                        </w:tcBorders>
                        <w:shd w:val="clear" w:color="auto" w:fill="F4F4F4"/>
                      </w:tcPr>
                      <w:p>
                        <w:pPr>
                          <w:pStyle w:val="TableParagraph"/>
                          <w:ind w:right="96"/>
                          <w:jc w:val="right"/>
                          <w:rPr>
                            <w:b/>
                            <w:sz w:val="19"/>
                          </w:rPr>
                        </w:pPr>
                        <w:r>
                          <w:rPr>
                            <w:b/>
                            <w:w w:val="95"/>
                            <w:sz w:val="19"/>
                          </w:rPr>
                          <w:t>120</w:t>
                        </w:r>
                      </w:p>
                    </w:tc>
                  </w:tr>
                </w:tbl>
                <w:p>
                  <w:pPr>
                    <w:pStyle w:val="BodyText"/>
                  </w:pPr>
                </w:p>
              </w:txbxContent>
            </v:textbox>
            <w10:wrap type="none"/>
          </v:shape>
        </w:pict>
      </w:r>
      <w:r>
        <w:rPr>
          <w:color w:val="6F2770"/>
        </w:rPr>
        <w:t>Note 41. Remuneration of auditor</w:t>
      </w:r>
    </w:p>
    <w:p>
      <w:pPr>
        <w:pStyle w:val="BodyText"/>
        <w:spacing w:line="249" w:lineRule="auto" w:before="246"/>
        <w:ind w:left="560" w:right="635"/>
      </w:pPr>
      <w:r>
        <w:rPr/>
        <w:t>Remuneration</w:t>
      </w:r>
      <w:r>
        <w:rPr>
          <w:spacing w:val="-26"/>
        </w:rPr>
        <w:t> </w:t>
      </w:r>
      <w:r>
        <w:rPr/>
        <w:t>paid</w:t>
      </w:r>
      <w:r>
        <w:rPr>
          <w:spacing w:val="-25"/>
        </w:rPr>
        <w:t> </w:t>
      </w:r>
      <w:r>
        <w:rPr/>
        <w:t>or</w:t>
      </w:r>
      <w:r>
        <w:rPr>
          <w:spacing w:val="-25"/>
        </w:rPr>
        <w:t> </w:t>
      </w:r>
      <w:r>
        <w:rPr/>
        <w:t>payable</w:t>
      </w:r>
      <w:r>
        <w:rPr>
          <w:spacing w:val="-26"/>
        </w:rPr>
        <w:t> </w:t>
      </w:r>
      <w:r>
        <w:rPr/>
        <w:t>to</w:t>
      </w:r>
      <w:r>
        <w:rPr>
          <w:spacing w:val="-25"/>
        </w:rPr>
        <w:t> </w:t>
      </w:r>
      <w:r>
        <w:rPr/>
        <w:t>the</w:t>
      </w:r>
      <w:r>
        <w:rPr>
          <w:spacing w:val="-25"/>
        </w:rPr>
        <w:t> </w:t>
      </w:r>
      <w:r>
        <w:rPr/>
        <w:t>Auditor</w:t>
      </w:r>
      <w:r>
        <w:rPr>
          <w:spacing w:val="-25"/>
        </w:rPr>
        <w:t> </w:t>
      </w:r>
      <w:r>
        <w:rPr/>
        <w:t>General</w:t>
      </w:r>
      <w:r>
        <w:rPr>
          <w:spacing w:val="-26"/>
        </w:rPr>
        <w:t> </w:t>
      </w:r>
      <w:r>
        <w:rPr/>
        <w:t>in</w:t>
      </w:r>
      <w:r>
        <w:rPr>
          <w:spacing w:val="-25"/>
        </w:rPr>
        <w:t> </w:t>
      </w:r>
      <w:r>
        <w:rPr>
          <w:spacing w:val="-3"/>
        </w:rPr>
        <w:t>respect</w:t>
      </w:r>
      <w:r>
        <w:rPr>
          <w:spacing w:val="-25"/>
        </w:rPr>
        <w:t> </w:t>
      </w:r>
      <w:r>
        <w:rPr/>
        <w:t>of</w:t>
      </w:r>
      <w:r>
        <w:rPr>
          <w:spacing w:val="-26"/>
        </w:rPr>
        <w:t> </w:t>
      </w:r>
      <w:r>
        <w:rPr/>
        <w:t>the</w:t>
      </w:r>
      <w:r>
        <w:rPr>
          <w:spacing w:val="-25"/>
        </w:rPr>
        <w:t> </w:t>
      </w:r>
      <w:r>
        <w:rPr/>
        <w:t>audit</w:t>
      </w:r>
      <w:r>
        <w:rPr>
          <w:spacing w:val="-25"/>
        </w:rPr>
        <w:t> </w:t>
      </w:r>
      <w:r>
        <w:rPr>
          <w:spacing w:val="-2"/>
        </w:rPr>
        <w:t>for </w:t>
      </w:r>
      <w:r>
        <w:rPr/>
        <w:t>the </w:t>
      </w:r>
      <w:r>
        <w:rPr>
          <w:spacing w:val="-3"/>
        </w:rPr>
        <w:t>current </w:t>
      </w:r>
      <w:r>
        <w:rPr/>
        <w:t>financial year is as</w:t>
      </w:r>
      <w:r>
        <w:rPr>
          <w:spacing w:val="-31"/>
        </w:rPr>
        <w:t> </w:t>
      </w:r>
      <w:r>
        <w:rPr/>
        <w:t>follows:</w:t>
      </w:r>
    </w:p>
    <w:p>
      <w:pPr>
        <w:spacing w:after="0" w:line="249" w:lineRule="auto"/>
        <w:sectPr>
          <w:type w:val="continuous"/>
          <w:pgSz w:w="16840" w:h="11910" w:orient="landscape"/>
          <w:pgMar w:top="1100" w:bottom="280" w:left="0" w:right="0"/>
          <w:cols w:num="2" w:equalWidth="0">
            <w:col w:w="8031" w:space="40"/>
            <w:col w:w="8769"/>
          </w:cols>
        </w:sectPr>
      </w:pPr>
    </w:p>
    <w:p>
      <w:pPr>
        <w:pStyle w:val="BodyText"/>
        <w:spacing w:before="4" w:after="1"/>
        <w:rPr>
          <w:sz w:val="29"/>
        </w:rPr>
      </w:pPr>
      <w:r>
        <w:rPr/>
        <w:pict>
          <v:group style="position:absolute;margin-left:166.326797pt;margin-top:437.902191pt;width:243.8pt;height:.550pt;mso-position-horizontal-relative:page;mso-position-vertical-relative:page;z-index:19840" coordorigin="3327,8758" coordsize="4876,11">
            <v:line style="position:absolute" from="3327,8763" to="4347,8763" stroked="true" strokeweight=".501pt" strokecolor="#000000">
              <v:stroke dashstyle="solid"/>
            </v:line>
            <v:line style="position:absolute" from="4347,8763" to="5311,8763" stroked="true" strokeweight=".501pt" strokecolor="#000000">
              <v:stroke dashstyle="solid"/>
            </v:line>
            <v:line style="position:absolute" from="5311,8763" to="6275,8763" stroked="true" strokeweight=".501pt" strokecolor="#000000">
              <v:stroke dashstyle="solid"/>
            </v:line>
            <v:line style="position:absolute" from="6275,8763" to="7238,8763" stroked="true" strokeweight=".501pt" strokecolor="#000000">
              <v:stroke dashstyle="solid"/>
            </v:line>
            <v:line style="position:absolute" from="7238,8763" to="8202,8763" stroked="true" strokeweight=".501pt" strokecolor="#000000">
              <v:stroke dashstyle="solid"/>
            </v:line>
            <w10:wrap type="none"/>
          </v:group>
        </w:pict>
      </w:r>
    </w:p>
    <w:p>
      <w:pPr>
        <w:tabs>
          <w:tab w:pos="8631" w:val="left" w:leader="none"/>
        </w:tabs>
        <w:spacing w:line="240" w:lineRule="auto"/>
        <w:ind w:left="765" w:right="0" w:firstLine="0"/>
        <w:rPr>
          <w:sz w:val="20"/>
        </w:rPr>
      </w:pPr>
      <w:r>
        <w:rPr>
          <w:sz w:val="20"/>
        </w:rPr>
        <w:pict>
          <v:shape style="width:371.85pt;height:92.6pt;mso-position-horizontal-relative:char;mso-position-vertical-relative:line" type="#_x0000_t202" filled="false" stroked="false">
            <w10:anchorlock/>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51"/>
                    <w:gridCol w:w="1020"/>
                    <w:gridCol w:w="963"/>
                    <w:gridCol w:w="963"/>
                    <w:gridCol w:w="963"/>
                    <w:gridCol w:w="963"/>
                  </w:tblGrid>
                  <w:tr>
                    <w:trPr>
                      <w:trHeight w:val="844" w:hRule="atLeast"/>
                    </w:trPr>
                    <w:tc>
                      <w:tcPr>
                        <w:tcW w:w="7423" w:type="dxa"/>
                        <w:gridSpan w:val="6"/>
                        <w:tcBorders>
                          <w:top w:val="nil"/>
                          <w:bottom w:val="nil"/>
                          <w:right w:val="nil"/>
                        </w:tcBorders>
                        <w:shd w:val="clear" w:color="auto" w:fill="783A79"/>
                      </w:tcPr>
                      <w:p>
                        <w:pPr>
                          <w:pStyle w:val="TableParagraph"/>
                          <w:tabs>
                            <w:tab w:pos="3732" w:val="left" w:leader="none"/>
                            <w:tab w:pos="3764" w:val="left" w:leader="none"/>
                            <w:tab w:pos="4819" w:val="left" w:leader="none"/>
                            <w:tab w:pos="5659" w:val="left" w:leader="none"/>
                            <w:tab w:pos="6747" w:val="left" w:leader="none"/>
                          </w:tabs>
                          <w:spacing w:line="247" w:lineRule="auto" w:before="42"/>
                          <w:ind w:left="2768" w:right="97" w:hanging="85"/>
                          <w:rPr>
                            <w:b/>
                            <w:sz w:val="19"/>
                          </w:rPr>
                        </w:pPr>
                        <w:r>
                          <w:rPr>
                            <w:b/>
                            <w:color w:val="FFFFFF"/>
                            <w:sz w:val="19"/>
                          </w:rPr>
                          <w:t>Carrying</w:t>
                          <w:tab/>
                          <w:tab/>
                          <w:t>-100</w:t>
                        </w:r>
                        <w:r>
                          <w:rPr>
                            <w:b/>
                            <w:color w:val="FFFFFF"/>
                            <w:spacing w:val="-1"/>
                            <w:sz w:val="19"/>
                          </w:rPr>
                          <w:t> </w:t>
                        </w:r>
                        <w:r>
                          <w:rPr>
                            <w:b/>
                            <w:color w:val="FFFFFF"/>
                            <w:sz w:val="19"/>
                          </w:rPr>
                          <w:t>basis points</w:t>
                          <w:tab/>
                          <w:t>+100 basis points </w:t>
                        </w:r>
                        <w:r>
                          <w:rPr>
                            <w:b/>
                            <w:color w:val="FFFFFF"/>
                            <w:position w:val="8"/>
                            <w:sz w:val="19"/>
                          </w:rPr>
                          <w:t>amount</w:t>
                          <w:tab/>
                        </w:r>
                        <w:r>
                          <w:rPr>
                            <w:b/>
                            <w:color w:val="FFFFFF"/>
                            <w:sz w:val="19"/>
                          </w:rPr>
                          <w:t>Surplus</w:t>
                          <w:tab/>
                          <w:t>Equity</w:t>
                          <w:tab/>
                          <w:t>Surplus</w:t>
                          <w:tab/>
                        </w:r>
                        <w:r>
                          <w:rPr>
                            <w:b/>
                            <w:color w:val="FFFFFF"/>
                            <w:spacing w:val="-3"/>
                            <w:w w:val="95"/>
                            <w:sz w:val="19"/>
                          </w:rPr>
                          <w:t>Equity</w:t>
                        </w:r>
                      </w:p>
                      <w:p>
                        <w:pPr>
                          <w:pStyle w:val="TableParagraph"/>
                          <w:tabs>
                            <w:tab w:pos="3035" w:val="left" w:leader="none"/>
                            <w:tab w:pos="3999" w:val="left" w:leader="none"/>
                            <w:tab w:pos="4963" w:val="left" w:leader="none"/>
                            <w:tab w:pos="5927" w:val="left" w:leader="none"/>
                            <w:tab w:pos="6890" w:val="left" w:leader="none"/>
                          </w:tabs>
                          <w:spacing w:before="4"/>
                          <w:ind w:left="113"/>
                          <w:rPr>
                            <w:b/>
                            <w:sz w:val="19"/>
                          </w:rPr>
                        </w:pPr>
                        <w:r>
                          <w:rPr>
                            <w:b/>
                            <w:color w:val="FFFFFF"/>
                            <w:sz w:val="19"/>
                          </w:rPr>
                          <w:t>2017</w:t>
                          <w:tab/>
                          <w:t>$000</w:t>
                          <w:tab/>
                          <w:t>$000</w:t>
                          <w:tab/>
                          <w:t>$000</w:t>
                          <w:tab/>
                          <w:t>$000</w:t>
                          <w:tab/>
                          <w:t>$000</w:t>
                        </w:r>
                      </w:p>
                    </w:tc>
                  </w:tr>
                  <w:tr>
                    <w:trPr>
                      <w:trHeight w:val="639" w:hRule="atLeast"/>
                    </w:trPr>
                    <w:tc>
                      <w:tcPr>
                        <w:tcW w:w="2551" w:type="dxa"/>
                        <w:tcBorders>
                          <w:top w:val="nil"/>
                        </w:tcBorders>
                        <w:shd w:val="clear" w:color="auto" w:fill="FAF9F9"/>
                      </w:tcPr>
                      <w:p>
                        <w:pPr>
                          <w:pStyle w:val="TableParagraph"/>
                          <w:spacing w:before="37"/>
                          <w:ind w:left="113"/>
                          <w:rPr>
                            <w:i/>
                            <w:sz w:val="19"/>
                          </w:rPr>
                        </w:pPr>
                        <w:r>
                          <w:rPr>
                            <w:i/>
                            <w:color w:val="6F2770"/>
                            <w:sz w:val="19"/>
                          </w:rPr>
                          <w:t>Financial Assets</w:t>
                        </w:r>
                      </w:p>
                      <w:p>
                        <w:pPr>
                          <w:pStyle w:val="TableParagraph"/>
                          <w:spacing w:before="109"/>
                          <w:ind w:left="113"/>
                          <w:rPr>
                            <w:sz w:val="19"/>
                          </w:rPr>
                        </w:pPr>
                        <w:r>
                          <w:rPr>
                            <w:sz w:val="19"/>
                          </w:rPr>
                          <w:t>Cash and cash equivalents</w:t>
                        </w:r>
                      </w:p>
                    </w:tc>
                    <w:tc>
                      <w:tcPr>
                        <w:tcW w:w="1020"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90"/>
                          <w:jc w:val="right"/>
                          <w:rPr>
                            <w:sz w:val="19"/>
                          </w:rPr>
                        </w:pPr>
                        <w:r>
                          <w:rPr>
                            <w:w w:val="95"/>
                            <w:sz w:val="19"/>
                          </w:rPr>
                          <w:t>21,678</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9"/>
                          <w:jc w:val="right"/>
                          <w:rPr>
                            <w:sz w:val="19"/>
                          </w:rPr>
                        </w:pPr>
                        <w:r>
                          <w:rPr>
                            <w:w w:val="90"/>
                            <w:sz w:val="19"/>
                          </w:rPr>
                          <w:t>(217)</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8"/>
                          <w:jc w:val="right"/>
                          <w:rPr>
                            <w:sz w:val="19"/>
                          </w:rPr>
                        </w:pPr>
                        <w:r>
                          <w:rPr>
                            <w:w w:val="90"/>
                            <w:sz w:val="19"/>
                          </w:rPr>
                          <w:t>(217)</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7"/>
                          <w:jc w:val="right"/>
                          <w:rPr>
                            <w:sz w:val="19"/>
                          </w:rPr>
                        </w:pPr>
                        <w:r>
                          <w:rPr>
                            <w:w w:val="95"/>
                            <w:sz w:val="19"/>
                          </w:rPr>
                          <w:t>217</w:t>
                        </w:r>
                      </w:p>
                    </w:tc>
                    <w:tc>
                      <w:tcPr>
                        <w:tcW w:w="963" w:type="dxa"/>
                        <w:tcBorders>
                          <w:top w:val="nil"/>
                          <w:bottom w:val="single" w:sz="4" w:space="0" w:color="000000"/>
                          <w:right w:val="nil"/>
                        </w:tcBorders>
                        <w:shd w:val="clear" w:color="auto" w:fill="FAF9F9"/>
                      </w:tcPr>
                      <w:p>
                        <w:pPr>
                          <w:pStyle w:val="TableParagraph"/>
                          <w:spacing w:before="8"/>
                          <w:rPr>
                            <w:sz w:val="31"/>
                          </w:rPr>
                        </w:pPr>
                      </w:p>
                      <w:p>
                        <w:pPr>
                          <w:pStyle w:val="TableParagraph"/>
                          <w:spacing w:before="0"/>
                          <w:ind w:right="97"/>
                          <w:jc w:val="right"/>
                          <w:rPr>
                            <w:sz w:val="19"/>
                          </w:rPr>
                        </w:pPr>
                        <w:r>
                          <w:rPr>
                            <w:w w:val="95"/>
                            <w:sz w:val="19"/>
                          </w:rPr>
                          <w:t>217</w:t>
                        </w:r>
                      </w:p>
                    </w:tc>
                  </w:tr>
                  <w:tr>
                    <w:trPr>
                      <w:trHeight w:val="287" w:hRule="atLeast"/>
                    </w:trPr>
                    <w:tc>
                      <w:tcPr>
                        <w:tcW w:w="2551" w:type="dxa"/>
                        <w:shd w:val="clear" w:color="auto" w:fill="F4F4F4"/>
                      </w:tcPr>
                      <w:p>
                        <w:pPr>
                          <w:pStyle w:val="TableParagraph"/>
                          <w:ind w:left="113"/>
                          <w:rPr>
                            <w:b/>
                            <w:sz w:val="19"/>
                          </w:rPr>
                        </w:pPr>
                        <w:r>
                          <w:rPr>
                            <w:b/>
                            <w:sz w:val="19"/>
                          </w:rPr>
                          <w:t>Total increase/(decrease)</w:t>
                        </w:r>
                      </w:p>
                    </w:tc>
                    <w:tc>
                      <w:tcPr>
                        <w:tcW w:w="1020" w:type="dxa"/>
                        <w:tcBorders>
                          <w:top w:val="single" w:sz="4" w:space="0" w:color="000000"/>
                          <w:bottom w:val="single" w:sz="24" w:space="0" w:color="FFFFFF"/>
                        </w:tcBorders>
                        <w:shd w:val="clear" w:color="auto" w:fill="F4F4F4"/>
                      </w:tcPr>
                      <w:p>
                        <w:pPr>
                          <w:pStyle w:val="TableParagraph"/>
                          <w:ind w:right="90"/>
                          <w:jc w:val="right"/>
                          <w:rPr>
                            <w:b/>
                            <w:sz w:val="19"/>
                          </w:rPr>
                        </w:pPr>
                        <w:r>
                          <w:rPr>
                            <w:b/>
                            <w:w w:val="95"/>
                            <w:sz w:val="19"/>
                          </w:rPr>
                          <w:t>21,678</w:t>
                        </w:r>
                      </w:p>
                    </w:tc>
                    <w:tc>
                      <w:tcPr>
                        <w:tcW w:w="963" w:type="dxa"/>
                        <w:tcBorders>
                          <w:top w:val="single" w:sz="4" w:space="0" w:color="000000"/>
                          <w:bottom w:val="single" w:sz="24" w:space="0" w:color="FFFFFF"/>
                        </w:tcBorders>
                        <w:shd w:val="clear" w:color="auto" w:fill="F4F4F4"/>
                      </w:tcPr>
                      <w:p>
                        <w:pPr>
                          <w:pStyle w:val="TableParagraph"/>
                          <w:ind w:right="89"/>
                          <w:jc w:val="right"/>
                          <w:rPr>
                            <w:b/>
                            <w:sz w:val="19"/>
                          </w:rPr>
                        </w:pPr>
                        <w:r>
                          <w:rPr>
                            <w:b/>
                            <w:w w:val="95"/>
                            <w:sz w:val="19"/>
                          </w:rPr>
                          <w:t>(217)</w:t>
                        </w:r>
                      </w:p>
                    </w:tc>
                    <w:tc>
                      <w:tcPr>
                        <w:tcW w:w="963" w:type="dxa"/>
                        <w:tcBorders>
                          <w:top w:val="single" w:sz="4" w:space="0" w:color="000000"/>
                          <w:bottom w:val="single" w:sz="24" w:space="0" w:color="FFFFFF"/>
                        </w:tcBorders>
                        <w:shd w:val="clear" w:color="auto" w:fill="F4F4F4"/>
                      </w:tcPr>
                      <w:p>
                        <w:pPr>
                          <w:pStyle w:val="TableParagraph"/>
                          <w:ind w:right="88"/>
                          <w:jc w:val="right"/>
                          <w:rPr>
                            <w:b/>
                            <w:sz w:val="19"/>
                          </w:rPr>
                        </w:pPr>
                        <w:r>
                          <w:rPr>
                            <w:b/>
                            <w:w w:val="95"/>
                            <w:sz w:val="19"/>
                          </w:rPr>
                          <w:t>(217)</w:t>
                        </w:r>
                      </w:p>
                    </w:tc>
                    <w:tc>
                      <w:tcPr>
                        <w:tcW w:w="963" w:type="dxa"/>
                        <w:tcBorders>
                          <w:top w:val="single" w:sz="4" w:space="0" w:color="000000"/>
                          <w:bottom w:val="single" w:sz="24" w:space="0" w:color="FFFFFF"/>
                        </w:tcBorders>
                        <w:shd w:val="clear" w:color="auto" w:fill="F4F4F4"/>
                      </w:tcPr>
                      <w:p>
                        <w:pPr>
                          <w:pStyle w:val="TableParagraph"/>
                          <w:ind w:right="87"/>
                          <w:jc w:val="right"/>
                          <w:rPr>
                            <w:b/>
                            <w:sz w:val="19"/>
                          </w:rPr>
                        </w:pPr>
                        <w:r>
                          <w:rPr>
                            <w:b/>
                            <w:w w:val="95"/>
                            <w:sz w:val="19"/>
                          </w:rPr>
                          <w:t>217</w:t>
                        </w:r>
                      </w:p>
                    </w:tc>
                    <w:tc>
                      <w:tcPr>
                        <w:tcW w:w="963" w:type="dxa"/>
                        <w:tcBorders>
                          <w:top w:val="single" w:sz="4" w:space="0" w:color="000000"/>
                          <w:bottom w:val="single" w:sz="24" w:space="0" w:color="FFFFFF"/>
                          <w:right w:val="nil"/>
                        </w:tcBorders>
                        <w:shd w:val="clear" w:color="auto" w:fill="F4F4F4"/>
                      </w:tcPr>
                      <w:p>
                        <w:pPr>
                          <w:pStyle w:val="TableParagraph"/>
                          <w:ind w:right="96"/>
                          <w:jc w:val="right"/>
                          <w:rPr>
                            <w:b/>
                            <w:sz w:val="19"/>
                          </w:rPr>
                        </w:pPr>
                        <w:r>
                          <w:rPr>
                            <w:b/>
                            <w:w w:val="95"/>
                            <w:sz w:val="19"/>
                          </w:rPr>
                          <w:t>217</w:t>
                        </w:r>
                      </w:p>
                    </w:tc>
                  </w:tr>
                </w:tbl>
                <w:p>
                  <w:pPr>
                    <w:pStyle w:val="BodyText"/>
                  </w:pPr>
                </w:p>
              </w:txbxContent>
            </v:textbox>
          </v:shape>
        </w:pict>
      </w:r>
      <w:r>
        <w:rPr>
          <w:sz w:val="20"/>
        </w:rPr>
      </w:r>
      <w:r>
        <w:rPr>
          <w:sz w:val="20"/>
        </w:rPr>
        <w:tab/>
      </w:r>
      <w:r>
        <w:rPr>
          <w:position w:val="179"/>
          <w:sz w:val="20"/>
        </w:rPr>
        <w:pict>
          <v:shape style="width:369.95pt;height:53.6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2"/>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2"/>
                            <w:sz w:val="19"/>
                          </w:rPr>
                          <w:t>$000</w:t>
                        </w:r>
                      </w:p>
                    </w:tc>
                  </w:tr>
                  <w:tr>
                    <w:trPr>
                      <w:trHeight w:val="528" w:hRule="atLeast"/>
                    </w:trPr>
                    <w:tc>
                      <w:tcPr>
                        <w:tcW w:w="5131" w:type="dxa"/>
                        <w:shd w:val="clear" w:color="auto" w:fill="F4F4F4"/>
                      </w:tcPr>
                      <w:p>
                        <w:pPr>
                          <w:pStyle w:val="TableParagraph"/>
                          <w:spacing w:line="249" w:lineRule="auto" w:before="37"/>
                          <w:ind w:left="113" w:right="387"/>
                          <w:rPr>
                            <w:sz w:val="19"/>
                          </w:rPr>
                        </w:pPr>
                        <w:r>
                          <w:rPr>
                            <w:sz w:val="19"/>
                          </w:rPr>
                          <w:t>Auditing</w:t>
                        </w:r>
                        <w:r>
                          <w:rPr>
                            <w:spacing w:val="-19"/>
                            <w:sz w:val="19"/>
                          </w:rPr>
                          <w:t> </w:t>
                        </w:r>
                        <w:r>
                          <w:rPr>
                            <w:sz w:val="19"/>
                          </w:rPr>
                          <w:t>the</w:t>
                        </w:r>
                        <w:r>
                          <w:rPr>
                            <w:spacing w:val="-19"/>
                            <w:sz w:val="19"/>
                          </w:rPr>
                          <w:t> </w:t>
                        </w:r>
                        <w:r>
                          <w:rPr>
                            <w:sz w:val="19"/>
                          </w:rPr>
                          <w:t>accounts,</w:t>
                        </w:r>
                        <w:r>
                          <w:rPr>
                            <w:spacing w:val="-19"/>
                            <w:sz w:val="19"/>
                          </w:rPr>
                          <w:t> </w:t>
                        </w:r>
                        <w:r>
                          <w:rPr>
                            <w:sz w:val="19"/>
                          </w:rPr>
                          <w:t>controls,</w:t>
                        </w:r>
                        <w:r>
                          <w:rPr>
                            <w:spacing w:val="-19"/>
                            <w:sz w:val="19"/>
                          </w:rPr>
                          <w:t> </w:t>
                        </w:r>
                        <w:r>
                          <w:rPr>
                            <w:sz w:val="19"/>
                          </w:rPr>
                          <w:t>financial</w:t>
                        </w:r>
                        <w:r>
                          <w:rPr>
                            <w:spacing w:val="-19"/>
                            <w:sz w:val="19"/>
                          </w:rPr>
                          <w:t> </w:t>
                        </w:r>
                        <w:r>
                          <w:rPr>
                            <w:sz w:val="19"/>
                          </w:rPr>
                          <w:t>statements</w:t>
                        </w:r>
                        <w:r>
                          <w:rPr>
                            <w:spacing w:val="-19"/>
                            <w:sz w:val="19"/>
                          </w:rPr>
                          <w:t> </w:t>
                        </w:r>
                        <w:r>
                          <w:rPr>
                            <w:spacing w:val="-6"/>
                            <w:sz w:val="19"/>
                          </w:rPr>
                          <w:t>and </w:t>
                        </w:r>
                        <w:r>
                          <w:rPr>
                            <w:sz w:val="19"/>
                          </w:rPr>
                          <w:t>key performance</w:t>
                        </w:r>
                        <w:r>
                          <w:rPr>
                            <w:spacing w:val="-3"/>
                            <w:sz w:val="19"/>
                          </w:rPr>
                          <w:t> </w:t>
                        </w:r>
                        <w:r>
                          <w:rPr>
                            <w:sz w:val="19"/>
                          </w:rPr>
                          <w:t>indicators</w:t>
                        </w:r>
                      </w:p>
                    </w:tc>
                    <w:tc>
                      <w:tcPr>
                        <w:tcW w:w="1134" w:type="dxa"/>
                        <w:shd w:val="clear" w:color="auto" w:fill="DFE1B8"/>
                      </w:tcPr>
                      <w:p>
                        <w:pPr>
                          <w:pStyle w:val="TableParagraph"/>
                          <w:spacing w:before="37"/>
                          <w:ind w:left="703"/>
                          <w:rPr>
                            <w:sz w:val="19"/>
                          </w:rPr>
                        </w:pPr>
                        <w:r>
                          <w:rPr>
                            <w:sz w:val="19"/>
                          </w:rPr>
                          <w:t>384</w:t>
                        </w:r>
                      </w:p>
                    </w:tc>
                    <w:tc>
                      <w:tcPr>
                        <w:tcW w:w="1134" w:type="dxa"/>
                        <w:shd w:val="clear" w:color="auto" w:fill="F4F4F4"/>
                      </w:tcPr>
                      <w:p>
                        <w:pPr>
                          <w:pStyle w:val="TableParagraph"/>
                          <w:spacing w:before="37"/>
                          <w:ind w:left="703"/>
                          <w:rPr>
                            <w:sz w:val="19"/>
                          </w:rPr>
                        </w:pPr>
                        <w:r>
                          <w:rPr>
                            <w:sz w:val="19"/>
                          </w:rPr>
                          <w:t>376</w:t>
                        </w:r>
                      </w:p>
                    </w:tc>
                  </w:tr>
                </w:tbl>
                <w:p>
                  <w:pPr>
                    <w:pStyle w:val="BodyText"/>
                  </w:pPr>
                </w:p>
              </w:txbxContent>
            </v:textbox>
          </v:shape>
        </w:pict>
      </w:r>
      <w:r>
        <w:rPr>
          <w:position w:val="179"/>
          <w:sz w:val="20"/>
        </w:rPr>
      </w:r>
    </w:p>
    <w:p>
      <w:pPr>
        <w:spacing w:after="0" w:line="240" w:lineRule="auto"/>
        <w:rPr>
          <w:sz w:val="20"/>
        </w:rPr>
        <w:sectPr>
          <w:type w:val="continuous"/>
          <w:pgSz w:w="16840" w:h="11910" w:orient="landscape"/>
          <w:pgMar w:top="1100" w:bottom="28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2024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Heading5"/>
        <w:spacing w:before="286"/>
      </w:pPr>
      <w:r>
        <w:rPr>
          <w:color w:val="6F2770"/>
        </w:rPr>
        <w:t>Note 42. Compensation of Key Management Personnel</w:t>
      </w:r>
    </w:p>
    <w:p>
      <w:pPr>
        <w:pStyle w:val="BodyText"/>
        <w:spacing w:line="249" w:lineRule="auto" w:before="253"/>
        <w:ind w:left="765" w:right="799"/>
      </w:pPr>
      <w:r>
        <w:rPr/>
        <w:t>The</w:t>
      </w:r>
      <w:r>
        <w:rPr>
          <w:spacing w:val="-32"/>
        </w:rPr>
        <w:t> </w:t>
      </w:r>
      <w:r>
        <w:rPr/>
        <w:t>Department</w:t>
      </w:r>
      <w:r>
        <w:rPr>
          <w:spacing w:val="-31"/>
        </w:rPr>
        <w:t> </w:t>
      </w:r>
      <w:r>
        <w:rPr/>
        <w:t>has</w:t>
      </w:r>
      <w:r>
        <w:rPr>
          <w:spacing w:val="-31"/>
        </w:rPr>
        <w:t> </w:t>
      </w:r>
      <w:r>
        <w:rPr/>
        <w:t>determined</w:t>
      </w:r>
      <w:r>
        <w:rPr>
          <w:spacing w:val="-31"/>
        </w:rPr>
        <w:t> </w:t>
      </w:r>
      <w:r>
        <w:rPr/>
        <w:t>that</w:t>
      </w:r>
      <w:r>
        <w:rPr>
          <w:spacing w:val="-31"/>
        </w:rPr>
        <w:t> </w:t>
      </w:r>
      <w:r>
        <w:rPr/>
        <w:t>key</w:t>
      </w:r>
      <w:r>
        <w:rPr>
          <w:spacing w:val="-31"/>
        </w:rPr>
        <w:t> </w:t>
      </w:r>
      <w:r>
        <w:rPr/>
        <w:t>management</w:t>
      </w:r>
      <w:r>
        <w:rPr>
          <w:spacing w:val="-32"/>
        </w:rPr>
        <w:t> </w:t>
      </w:r>
      <w:r>
        <w:rPr/>
        <w:t>personnel</w:t>
      </w:r>
      <w:r>
        <w:rPr>
          <w:spacing w:val="-31"/>
        </w:rPr>
        <w:t> </w:t>
      </w:r>
      <w:r>
        <w:rPr/>
        <w:t>include</w:t>
      </w:r>
      <w:r>
        <w:rPr>
          <w:spacing w:val="-31"/>
        </w:rPr>
        <w:t> </w:t>
      </w:r>
      <w:r>
        <w:rPr/>
        <w:t>Ministers</w:t>
      </w:r>
      <w:r>
        <w:rPr>
          <w:spacing w:val="-31"/>
        </w:rPr>
        <w:t> </w:t>
      </w:r>
      <w:r>
        <w:rPr/>
        <w:t>and</w:t>
      </w:r>
      <w:r>
        <w:rPr>
          <w:spacing w:val="-31"/>
        </w:rPr>
        <w:t> </w:t>
      </w:r>
      <w:r>
        <w:rPr/>
        <w:t>senior</w:t>
      </w:r>
      <w:r>
        <w:rPr>
          <w:spacing w:val="-31"/>
        </w:rPr>
        <w:t> </w:t>
      </w:r>
      <w:r>
        <w:rPr>
          <w:spacing w:val="-3"/>
        </w:rPr>
        <w:t>officers</w:t>
      </w:r>
      <w:r>
        <w:rPr>
          <w:spacing w:val="-31"/>
        </w:rPr>
        <w:t> </w:t>
      </w:r>
      <w:r>
        <w:rPr/>
        <w:t>of</w:t>
      </w:r>
      <w:r>
        <w:rPr>
          <w:spacing w:val="-32"/>
        </w:rPr>
        <w:t> </w:t>
      </w:r>
      <w:r>
        <w:rPr/>
        <w:t>the</w:t>
      </w:r>
      <w:r>
        <w:rPr>
          <w:spacing w:val="-31"/>
        </w:rPr>
        <w:t> </w:t>
      </w:r>
      <w:r>
        <w:rPr/>
        <w:t>Department.</w:t>
      </w:r>
      <w:r>
        <w:rPr>
          <w:spacing w:val="-31"/>
        </w:rPr>
        <w:t> </w:t>
      </w:r>
      <w:r>
        <w:rPr>
          <w:spacing w:val="-5"/>
        </w:rPr>
        <w:t>However,</w:t>
      </w:r>
      <w:r>
        <w:rPr>
          <w:spacing w:val="-31"/>
        </w:rPr>
        <w:t> </w:t>
      </w:r>
      <w:r>
        <w:rPr/>
        <w:t>the</w:t>
      </w:r>
      <w:r>
        <w:rPr>
          <w:spacing w:val="-31"/>
        </w:rPr>
        <w:t> </w:t>
      </w:r>
      <w:r>
        <w:rPr/>
        <w:t>Department</w:t>
      </w:r>
      <w:r>
        <w:rPr>
          <w:spacing w:val="-31"/>
        </w:rPr>
        <w:t> </w:t>
      </w:r>
      <w:r>
        <w:rPr/>
        <w:t>is</w:t>
      </w:r>
      <w:r>
        <w:rPr>
          <w:spacing w:val="-31"/>
        </w:rPr>
        <w:t> </w:t>
      </w:r>
      <w:r>
        <w:rPr/>
        <w:t>not</w:t>
      </w:r>
      <w:r>
        <w:rPr>
          <w:spacing w:val="-32"/>
        </w:rPr>
        <w:t> </w:t>
      </w:r>
      <w:r>
        <w:rPr/>
        <w:t>obligated to</w:t>
      </w:r>
      <w:r>
        <w:rPr>
          <w:spacing w:val="-13"/>
        </w:rPr>
        <w:t> </w:t>
      </w:r>
      <w:r>
        <w:rPr/>
        <w:t>compensate</w:t>
      </w:r>
      <w:r>
        <w:rPr>
          <w:spacing w:val="-12"/>
        </w:rPr>
        <w:t> </w:t>
      </w:r>
      <w:r>
        <w:rPr/>
        <w:t>Ministers</w:t>
      </w:r>
      <w:r>
        <w:rPr>
          <w:spacing w:val="-13"/>
        </w:rPr>
        <w:t> </w:t>
      </w:r>
      <w:r>
        <w:rPr/>
        <w:t>and</w:t>
      </w:r>
      <w:r>
        <w:rPr>
          <w:spacing w:val="-12"/>
        </w:rPr>
        <w:t> </w:t>
      </w:r>
      <w:r>
        <w:rPr>
          <w:spacing w:val="-3"/>
        </w:rPr>
        <w:t>therefore</w:t>
      </w:r>
      <w:r>
        <w:rPr>
          <w:spacing w:val="-12"/>
        </w:rPr>
        <w:t> </w:t>
      </w:r>
      <w:r>
        <w:rPr>
          <w:spacing w:val="-3"/>
        </w:rPr>
        <w:t>disclosures</w:t>
      </w:r>
      <w:r>
        <w:rPr>
          <w:spacing w:val="-13"/>
        </w:rPr>
        <w:t> </w:t>
      </w:r>
      <w:r>
        <w:rPr/>
        <w:t>in</w:t>
      </w:r>
      <w:r>
        <w:rPr>
          <w:spacing w:val="-12"/>
        </w:rPr>
        <w:t> </w:t>
      </w:r>
      <w:r>
        <w:rPr>
          <w:spacing w:val="-3"/>
        </w:rPr>
        <w:t>relation</w:t>
      </w:r>
      <w:r>
        <w:rPr>
          <w:spacing w:val="-13"/>
        </w:rPr>
        <w:t> </w:t>
      </w:r>
      <w:r>
        <w:rPr/>
        <w:t>to</w:t>
      </w:r>
      <w:r>
        <w:rPr>
          <w:spacing w:val="-12"/>
        </w:rPr>
        <w:t> </w:t>
      </w:r>
      <w:r>
        <w:rPr>
          <w:spacing w:val="-5"/>
        </w:rPr>
        <w:t>Minister’s</w:t>
      </w:r>
      <w:r>
        <w:rPr>
          <w:spacing w:val="-12"/>
        </w:rPr>
        <w:t> </w:t>
      </w:r>
      <w:r>
        <w:rPr/>
        <w:t>compensation</w:t>
      </w:r>
      <w:r>
        <w:rPr>
          <w:spacing w:val="-13"/>
        </w:rPr>
        <w:t> </w:t>
      </w:r>
      <w:r>
        <w:rPr/>
        <w:t>may</w:t>
      </w:r>
      <w:r>
        <w:rPr>
          <w:spacing w:val="-12"/>
        </w:rPr>
        <w:t> </w:t>
      </w:r>
      <w:r>
        <w:rPr/>
        <w:t>be</w:t>
      </w:r>
      <w:r>
        <w:rPr>
          <w:spacing w:val="-13"/>
        </w:rPr>
        <w:t> </w:t>
      </w:r>
      <w:r>
        <w:rPr/>
        <w:t>found</w:t>
      </w:r>
      <w:r>
        <w:rPr>
          <w:spacing w:val="-12"/>
        </w:rPr>
        <w:t> </w:t>
      </w:r>
      <w:r>
        <w:rPr/>
        <w:t>in</w:t>
      </w:r>
      <w:r>
        <w:rPr>
          <w:spacing w:val="-12"/>
        </w:rPr>
        <w:t> </w:t>
      </w:r>
      <w:r>
        <w:rPr/>
        <w:t>the</w:t>
      </w:r>
      <w:r>
        <w:rPr>
          <w:spacing w:val="-13"/>
        </w:rPr>
        <w:t> </w:t>
      </w:r>
      <w:r>
        <w:rPr>
          <w:i/>
        </w:rPr>
        <w:t>Annual</w:t>
      </w:r>
      <w:r>
        <w:rPr>
          <w:i/>
          <w:spacing w:val="-12"/>
        </w:rPr>
        <w:t> </w:t>
      </w:r>
      <w:r>
        <w:rPr>
          <w:i/>
        </w:rPr>
        <w:t>Report</w:t>
      </w:r>
      <w:r>
        <w:rPr>
          <w:i/>
          <w:spacing w:val="-13"/>
        </w:rPr>
        <w:t> </w:t>
      </w:r>
      <w:r>
        <w:rPr>
          <w:i/>
        </w:rPr>
        <w:t>on</w:t>
      </w:r>
      <w:r>
        <w:rPr>
          <w:i/>
          <w:spacing w:val="-12"/>
        </w:rPr>
        <w:t> </w:t>
      </w:r>
      <w:r>
        <w:rPr>
          <w:i/>
        </w:rPr>
        <w:t>State</w:t>
      </w:r>
      <w:r>
        <w:rPr>
          <w:i/>
          <w:spacing w:val="-12"/>
        </w:rPr>
        <w:t> </w:t>
      </w:r>
      <w:r>
        <w:rPr>
          <w:i/>
        </w:rPr>
        <w:t>Finances</w:t>
      </w:r>
      <w:r>
        <w:rPr/>
        <w:t>.</w:t>
      </w:r>
    </w:p>
    <w:p>
      <w:pPr>
        <w:pStyle w:val="BodyText"/>
        <w:spacing w:before="2"/>
        <w:rPr>
          <w:sz w:val="23"/>
        </w:rPr>
      </w:pPr>
    </w:p>
    <w:p>
      <w:pPr>
        <w:pStyle w:val="BodyText"/>
        <w:spacing w:line="249" w:lineRule="auto"/>
        <w:ind w:left="765" w:right="799"/>
      </w:pPr>
      <w:r>
        <w:rPr/>
        <w:t>The</w:t>
      </w:r>
      <w:r>
        <w:rPr>
          <w:spacing w:val="-29"/>
        </w:rPr>
        <w:t> </w:t>
      </w:r>
      <w:r>
        <w:rPr/>
        <w:t>total</w:t>
      </w:r>
      <w:r>
        <w:rPr>
          <w:spacing w:val="-29"/>
        </w:rPr>
        <w:t> </w:t>
      </w:r>
      <w:r>
        <w:rPr/>
        <w:t>fees,</w:t>
      </w:r>
      <w:r>
        <w:rPr>
          <w:spacing w:val="-29"/>
        </w:rPr>
        <w:t> </w:t>
      </w:r>
      <w:r>
        <w:rPr/>
        <w:t>salaries,</w:t>
      </w:r>
      <w:r>
        <w:rPr>
          <w:spacing w:val="-29"/>
        </w:rPr>
        <w:t> </w:t>
      </w:r>
      <w:r>
        <w:rPr/>
        <w:t>superannuation,</w:t>
      </w:r>
      <w:r>
        <w:rPr>
          <w:spacing w:val="-29"/>
        </w:rPr>
        <w:t> </w:t>
      </w:r>
      <w:r>
        <w:rPr/>
        <w:t>non-monetary</w:t>
      </w:r>
      <w:r>
        <w:rPr>
          <w:spacing w:val="-29"/>
        </w:rPr>
        <w:t> </w:t>
      </w:r>
      <w:r>
        <w:rPr/>
        <w:t>benefits</w:t>
      </w:r>
      <w:r>
        <w:rPr>
          <w:spacing w:val="-29"/>
        </w:rPr>
        <w:t> </w:t>
      </w:r>
      <w:r>
        <w:rPr/>
        <w:t>and</w:t>
      </w:r>
      <w:r>
        <w:rPr>
          <w:spacing w:val="-29"/>
        </w:rPr>
        <w:t> </w:t>
      </w:r>
      <w:r>
        <w:rPr/>
        <w:t>other</w:t>
      </w:r>
      <w:r>
        <w:rPr>
          <w:spacing w:val="-29"/>
        </w:rPr>
        <w:t> </w:t>
      </w:r>
      <w:r>
        <w:rPr/>
        <w:t>benefits</w:t>
      </w:r>
      <w:r>
        <w:rPr>
          <w:spacing w:val="-29"/>
        </w:rPr>
        <w:t> </w:t>
      </w:r>
      <w:r>
        <w:rPr/>
        <w:t>for</w:t>
      </w:r>
      <w:r>
        <w:rPr>
          <w:spacing w:val="-29"/>
        </w:rPr>
        <w:t> </w:t>
      </w:r>
      <w:r>
        <w:rPr/>
        <w:t>senior</w:t>
      </w:r>
      <w:r>
        <w:rPr>
          <w:spacing w:val="-29"/>
        </w:rPr>
        <w:t> </w:t>
      </w:r>
      <w:r>
        <w:rPr>
          <w:spacing w:val="-3"/>
        </w:rPr>
        <w:t>officers</w:t>
      </w:r>
      <w:r>
        <w:rPr>
          <w:spacing w:val="-29"/>
        </w:rPr>
        <w:t> </w:t>
      </w:r>
      <w:r>
        <w:rPr/>
        <w:t>of</w:t>
      </w:r>
      <w:r>
        <w:rPr>
          <w:spacing w:val="-29"/>
        </w:rPr>
        <w:t> </w:t>
      </w:r>
      <w:r>
        <w:rPr/>
        <w:t>the</w:t>
      </w:r>
      <w:r>
        <w:rPr>
          <w:spacing w:val="-29"/>
        </w:rPr>
        <w:t> </w:t>
      </w:r>
      <w:r>
        <w:rPr/>
        <w:t>agency</w:t>
      </w:r>
      <w:r>
        <w:rPr>
          <w:spacing w:val="-29"/>
        </w:rPr>
        <w:t> </w:t>
      </w:r>
      <w:r>
        <w:rPr/>
        <w:t>for</w:t>
      </w:r>
      <w:r>
        <w:rPr>
          <w:spacing w:val="-29"/>
        </w:rPr>
        <w:t> </w:t>
      </w:r>
      <w:r>
        <w:rPr/>
        <w:t>the</w:t>
      </w:r>
      <w:r>
        <w:rPr>
          <w:spacing w:val="-29"/>
        </w:rPr>
        <w:t> </w:t>
      </w:r>
      <w:r>
        <w:rPr>
          <w:spacing w:val="-3"/>
        </w:rPr>
        <w:t>reporting</w:t>
      </w:r>
      <w:r>
        <w:rPr>
          <w:spacing w:val="-29"/>
        </w:rPr>
        <w:t> </w:t>
      </w:r>
      <w:r>
        <w:rPr/>
        <w:t>period</w:t>
      </w:r>
      <w:r>
        <w:rPr>
          <w:spacing w:val="-29"/>
        </w:rPr>
        <w:t> </w:t>
      </w:r>
      <w:r>
        <w:rPr>
          <w:spacing w:val="-3"/>
        </w:rPr>
        <w:t>are</w:t>
      </w:r>
      <w:r>
        <w:rPr>
          <w:spacing w:val="-29"/>
        </w:rPr>
        <w:t> </w:t>
      </w:r>
      <w:r>
        <w:rPr>
          <w:spacing w:val="-3"/>
        </w:rPr>
        <w:t>presented</w:t>
      </w:r>
      <w:r>
        <w:rPr>
          <w:spacing w:val="-29"/>
        </w:rPr>
        <w:t> </w:t>
      </w:r>
      <w:r>
        <w:rPr/>
        <w:t>within</w:t>
      </w:r>
      <w:r>
        <w:rPr>
          <w:spacing w:val="-29"/>
        </w:rPr>
        <w:t> </w:t>
      </w:r>
      <w:r>
        <w:rPr>
          <w:spacing w:val="-2"/>
        </w:rPr>
        <w:t>the </w:t>
      </w:r>
      <w:r>
        <w:rPr/>
        <w:t>following</w:t>
      </w:r>
      <w:r>
        <w:rPr>
          <w:spacing w:val="-4"/>
        </w:rPr>
        <w:t> </w:t>
      </w:r>
      <w:r>
        <w:rPr>
          <w:spacing w:val="-2"/>
        </w:rPr>
        <w:t>bands:</w:t>
      </w:r>
    </w:p>
    <w:p>
      <w:pPr>
        <w:pStyle w:val="BodyText"/>
        <w:spacing w:before="5"/>
        <w:rPr>
          <w:sz w:val="23"/>
        </w:rPr>
      </w:pPr>
      <w:r>
        <w:rPr/>
        <w:pict>
          <v:shape style="position:absolute;margin-left:38.2677pt;margin-top:15.447453pt;width:371.45pt;height:179.4pt;mso-position-horizontal-relative:page;mso-position-vertical-relative:paragraph;z-index:-1024;mso-wrap-distance-left:0;mso-wrap-distance-right: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305" w:hRule="atLeast"/>
                    </w:trPr>
                    <w:tc>
                      <w:tcPr>
                        <w:tcW w:w="5131" w:type="dxa"/>
                        <w:tcBorders>
                          <w:left w:val="single" w:sz="8" w:space="0" w:color="FFFFFF"/>
                        </w:tcBorders>
                        <w:shd w:val="clear" w:color="auto" w:fill="783A79"/>
                      </w:tcPr>
                      <w:p>
                        <w:pPr>
                          <w:pStyle w:val="TableParagraph"/>
                          <w:spacing w:before="42"/>
                          <w:ind w:left="113"/>
                          <w:rPr>
                            <w:b/>
                            <w:sz w:val="19"/>
                          </w:rPr>
                        </w:pPr>
                        <w:r>
                          <w:rPr>
                            <w:b/>
                            <w:color w:val="FFFFFF"/>
                            <w:sz w:val="19"/>
                          </w:rPr>
                          <w:t>Compensation Band ($)</w:t>
                        </w:r>
                      </w:p>
                    </w:tc>
                    <w:tc>
                      <w:tcPr>
                        <w:tcW w:w="1134" w:type="dxa"/>
                        <w:shd w:val="clear" w:color="auto" w:fill="783A79"/>
                      </w:tcPr>
                      <w:p>
                        <w:pPr>
                          <w:pStyle w:val="TableParagraph"/>
                          <w:spacing w:before="42"/>
                          <w:ind w:right="101"/>
                          <w:jc w:val="right"/>
                          <w:rPr>
                            <w:b/>
                            <w:sz w:val="19"/>
                          </w:rPr>
                        </w:pPr>
                        <w:r>
                          <w:rPr>
                            <w:b/>
                            <w:color w:val="FFFFFF"/>
                            <w:w w:val="95"/>
                            <w:sz w:val="19"/>
                          </w:rPr>
                          <w:t>2018</w:t>
                        </w:r>
                      </w:p>
                    </w:tc>
                    <w:tc>
                      <w:tcPr>
                        <w:tcW w:w="1134" w:type="dxa"/>
                        <w:shd w:val="clear" w:color="auto" w:fill="783A79"/>
                      </w:tcPr>
                      <w:p>
                        <w:pPr>
                          <w:pStyle w:val="TableParagraph"/>
                          <w:spacing w:before="42"/>
                          <w:ind w:right="101"/>
                          <w:jc w:val="right"/>
                          <w:rPr>
                            <w:b/>
                            <w:sz w:val="19"/>
                          </w:rPr>
                        </w:pPr>
                        <w:r>
                          <w:rPr>
                            <w:b/>
                            <w:color w:val="FFFFFF"/>
                            <w:w w:val="95"/>
                            <w:sz w:val="19"/>
                          </w:rPr>
                          <w:t>2017</w:t>
                        </w:r>
                      </w:p>
                    </w:tc>
                  </w:tr>
                  <w:tr>
                    <w:trPr>
                      <w:trHeight w:val="317" w:hRule="atLeast"/>
                    </w:trPr>
                    <w:tc>
                      <w:tcPr>
                        <w:tcW w:w="5131"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120,001 - 130,000</w:t>
                        </w:r>
                      </w:p>
                    </w:tc>
                    <w:tc>
                      <w:tcPr>
                        <w:tcW w:w="1134" w:type="dxa"/>
                        <w:shd w:val="clear" w:color="auto" w:fill="E1E4BB"/>
                      </w:tcPr>
                      <w:p>
                        <w:pPr>
                          <w:pStyle w:val="TableParagraph"/>
                          <w:spacing w:before="42"/>
                          <w:ind w:right="101"/>
                          <w:jc w:val="right"/>
                          <w:rPr>
                            <w:sz w:val="19"/>
                          </w:rPr>
                        </w:pPr>
                        <w:r>
                          <w:rPr>
                            <w:w w:val="99"/>
                            <w:sz w:val="19"/>
                          </w:rPr>
                          <w:t>1</w:t>
                        </w:r>
                      </w:p>
                    </w:tc>
                    <w:tc>
                      <w:tcPr>
                        <w:tcW w:w="1134"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140,001 - 150,000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160,001 - 170,000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200,001 - 210,000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210,001 - 220,000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2</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240,001 - 250,000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290,001 - 300,000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2</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300,001 - 310,000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360,001 - 370,000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400,001 - 410,000</w:t>
                        </w:r>
                      </w:p>
                    </w:tc>
                    <w:tc>
                      <w:tcPr>
                        <w:tcW w:w="1134" w:type="dxa"/>
                        <w:shd w:val="clear" w:color="auto" w:fill="E1E4BB"/>
                      </w:tcPr>
                      <w:p>
                        <w:pPr>
                          <w:pStyle w:val="TableParagraph"/>
                          <w:ind w:right="101"/>
                          <w:jc w:val="right"/>
                          <w:rPr>
                            <w:sz w:val="19"/>
                          </w:rPr>
                        </w:pPr>
                        <w:r>
                          <w:rPr>
                            <w:w w:val="99"/>
                            <w:sz w:val="19"/>
                          </w:rPr>
                          <w:t>1</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3</w:t>
                        </w:r>
                      </w:p>
                    </w:tc>
                  </w:tr>
                </w:tbl>
                <w:p>
                  <w:pPr>
                    <w:pStyle w:val="BodyText"/>
                  </w:pPr>
                </w:p>
              </w:txbxContent>
            </v:textbox>
            <w10:wrap type="topAndBottom"/>
          </v:shape>
        </w:pict>
      </w:r>
      <w:r>
        <w:rPr/>
        <w:pict>
          <v:shape style="position:absolute;margin-left:431.575012pt;margin-top:15.447353pt;width:369.95pt;height:109.2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2018</w:t>
                          <w:tab/>
                        </w:r>
                        <w:r>
                          <w:rPr>
                            <w:b/>
                            <w:color w:val="FFFFFF"/>
                            <w:spacing w:val="-1"/>
                            <w:sz w:val="19"/>
                          </w:rPr>
                          <w:t>2017</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Short term employee benefits</w:t>
                        </w:r>
                      </w:p>
                    </w:tc>
                    <w:tc>
                      <w:tcPr>
                        <w:tcW w:w="1134" w:type="dxa"/>
                        <w:vMerge w:val="restart"/>
                        <w:tcBorders>
                          <w:bottom w:val="single" w:sz="4" w:space="0" w:color="000000"/>
                        </w:tcBorders>
                        <w:shd w:val="clear" w:color="auto" w:fill="DFE1B8"/>
                      </w:tcPr>
                      <w:p>
                        <w:pPr>
                          <w:pStyle w:val="TableParagraph"/>
                          <w:spacing w:before="37"/>
                          <w:ind w:right="111"/>
                          <w:jc w:val="right"/>
                          <w:rPr>
                            <w:sz w:val="19"/>
                          </w:rPr>
                        </w:pPr>
                        <w:r>
                          <w:rPr>
                            <w:w w:val="95"/>
                            <w:sz w:val="19"/>
                          </w:rPr>
                          <w:t>1,725</w:t>
                        </w:r>
                      </w:p>
                      <w:p>
                        <w:pPr>
                          <w:pStyle w:val="TableParagraph"/>
                          <w:spacing w:before="109"/>
                          <w:ind w:right="111"/>
                          <w:jc w:val="right"/>
                          <w:rPr>
                            <w:sz w:val="19"/>
                          </w:rPr>
                        </w:pPr>
                        <w:r>
                          <w:rPr>
                            <w:w w:val="95"/>
                            <w:sz w:val="19"/>
                          </w:rPr>
                          <w:t>239</w:t>
                        </w:r>
                      </w:p>
                      <w:p>
                        <w:pPr>
                          <w:pStyle w:val="TableParagraph"/>
                          <w:spacing w:before="109"/>
                          <w:ind w:right="111"/>
                          <w:jc w:val="right"/>
                          <w:rPr>
                            <w:sz w:val="19"/>
                          </w:rPr>
                        </w:pPr>
                        <w:r>
                          <w:rPr>
                            <w:w w:val="95"/>
                            <w:sz w:val="19"/>
                          </w:rPr>
                          <w:t>213</w:t>
                        </w:r>
                      </w:p>
                      <w:p>
                        <w:pPr>
                          <w:pStyle w:val="TableParagraph"/>
                          <w:spacing w:before="108"/>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1,775</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Post employment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228</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 long term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239</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Termination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294"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Total compensation of senior officers</w:t>
                        </w:r>
                      </w:p>
                    </w:tc>
                    <w:tc>
                      <w:tcPr>
                        <w:tcW w:w="1134" w:type="dxa"/>
                        <w:tcBorders>
                          <w:top w:val="single" w:sz="4" w:space="0" w:color="000000"/>
                          <w:bottom w:val="double" w:sz="2" w:space="0" w:color="000000"/>
                        </w:tcBorders>
                        <w:shd w:val="clear" w:color="auto" w:fill="DFE1B8"/>
                      </w:tcPr>
                      <w:p>
                        <w:pPr>
                          <w:pStyle w:val="TableParagraph"/>
                          <w:ind w:left="544"/>
                          <w:rPr>
                            <w:b/>
                            <w:sz w:val="19"/>
                          </w:rPr>
                        </w:pPr>
                        <w:r>
                          <w:rPr>
                            <w:b/>
                            <w:sz w:val="19"/>
                          </w:rPr>
                          <w:t>2,177</w:t>
                        </w:r>
                      </w:p>
                    </w:tc>
                    <w:tc>
                      <w:tcPr>
                        <w:tcW w:w="1134" w:type="dxa"/>
                        <w:tcBorders>
                          <w:top w:val="single" w:sz="4" w:space="0" w:color="000000"/>
                          <w:bottom w:val="double" w:sz="2" w:space="0" w:color="000000"/>
                        </w:tcBorders>
                        <w:shd w:val="clear" w:color="auto" w:fill="F4F4F4"/>
                      </w:tcPr>
                      <w:p>
                        <w:pPr>
                          <w:pStyle w:val="TableParagraph"/>
                          <w:ind w:right="111"/>
                          <w:jc w:val="right"/>
                          <w:rPr>
                            <w:b/>
                            <w:sz w:val="19"/>
                          </w:rPr>
                        </w:pPr>
                        <w:r>
                          <w:rPr>
                            <w:b/>
                            <w:w w:val="95"/>
                            <w:sz w:val="19"/>
                          </w:rPr>
                          <w:t>2,242</w:t>
                        </w:r>
                      </w:p>
                    </w:tc>
                  </w:tr>
                </w:tbl>
                <w:p>
                  <w:pPr>
                    <w:pStyle w:val="BodyText"/>
                  </w:pPr>
                </w:p>
              </w:txbxContent>
            </v:textbox>
            <w10:wrap type="topAndBottom"/>
          </v:shape>
        </w:pict>
      </w:r>
    </w:p>
    <w:p>
      <w:pPr>
        <w:spacing w:after="0"/>
        <w:rPr>
          <w:sz w:val="23"/>
        </w:rPr>
        <w:sectPr>
          <w:footerReference w:type="default" r:id="rId177"/>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ind w:left="785"/>
      </w:pPr>
      <w:r>
        <w:rPr/>
        <w:pict>
          <v:shape style="position:absolute;margin-left:601.348999pt;margin-top:-57.37421pt;width:120.3pt;height:42.55pt;mso-position-horizontal-relative:page;mso-position-vertical-relative:paragraph;z-index:20440"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20464"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20488"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BodyText"/>
        <w:spacing w:before="10"/>
        <w:rPr>
          <w:sz w:val="12"/>
        </w:rPr>
      </w:pPr>
    </w:p>
    <w:p>
      <w:pPr>
        <w:spacing w:after="0"/>
        <w:rPr>
          <w:sz w:val="12"/>
        </w:rPr>
        <w:sectPr>
          <w:footerReference w:type="default" r:id="rId178"/>
          <w:pgSz w:w="16840" w:h="11910" w:orient="landscape"/>
          <w:pgMar w:footer="774" w:header="0" w:top="0" w:bottom="960" w:left="0" w:right="0"/>
        </w:sectPr>
      </w:pPr>
    </w:p>
    <w:p>
      <w:pPr>
        <w:pStyle w:val="Heading5"/>
      </w:pPr>
      <w:r>
        <w:rPr>
          <w:color w:val="6F2770"/>
        </w:rPr>
        <w:t>Note 43. Related Party Transactions</w:t>
      </w:r>
    </w:p>
    <w:p>
      <w:pPr>
        <w:pStyle w:val="BodyText"/>
        <w:spacing w:line="249" w:lineRule="auto" w:before="254"/>
        <w:ind w:left="765" w:right="-4"/>
      </w:pPr>
      <w:r>
        <w:rPr/>
        <w:t>The</w:t>
      </w:r>
      <w:r>
        <w:rPr>
          <w:spacing w:val="-15"/>
        </w:rPr>
        <w:t> </w:t>
      </w:r>
      <w:r>
        <w:rPr/>
        <w:t>Department</w:t>
      </w:r>
      <w:r>
        <w:rPr>
          <w:spacing w:val="-15"/>
        </w:rPr>
        <w:t> </w:t>
      </w:r>
      <w:r>
        <w:rPr/>
        <w:t>is</w:t>
      </w:r>
      <w:r>
        <w:rPr>
          <w:spacing w:val="-15"/>
        </w:rPr>
        <w:t> </w:t>
      </w:r>
      <w:r>
        <w:rPr/>
        <w:t>a</w:t>
      </w:r>
      <w:r>
        <w:rPr>
          <w:spacing w:val="-15"/>
        </w:rPr>
        <w:t> </w:t>
      </w:r>
      <w:r>
        <w:rPr/>
        <w:t>wholly-owned</w:t>
      </w:r>
      <w:r>
        <w:rPr>
          <w:spacing w:val="-15"/>
        </w:rPr>
        <w:t> </w:t>
      </w:r>
      <w:r>
        <w:rPr/>
        <w:t>public</w:t>
      </w:r>
      <w:r>
        <w:rPr>
          <w:spacing w:val="-15"/>
        </w:rPr>
        <w:t> </w:t>
      </w:r>
      <w:r>
        <w:rPr/>
        <w:t>sector</w:t>
      </w:r>
      <w:r>
        <w:rPr>
          <w:spacing w:val="-15"/>
        </w:rPr>
        <w:t> </w:t>
      </w:r>
      <w:r>
        <w:rPr/>
        <w:t>entity</w:t>
      </w:r>
      <w:r>
        <w:rPr>
          <w:spacing w:val="-15"/>
        </w:rPr>
        <w:t> </w:t>
      </w:r>
      <w:r>
        <w:rPr/>
        <w:t>that</w:t>
      </w:r>
      <w:r>
        <w:rPr>
          <w:spacing w:val="-15"/>
        </w:rPr>
        <w:t> </w:t>
      </w:r>
      <w:r>
        <w:rPr/>
        <w:t>is</w:t>
      </w:r>
      <w:r>
        <w:rPr>
          <w:spacing w:val="-15"/>
        </w:rPr>
        <w:t> </w:t>
      </w:r>
      <w:r>
        <w:rPr/>
        <w:t>controlled</w:t>
      </w:r>
      <w:r>
        <w:rPr>
          <w:spacing w:val="-15"/>
        </w:rPr>
        <w:t> </w:t>
      </w:r>
      <w:r>
        <w:rPr/>
        <w:t>by</w:t>
      </w:r>
      <w:r>
        <w:rPr>
          <w:spacing w:val="-15"/>
        </w:rPr>
        <w:t> </w:t>
      </w:r>
      <w:r>
        <w:rPr>
          <w:spacing w:val="-7"/>
        </w:rPr>
        <w:t>the </w:t>
      </w:r>
      <w:r>
        <w:rPr/>
        <w:t>State of Western</w:t>
      </w:r>
      <w:r>
        <w:rPr>
          <w:spacing w:val="-4"/>
        </w:rPr>
        <w:t> </w:t>
      </w:r>
      <w:r>
        <w:rPr/>
        <w:t>Australia.</w:t>
      </w:r>
    </w:p>
    <w:p>
      <w:pPr>
        <w:pStyle w:val="BodyText"/>
        <w:spacing w:before="1"/>
        <w:rPr>
          <w:sz w:val="23"/>
        </w:rPr>
      </w:pPr>
    </w:p>
    <w:p>
      <w:pPr>
        <w:pStyle w:val="BodyText"/>
        <w:ind w:left="765"/>
      </w:pPr>
      <w:r>
        <w:rPr/>
        <w:t>Related parties of the Department include:</w:t>
      </w:r>
    </w:p>
    <w:p>
      <w:pPr>
        <w:pStyle w:val="BodyText"/>
        <w:spacing w:line="249" w:lineRule="auto" w:before="11"/>
        <w:ind w:left="1071" w:right="207" w:hanging="306"/>
      </w:pPr>
      <w:r>
        <w:rPr>
          <w:position w:val="-1"/>
        </w:rPr>
        <w:drawing>
          <wp:inline distT="0" distB="0" distL="0" distR="0">
            <wp:extent cx="125999" cy="125999"/>
            <wp:effectExtent l="0" t="0" r="0" b="0"/>
            <wp:docPr id="67" name="image90.png" descr=""/>
            <wp:cNvGraphicFramePr>
              <a:graphicFrameLocks noChangeAspect="1"/>
            </wp:cNvGraphicFramePr>
            <a:graphic>
              <a:graphicData uri="http://schemas.openxmlformats.org/drawingml/2006/picture">
                <pic:pic>
                  <pic:nvPicPr>
                    <pic:cNvPr id="68" name="image90.png"/>
                    <pic:cNvPicPr/>
                  </pic:nvPicPr>
                  <pic:blipFill>
                    <a:blip r:embed="rId14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all</w:t>
      </w:r>
      <w:r>
        <w:rPr>
          <w:spacing w:val="-23"/>
        </w:rPr>
        <w:t> </w:t>
      </w:r>
      <w:r>
        <w:rPr/>
        <w:t>Ministers</w:t>
      </w:r>
      <w:r>
        <w:rPr>
          <w:spacing w:val="-22"/>
        </w:rPr>
        <w:t> </w:t>
      </w:r>
      <w:r>
        <w:rPr/>
        <w:t>and</w:t>
      </w:r>
      <w:r>
        <w:rPr>
          <w:spacing w:val="-22"/>
        </w:rPr>
        <w:t> </w:t>
      </w:r>
      <w:r>
        <w:rPr/>
        <w:t>their</w:t>
      </w:r>
      <w:r>
        <w:rPr>
          <w:spacing w:val="-22"/>
        </w:rPr>
        <w:t> </w:t>
      </w:r>
      <w:r>
        <w:rPr/>
        <w:t>close</w:t>
      </w:r>
      <w:r>
        <w:rPr>
          <w:spacing w:val="-22"/>
        </w:rPr>
        <w:t> </w:t>
      </w:r>
      <w:r>
        <w:rPr/>
        <w:t>family</w:t>
      </w:r>
      <w:r>
        <w:rPr>
          <w:spacing w:val="-22"/>
        </w:rPr>
        <w:t> </w:t>
      </w:r>
      <w:r>
        <w:rPr/>
        <w:t>members,</w:t>
      </w:r>
      <w:r>
        <w:rPr>
          <w:spacing w:val="-22"/>
        </w:rPr>
        <w:t> </w:t>
      </w:r>
      <w:r>
        <w:rPr/>
        <w:t>and</w:t>
      </w:r>
      <w:r>
        <w:rPr>
          <w:spacing w:val="-22"/>
        </w:rPr>
        <w:t> </w:t>
      </w:r>
      <w:r>
        <w:rPr/>
        <w:t>their</w:t>
      </w:r>
      <w:r>
        <w:rPr>
          <w:spacing w:val="-22"/>
        </w:rPr>
        <w:t> </w:t>
      </w:r>
      <w:r>
        <w:rPr/>
        <w:t>controlled</w:t>
      </w:r>
      <w:r>
        <w:rPr>
          <w:spacing w:val="-23"/>
        </w:rPr>
        <w:t> </w:t>
      </w:r>
      <w:r>
        <w:rPr/>
        <w:t>or</w:t>
      </w:r>
      <w:r>
        <w:rPr>
          <w:spacing w:val="-22"/>
        </w:rPr>
        <w:t> </w:t>
      </w:r>
      <w:r>
        <w:rPr>
          <w:spacing w:val="-3"/>
        </w:rPr>
        <w:t>jointly </w:t>
      </w:r>
      <w:r>
        <w:rPr/>
        <w:t>controlled</w:t>
      </w:r>
      <w:r>
        <w:rPr>
          <w:spacing w:val="-1"/>
        </w:rPr>
        <w:t> </w:t>
      </w:r>
      <w:r>
        <w:rPr/>
        <w:t>entities;</w:t>
      </w:r>
    </w:p>
    <w:p>
      <w:pPr>
        <w:pStyle w:val="BodyText"/>
        <w:spacing w:line="249" w:lineRule="auto" w:before="2"/>
        <w:ind w:left="1071" w:right="333" w:hanging="306"/>
      </w:pPr>
      <w:r>
        <w:rPr>
          <w:position w:val="-1"/>
        </w:rPr>
        <w:drawing>
          <wp:inline distT="0" distB="0" distL="0" distR="0">
            <wp:extent cx="125999" cy="125997"/>
            <wp:effectExtent l="0" t="0" r="0" b="0"/>
            <wp:docPr id="69" name="image90.png" descr=""/>
            <wp:cNvGraphicFramePr>
              <a:graphicFrameLocks noChangeAspect="1"/>
            </wp:cNvGraphicFramePr>
            <a:graphic>
              <a:graphicData uri="http://schemas.openxmlformats.org/drawingml/2006/picture">
                <pic:pic>
                  <pic:nvPicPr>
                    <pic:cNvPr id="70" name="image90.png"/>
                    <pic:cNvPicPr/>
                  </pic:nvPicPr>
                  <pic:blipFill>
                    <a:blip r:embed="rId143"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all</w:t>
      </w:r>
      <w:r>
        <w:rPr>
          <w:spacing w:val="-22"/>
        </w:rPr>
        <w:t> </w:t>
      </w:r>
      <w:r>
        <w:rPr/>
        <w:t>senior</w:t>
      </w:r>
      <w:r>
        <w:rPr>
          <w:spacing w:val="-22"/>
        </w:rPr>
        <w:t> </w:t>
      </w:r>
      <w:r>
        <w:rPr/>
        <w:t>officers</w:t>
      </w:r>
      <w:r>
        <w:rPr>
          <w:spacing w:val="-21"/>
        </w:rPr>
        <w:t> </w:t>
      </w:r>
      <w:r>
        <w:rPr/>
        <w:t>and</w:t>
      </w:r>
      <w:r>
        <w:rPr>
          <w:spacing w:val="-22"/>
        </w:rPr>
        <w:t> </w:t>
      </w:r>
      <w:r>
        <w:rPr/>
        <w:t>their</w:t>
      </w:r>
      <w:r>
        <w:rPr>
          <w:spacing w:val="-21"/>
        </w:rPr>
        <w:t> </w:t>
      </w:r>
      <w:r>
        <w:rPr/>
        <w:t>close</w:t>
      </w:r>
      <w:r>
        <w:rPr>
          <w:spacing w:val="-22"/>
        </w:rPr>
        <w:t> </w:t>
      </w:r>
      <w:r>
        <w:rPr/>
        <w:t>family</w:t>
      </w:r>
      <w:r>
        <w:rPr>
          <w:spacing w:val="-21"/>
        </w:rPr>
        <w:t> </w:t>
      </w:r>
      <w:r>
        <w:rPr/>
        <w:t>members,</w:t>
      </w:r>
      <w:r>
        <w:rPr>
          <w:spacing w:val="-22"/>
        </w:rPr>
        <w:t> </w:t>
      </w:r>
      <w:r>
        <w:rPr/>
        <w:t>and</w:t>
      </w:r>
      <w:r>
        <w:rPr>
          <w:spacing w:val="-22"/>
        </w:rPr>
        <w:t> </w:t>
      </w:r>
      <w:r>
        <w:rPr/>
        <w:t>their</w:t>
      </w:r>
      <w:r>
        <w:rPr>
          <w:spacing w:val="-21"/>
        </w:rPr>
        <w:t> </w:t>
      </w:r>
      <w:r>
        <w:rPr/>
        <w:t>controlled</w:t>
      </w:r>
      <w:r>
        <w:rPr>
          <w:spacing w:val="-22"/>
        </w:rPr>
        <w:t> </w:t>
      </w:r>
      <w:r>
        <w:rPr>
          <w:spacing w:val="-9"/>
        </w:rPr>
        <w:t>or </w:t>
      </w:r>
      <w:r>
        <w:rPr/>
        <w:t>jointly controlled</w:t>
      </w:r>
      <w:r>
        <w:rPr>
          <w:spacing w:val="-3"/>
        </w:rPr>
        <w:t> </w:t>
      </w:r>
      <w:r>
        <w:rPr/>
        <w:t>entities;</w:t>
      </w:r>
    </w:p>
    <w:p>
      <w:pPr>
        <w:pStyle w:val="BodyText"/>
        <w:spacing w:before="2"/>
        <w:ind w:left="765"/>
      </w:pPr>
      <w:r>
        <w:rPr>
          <w:position w:val="-1"/>
        </w:rPr>
        <w:drawing>
          <wp:inline distT="0" distB="0" distL="0" distR="0">
            <wp:extent cx="125999" cy="125997"/>
            <wp:effectExtent l="0" t="0" r="0" b="0"/>
            <wp:docPr id="71" name="image92.png" descr=""/>
            <wp:cNvGraphicFramePr>
              <a:graphicFrameLocks noChangeAspect="1"/>
            </wp:cNvGraphicFramePr>
            <a:graphic>
              <a:graphicData uri="http://schemas.openxmlformats.org/drawingml/2006/picture">
                <pic:pic>
                  <pic:nvPicPr>
                    <pic:cNvPr id="72" name="image92.png"/>
                    <pic:cNvPicPr/>
                  </pic:nvPicPr>
                  <pic:blipFill>
                    <a:blip r:embed="rId179"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other</w:t>
      </w:r>
      <w:r>
        <w:rPr>
          <w:spacing w:val="-9"/>
        </w:rPr>
        <w:t> </w:t>
      </w:r>
      <w:r>
        <w:rPr/>
        <w:t>departments</w:t>
      </w:r>
      <w:r>
        <w:rPr>
          <w:spacing w:val="-9"/>
        </w:rPr>
        <w:t> </w:t>
      </w:r>
      <w:r>
        <w:rPr/>
        <w:t>and</w:t>
      </w:r>
      <w:r>
        <w:rPr>
          <w:spacing w:val="-8"/>
        </w:rPr>
        <w:t> </w:t>
      </w:r>
      <w:r>
        <w:rPr/>
        <w:t>statutory</w:t>
      </w:r>
      <w:r>
        <w:rPr>
          <w:spacing w:val="-9"/>
        </w:rPr>
        <w:t> </w:t>
      </w:r>
      <w:r>
        <w:rPr/>
        <w:t>authorities,</w:t>
      </w:r>
      <w:r>
        <w:rPr>
          <w:spacing w:val="-8"/>
        </w:rPr>
        <w:t> </w:t>
      </w:r>
      <w:r>
        <w:rPr/>
        <w:t>including</w:t>
      </w:r>
      <w:r>
        <w:rPr>
          <w:spacing w:val="-9"/>
        </w:rPr>
        <w:t> </w:t>
      </w:r>
      <w:r>
        <w:rPr/>
        <w:t>their</w:t>
      </w:r>
      <w:r>
        <w:rPr>
          <w:spacing w:val="-8"/>
        </w:rPr>
        <w:t> </w:t>
      </w:r>
      <w:r>
        <w:rPr/>
        <w:t>related</w:t>
      </w:r>
    </w:p>
    <w:p>
      <w:pPr>
        <w:pStyle w:val="BodyText"/>
        <w:spacing w:line="249" w:lineRule="auto" w:before="11"/>
        <w:ind w:left="1071" w:right="35"/>
      </w:pPr>
      <w:r>
        <w:rPr/>
        <w:t>bodies,</w:t>
      </w:r>
      <w:r>
        <w:rPr>
          <w:spacing w:val="-22"/>
        </w:rPr>
        <w:t> </w:t>
      </w:r>
      <w:r>
        <w:rPr/>
        <w:t>that</w:t>
      </w:r>
      <w:r>
        <w:rPr>
          <w:spacing w:val="-22"/>
        </w:rPr>
        <w:t> </w:t>
      </w:r>
      <w:r>
        <w:rPr/>
        <w:t>are</w:t>
      </w:r>
      <w:r>
        <w:rPr>
          <w:spacing w:val="-22"/>
        </w:rPr>
        <w:t> </w:t>
      </w:r>
      <w:r>
        <w:rPr/>
        <w:t>included</w:t>
      </w:r>
      <w:r>
        <w:rPr>
          <w:spacing w:val="-21"/>
        </w:rPr>
        <w:t> </w:t>
      </w:r>
      <w:r>
        <w:rPr/>
        <w:t>in</w:t>
      </w:r>
      <w:r>
        <w:rPr>
          <w:spacing w:val="-22"/>
        </w:rPr>
        <w:t> </w:t>
      </w:r>
      <w:r>
        <w:rPr/>
        <w:t>the</w:t>
      </w:r>
      <w:r>
        <w:rPr>
          <w:spacing w:val="-22"/>
        </w:rPr>
        <w:t> </w:t>
      </w:r>
      <w:r>
        <w:rPr/>
        <w:t>whole</w:t>
      </w:r>
      <w:r>
        <w:rPr>
          <w:spacing w:val="-21"/>
        </w:rPr>
        <w:t> </w:t>
      </w:r>
      <w:r>
        <w:rPr/>
        <w:t>of</w:t>
      </w:r>
      <w:r>
        <w:rPr>
          <w:spacing w:val="-22"/>
        </w:rPr>
        <w:t> </w:t>
      </w:r>
      <w:r>
        <w:rPr/>
        <w:t>government</w:t>
      </w:r>
      <w:r>
        <w:rPr>
          <w:spacing w:val="-22"/>
        </w:rPr>
        <w:t> </w:t>
      </w:r>
      <w:r>
        <w:rPr/>
        <w:t>consolidated</w:t>
      </w:r>
      <w:r>
        <w:rPr>
          <w:spacing w:val="-21"/>
        </w:rPr>
        <w:t> </w:t>
      </w:r>
      <w:r>
        <w:rPr/>
        <w:t>financial statements;</w:t>
      </w:r>
    </w:p>
    <w:p>
      <w:pPr>
        <w:pStyle w:val="BodyText"/>
        <w:spacing w:line="249" w:lineRule="auto" w:before="2"/>
        <w:ind w:left="1071" w:right="81" w:hanging="306"/>
      </w:pPr>
      <w:r>
        <w:rPr>
          <w:position w:val="-2"/>
        </w:rPr>
        <w:drawing>
          <wp:inline distT="0" distB="0" distL="0" distR="0">
            <wp:extent cx="125999" cy="125999"/>
            <wp:effectExtent l="0" t="0" r="0" b="0"/>
            <wp:docPr id="73" name="image93.png" descr=""/>
            <wp:cNvGraphicFramePr>
              <a:graphicFrameLocks noChangeAspect="1"/>
            </wp:cNvGraphicFramePr>
            <a:graphic>
              <a:graphicData uri="http://schemas.openxmlformats.org/drawingml/2006/picture">
                <pic:pic>
                  <pic:nvPicPr>
                    <pic:cNvPr id="74" name="image93.png"/>
                    <pic:cNvPicPr/>
                  </pic:nvPicPr>
                  <pic:blipFill>
                    <a:blip r:embed="rId180"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associates</w:t>
      </w:r>
      <w:r>
        <w:rPr>
          <w:spacing w:val="-19"/>
        </w:rPr>
        <w:t> </w:t>
      </w:r>
      <w:r>
        <w:rPr/>
        <w:t>and</w:t>
      </w:r>
      <w:r>
        <w:rPr>
          <w:spacing w:val="-19"/>
        </w:rPr>
        <w:t> </w:t>
      </w:r>
      <w:r>
        <w:rPr/>
        <w:t>joint</w:t>
      </w:r>
      <w:r>
        <w:rPr>
          <w:spacing w:val="-19"/>
        </w:rPr>
        <w:t> </w:t>
      </w:r>
      <w:r>
        <w:rPr/>
        <w:t>ventures</w:t>
      </w:r>
      <w:r>
        <w:rPr>
          <w:spacing w:val="-19"/>
        </w:rPr>
        <w:t> </w:t>
      </w:r>
      <w:r>
        <w:rPr/>
        <w:t>of</w:t>
      </w:r>
      <w:r>
        <w:rPr>
          <w:spacing w:val="-18"/>
        </w:rPr>
        <w:t> </w:t>
      </w:r>
      <w:r>
        <w:rPr/>
        <w:t>an</w:t>
      </w:r>
      <w:r>
        <w:rPr>
          <w:spacing w:val="-19"/>
        </w:rPr>
        <w:t> </w:t>
      </w:r>
      <w:r>
        <w:rPr/>
        <w:t>entity</w:t>
      </w:r>
      <w:r>
        <w:rPr>
          <w:spacing w:val="-19"/>
        </w:rPr>
        <w:t> </w:t>
      </w:r>
      <w:r>
        <w:rPr/>
        <w:t>that</w:t>
      </w:r>
      <w:r>
        <w:rPr>
          <w:spacing w:val="-19"/>
        </w:rPr>
        <w:t> </w:t>
      </w:r>
      <w:r>
        <w:rPr/>
        <w:t>are</w:t>
      </w:r>
      <w:r>
        <w:rPr>
          <w:spacing w:val="-18"/>
        </w:rPr>
        <w:t> </w:t>
      </w:r>
      <w:r>
        <w:rPr/>
        <w:t>included</w:t>
      </w:r>
      <w:r>
        <w:rPr>
          <w:spacing w:val="-19"/>
        </w:rPr>
        <w:t> </w:t>
      </w:r>
      <w:r>
        <w:rPr/>
        <w:t>in</w:t>
      </w:r>
      <w:r>
        <w:rPr>
          <w:spacing w:val="-19"/>
        </w:rPr>
        <w:t> </w:t>
      </w:r>
      <w:r>
        <w:rPr/>
        <w:t>the</w:t>
      </w:r>
      <w:r>
        <w:rPr>
          <w:spacing w:val="-19"/>
        </w:rPr>
        <w:t> </w:t>
      </w:r>
      <w:r>
        <w:rPr/>
        <w:t>whole-of- government consolidated financial statements;</w:t>
      </w:r>
      <w:r>
        <w:rPr>
          <w:spacing w:val="-14"/>
        </w:rPr>
        <w:t> </w:t>
      </w:r>
      <w:r>
        <w:rPr/>
        <w:t>and</w:t>
      </w:r>
    </w:p>
    <w:p>
      <w:pPr>
        <w:pStyle w:val="BodyText"/>
        <w:spacing w:before="1"/>
        <w:ind w:left="765"/>
      </w:pPr>
      <w:r>
        <w:rPr>
          <w:position w:val="-1"/>
        </w:rPr>
        <w:drawing>
          <wp:inline distT="0" distB="0" distL="0" distR="0">
            <wp:extent cx="125999" cy="125999"/>
            <wp:effectExtent l="0" t="0" r="0" b="0"/>
            <wp:docPr id="75" name="image94.png" descr=""/>
            <wp:cNvGraphicFramePr>
              <a:graphicFrameLocks noChangeAspect="1"/>
            </wp:cNvGraphicFramePr>
            <a:graphic>
              <a:graphicData uri="http://schemas.openxmlformats.org/drawingml/2006/picture">
                <pic:pic>
                  <pic:nvPicPr>
                    <pic:cNvPr id="76" name="image94.png"/>
                    <pic:cNvPicPr/>
                  </pic:nvPicPr>
                  <pic:blipFill>
                    <a:blip r:embed="rId181"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w w:val="95"/>
        </w:rPr>
        <w:t>the Government Employees Superannuation Board</w:t>
      </w:r>
      <w:r>
        <w:rPr>
          <w:spacing w:val="54"/>
          <w:w w:val="95"/>
        </w:rPr>
        <w:t> </w:t>
      </w:r>
      <w:r>
        <w:rPr>
          <w:w w:val="95"/>
        </w:rPr>
        <w:t>(GESB).</w:t>
      </w:r>
    </w:p>
    <w:p>
      <w:pPr>
        <w:pStyle w:val="BodyText"/>
        <w:spacing w:before="11"/>
        <w:rPr>
          <w:sz w:val="23"/>
        </w:rPr>
      </w:pPr>
    </w:p>
    <w:p>
      <w:pPr>
        <w:pStyle w:val="Heading6"/>
      </w:pPr>
      <w:r>
        <w:rPr/>
        <w:t>Significant transactions with Government related entities</w:t>
      </w:r>
    </w:p>
    <w:p>
      <w:pPr>
        <w:pStyle w:val="BodyText"/>
        <w:spacing w:before="11"/>
        <w:ind w:left="765"/>
      </w:pPr>
      <w:r>
        <w:rPr/>
        <w:t>Significant transactions include:</w:t>
      </w:r>
    </w:p>
    <w:p>
      <w:pPr>
        <w:pStyle w:val="BodyText"/>
        <w:spacing w:line="249" w:lineRule="auto" w:before="11"/>
        <w:ind w:left="1071" w:right="256" w:hanging="306"/>
      </w:pPr>
      <w:r>
        <w:rPr>
          <w:position w:val="-1"/>
        </w:rPr>
        <w:drawing>
          <wp:inline distT="0" distB="0" distL="0" distR="0">
            <wp:extent cx="125999" cy="125999"/>
            <wp:effectExtent l="0" t="0" r="0" b="0"/>
            <wp:docPr id="77" name="image94.png" descr=""/>
            <wp:cNvGraphicFramePr>
              <a:graphicFrameLocks noChangeAspect="1"/>
            </wp:cNvGraphicFramePr>
            <a:graphic>
              <a:graphicData uri="http://schemas.openxmlformats.org/drawingml/2006/picture">
                <pic:pic>
                  <pic:nvPicPr>
                    <pic:cNvPr id="78" name="image94.png"/>
                    <pic:cNvPicPr/>
                  </pic:nvPicPr>
                  <pic:blipFill>
                    <a:blip r:embed="rId181"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Managed</w:t>
      </w:r>
      <w:r>
        <w:rPr>
          <w:spacing w:val="-30"/>
        </w:rPr>
        <w:t> </w:t>
      </w:r>
      <w:r>
        <w:rPr/>
        <w:t>building</w:t>
      </w:r>
      <w:r>
        <w:rPr>
          <w:spacing w:val="-30"/>
        </w:rPr>
        <w:t> </w:t>
      </w:r>
      <w:r>
        <w:rPr/>
        <w:t>works</w:t>
      </w:r>
      <w:r>
        <w:rPr>
          <w:spacing w:val="-30"/>
        </w:rPr>
        <w:t> </w:t>
      </w:r>
      <w:r>
        <w:rPr/>
        <w:t>revenue</w:t>
      </w:r>
      <w:r>
        <w:rPr>
          <w:spacing w:val="-30"/>
        </w:rPr>
        <w:t> </w:t>
      </w:r>
      <w:r>
        <w:rPr/>
        <w:t>for</w:t>
      </w:r>
      <w:r>
        <w:rPr>
          <w:spacing w:val="-29"/>
        </w:rPr>
        <w:t> </w:t>
      </w:r>
      <w:r>
        <w:rPr/>
        <w:t>the</w:t>
      </w:r>
      <w:r>
        <w:rPr>
          <w:spacing w:val="-30"/>
        </w:rPr>
        <w:t> </w:t>
      </w:r>
      <w:r>
        <w:rPr/>
        <w:t>planning,</w:t>
      </w:r>
      <w:r>
        <w:rPr>
          <w:spacing w:val="-30"/>
        </w:rPr>
        <w:t> </w:t>
      </w:r>
      <w:r>
        <w:rPr>
          <w:spacing w:val="-3"/>
        </w:rPr>
        <w:t>delivery,</w:t>
      </w:r>
      <w:r>
        <w:rPr>
          <w:spacing w:val="-30"/>
        </w:rPr>
        <w:t> </w:t>
      </w:r>
      <w:r>
        <w:rPr/>
        <w:t>management and maintenance of government buildings </w:t>
      </w:r>
      <w:r>
        <w:rPr>
          <w:i/>
        </w:rPr>
        <w:t>(Note</w:t>
      </w:r>
      <w:r>
        <w:rPr>
          <w:i/>
          <w:spacing w:val="-26"/>
        </w:rPr>
        <w:t> </w:t>
      </w:r>
      <w:r>
        <w:rPr>
          <w:i/>
        </w:rPr>
        <w:t>14)</w:t>
      </w:r>
      <w:r>
        <w:rPr/>
        <w:t>;</w:t>
      </w:r>
    </w:p>
    <w:p>
      <w:pPr>
        <w:pStyle w:val="BodyText"/>
        <w:spacing w:before="2"/>
        <w:ind w:left="765"/>
      </w:pPr>
      <w:r>
        <w:rPr>
          <w:position w:val="-1"/>
        </w:rPr>
        <w:drawing>
          <wp:inline distT="0" distB="0" distL="0" distR="0">
            <wp:extent cx="125999" cy="125997"/>
            <wp:effectExtent l="0" t="0" r="0" b="0"/>
            <wp:docPr id="79" name="image95.png" descr=""/>
            <wp:cNvGraphicFramePr>
              <a:graphicFrameLocks noChangeAspect="1"/>
            </wp:cNvGraphicFramePr>
            <a:graphic>
              <a:graphicData uri="http://schemas.openxmlformats.org/drawingml/2006/picture">
                <pic:pic>
                  <pic:nvPicPr>
                    <pic:cNvPr id="80" name="image95.png"/>
                    <pic:cNvPicPr/>
                  </pic:nvPicPr>
                  <pic:blipFill>
                    <a:blip r:embed="rId182"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Vehicle</w:t>
      </w:r>
      <w:r>
        <w:rPr>
          <w:spacing w:val="-17"/>
        </w:rPr>
        <w:t> </w:t>
      </w:r>
      <w:r>
        <w:rPr/>
        <w:t>fleet</w:t>
      </w:r>
      <w:r>
        <w:rPr>
          <w:spacing w:val="-17"/>
        </w:rPr>
        <w:t> </w:t>
      </w:r>
      <w:r>
        <w:rPr/>
        <w:t>lease</w:t>
      </w:r>
      <w:r>
        <w:rPr>
          <w:spacing w:val="-17"/>
        </w:rPr>
        <w:t> </w:t>
      </w:r>
      <w:r>
        <w:rPr/>
        <w:t>rental</w:t>
      </w:r>
      <w:r>
        <w:rPr>
          <w:spacing w:val="-17"/>
        </w:rPr>
        <w:t> </w:t>
      </w:r>
      <w:r>
        <w:rPr/>
        <w:t>revenue</w:t>
      </w:r>
      <w:r>
        <w:rPr>
          <w:spacing w:val="-17"/>
        </w:rPr>
        <w:t> </w:t>
      </w:r>
      <w:r>
        <w:rPr/>
        <w:t>from</w:t>
      </w:r>
      <w:r>
        <w:rPr>
          <w:spacing w:val="-17"/>
        </w:rPr>
        <w:t> </w:t>
      </w:r>
      <w:r>
        <w:rPr/>
        <w:t>vehicle</w:t>
      </w:r>
      <w:r>
        <w:rPr>
          <w:spacing w:val="-17"/>
        </w:rPr>
        <w:t> </w:t>
      </w:r>
      <w:r>
        <w:rPr/>
        <w:t>leasing</w:t>
      </w:r>
      <w:r>
        <w:rPr>
          <w:spacing w:val="-16"/>
        </w:rPr>
        <w:t> </w:t>
      </w:r>
      <w:r>
        <w:rPr/>
        <w:t>arrangements</w:t>
      </w:r>
    </w:p>
    <w:p>
      <w:pPr>
        <w:spacing w:before="11"/>
        <w:ind w:left="1071" w:right="0" w:firstLine="0"/>
        <w:jc w:val="left"/>
        <w:rPr>
          <w:sz w:val="22"/>
        </w:rPr>
      </w:pPr>
      <w:r>
        <w:rPr>
          <w:i/>
          <w:sz w:val="22"/>
        </w:rPr>
        <w:t>(Note 14)</w:t>
      </w:r>
      <w:r>
        <w:rPr>
          <w:sz w:val="22"/>
        </w:rPr>
        <w:t>;</w:t>
      </w:r>
    </w:p>
    <w:p>
      <w:pPr>
        <w:pStyle w:val="BodyText"/>
        <w:spacing w:line="254" w:lineRule="auto" w:before="6"/>
        <w:ind w:left="1071" w:right="1076" w:hanging="306"/>
      </w:pPr>
      <w:r>
        <w:rPr/>
        <w:pict>
          <v:group style="position:absolute;margin-left:38.267799pt;margin-top:15.302871pt;width:9.950pt;height:23pt;mso-position-horizontal-relative:page;mso-position-vertical-relative:paragraph;z-index:-692080" coordorigin="765,306" coordsize="199,460">
            <v:shape style="position:absolute;left:765;top:306;width:199;height:199" type="#_x0000_t75" stroked="false">
              <v:imagedata r:id="rId90" o:title=""/>
            </v:shape>
            <v:shape style="position:absolute;left:765;top:566;width:199;height:199" type="#_x0000_t75" stroked="false">
              <v:imagedata r:id="rId180" o:title=""/>
            </v:shape>
            <w10:wrap type="none"/>
          </v:group>
        </w:pict>
      </w:r>
      <w:r>
        <w:rPr/>
        <w:drawing>
          <wp:inline distT="0" distB="0" distL="0" distR="0">
            <wp:extent cx="125999" cy="125999"/>
            <wp:effectExtent l="0" t="0" r="0" b="0"/>
            <wp:docPr id="81" name="image93.png" descr=""/>
            <wp:cNvGraphicFramePr>
              <a:graphicFrameLocks noChangeAspect="1"/>
            </wp:cNvGraphicFramePr>
            <a:graphic>
              <a:graphicData uri="http://schemas.openxmlformats.org/drawingml/2006/picture">
                <pic:pic>
                  <pic:nvPicPr>
                    <pic:cNvPr id="82" name="image93.png"/>
                    <pic:cNvPicPr/>
                  </pic:nvPicPr>
                  <pic:blipFill>
                    <a:blip r:embed="rId180" cstate="print"/>
                    <a:stretch>
                      <a:fillRect/>
                    </a:stretch>
                  </pic:blipFill>
                  <pic:spPr>
                    <a:xfrm>
                      <a:off x="0" y="0"/>
                      <a:ext cx="125999"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Rental</w:t>
      </w:r>
      <w:r>
        <w:rPr>
          <w:spacing w:val="-23"/>
          <w:position w:val="2"/>
        </w:rPr>
        <w:t> </w:t>
      </w:r>
      <w:r>
        <w:rPr>
          <w:position w:val="2"/>
        </w:rPr>
        <w:t>income</w:t>
      </w:r>
      <w:r>
        <w:rPr>
          <w:spacing w:val="-23"/>
          <w:position w:val="2"/>
        </w:rPr>
        <w:t> </w:t>
      </w:r>
      <w:r>
        <w:rPr>
          <w:position w:val="2"/>
        </w:rPr>
        <w:t>for</w:t>
      </w:r>
      <w:r>
        <w:rPr>
          <w:spacing w:val="-23"/>
          <w:position w:val="2"/>
        </w:rPr>
        <w:t> </w:t>
      </w:r>
      <w:r>
        <w:rPr>
          <w:position w:val="2"/>
        </w:rPr>
        <w:t>government</w:t>
      </w:r>
      <w:r>
        <w:rPr>
          <w:spacing w:val="-22"/>
          <w:position w:val="2"/>
        </w:rPr>
        <w:t> </w:t>
      </w:r>
      <w:r>
        <w:rPr>
          <w:position w:val="2"/>
        </w:rPr>
        <w:t>office</w:t>
      </w:r>
      <w:r>
        <w:rPr>
          <w:spacing w:val="-23"/>
          <w:position w:val="2"/>
        </w:rPr>
        <w:t> </w:t>
      </w:r>
      <w:r>
        <w:rPr>
          <w:position w:val="2"/>
        </w:rPr>
        <w:t>accommodation</w:t>
      </w:r>
      <w:r>
        <w:rPr>
          <w:spacing w:val="-23"/>
          <w:position w:val="2"/>
        </w:rPr>
        <w:t> </w:t>
      </w:r>
      <w:r>
        <w:rPr>
          <w:i/>
          <w:position w:val="2"/>
        </w:rPr>
        <w:t>(Note</w:t>
      </w:r>
      <w:r>
        <w:rPr>
          <w:i/>
          <w:spacing w:val="-23"/>
          <w:position w:val="2"/>
        </w:rPr>
        <w:t> </w:t>
      </w:r>
      <w:r>
        <w:rPr>
          <w:i/>
          <w:spacing w:val="-5"/>
          <w:position w:val="2"/>
        </w:rPr>
        <w:t>14)</w:t>
      </w:r>
      <w:r>
        <w:rPr>
          <w:spacing w:val="-5"/>
          <w:position w:val="2"/>
        </w:rPr>
        <w:t>; </w:t>
      </w:r>
      <w:r>
        <w:rPr/>
        <w:t>Provide vehicle finance leases </w:t>
      </w:r>
      <w:r>
        <w:rPr>
          <w:i/>
        </w:rPr>
        <w:t>(Note</w:t>
      </w:r>
      <w:r>
        <w:rPr>
          <w:i/>
          <w:spacing w:val="-24"/>
        </w:rPr>
        <w:t> </w:t>
      </w:r>
      <w:r>
        <w:rPr>
          <w:i/>
        </w:rPr>
        <w:t>21)</w:t>
      </w:r>
      <w:r>
        <w:rPr/>
        <w:t>;</w:t>
      </w:r>
    </w:p>
    <w:p>
      <w:pPr>
        <w:pStyle w:val="BodyText"/>
        <w:spacing w:line="249" w:lineRule="exact"/>
        <w:ind w:left="1071"/>
      </w:pPr>
      <w:r>
        <w:rPr/>
        <w:t>Remuneration for services provided by the Auditor General </w:t>
      </w:r>
      <w:r>
        <w:rPr>
          <w:i/>
        </w:rPr>
        <w:t>(Note 41)</w:t>
      </w:r>
      <w:r>
        <w:rPr/>
        <w:t>;</w:t>
      </w:r>
    </w:p>
    <w:p>
      <w:pPr>
        <w:pStyle w:val="BodyText"/>
        <w:spacing w:before="131"/>
        <w:ind w:left="418"/>
      </w:pPr>
      <w:r>
        <w:rPr/>
        <w:br w:type="column"/>
      </w:r>
      <w:r>
        <w:rPr/>
        <w:drawing>
          <wp:inline distT="0" distB="0" distL="0" distR="0">
            <wp:extent cx="125999" cy="125999"/>
            <wp:effectExtent l="0" t="0" r="0" b="0"/>
            <wp:docPr id="83" name="image77.png" descr=""/>
            <wp:cNvGraphicFramePr>
              <a:graphicFrameLocks noChangeAspect="1"/>
            </wp:cNvGraphicFramePr>
            <a:graphic>
              <a:graphicData uri="http://schemas.openxmlformats.org/drawingml/2006/picture">
                <pic:pic>
                  <pic:nvPicPr>
                    <pic:cNvPr id="84" name="image77.png"/>
                    <pic:cNvPicPr/>
                  </pic:nvPicPr>
                  <pic:blipFill>
                    <a:blip r:embed="rId107" cstate="print"/>
                    <a:stretch>
                      <a:fillRect/>
                    </a:stretch>
                  </pic:blipFill>
                  <pic:spPr>
                    <a:xfrm>
                      <a:off x="0" y="0"/>
                      <a:ext cx="125999"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Provide</w:t>
      </w:r>
      <w:r>
        <w:rPr>
          <w:spacing w:val="-6"/>
          <w:position w:val="2"/>
        </w:rPr>
        <w:t> </w:t>
      </w:r>
      <w:r>
        <w:rPr>
          <w:position w:val="2"/>
        </w:rPr>
        <w:t>accommodation</w:t>
      </w:r>
      <w:r>
        <w:rPr>
          <w:spacing w:val="-6"/>
          <w:position w:val="2"/>
        </w:rPr>
        <w:t> </w:t>
      </w:r>
      <w:r>
        <w:rPr>
          <w:position w:val="2"/>
        </w:rPr>
        <w:t>leasing</w:t>
      </w:r>
      <w:r>
        <w:rPr>
          <w:spacing w:val="-6"/>
          <w:position w:val="2"/>
        </w:rPr>
        <w:t> </w:t>
      </w:r>
      <w:r>
        <w:rPr>
          <w:position w:val="2"/>
        </w:rPr>
        <w:t>services</w:t>
      </w:r>
      <w:r>
        <w:rPr>
          <w:spacing w:val="-6"/>
          <w:position w:val="2"/>
        </w:rPr>
        <w:t> </w:t>
      </w:r>
      <w:r>
        <w:rPr>
          <w:position w:val="2"/>
        </w:rPr>
        <w:t>and</w:t>
      </w:r>
      <w:r>
        <w:rPr>
          <w:spacing w:val="-6"/>
          <w:position w:val="2"/>
        </w:rPr>
        <w:t> </w:t>
      </w:r>
      <w:r>
        <w:rPr>
          <w:position w:val="2"/>
        </w:rPr>
        <w:t>fitouts</w:t>
      </w:r>
      <w:r>
        <w:rPr>
          <w:spacing w:val="-6"/>
          <w:position w:val="2"/>
        </w:rPr>
        <w:t> </w:t>
      </w:r>
      <w:r>
        <w:rPr>
          <w:position w:val="2"/>
        </w:rPr>
        <w:t>free</w:t>
      </w:r>
      <w:r>
        <w:rPr>
          <w:spacing w:val="-6"/>
          <w:position w:val="2"/>
        </w:rPr>
        <w:t> </w:t>
      </w:r>
      <w:r>
        <w:rPr>
          <w:position w:val="2"/>
        </w:rPr>
        <w:t>of</w:t>
      </w:r>
      <w:r>
        <w:rPr>
          <w:spacing w:val="-6"/>
          <w:position w:val="2"/>
        </w:rPr>
        <w:t> </w:t>
      </w:r>
      <w:r>
        <w:rPr>
          <w:position w:val="2"/>
        </w:rPr>
        <w:t>charge</w:t>
      </w:r>
    </w:p>
    <w:p>
      <w:pPr>
        <w:spacing w:before="11"/>
        <w:ind w:left="723" w:right="0" w:firstLine="0"/>
        <w:jc w:val="left"/>
        <w:rPr>
          <w:sz w:val="22"/>
        </w:rPr>
      </w:pPr>
      <w:r>
        <w:rPr>
          <w:i/>
          <w:sz w:val="22"/>
        </w:rPr>
        <w:t>(Note 35)</w:t>
      </w:r>
      <w:r>
        <w:rPr>
          <w:sz w:val="22"/>
        </w:rPr>
        <w:t>;</w:t>
      </w:r>
    </w:p>
    <w:p>
      <w:pPr>
        <w:pStyle w:val="BodyText"/>
        <w:spacing w:line="249" w:lineRule="auto" w:before="11"/>
        <w:ind w:left="418" w:right="1072"/>
        <w:jc w:val="center"/>
      </w:pPr>
      <w:r>
        <w:rPr>
          <w:position w:val="-1"/>
        </w:rPr>
        <w:drawing>
          <wp:inline distT="0" distB="0" distL="0" distR="0">
            <wp:extent cx="125999" cy="125999"/>
            <wp:effectExtent l="0" t="0" r="0" b="0"/>
            <wp:docPr id="85" name="image96.png" descr=""/>
            <wp:cNvGraphicFramePr>
              <a:graphicFrameLocks noChangeAspect="1"/>
            </wp:cNvGraphicFramePr>
            <a:graphic>
              <a:graphicData uri="http://schemas.openxmlformats.org/drawingml/2006/picture">
                <pic:pic>
                  <pic:nvPicPr>
                    <pic:cNvPr id="86" name="image96.png"/>
                    <pic:cNvPicPr/>
                  </pic:nvPicPr>
                  <pic:blipFill>
                    <a:blip r:embed="rId18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Loan</w:t>
      </w:r>
      <w:r>
        <w:rPr>
          <w:spacing w:val="-31"/>
        </w:rPr>
        <w:t> </w:t>
      </w:r>
      <w:r>
        <w:rPr/>
        <w:t>facility</w:t>
      </w:r>
      <w:r>
        <w:rPr>
          <w:spacing w:val="-30"/>
        </w:rPr>
        <w:t> </w:t>
      </w:r>
      <w:r>
        <w:rPr/>
        <w:t>from</w:t>
      </w:r>
      <w:r>
        <w:rPr>
          <w:spacing w:val="-30"/>
        </w:rPr>
        <w:t> </w:t>
      </w:r>
      <w:r>
        <w:rPr/>
        <w:t>the</w:t>
      </w:r>
      <w:r>
        <w:rPr>
          <w:spacing w:val="-30"/>
        </w:rPr>
        <w:t> </w:t>
      </w:r>
      <w:r>
        <w:rPr/>
        <w:t>Western</w:t>
      </w:r>
      <w:r>
        <w:rPr>
          <w:spacing w:val="-30"/>
        </w:rPr>
        <w:t> </w:t>
      </w:r>
      <w:r>
        <w:rPr/>
        <w:t>Australian</w:t>
      </w:r>
      <w:r>
        <w:rPr>
          <w:spacing w:val="-30"/>
        </w:rPr>
        <w:t> </w:t>
      </w:r>
      <w:r>
        <w:rPr>
          <w:spacing w:val="-4"/>
        </w:rPr>
        <w:t>Treasury</w:t>
      </w:r>
      <w:r>
        <w:rPr>
          <w:spacing w:val="-31"/>
        </w:rPr>
        <w:t> </w:t>
      </w:r>
      <w:r>
        <w:rPr/>
        <w:t>Corporation</w:t>
      </w:r>
      <w:r>
        <w:rPr>
          <w:spacing w:val="-30"/>
        </w:rPr>
        <w:t> </w:t>
      </w:r>
      <w:r>
        <w:rPr>
          <w:i/>
        </w:rPr>
        <w:t>(Note</w:t>
      </w:r>
      <w:r>
        <w:rPr>
          <w:i/>
          <w:spacing w:val="-30"/>
        </w:rPr>
        <w:t> </w:t>
      </w:r>
      <w:r>
        <w:rPr>
          <w:i/>
          <w:spacing w:val="-5"/>
        </w:rPr>
        <w:t>29)</w:t>
      </w:r>
      <w:r>
        <w:rPr>
          <w:spacing w:val="-5"/>
        </w:rPr>
        <w:t>;</w:t>
      </w:r>
      <w:r>
        <w:rPr>
          <w:w w:val="100"/>
        </w:rPr>
        <w:t> </w:t>
      </w:r>
      <w:r>
        <w:rPr>
          <w:w w:val="100"/>
          <w:position w:val="-2"/>
        </w:rPr>
        <w:drawing>
          <wp:inline distT="0" distB="0" distL="0" distR="0">
            <wp:extent cx="125999" cy="125999"/>
            <wp:effectExtent l="0" t="0" r="0" b="0"/>
            <wp:docPr id="87" name="image75.png" descr=""/>
            <wp:cNvGraphicFramePr>
              <a:graphicFrameLocks noChangeAspect="1"/>
            </wp:cNvGraphicFramePr>
            <a:graphic>
              <a:graphicData uri="http://schemas.openxmlformats.org/drawingml/2006/picture">
                <pic:pic>
                  <pic:nvPicPr>
                    <pic:cNvPr id="88" name="image75.png"/>
                    <pic:cNvPicPr/>
                  </pic:nvPicPr>
                  <pic:blipFill>
                    <a:blip r:embed="rId105" cstate="print"/>
                    <a:stretch>
                      <a:fillRect/>
                    </a:stretch>
                  </pic:blipFill>
                  <pic:spPr>
                    <a:xfrm>
                      <a:off x="0" y="0"/>
                      <a:ext cx="125999" cy="125999"/>
                    </a:xfrm>
                    <a:prstGeom prst="rect">
                      <a:avLst/>
                    </a:prstGeom>
                  </pic:spPr>
                </pic:pic>
              </a:graphicData>
            </a:graphic>
          </wp:inline>
        </w:drawing>
      </w:r>
      <w:r>
        <w:rPr>
          <w:w w:val="100"/>
          <w:position w:val="-2"/>
        </w:rPr>
      </w:r>
      <w:r>
        <w:rPr>
          <w:rFonts w:ascii="Times New Roman"/>
          <w:w w:val="100"/>
        </w:rPr>
        <w:t> </w:t>
      </w:r>
      <w:r>
        <w:rPr>
          <w:rFonts w:ascii="Times New Roman"/>
          <w:spacing w:val="-3"/>
          <w:w w:val="100"/>
        </w:rPr>
        <w:t> </w:t>
      </w:r>
      <w:r>
        <w:rPr/>
        <w:t>Services</w:t>
      </w:r>
      <w:r>
        <w:rPr>
          <w:spacing w:val="-23"/>
        </w:rPr>
        <w:t> </w:t>
      </w:r>
      <w:r>
        <w:rPr/>
        <w:t>received</w:t>
      </w:r>
      <w:r>
        <w:rPr>
          <w:spacing w:val="-23"/>
        </w:rPr>
        <w:t> </w:t>
      </w:r>
      <w:r>
        <w:rPr/>
        <w:t>free</w:t>
      </w:r>
      <w:r>
        <w:rPr>
          <w:spacing w:val="-23"/>
        </w:rPr>
        <w:t> </w:t>
      </w:r>
      <w:r>
        <w:rPr/>
        <w:t>of</w:t>
      </w:r>
      <w:r>
        <w:rPr>
          <w:spacing w:val="-23"/>
        </w:rPr>
        <w:t> </w:t>
      </w:r>
      <w:r>
        <w:rPr/>
        <w:t>charge</w:t>
      </w:r>
      <w:r>
        <w:rPr>
          <w:spacing w:val="-23"/>
        </w:rPr>
        <w:t> </w:t>
      </w:r>
      <w:r>
        <w:rPr/>
        <w:t>from</w:t>
      </w:r>
      <w:r>
        <w:rPr>
          <w:spacing w:val="-23"/>
        </w:rPr>
        <w:t> </w:t>
      </w:r>
      <w:r>
        <w:rPr/>
        <w:t>Department</w:t>
      </w:r>
      <w:r>
        <w:rPr>
          <w:spacing w:val="-23"/>
        </w:rPr>
        <w:t> </w:t>
      </w:r>
      <w:r>
        <w:rPr/>
        <w:t>of</w:t>
      </w:r>
      <w:r>
        <w:rPr>
          <w:spacing w:val="-23"/>
        </w:rPr>
        <w:t> </w:t>
      </w:r>
      <w:r>
        <w:rPr/>
        <w:t>Justice,</w:t>
      </w:r>
      <w:r>
        <w:rPr>
          <w:spacing w:val="-23"/>
        </w:rPr>
        <w:t> </w:t>
      </w:r>
      <w:r>
        <w:rPr/>
        <w:t>Landgate,</w:t>
      </w:r>
    </w:p>
    <w:p>
      <w:pPr>
        <w:pStyle w:val="BodyText"/>
        <w:spacing w:before="2"/>
        <w:ind w:left="723"/>
      </w:pPr>
      <w:r>
        <w:rPr/>
        <w:t>Department of Treasury and Department of the Premier and Cabinet</w:t>
      </w:r>
    </w:p>
    <w:p>
      <w:pPr>
        <w:spacing w:before="11"/>
        <w:ind w:left="723" w:right="0" w:firstLine="0"/>
        <w:jc w:val="left"/>
        <w:rPr>
          <w:sz w:val="22"/>
        </w:rPr>
      </w:pPr>
      <w:r>
        <w:rPr>
          <w:i/>
          <w:sz w:val="22"/>
        </w:rPr>
        <w:t>(Note 17)</w:t>
      </w:r>
      <w:r>
        <w:rPr>
          <w:sz w:val="22"/>
        </w:rPr>
        <w:t>;</w:t>
      </w:r>
    </w:p>
    <w:p>
      <w:pPr>
        <w:spacing w:before="11"/>
        <w:ind w:left="723" w:right="0" w:firstLine="0"/>
        <w:jc w:val="left"/>
        <w:rPr>
          <w:sz w:val="22"/>
        </w:rPr>
      </w:pPr>
      <w:r>
        <w:rPr/>
        <w:pict>
          <v:group style="position:absolute;margin-left:431.57489pt;margin-top:2.50406pt;width:9.950pt;height:22.4pt;mso-position-horizontal-relative:page;mso-position-vertical-relative:paragraph;z-index:20368" coordorigin="8631,50" coordsize="199,448">
            <v:shape style="position:absolute;left:8631;top:50;width:199;height:199" type="#_x0000_t75" stroked="false">
              <v:imagedata r:id="rId183" o:title=""/>
            </v:shape>
            <v:shape style="position:absolute;left:8631;top:299;width:199;height:199" type="#_x0000_t75" stroked="false">
              <v:imagedata r:id="rId73" o:title=""/>
            </v:shape>
            <w10:wrap type="none"/>
          </v:group>
        </w:pict>
      </w:r>
      <w:r>
        <w:rPr>
          <w:sz w:val="22"/>
        </w:rPr>
        <w:t>Service appropriations </w:t>
      </w:r>
      <w:r>
        <w:rPr>
          <w:i/>
          <w:sz w:val="22"/>
        </w:rPr>
        <w:t>(Note 17)</w:t>
      </w:r>
      <w:r>
        <w:rPr>
          <w:sz w:val="22"/>
        </w:rPr>
        <w:t>;</w:t>
      </w:r>
    </w:p>
    <w:p>
      <w:pPr>
        <w:pStyle w:val="BodyText"/>
        <w:spacing w:before="11"/>
        <w:ind w:left="723"/>
      </w:pPr>
      <w:r>
        <w:rPr/>
        <w:t>Insurance payments to the Insurance Commission of Western Australia</w:t>
      </w:r>
    </w:p>
    <w:p>
      <w:pPr>
        <w:spacing w:before="11"/>
        <w:ind w:left="723" w:right="0" w:firstLine="0"/>
        <w:jc w:val="left"/>
        <w:rPr>
          <w:sz w:val="22"/>
        </w:rPr>
      </w:pPr>
      <w:r>
        <w:rPr>
          <w:i/>
          <w:sz w:val="22"/>
        </w:rPr>
        <w:t>(Note 8)</w:t>
      </w:r>
      <w:r>
        <w:rPr>
          <w:sz w:val="22"/>
        </w:rPr>
        <w:t>;</w:t>
      </w:r>
    </w:p>
    <w:p>
      <w:pPr>
        <w:spacing w:before="11"/>
        <w:ind w:left="723" w:right="0" w:firstLine="0"/>
        <w:jc w:val="left"/>
        <w:rPr>
          <w:sz w:val="22"/>
        </w:rPr>
      </w:pPr>
      <w:r>
        <w:rPr/>
        <w:pict>
          <v:group style="position:absolute;margin-left:431.57489pt;margin-top:2.022284pt;width:9.950pt;height:36pt;mso-position-horizontal-relative:page;mso-position-vertical-relative:paragraph;z-index:20392" coordorigin="8631,40" coordsize="199,720">
            <v:shape style="position:absolute;left:8631;top:40;width:199;height:199" type="#_x0000_t75" stroked="false">
              <v:imagedata r:id="rId184" o:title=""/>
            </v:shape>
            <v:shape style="position:absolute;left:8631;top:301;width:199;height:199" type="#_x0000_t75" stroked="false">
              <v:imagedata r:id="rId184" o:title=""/>
            </v:shape>
            <v:shape style="position:absolute;left:8631;top:562;width:199;height:199" type="#_x0000_t75" stroked="false">
              <v:imagedata r:id="rId105" o:title=""/>
            </v:shape>
            <w10:wrap type="none"/>
          </v:group>
        </w:pict>
      </w:r>
      <w:r>
        <w:rPr>
          <w:sz w:val="22"/>
        </w:rPr>
        <w:t>Capital appropriations </w:t>
      </w:r>
      <w:r>
        <w:rPr>
          <w:i/>
          <w:sz w:val="22"/>
        </w:rPr>
        <w:t>(Note 33)</w:t>
      </w:r>
      <w:r>
        <w:rPr>
          <w:sz w:val="22"/>
        </w:rPr>
        <w:t>;</w:t>
      </w:r>
    </w:p>
    <w:p>
      <w:pPr>
        <w:spacing w:line="249" w:lineRule="auto" w:before="11"/>
        <w:ind w:left="723" w:right="1262" w:firstLine="0"/>
        <w:jc w:val="left"/>
        <w:rPr>
          <w:sz w:val="22"/>
        </w:rPr>
      </w:pPr>
      <w:r>
        <w:rPr>
          <w:spacing w:val="-3"/>
          <w:sz w:val="22"/>
        </w:rPr>
        <w:t>Transfer </w:t>
      </w:r>
      <w:r>
        <w:rPr>
          <w:sz w:val="22"/>
        </w:rPr>
        <w:t>Optus Stadium land to VenuesWest </w:t>
      </w:r>
      <w:r>
        <w:rPr>
          <w:i/>
          <w:sz w:val="22"/>
        </w:rPr>
        <w:t>(Notes 24 and 33)</w:t>
      </w:r>
      <w:r>
        <w:rPr>
          <w:sz w:val="22"/>
        </w:rPr>
        <w:t>; </w:t>
      </w:r>
      <w:r>
        <w:rPr>
          <w:spacing w:val="-3"/>
          <w:sz w:val="22"/>
        </w:rPr>
        <w:t>Transfer</w:t>
      </w:r>
      <w:r>
        <w:rPr>
          <w:spacing w:val="-33"/>
          <w:sz w:val="22"/>
        </w:rPr>
        <w:t> </w:t>
      </w:r>
      <w:r>
        <w:rPr>
          <w:sz w:val="22"/>
        </w:rPr>
        <w:t>Strategic</w:t>
      </w:r>
      <w:r>
        <w:rPr>
          <w:spacing w:val="-32"/>
          <w:sz w:val="22"/>
        </w:rPr>
        <w:t> </w:t>
      </w:r>
      <w:r>
        <w:rPr>
          <w:sz w:val="22"/>
        </w:rPr>
        <w:t>Projects</w:t>
      </w:r>
      <w:r>
        <w:rPr>
          <w:spacing w:val="-33"/>
          <w:sz w:val="22"/>
        </w:rPr>
        <w:t> </w:t>
      </w:r>
      <w:r>
        <w:rPr>
          <w:sz w:val="22"/>
        </w:rPr>
        <w:t>(excluding</w:t>
      </w:r>
      <w:r>
        <w:rPr>
          <w:spacing w:val="-32"/>
          <w:sz w:val="22"/>
        </w:rPr>
        <w:t> </w:t>
      </w:r>
      <w:r>
        <w:rPr>
          <w:sz w:val="22"/>
        </w:rPr>
        <w:t>Asset</w:t>
      </w:r>
      <w:r>
        <w:rPr>
          <w:spacing w:val="-33"/>
          <w:sz w:val="22"/>
        </w:rPr>
        <w:t> </w:t>
      </w:r>
      <w:r>
        <w:rPr>
          <w:sz w:val="22"/>
        </w:rPr>
        <w:t>Sales)</w:t>
      </w:r>
      <w:r>
        <w:rPr>
          <w:spacing w:val="-32"/>
          <w:sz w:val="22"/>
        </w:rPr>
        <w:t> </w:t>
      </w:r>
      <w:r>
        <w:rPr>
          <w:sz w:val="22"/>
        </w:rPr>
        <w:t>from</w:t>
      </w:r>
      <w:r>
        <w:rPr>
          <w:spacing w:val="-33"/>
          <w:sz w:val="22"/>
        </w:rPr>
        <w:t> </w:t>
      </w:r>
      <w:r>
        <w:rPr>
          <w:sz w:val="22"/>
        </w:rPr>
        <w:t>Department</w:t>
      </w:r>
      <w:r>
        <w:rPr>
          <w:spacing w:val="-32"/>
          <w:sz w:val="22"/>
        </w:rPr>
        <w:t> </w:t>
      </w:r>
      <w:r>
        <w:rPr>
          <w:spacing w:val="-8"/>
          <w:sz w:val="22"/>
        </w:rPr>
        <w:t>of </w:t>
      </w:r>
      <w:r>
        <w:rPr>
          <w:spacing w:val="-4"/>
          <w:sz w:val="22"/>
        </w:rPr>
        <w:t>Treasury </w:t>
      </w:r>
      <w:r>
        <w:rPr>
          <w:i/>
          <w:sz w:val="22"/>
        </w:rPr>
        <w:t>(Notes 24 and</w:t>
      </w:r>
      <w:r>
        <w:rPr>
          <w:i/>
          <w:spacing w:val="-2"/>
          <w:sz w:val="22"/>
        </w:rPr>
        <w:t> </w:t>
      </w:r>
      <w:r>
        <w:rPr>
          <w:i/>
          <w:sz w:val="22"/>
        </w:rPr>
        <w:t>33)</w:t>
      </w:r>
      <w:r>
        <w:rPr>
          <w:sz w:val="22"/>
        </w:rPr>
        <w:t>;</w:t>
      </w:r>
    </w:p>
    <w:p>
      <w:pPr>
        <w:pStyle w:val="BodyText"/>
        <w:spacing w:line="249" w:lineRule="auto" w:before="3"/>
        <w:ind w:left="723" w:right="1322" w:hanging="306"/>
      </w:pPr>
      <w:r>
        <w:rPr>
          <w:position w:val="-3"/>
        </w:rPr>
        <w:drawing>
          <wp:inline distT="0" distB="0" distL="0" distR="0">
            <wp:extent cx="125999" cy="125997"/>
            <wp:effectExtent l="0" t="0" r="0" b="0"/>
            <wp:docPr id="89" name="image97.png" descr=""/>
            <wp:cNvGraphicFramePr>
              <a:graphicFrameLocks noChangeAspect="1"/>
            </wp:cNvGraphicFramePr>
            <a:graphic>
              <a:graphicData uri="http://schemas.openxmlformats.org/drawingml/2006/picture">
                <pic:pic>
                  <pic:nvPicPr>
                    <pic:cNvPr id="90" name="image97.png"/>
                    <pic:cNvPicPr/>
                  </pic:nvPicPr>
                  <pic:blipFill>
                    <a:blip r:embed="rId184" cstate="print"/>
                    <a:stretch>
                      <a:fillRect/>
                    </a:stretch>
                  </pic:blipFill>
                  <pic:spPr>
                    <a:xfrm>
                      <a:off x="0" y="0"/>
                      <a:ext cx="125999" cy="125997"/>
                    </a:xfrm>
                    <a:prstGeom prst="rect">
                      <a:avLst/>
                    </a:prstGeom>
                  </pic:spPr>
                </pic:pic>
              </a:graphicData>
            </a:graphic>
          </wp:inline>
        </w:drawing>
      </w:r>
      <w:r>
        <w:rPr>
          <w:position w:val="-3"/>
        </w:rPr>
      </w:r>
      <w:r>
        <w:rPr>
          <w:rFonts w:ascii="Times New Roman"/>
          <w:sz w:val="20"/>
        </w:rPr>
        <w:t> </w:t>
      </w:r>
      <w:r>
        <w:rPr>
          <w:rFonts w:ascii="Times New Roman"/>
          <w:spacing w:val="7"/>
          <w:sz w:val="20"/>
        </w:rPr>
        <w:t> </w:t>
      </w:r>
      <w:r>
        <w:rPr>
          <w:spacing w:val="-3"/>
        </w:rPr>
        <w:t>Transfer</w:t>
      </w:r>
      <w:r>
        <w:rPr>
          <w:spacing w:val="-25"/>
        </w:rPr>
        <w:t> </w:t>
      </w:r>
      <w:r>
        <w:rPr/>
        <w:t>Public</w:t>
      </w:r>
      <w:r>
        <w:rPr>
          <w:spacing w:val="-25"/>
        </w:rPr>
        <w:t> </w:t>
      </w:r>
      <w:r>
        <w:rPr/>
        <w:t>Utilities</w:t>
      </w:r>
      <w:r>
        <w:rPr>
          <w:spacing w:val="-24"/>
        </w:rPr>
        <w:t> </w:t>
      </w:r>
      <w:r>
        <w:rPr/>
        <w:t>Office</w:t>
      </w:r>
      <w:r>
        <w:rPr>
          <w:spacing w:val="-25"/>
        </w:rPr>
        <w:t> </w:t>
      </w:r>
      <w:r>
        <w:rPr/>
        <w:t>and</w:t>
      </w:r>
      <w:r>
        <w:rPr>
          <w:spacing w:val="-24"/>
        </w:rPr>
        <w:t> </w:t>
      </w:r>
      <w:r>
        <w:rPr/>
        <w:t>Economic</w:t>
      </w:r>
      <w:r>
        <w:rPr>
          <w:spacing w:val="-25"/>
        </w:rPr>
        <w:t> </w:t>
      </w:r>
      <w:r>
        <w:rPr/>
        <w:t>Reform</w:t>
      </w:r>
      <w:r>
        <w:rPr>
          <w:spacing w:val="-24"/>
        </w:rPr>
        <w:t> </w:t>
      </w:r>
      <w:r>
        <w:rPr/>
        <w:t>to</w:t>
      </w:r>
      <w:r>
        <w:rPr>
          <w:spacing w:val="-25"/>
        </w:rPr>
        <w:t> </w:t>
      </w:r>
      <w:r>
        <w:rPr/>
        <w:t>Department</w:t>
      </w:r>
      <w:r>
        <w:rPr>
          <w:spacing w:val="-24"/>
        </w:rPr>
        <w:t> </w:t>
      </w:r>
      <w:r>
        <w:rPr>
          <w:spacing w:val="-8"/>
        </w:rPr>
        <w:t>of </w:t>
      </w:r>
      <w:r>
        <w:rPr>
          <w:spacing w:val="-4"/>
        </w:rPr>
        <w:t>Treasury </w:t>
      </w:r>
      <w:r>
        <w:rPr>
          <w:i/>
        </w:rPr>
        <w:t>(Notes 24 and 33)</w:t>
      </w:r>
      <w:r>
        <w:rPr/>
        <w:t>;</w:t>
      </w:r>
      <w:r>
        <w:rPr>
          <w:spacing w:val="-5"/>
        </w:rPr>
        <w:t> </w:t>
      </w:r>
      <w:r>
        <w:rPr/>
        <w:t>and</w:t>
      </w:r>
    </w:p>
    <w:p>
      <w:pPr>
        <w:pStyle w:val="BodyText"/>
        <w:spacing w:line="252" w:lineRule="auto" w:before="1"/>
        <w:ind w:left="723" w:right="837" w:hanging="306"/>
        <w:rPr>
          <w:i/>
        </w:rPr>
      </w:pPr>
      <w:r>
        <w:rPr/>
        <w:drawing>
          <wp:inline distT="0" distB="0" distL="0" distR="0">
            <wp:extent cx="125999" cy="125999"/>
            <wp:effectExtent l="0" t="0" r="0" b="0"/>
            <wp:docPr id="91" name="image96.png" descr=""/>
            <wp:cNvGraphicFramePr>
              <a:graphicFrameLocks noChangeAspect="1"/>
            </wp:cNvGraphicFramePr>
            <a:graphic>
              <a:graphicData uri="http://schemas.openxmlformats.org/drawingml/2006/picture">
                <pic:pic>
                  <pic:nvPicPr>
                    <pic:cNvPr id="92" name="image96.png"/>
                    <pic:cNvPicPr/>
                  </pic:nvPicPr>
                  <pic:blipFill>
                    <a:blip r:embed="rId183" cstate="print"/>
                    <a:stretch>
                      <a:fillRect/>
                    </a:stretch>
                  </pic:blipFill>
                  <pic:spPr>
                    <a:xfrm>
                      <a:off x="0" y="0"/>
                      <a:ext cx="125999"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spacing w:val="-3"/>
          <w:position w:val="2"/>
        </w:rPr>
        <w:t>Transfer</w:t>
      </w:r>
      <w:r>
        <w:rPr>
          <w:spacing w:val="-26"/>
          <w:position w:val="2"/>
        </w:rPr>
        <w:t> </w:t>
      </w:r>
      <w:r>
        <w:rPr>
          <w:position w:val="2"/>
        </w:rPr>
        <w:t>Sunset</w:t>
      </w:r>
      <w:r>
        <w:rPr>
          <w:spacing w:val="-25"/>
          <w:position w:val="2"/>
        </w:rPr>
        <w:t> </w:t>
      </w:r>
      <w:r>
        <w:rPr>
          <w:position w:val="2"/>
        </w:rPr>
        <w:t>Heritage</w:t>
      </w:r>
      <w:r>
        <w:rPr>
          <w:spacing w:val="-26"/>
          <w:position w:val="2"/>
        </w:rPr>
        <w:t> </w:t>
      </w:r>
      <w:r>
        <w:rPr>
          <w:position w:val="2"/>
        </w:rPr>
        <w:t>Precinct</w:t>
      </w:r>
      <w:r>
        <w:rPr>
          <w:spacing w:val="-25"/>
          <w:position w:val="2"/>
        </w:rPr>
        <w:t> </w:t>
      </w:r>
      <w:r>
        <w:rPr>
          <w:position w:val="2"/>
        </w:rPr>
        <w:t>to</w:t>
      </w:r>
      <w:r>
        <w:rPr>
          <w:spacing w:val="-26"/>
          <w:position w:val="2"/>
        </w:rPr>
        <w:t> </w:t>
      </w:r>
      <w:r>
        <w:rPr>
          <w:position w:val="2"/>
        </w:rPr>
        <w:t>the</w:t>
      </w:r>
      <w:r>
        <w:rPr>
          <w:spacing w:val="-25"/>
          <w:position w:val="2"/>
        </w:rPr>
        <w:t> </w:t>
      </w:r>
      <w:r>
        <w:rPr>
          <w:position w:val="2"/>
        </w:rPr>
        <w:t>Department</w:t>
      </w:r>
      <w:r>
        <w:rPr>
          <w:spacing w:val="-26"/>
          <w:position w:val="2"/>
        </w:rPr>
        <w:t> </w:t>
      </w:r>
      <w:r>
        <w:rPr>
          <w:position w:val="2"/>
        </w:rPr>
        <w:t>of</w:t>
      </w:r>
      <w:r>
        <w:rPr>
          <w:spacing w:val="-25"/>
          <w:position w:val="2"/>
        </w:rPr>
        <w:t> </w:t>
      </w:r>
      <w:r>
        <w:rPr>
          <w:position w:val="2"/>
        </w:rPr>
        <w:t>Local</w:t>
      </w:r>
      <w:r>
        <w:rPr>
          <w:spacing w:val="-26"/>
          <w:position w:val="2"/>
        </w:rPr>
        <w:t> </w:t>
      </w:r>
      <w:r>
        <w:rPr>
          <w:position w:val="2"/>
        </w:rPr>
        <w:t>Government, </w:t>
      </w:r>
      <w:r>
        <w:rPr/>
        <w:t>Sport and Cultural Industries </w:t>
      </w:r>
      <w:r>
        <w:rPr>
          <w:i/>
        </w:rPr>
        <w:t>(Notes 24 and</w:t>
      </w:r>
      <w:r>
        <w:rPr>
          <w:i/>
          <w:spacing w:val="-21"/>
        </w:rPr>
        <w:t> </w:t>
      </w:r>
      <w:r>
        <w:rPr>
          <w:i/>
        </w:rPr>
        <w:t>33)</w:t>
      </w:r>
    </w:p>
    <w:p>
      <w:pPr>
        <w:pStyle w:val="BodyText"/>
        <w:spacing w:before="8"/>
        <w:rPr>
          <w:i/>
        </w:rPr>
      </w:pPr>
    </w:p>
    <w:p>
      <w:pPr>
        <w:pStyle w:val="Heading6"/>
        <w:spacing w:before="1"/>
        <w:ind w:left="418"/>
      </w:pPr>
      <w:r>
        <w:rPr/>
        <w:t>Material transactions with other related parties:</w:t>
      </w:r>
    </w:p>
    <w:p>
      <w:pPr>
        <w:pStyle w:val="BodyText"/>
        <w:spacing w:line="249" w:lineRule="auto" w:before="11"/>
        <w:ind w:left="418" w:right="824"/>
      </w:pPr>
      <w:r>
        <w:rPr/>
        <w:t>During</w:t>
      </w:r>
      <w:r>
        <w:rPr>
          <w:spacing w:val="-25"/>
        </w:rPr>
        <w:t> </w:t>
      </w:r>
      <w:r>
        <w:rPr/>
        <w:t>the</w:t>
      </w:r>
      <w:r>
        <w:rPr>
          <w:spacing w:val="-24"/>
        </w:rPr>
        <w:t> </w:t>
      </w:r>
      <w:r>
        <w:rPr>
          <w:spacing w:val="-5"/>
        </w:rPr>
        <w:t>year,</w:t>
      </w:r>
      <w:r>
        <w:rPr>
          <w:spacing w:val="-24"/>
        </w:rPr>
        <w:t> </w:t>
      </w:r>
      <w:r>
        <w:rPr/>
        <w:t>the</w:t>
      </w:r>
      <w:r>
        <w:rPr>
          <w:spacing w:val="-25"/>
        </w:rPr>
        <w:t> </w:t>
      </w:r>
      <w:r>
        <w:rPr/>
        <w:t>Department</w:t>
      </w:r>
      <w:r>
        <w:rPr>
          <w:spacing w:val="-24"/>
        </w:rPr>
        <w:t> </w:t>
      </w:r>
      <w:r>
        <w:rPr/>
        <w:t>paid</w:t>
      </w:r>
      <w:r>
        <w:rPr>
          <w:spacing w:val="-24"/>
        </w:rPr>
        <w:t> </w:t>
      </w:r>
      <w:r>
        <w:rPr/>
        <w:t>$9,495,737</w:t>
      </w:r>
      <w:r>
        <w:rPr>
          <w:spacing w:val="-24"/>
        </w:rPr>
        <w:t> </w:t>
      </w:r>
      <w:r>
        <w:rPr/>
        <w:t>in</w:t>
      </w:r>
      <w:r>
        <w:rPr>
          <w:spacing w:val="-25"/>
        </w:rPr>
        <w:t> </w:t>
      </w:r>
      <w:r>
        <w:rPr/>
        <w:t>employee</w:t>
      </w:r>
      <w:r>
        <w:rPr>
          <w:spacing w:val="-24"/>
        </w:rPr>
        <w:t> </w:t>
      </w:r>
      <w:r>
        <w:rPr/>
        <w:t>superannuation contributions</w:t>
      </w:r>
      <w:r>
        <w:rPr>
          <w:spacing w:val="-9"/>
        </w:rPr>
        <w:t> </w:t>
      </w:r>
      <w:r>
        <w:rPr/>
        <w:t>to</w:t>
      </w:r>
      <w:r>
        <w:rPr>
          <w:spacing w:val="-8"/>
        </w:rPr>
        <w:t> </w:t>
      </w:r>
      <w:r>
        <w:rPr/>
        <w:t>the</w:t>
      </w:r>
      <w:r>
        <w:rPr>
          <w:spacing w:val="-9"/>
        </w:rPr>
        <w:t> </w:t>
      </w:r>
      <w:r>
        <w:rPr/>
        <w:t>Government</w:t>
      </w:r>
      <w:r>
        <w:rPr>
          <w:spacing w:val="-8"/>
        </w:rPr>
        <w:t> </w:t>
      </w:r>
      <w:r>
        <w:rPr/>
        <w:t>Employees</w:t>
      </w:r>
      <w:r>
        <w:rPr>
          <w:spacing w:val="-9"/>
        </w:rPr>
        <w:t> </w:t>
      </w:r>
      <w:r>
        <w:rPr/>
        <w:t>Superannuation</w:t>
      </w:r>
      <w:r>
        <w:rPr>
          <w:spacing w:val="-8"/>
        </w:rPr>
        <w:t> </w:t>
      </w:r>
      <w:r>
        <w:rPr/>
        <w:t>Board.</w:t>
      </w:r>
    </w:p>
    <w:p>
      <w:pPr>
        <w:pStyle w:val="BodyText"/>
        <w:spacing w:before="1"/>
        <w:rPr>
          <w:sz w:val="23"/>
        </w:rPr>
      </w:pPr>
    </w:p>
    <w:p>
      <w:pPr>
        <w:pStyle w:val="BodyText"/>
        <w:spacing w:line="249" w:lineRule="auto"/>
        <w:ind w:left="418" w:right="907"/>
      </w:pPr>
      <w:r>
        <w:rPr/>
        <w:t>Outside</w:t>
      </w:r>
      <w:r>
        <w:rPr>
          <w:spacing w:val="-17"/>
        </w:rPr>
        <w:t> </w:t>
      </w:r>
      <w:r>
        <w:rPr/>
        <w:t>of</w:t>
      </w:r>
      <w:r>
        <w:rPr>
          <w:spacing w:val="-16"/>
        </w:rPr>
        <w:t> </w:t>
      </w:r>
      <w:r>
        <w:rPr/>
        <w:t>normal</w:t>
      </w:r>
      <w:r>
        <w:rPr>
          <w:spacing w:val="-17"/>
        </w:rPr>
        <w:t> </w:t>
      </w:r>
      <w:r>
        <w:rPr/>
        <w:t>citizen</w:t>
      </w:r>
      <w:r>
        <w:rPr>
          <w:spacing w:val="-16"/>
        </w:rPr>
        <w:t> </w:t>
      </w:r>
      <w:r>
        <w:rPr/>
        <w:t>type</w:t>
      </w:r>
      <w:r>
        <w:rPr>
          <w:spacing w:val="-17"/>
        </w:rPr>
        <w:t> </w:t>
      </w:r>
      <w:r>
        <w:rPr/>
        <w:t>transactions</w:t>
      </w:r>
      <w:r>
        <w:rPr>
          <w:spacing w:val="-16"/>
        </w:rPr>
        <w:t> </w:t>
      </w:r>
      <w:r>
        <w:rPr/>
        <w:t>with</w:t>
      </w:r>
      <w:r>
        <w:rPr>
          <w:spacing w:val="-17"/>
        </w:rPr>
        <w:t> </w:t>
      </w:r>
      <w:r>
        <w:rPr/>
        <w:t>the</w:t>
      </w:r>
      <w:r>
        <w:rPr>
          <w:spacing w:val="-16"/>
        </w:rPr>
        <w:t> </w:t>
      </w:r>
      <w:r>
        <w:rPr/>
        <w:t>Department,</w:t>
      </w:r>
      <w:r>
        <w:rPr>
          <w:spacing w:val="-17"/>
        </w:rPr>
        <w:t> </w:t>
      </w:r>
      <w:r>
        <w:rPr/>
        <w:t>there</w:t>
      </w:r>
      <w:r>
        <w:rPr>
          <w:spacing w:val="-16"/>
        </w:rPr>
        <w:t> </w:t>
      </w:r>
      <w:r>
        <w:rPr/>
        <w:t>were no</w:t>
      </w:r>
      <w:r>
        <w:rPr>
          <w:spacing w:val="-22"/>
        </w:rPr>
        <w:t> </w:t>
      </w:r>
      <w:r>
        <w:rPr/>
        <w:t>other</w:t>
      </w:r>
      <w:r>
        <w:rPr>
          <w:spacing w:val="-21"/>
        </w:rPr>
        <w:t> </w:t>
      </w:r>
      <w:r>
        <w:rPr/>
        <w:t>related</w:t>
      </w:r>
      <w:r>
        <w:rPr>
          <w:spacing w:val="-21"/>
        </w:rPr>
        <w:t> </w:t>
      </w:r>
      <w:r>
        <w:rPr/>
        <w:t>party</w:t>
      </w:r>
      <w:r>
        <w:rPr>
          <w:spacing w:val="-22"/>
        </w:rPr>
        <w:t> </w:t>
      </w:r>
      <w:r>
        <w:rPr/>
        <w:t>transactions</w:t>
      </w:r>
      <w:r>
        <w:rPr>
          <w:spacing w:val="-21"/>
        </w:rPr>
        <w:t> </w:t>
      </w:r>
      <w:r>
        <w:rPr/>
        <w:t>that</w:t>
      </w:r>
      <w:r>
        <w:rPr>
          <w:spacing w:val="-21"/>
        </w:rPr>
        <w:t> </w:t>
      </w:r>
      <w:r>
        <w:rPr/>
        <w:t>involved</w:t>
      </w:r>
      <w:r>
        <w:rPr>
          <w:spacing w:val="-21"/>
        </w:rPr>
        <w:t> </w:t>
      </w:r>
      <w:r>
        <w:rPr/>
        <w:t>key</w:t>
      </w:r>
      <w:r>
        <w:rPr>
          <w:spacing w:val="-22"/>
        </w:rPr>
        <w:t> </w:t>
      </w:r>
      <w:r>
        <w:rPr/>
        <w:t>management</w:t>
      </w:r>
      <w:r>
        <w:rPr>
          <w:spacing w:val="-21"/>
        </w:rPr>
        <w:t> </w:t>
      </w:r>
      <w:r>
        <w:rPr/>
        <w:t>personnel and/or</w:t>
      </w:r>
      <w:r>
        <w:rPr>
          <w:spacing w:val="-22"/>
        </w:rPr>
        <w:t> </w:t>
      </w:r>
      <w:r>
        <w:rPr/>
        <w:t>their</w:t>
      </w:r>
      <w:r>
        <w:rPr>
          <w:spacing w:val="-22"/>
        </w:rPr>
        <w:t> </w:t>
      </w:r>
      <w:r>
        <w:rPr/>
        <w:t>close</w:t>
      </w:r>
      <w:r>
        <w:rPr>
          <w:spacing w:val="-22"/>
        </w:rPr>
        <w:t> </w:t>
      </w:r>
      <w:r>
        <w:rPr/>
        <w:t>family</w:t>
      </w:r>
      <w:r>
        <w:rPr>
          <w:spacing w:val="-22"/>
        </w:rPr>
        <w:t> </w:t>
      </w:r>
      <w:r>
        <w:rPr/>
        <w:t>members</w:t>
      </w:r>
      <w:r>
        <w:rPr>
          <w:spacing w:val="-22"/>
        </w:rPr>
        <w:t> </w:t>
      </w:r>
      <w:r>
        <w:rPr/>
        <w:t>and/or</w:t>
      </w:r>
      <w:r>
        <w:rPr>
          <w:spacing w:val="-22"/>
        </w:rPr>
        <w:t> </w:t>
      </w:r>
      <w:r>
        <w:rPr/>
        <w:t>their</w:t>
      </w:r>
      <w:r>
        <w:rPr>
          <w:spacing w:val="-22"/>
        </w:rPr>
        <w:t> </w:t>
      </w:r>
      <w:r>
        <w:rPr/>
        <w:t>controlled</w:t>
      </w:r>
      <w:r>
        <w:rPr>
          <w:spacing w:val="-22"/>
        </w:rPr>
        <w:t> </w:t>
      </w:r>
      <w:r>
        <w:rPr/>
        <w:t>(or</w:t>
      </w:r>
      <w:r>
        <w:rPr>
          <w:spacing w:val="-22"/>
        </w:rPr>
        <w:t> </w:t>
      </w:r>
      <w:r>
        <w:rPr/>
        <w:t>jointly</w:t>
      </w:r>
      <w:r>
        <w:rPr>
          <w:spacing w:val="-21"/>
        </w:rPr>
        <w:t> </w:t>
      </w:r>
      <w:r>
        <w:rPr>
          <w:spacing w:val="-3"/>
        </w:rPr>
        <w:t>controlled) </w:t>
      </w:r>
      <w:r>
        <w:rPr/>
        <w:t>entities.</w:t>
      </w:r>
    </w:p>
    <w:p>
      <w:pPr>
        <w:spacing w:after="0" w:line="249" w:lineRule="auto"/>
        <w:sectPr>
          <w:type w:val="continuous"/>
          <w:pgSz w:w="16840" w:h="11910" w:orient="landscape"/>
          <w:pgMar w:top="1100" w:bottom="280" w:left="0" w:right="0"/>
          <w:cols w:num="2" w:equalWidth="0">
            <w:col w:w="8174" w:space="40"/>
            <w:col w:w="8626"/>
          </w:cols>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2072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Heading5"/>
        <w:spacing w:before="257"/>
      </w:pPr>
      <w:r>
        <w:rPr>
          <w:color w:val="6F2770"/>
        </w:rPr>
        <w:t>Note 44. Explanatory Statement</w:t>
      </w:r>
    </w:p>
    <w:p>
      <w:pPr>
        <w:pStyle w:val="BodyText"/>
        <w:spacing w:line="528" w:lineRule="exact" w:before="38"/>
        <w:ind w:left="765" w:right="2324"/>
      </w:pPr>
      <w:r>
        <w:rPr/>
        <w:pict>
          <v:group style="position:absolute;margin-left:38.267799pt;margin-top:53.818195pt;width:9.950pt;height:23.25pt;mso-position-horizontal-relative:page;mso-position-vertical-relative:paragraph;z-index:20560" coordorigin="765,1076" coordsize="199,465">
            <v:shape style="position:absolute;left:765;top:1076;width:199;height:199" type="#_x0000_t75" stroked="false">
              <v:imagedata r:id="rId181" o:title=""/>
            </v:shape>
            <v:shape style="position:absolute;left:765;top:1342;width:199;height:199" type="#_x0000_t75" stroked="false">
              <v:imagedata r:id="rId186" o:title=""/>
            </v:shape>
            <w10:wrap type="none"/>
          </v:group>
        </w:pict>
      </w:r>
      <w:r>
        <w:rPr/>
        <w:t>All</w:t>
      </w:r>
      <w:r>
        <w:rPr>
          <w:spacing w:val="-19"/>
        </w:rPr>
        <w:t> </w:t>
      </w:r>
      <w:r>
        <w:rPr/>
        <w:t>variances</w:t>
      </w:r>
      <w:r>
        <w:rPr>
          <w:spacing w:val="-19"/>
        </w:rPr>
        <w:t> </w:t>
      </w:r>
      <w:r>
        <w:rPr/>
        <w:t>between</w:t>
      </w:r>
      <w:r>
        <w:rPr>
          <w:spacing w:val="-18"/>
        </w:rPr>
        <w:t> </w:t>
      </w:r>
      <w:r>
        <w:rPr/>
        <w:t>estimates</w:t>
      </w:r>
      <w:r>
        <w:rPr>
          <w:spacing w:val="-19"/>
        </w:rPr>
        <w:t> </w:t>
      </w:r>
      <w:r>
        <w:rPr/>
        <w:t>(original</w:t>
      </w:r>
      <w:r>
        <w:rPr>
          <w:spacing w:val="-18"/>
        </w:rPr>
        <w:t> </w:t>
      </w:r>
      <w:r>
        <w:rPr/>
        <w:t>budget)</w:t>
      </w:r>
      <w:r>
        <w:rPr>
          <w:spacing w:val="-19"/>
        </w:rPr>
        <w:t> </w:t>
      </w:r>
      <w:r>
        <w:rPr/>
        <w:t>and</w:t>
      </w:r>
      <w:r>
        <w:rPr>
          <w:spacing w:val="-18"/>
        </w:rPr>
        <w:t> </w:t>
      </w:r>
      <w:r>
        <w:rPr/>
        <w:t>actual</w:t>
      </w:r>
      <w:r>
        <w:rPr>
          <w:spacing w:val="-19"/>
        </w:rPr>
        <w:t> </w:t>
      </w:r>
      <w:r>
        <w:rPr/>
        <w:t>results</w:t>
      </w:r>
      <w:r>
        <w:rPr>
          <w:spacing w:val="-18"/>
        </w:rPr>
        <w:t> </w:t>
      </w:r>
      <w:r>
        <w:rPr/>
        <w:t>for</w:t>
      </w:r>
      <w:r>
        <w:rPr>
          <w:spacing w:val="-19"/>
        </w:rPr>
        <w:t> </w:t>
      </w:r>
      <w:r>
        <w:rPr/>
        <w:t>2018,</w:t>
      </w:r>
      <w:r>
        <w:rPr>
          <w:spacing w:val="-18"/>
        </w:rPr>
        <w:t> </w:t>
      </w:r>
      <w:r>
        <w:rPr/>
        <w:t>and</w:t>
      </w:r>
      <w:r>
        <w:rPr>
          <w:spacing w:val="-19"/>
        </w:rPr>
        <w:t> </w:t>
      </w:r>
      <w:r>
        <w:rPr/>
        <w:t>between</w:t>
      </w:r>
      <w:r>
        <w:rPr>
          <w:spacing w:val="-18"/>
        </w:rPr>
        <w:t> </w:t>
      </w:r>
      <w:r>
        <w:rPr/>
        <w:t>the</w:t>
      </w:r>
      <w:r>
        <w:rPr>
          <w:spacing w:val="-19"/>
        </w:rPr>
        <w:t> </w:t>
      </w:r>
      <w:r>
        <w:rPr/>
        <w:t>actual</w:t>
      </w:r>
      <w:r>
        <w:rPr>
          <w:spacing w:val="-18"/>
        </w:rPr>
        <w:t> </w:t>
      </w:r>
      <w:r>
        <w:rPr/>
        <w:t>results</w:t>
      </w:r>
      <w:r>
        <w:rPr>
          <w:spacing w:val="-19"/>
        </w:rPr>
        <w:t> </w:t>
      </w:r>
      <w:r>
        <w:rPr/>
        <w:t>for</w:t>
      </w:r>
      <w:r>
        <w:rPr>
          <w:spacing w:val="-18"/>
        </w:rPr>
        <w:t> </w:t>
      </w:r>
      <w:r>
        <w:rPr/>
        <w:t>2018</w:t>
      </w:r>
      <w:r>
        <w:rPr>
          <w:spacing w:val="-19"/>
        </w:rPr>
        <w:t> </w:t>
      </w:r>
      <w:r>
        <w:rPr/>
        <w:t>and</w:t>
      </w:r>
      <w:r>
        <w:rPr>
          <w:spacing w:val="-18"/>
        </w:rPr>
        <w:t> </w:t>
      </w:r>
      <w:r>
        <w:rPr/>
        <w:t>2017</w:t>
      </w:r>
      <w:r>
        <w:rPr>
          <w:spacing w:val="-19"/>
        </w:rPr>
        <w:t> </w:t>
      </w:r>
      <w:r>
        <w:rPr/>
        <w:t>are</w:t>
      </w:r>
      <w:r>
        <w:rPr>
          <w:spacing w:val="-18"/>
        </w:rPr>
        <w:t> </w:t>
      </w:r>
      <w:r>
        <w:rPr/>
        <w:t>shown</w:t>
      </w:r>
      <w:r>
        <w:rPr>
          <w:spacing w:val="-19"/>
        </w:rPr>
        <w:t> </w:t>
      </w:r>
      <w:r>
        <w:rPr>
          <w:spacing w:val="-6"/>
        </w:rPr>
        <w:t>below. </w:t>
      </w:r>
      <w:r>
        <w:rPr/>
        <w:t>Narrative</w:t>
      </w:r>
      <w:r>
        <w:rPr>
          <w:spacing w:val="-7"/>
        </w:rPr>
        <w:t> </w:t>
      </w:r>
      <w:r>
        <w:rPr/>
        <w:t>are</w:t>
      </w:r>
      <w:r>
        <w:rPr>
          <w:spacing w:val="-7"/>
        </w:rPr>
        <w:t> </w:t>
      </w:r>
      <w:r>
        <w:rPr/>
        <w:t>provided</w:t>
      </w:r>
      <w:r>
        <w:rPr>
          <w:spacing w:val="-7"/>
        </w:rPr>
        <w:t> </w:t>
      </w:r>
      <w:r>
        <w:rPr/>
        <w:t>for</w:t>
      </w:r>
      <w:r>
        <w:rPr>
          <w:spacing w:val="-7"/>
        </w:rPr>
        <w:t> </w:t>
      </w:r>
      <w:r>
        <w:rPr/>
        <w:t>key</w:t>
      </w:r>
      <w:r>
        <w:rPr>
          <w:spacing w:val="-6"/>
        </w:rPr>
        <w:t> </w:t>
      </w:r>
      <w:r>
        <w:rPr/>
        <w:t>variations</w:t>
      </w:r>
      <w:r>
        <w:rPr>
          <w:spacing w:val="-7"/>
        </w:rPr>
        <w:t> </w:t>
      </w:r>
      <w:r>
        <w:rPr/>
        <w:t>selected</w:t>
      </w:r>
      <w:r>
        <w:rPr>
          <w:spacing w:val="-7"/>
        </w:rPr>
        <w:t> </w:t>
      </w:r>
      <w:r>
        <w:rPr/>
        <w:t>from</w:t>
      </w:r>
      <w:r>
        <w:rPr>
          <w:spacing w:val="-7"/>
        </w:rPr>
        <w:t> </w:t>
      </w:r>
      <w:r>
        <w:rPr/>
        <w:t>observed</w:t>
      </w:r>
      <w:r>
        <w:rPr>
          <w:spacing w:val="-6"/>
        </w:rPr>
        <w:t> </w:t>
      </w:r>
      <w:r>
        <w:rPr/>
        <w:t>major</w:t>
      </w:r>
      <w:r>
        <w:rPr>
          <w:spacing w:val="-7"/>
        </w:rPr>
        <w:t> </w:t>
      </w:r>
      <w:r>
        <w:rPr/>
        <w:t>variances,</w:t>
      </w:r>
      <w:r>
        <w:rPr>
          <w:spacing w:val="-7"/>
        </w:rPr>
        <w:t> </w:t>
      </w:r>
      <w:r>
        <w:rPr/>
        <w:t>which</w:t>
      </w:r>
      <w:r>
        <w:rPr>
          <w:spacing w:val="-7"/>
        </w:rPr>
        <w:t> </w:t>
      </w:r>
      <w:r>
        <w:rPr/>
        <w:t>are</w:t>
      </w:r>
      <w:r>
        <w:rPr>
          <w:spacing w:val="-7"/>
        </w:rPr>
        <w:t> </w:t>
      </w:r>
      <w:r>
        <w:rPr/>
        <w:t>generally</w:t>
      </w:r>
      <w:r>
        <w:rPr>
          <w:spacing w:val="-6"/>
        </w:rPr>
        <w:t> </w:t>
      </w:r>
      <w:r>
        <w:rPr/>
        <w:t>greater</w:t>
      </w:r>
      <w:r>
        <w:rPr>
          <w:spacing w:val="-7"/>
        </w:rPr>
        <w:t> </w:t>
      </w:r>
      <w:r>
        <w:rPr/>
        <w:t>than:</w:t>
      </w:r>
    </w:p>
    <w:p>
      <w:pPr>
        <w:pStyle w:val="BodyText"/>
        <w:spacing w:line="205" w:lineRule="exact"/>
        <w:ind w:left="1071"/>
      </w:pPr>
      <w:r>
        <w:rPr/>
        <w:t>5% and $24.86 million for the Statements of Comprehensive Income and Cash Flows; and</w:t>
      </w:r>
    </w:p>
    <w:p>
      <w:pPr>
        <w:pStyle w:val="BodyText"/>
        <w:spacing w:before="11"/>
        <w:ind w:left="1071"/>
      </w:pPr>
      <w:r>
        <w:rPr/>
        <w:t>5% and $25.00 million for the Statement of Financial Position.</w:t>
      </w:r>
    </w:p>
    <w:p>
      <w:pPr>
        <w:pStyle w:val="BodyText"/>
        <w:spacing w:before="2"/>
        <w:rPr>
          <w:sz w:val="21"/>
        </w:rPr>
      </w:pPr>
    </w:p>
    <w:p>
      <w:pPr>
        <w:spacing w:before="107" w:after="45"/>
        <w:ind w:left="765" w:right="0" w:firstLine="0"/>
        <w:jc w:val="left"/>
        <w:rPr>
          <w:b/>
          <w:sz w:val="19"/>
        </w:rPr>
      </w:pPr>
      <w:r>
        <w:rPr>
          <w:b/>
          <w:sz w:val="19"/>
        </w:rPr>
        <w:t>Statement of Comprehensive Income (Controlled Operations)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56" w:hRule="atLeast"/>
        </w:trPr>
        <w:tc>
          <w:tcPr>
            <w:tcW w:w="6707" w:type="dxa"/>
            <w:gridSpan w:val="2"/>
            <w:tcBorders>
              <w:bottom w:val="single" w:sz="4" w:space="0" w:color="6F2770"/>
            </w:tcBorders>
            <w:shd w:val="clear" w:color="auto" w:fill="783A79"/>
          </w:tcPr>
          <w:p>
            <w:pPr>
              <w:pStyle w:val="TableParagraph"/>
              <w:spacing w:line="249" w:lineRule="auto" w:before="42"/>
              <w:ind w:left="5914" w:hanging="175"/>
              <w:rPr>
                <w:b/>
                <w:sz w:val="19"/>
              </w:rPr>
            </w:pPr>
            <w:r>
              <w:rPr>
                <w:b/>
                <w:color w:val="FFFFFF"/>
                <w:sz w:val="19"/>
              </w:rPr>
              <w:t>Variance Note</w:t>
            </w:r>
          </w:p>
        </w:tc>
        <w:tc>
          <w:tcPr>
            <w:tcW w:w="1151" w:type="dxa"/>
            <w:tcBorders>
              <w:bottom w:val="single" w:sz="4" w:space="0" w:color="6F2770"/>
            </w:tcBorders>
            <w:shd w:val="clear" w:color="auto" w:fill="783A79"/>
          </w:tcPr>
          <w:p>
            <w:pPr>
              <w:pStyle w:val="TableParagraph"/>
              <w:spacing w:before="42"/>
              <w:ind w:left="239"/>
              <w:rPr>
                <w:b/>
                <w:sz w:val="19"/>
              </w:rPr>
            </w:pPr>
            <w:r>
              <w:rPr>
                <w:b/>
                <w:color w:val="FFFFFF"/>
                <w:sz w:val="19"/>
              </w:rPr>
              <w:t>Estimate</w:t>
            </w:r>
          </w:p>
          <w:p>
            <w:pPr>
              <w:pStyle w:val="TableParagraph"/>
              <w:spacing w:before="10"/>
              <w:ind w:left="614"/>
              <w:rPr>
                <w:b/>
                <w:sz w:val="19"/>
              </w:rPr>
            </w:pPr>
            <w:r>
              <w:rPr>
                <w:b/>
                <w:color w:val="FFFFFF"/>
                <w:sz w:val="19"/>
              </w:rPr>
              <w:t>2018</w:t>
            </w:r>
          </w:p>
          <w:p>
            <w:pPr>
              <w:pStyle w:val="TableParagraph"/>
              <w:spacing w:before="9"/>
              <w:ind w:left="614"/>
              <w:rPr>
                <w:b/>
                <w:sz w:val="19"/>
              </w:rPr>
            </w:pPr>
            <w:r>
              <w:rPr>
                <w:b/>
                <w:color w:val="FFFFFF"/>
                <w:sz w:val="19"/>
              </w:rPr>
              <w:t>$000</w:t>
            </w:r>
          </w:p>
        </w:tc>
        <w:tc>
          <w:tcPr>
            <w:tcW w:w="1151" w:type="dxa"/>
            <w:tcBorders>
              <w:bottom w:val="single" w:sz="4" w:space="0" w:color="6F2770"/>
            </w:tcBorders>
            <w:shd w:val="clear" w:color="auto" w:fill="783A79"/>
          </w:tcPr>
          <w:p>
            <w:pPr>
              <w:pStyle w:val="TableParagraph"/>
              <w:spacing w:line="249" w:lineRule="auto" w:before="42"/>
              <w:ind w:left="614" w:right="94" w:hanging="155"/>
              <w:rPr>
                <w:b/>
                <w:sz w:val="19"/>
              </w:rPr>
            </w:pPr>
            <w:r>
              <w:rPr>
                <w:b/>
                <w:color w:val="FFFFFF"/>
                <w:w w:val="95"/>
                <w:sz w:val="19"/>
              </w:rPr>
              <w:t>Actual </w:t>
            </w:r>
            <w:r>
              <w:rPr>
                <w:b/>
                <w:color w:val="FFFFFF"/>
                <w:sz w:val="19"/>
              </w:rPr>
              <w:t>2018</w:t>
            </w:r>
          </w:p>
          <w:p>
            <w:pPr>
              <w:pStyle w:val="TableParagraph"/>
              <w:spacing w:before="2"/>
              <w:ind w:left="614"/>
              <w:rPr>
                <w:b/>
                <w:sz w:val="19"/>
              </w:rPr>
            </w:pPr>
            <w:r>
              <w:rPr>
                <w:b/>
                <w:color w:val="FFFFFF"/>
                <w:sz w:val="19"/>
              </w:rPr>
              <w:t>$000</w:t>
            </w:r>
          </w:p>
        </w:tc>
        <w:tc>
          <w:tcPr>
            <w:tcW w:w="1548" w:type="dxa"/>
            <w:tcBorders>
              <w:bottom w:val="single" w:sz="4" w:space="0" w:color="6F2770"/>
            </w:tcBorders>
            <w:shd w:val="clear" w:color="auto" w:fill="783A79"/>
          </w:tcPr>
          <w:p>
            <w:pPr>
              <w:pStyle w:val="TableParagraph"/>
              <w:spacing w:before="42"/>
              <w:ind w:left="381"/>
              <w:rPr>
                <w:b/>
                <w:sz w:val="19"/>
              </w:rPr>
            </w:pPr>
            <w:r>
              <w:rPr>
                <w:b/>
                <w:color w:val="FFFFFF"/>
                <w:sz w:val="19"/>
              </w:rPr>
              <w:t>Actual</w:t>
            </w:r>
            <w:r>
              <w:rPr>
                <w:b/>
                <w:color w:val="FFFFFF"/>
                <w:spacing w:val="-4"/>
                <w:sz w:val="19"/>
              </w:rPr>
              <w:t> </w:t>
            </w:r>
            <w:r>
              <w:rPr>
                <w:b/>
                <w:color w:val="FFFFFF"/>
                <w:sz w:val="19"/>
              </w:rPr>
              <w:t>2017</w:t>
            </w:r>
          </w:p>
          <w:p>
            <w:pPr>
              <w:pStyle w:val="TableParagraph"/>
              <w:spacing w:before="8"/>
              <w:rPr>
                <w:b/>
                <w:sz w:val="20"/>
              </w:rPr>
            </w:pPr>
          </w:p>
          <w:p>
            <w:pPr>
              <w:pStyle w:val="TableParagraph"/>
              <w:spacing w:before="0"/>
              <w:ind w:left="1011"/>
              <w:rPr>
                <w:b/>
                <w:sz w:val="19"/>
              </w:rPr>
            </w:pPr>
            <w:r>
              <w:rPr>
                <w:b/>
                <w:color w:val="FFFFFF"/>
                <w:sz w:val="19"/>
              </w:rPr>
              <w:t>$000</w:t>
            </w:r>
          </w:p>
        </w:tc>
        <w:tc>
          <w:tcPr>
            <w:tcW w:w="2172" w:type="dxa"/>
            <w:tcBorders>
              <w:bottom w:val="single" w:sz="4" w:space="0" w:color="6F2770"/>
            </w:tcBorders>
            <w:shd w:val="clear" w:color="auto" w:fill="783A79"/>
          </w:tcPr>
          <w:p>
            <w:pPr>
              <w:pStyle w:val="TableParagraph"/>
              <w:spacing w:line="249" w:lineRule="auto" w:before="42"/>
              <w:ind w:left="273" w:right="112"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12"/>
              <w:jc w:val="right"/>
              <w:rPr>
                <w:b/>
                <w:sz w:val="19"/>
              </w:rPr>
            </w:pPr>
            <w:r>
              <w:rPr>
                <w:b/>
                <w:color w:val="FFFFFF"/>
                <w:w w:val="95"/>
                <w:sz w:val="19"/>
              </w:rPr>
              <w:t>$000</w:t>
            </w:r>
          </w:p>
        </w:tc>
        <w:tc>
          <w:tcPr>
            <w:tcW w:w="2569" w:type="dxa"/>
            <w:tcBorders>
              <w:bottom w:val="single" w:sz="4" w:space="0" w:color="6F2770"/>
            </w:tcBorders>
            <w:shd w:val="clear" w:color="auto" w:fill="783A79"/>
          </w:tcPr>
          <w:p>
            <w:pPr>
              <w:pStyle w:val="TableParagraph"/>
              <w:spacing w:line="249" w:lineRule="auto" w:before="42"/>
              <w:ind w:left="193" w:right="113"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13"/>
              <w:jc w:val="right"/>
              <w:rPr>
                <w:b/>
                <w:sz w:val="19"/>
              </w:rPr>
            </w:pPr>
            <w:r>
              <w:rPr>
                <w:b/>
                <w:color w:val="FFFFFF"/>
                <w:w w:val="95"/>
                <w:sz w:val="19"/>
              </w:rPr>
              <w:t>$000</w:t>
            </w:r>
          </w:p>
        </w:tc>
      </w:tr>
      <w:tr>
        <w:trPr>
          <w:trHeight w:val="307" w:hRule="atLeast"/>
        </w:trPr>
        <w:tc>
          <w:tcPr>
            <w:tcW w:w="5556" w:type="dxa"/>
            <w:tcBorders>
              <w:top w:val="single" w:sz="4" w:space="0" w:color="6F2770"/>
            </w:tcBorders>
            <w:shd w:val="clear" w:color="auto" w:fill="FFFFFF"/>
          </w:tcPr>
          <w:p>
            <w:pPr>
              <w:pStyle w:val="TableParagraph"/>
              <w:spacing w:before="37"/>
              <w:ind w:left="113"/>
              <w:rPr>
                <w:sz w:val="19"/>
              </w:rPr>
            </w:pPr>
            <w:r>
              <w:rPr>
                <w:sz w:val="19"/>
              </w:rPr>
              <w:t>Employee benefits expense</w:t>
            </w:r>
          </w:p>
        </w:tc>
        <w:tc>
          <w:tcPr>
            <w:tcW w:w="1151" w:type="dxa"/>
            <w:tcBorders>
              <w:top w:val="single" w:sz="4" w:space="0" w:color="6F2770"/>
            </w:tcBorders>
            <w:shd w:val="clear" w:color="auto" w:fill="FFFFFF"/>
          </w:tcPr>
          <w:p>
            <w:pPr>
              <w:pStyle w:val="TableParagraph"/>
              <w:spacing w:before="0"/>
              <w:rPr>
                <w:rFonts w:ascii="Times New Roman"/>
                <w:sz w:val="20"/>
              </w:rPr>
            </w:pPr>
          </w:p>
        </w:tc>
        <w:tc>
          <w:tcPr>
            <w:tcW w:w="1151" w:type="dxa"/>
            <w:tcBorders>
              <w:top w:val="single" w:sz="4" w:space="0" w:color="6F2770"/>
            </w:tcBorders>
            <w:shd w:val="clear" w:color="auto" w:fill="FFFFFF"/>
          </w:tcPr>
          <w:p>
            <w:pPr>
              <w:pStyle w:val="TableParagraph"/>
              <w:spacing w:before="37"/>
              <w:ind w:right="111"/>
              <w:jc w:val="right"/>
              <w:rPr>
                <w:sz w:val="19"/>
              </w:rPr>
            </w:pPr>
            <w:r>
              <w:rPr>
                <w:w w:val="95"/>
                <w:sz w:val="19"/>
              </w:rPr>
              <w:t>135,421</w:t>
            </w:r>
          </w:p>
        </w:tc>
        <w:tc>
          <w:tcPr>
            <w:tcW w:w="1151" w:type="dxa"/>
            <w:tcBorders>
              <w:top w:val="single" w:sz="4" w:space="0" w:color="6F2770"/>
            </w:tcBorders>
            <w:shd w:val="clear" w:color="auto" w:fill="E1E4BB"/>
          </w:tcPr>
          <w:p>
            <w:pPr>
              <w:pStyle w:val="TableParagraph"/>
              <w:spacing w:before="37"/>
              <w:ind w:right="111"/>
              <w:jc w:val="right"/>
              <w:rPr>
                <w:sz w:val="19"/>
              </w:rPr>
            </w:pPr>
            <w:r>
              <w:rPr>
                <w:w w:val="95"/>
                <w:sz w:val="19"/>
              </w:rPr>
              <w:t>115,372</w:t>
            </w:r>
          </w:p>
        </w:tc>
        <w:tc>
          <w:tcPr>
            <w:tcW w:w="1548" w:type="dxa"/>
            <w:tcBorders>
              <w:top w:val="single" w:sz="4" w:space="0" w:color="6F2770"/>
            </w:tcBorders>
            <w:shd w:val="clear" w:color="auto" w:fill="FFFFFF"/>
          </w:tcPr>
          <w:p>
            <w:pPr>
              <w:pStyle w:val="TableParagraph"/>
              <w:spacing w:before="37"/>
              <w:ind w:right="112"/>
              <w:jc w:val="right"/>
              <w:rPr>
                <w:sz w:val="19"/>
              </w:rPr>
            </w:pPr>
            <w:r>
              <w:rPr>
                <w:w w:val="95"/>
                <w:sz w:val="19"/>
              </w:rPr>
              <w:t>114,499</w:t>
            </w:r>
          </w:p>
        </w:tc>
        <w:tc>
          <w:tcPr>
            <w:tcW w:w="2172" w:type="dxa"/>
            <w:tcBorders>
              <w:top w:val="single" w:sz="4" w:space="0" w:color="6F2770"/>
            </w:tcBorders>
            <w:shd w:val="clear" w:color="auto" w:fill="FFFFFF"/>
          </w:tcPr>
          <w:p>
            <w:pPr>
              <w:pStyle w:val="TableParagraph"/>
              <w:spacing w:before="37"/>
              <w:ind w:right="112"/>
              <w:jc w:val="right"/>
              <w:rPr>
                <w:sz w:val="19"/>
              </w:rPr>
            </w:pPr>
            <w:r>
              <w:rPr>
                <w:w w:val="95"/>
                <w:sz w:val="19"/>
              </w:rPr>
              <w:t>(20,049)</w:t>
            </w:r>
          </w:p>
        </w:tc>
        <w:tc>
          <w:tcPr>
            <w:tcW w:w="2569" w:type="dxa"/>
            <w:tcBorders>
              <w:top w:val="single" w:sz="4" w:space="0" w:color="6F2770"/>
            </w:tcBorders>
            <w:shd w:val="clear" w:color="auto" w:fill="FFFFFF"/>
          </w:tcPr>
          <w:p>
            <w:pPr>
              <w:pStyle w:val="TableParagraph"/>
              <w:spacing w:before="37"/>
              <w:ind w:right="113"/>
              <w:jc w:val="right"/>
              <w:rPr>
                <w:sz w:val="19"/>
              </w:rPr>
            </w:pPr>
            <w:r>
              <w:rPr>
                <w:w w:val="95"/>
                <w:sz w:val="19"/>
              </w:rPr>
              <w:t>873</w:t>
            </w:r>
          </w:p>
        </w:tc>
      </w:tr>
      <w:tr>
        <w:trPr>
          <w:trHeight w:val="341" w:hRule="atLeast"/>
        </w:trPr>
        <w:tc>
          <w:tcPr>
            <w:tcW w:w="5556" w:type="dxa"/>
            <w:shd w:val="clear" w:color="auto" w:fill="FFFFFF"/>
          </w:tcPr>
          <w:p>
            <w:pPr>
              <w:pStyle w:val="TableParagraph"/>
              <w:spacing w:before="57"/>
              <w:ind w:left="113"/>
              <w:rPr>
                <w:sz w:val="19"/>
              </w:rPr>
            </w:pPr>
            <w:r>
              <w:rPr>
                <w:sz w:val="19"/>
              </w:rPr>
              <w:t>Supplies and services</w:t>
            </w:r>
          </w:p>
        </w:tc>
        <w:tc>
          <w:tcPr>
            <w:tcW w:w="1151" w:type="dxa"/>
            <w:shd w:val="clear" w:color="auto" w:fill="FFFFFF"/>
          </w:tcPr>
          <w:p>
            <w:pPr>
              <w:pStyle w:val="TableParagraph"/>
              <w:spacing w:before="57"/>
              <w:ind w:right="520"/>
              <w:jc w:val="right"/>
              <w:rPr>
                <w:sz w:val="19"/>
              </w:rPr>
            </w:pPr>
            <w:hyperlink w:history="true" w:anchor="_bookmark25">
              <w:r>
                <w:rPr>
                  <w:color w:val="6F2770"/>
                  <w:w w:val="99"/>
                  <w:sz w:val="19"/>
                  <w:u w:val="single" w:color="6F2770"/>
                </w:rPr>
                <w:t>1</w:t>
              </w:r>
            </w:hyperlink>
          </w:p>
        </w:tc>
        <w:tc>
          <w:tcPr>
            <w:tcW w:w="1151" w:type="dxa"/>
            <w:shd w:val="clear" w:color="auto" w:fill="FFFFFF"/>
          </w:tcPr>
          <w:p>
            <w:pPr>
              <w:pStyle w:val="TableParagraph"/>
              <w:spacing w:before="57"/>
              <w:ind w:right="111"/>
              <w:jc w:val="right"/>
              <w:rPr>
                <w:sz w:val="19"/>
              </w:rPr>
            </w:pPr>
            <w:r>
              <w:rPr>
                <w:w w:val="95"/>
                <w:sz w:val="19"/>
              </w:rPr>
              <w:t>1,175,927</w:t>
            </w:r>
          </w:p>
        </w:tc>
        <w:tc>
          <w:tcPr>
            <w:tcW w:w="1151" w:type="dxa"/>
            <w:shd w:val="clear" w:color="auto" w:fill="E1E4BB"/>
          </w:tcPr>
          <w:p>
            <w:pPr>
              <w:pStyle w:val="TableParagraph"/>
              <w:spacing w:before="57"/>
              <w:ind w:right="111"/>
              <w:jc w:val="right"/>
              <w:rPr>
                <w:sz w:val="19"/>
              </w:rPr>
            </w:pPr>
            <w:r>
              <w:rPr>
                <w:w w:val="95"/>
                <w:sz w:val="19"/>
              </w:rPr>
              <w:t>1,107,809</w:t>
            </w:r>
          </w:p>
        </w:tc>
        <w:tc>
          <w:tcPr>
            <w:tcW w:w="1548" w:type="dxa"/>
            <w:shd w:val="clear" w:color="auto" w:fill="FFFFFF"/>
          </w:tcPr>
          <w:p>
            <w:pPr>
              <w:pStyle w:val="TableParagraph"/>
              <w:spacing w:before="57"/>
              <w:ind w:right="112"/>
              <w:jc w:val="right"/>
              <w:rPr>
                <w:sz w:val="19"/>
              </w:rPr>
            </w:pPr>
            <w:r>
              <w:rPr>
                <w:w w:val="95"/>
                <w:sz w:val="19"/>
              </w:rPr>
              <w:t>971,330</w:t>
            </w:r>
          </w:p>
        </w:tc>
        <w:tc>
          <w:tcPr>
            <w:tcW w:w="2172" w:type="dxa"/>
            <w:shd w:val="clear" w:color="auto" w:fill="FFFFFF"/>
          </w:tcPr>
          <w:p>
            <w:pPr>
              <w:pStyle w:val="TableParagraph"/>
              <w:spacing w:before="57"/>
              <w:ind w:right="112"/>
              <w:jc w:val="right"/>
              <w:rPr>
                <w:sz w:val="19"/>
              </w:rPr>
            </w:pPr>
            <w:r>
              <w:rPr>
                <w:w w:val="95"/>
                <w:sz w:val="19"/>
              </w:rPr>
              <w:t>(68,118)</w:t>
            </w:r>
          </w:p>
        </w:tc>
        <w:tc>
          <w:tcPr>
            <w:tcW w:w="2569" w:type="dxa"/>
            <w:shd w:val="clear" w:color="auto" w:fill="FFFFFF"/>
          </w:tcPr>
          <w:p>
            <w:pPr>
              <w:pStyle w:val="TableParagraph"/>
              <w:spacing w:before="57"/>
              <w:ind w:right="113"/>
              <w:jc w:val="right"/>
              <w:rPr>
                <w:sz w:val="19"/>
              </w:rPr>
            </w:pPr>
            <w:r>
              <w:rPr>
                <w:w w:val="95"/>
                <w:sz w:val="19"/>
              </w:rPr>
              <w:t>136,479</w:t>
            </w:r>
          </w:p>
        </w:tc>
      </w:tr>
      <w:tr>
        <w:trPr>
          <w:trHeight w:val="312" w:hRule="atLeast"/>
        </w:trPr>
        <w:tc>
          <w:tcPr>
            <w:tcW w:w="5556" w:type="dxa"/>
            <w:shd w:val="clear" w:color="auto" w:fill="FFFFFF"/>
          </w:tcPr>
          <w:p>
            <w:pPr>
              <w:pStyle w:val="TableParagraph"/>
              <w:spacing w:before="42"/>
              <w:ind w:left="113"/>
              <w:rPr>
                <w:sz w:val="19"/>
              </w:rPr>
            </w:pPr>
            <w:r>
              <w:rPr>
                <w:sz w:val="19"/>
              </w:rPr>
              <w:t>Depreciation and amortisation expense</w:t>
            </w:r>
          </w:p>
        </w:tc>
        <w:tc>
          <w:tcPr>
            <w:tcW w:w="1151" w:type="dxa"/>
            <w:vMerge w:val="restart"/>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42"/>
              <w:ind w:right="111"/>
              <w:jc w:val="right"/>
              <w:rPr>
                <w:sz w:val="19"/>
              </w:rPr>
            </w:pPr>
            <w:r>
              <w:rPr>
                <w:w w:val="95"/>
                <w:sz w:val="19"/>
              </w:rPr>
              <w:t>82,634</w:t>
            </w:r>
          </w:p>
        </w:tc>
        <w:tc>
          <w:tcPr>
            <w:tcW w:w="1151" w:type="dxa"/>
            <w:shd w:val="clear" w:color="auto" w:fill="E1E4BB"/>
          </w:tcPr>
          <w:p>
            <w:pPr>
              <w:pStyle w:val="TableParagraph"/>
              <w:spacing w:before="42"/>
              <w:ind w:right="111"/>
              <w:jc w:val="right"/>
              <w:rPr>
                <w:sz w:val="19"/>
              </w:rPr>
            </w:pPr>
            <w:r>
              <w:rPr>
                <w:w w:val="95"/>
                <w:sz w:val="19"/>
              </w:rPr>
              <w:t>66,007</w:t>
            </w:r>
          </w:p>
        </w:tc>
        <w:tc>
          <w:tcPr>
            <w:tcW w:w="1548" w:type="dxa"/>
            <w:shd w:val="clear" w:color="auto" w:fill="FFFFFF"/>
          </w:tcPr>
          <w:p>
            <w:pPr>
              <w:pStyle w:val="TableParagraph"/>
              <w:spacing w:before="42"/>
              <w:ind w:right="112"/>
              <w:jc w:val="right"/>
              <w:rPr>
                <w:sz w:val="19"/>
              </w:rPr>
            </w:pPr>
            <w:r>
              <w:rPr>
                <w:w w:val="95"/>
                <w:sz w:val="19"/>
              </w:rPr>
              <w:t>71,513</w:t>
            </w:r>
          </w:p>
        </w:tc>
        <w:tc>
          <w:tcPr>
            <w:tcW w:w="2172" w:type="dxa"/>
            <w:shd w:val="clear" w:color="auto" w:fill="FFFFFF"/>
          </w:tcPr>
          <w:p>
            <w:pPr>
              <w:pStyle w:val="TableParagraph"/>
              <w:spacing w:before="42"/>
              <w:ind w:right="112"/>
              <w:jc w:val="right"/>
              <w:rPr>
                <w:sz w:val="19"/>
              </w:rPr>
            </w:pPr>
            <w:r>
              <w:rPr>
                <w:w w:val="95"/>
                <w:sz w:val="19"/>
              </w:rPr>
              <w:t>(16,627)</w:t>
            </w:r>
          </w:p>
        </w:tc>
        <w:tc>
          <w:tcPr>
            <w:tcW w:w="2569" w:type="dxa"/>
            <w:shd w:val="clear" w:color="auto" w:fill="FFFFFF"/>
          </w:tcPr>
          <w:p>
            <w:pPr>
              <w:pStyle w:val="TableParagraph"/>
              <w:spacing w:before="42"/>
              <w:ind w:right="113"/>
              <w:jc w:val="right"/>
              <w:rPr>
                <w:sz w:val="19"/>
              </w:rPr>
            </w:pPr>
            <w:r>
              <w:rPr>
                <w:w w:val="90"/>
                <w:sz w:val="19"/>
              </w:rPr>
              <w:t>(5,506)</w:t>
            </w:r>
          </w:p>
        </w:tc>
      </w:tr>
      <w:tr>
        <w:trPr>
          <w:trHeight w:val="341" w:hRule="atLeast"/>
        </w:trPr>
        <w:tc>
          <w:tcPr>
            <w:tcW w:w="5556" w:type="dxa"/>
            <w:shd w:val="clear" w:color="auto" w:fill="FFFFFF"/>
          </w:tcPr>
          <w:p>
            <w:pPr>
              <w:pStyle w:val="TableParagraph"/>
              <w:spacing w:before="57"/>
              <w:ind w:left="113"/>
              <w:rPr>
                <w:sz w:val="19"/>
              </w:rPr>
            </w:pPr>
            <w:r>
              <w:rPr>
                <w:sz w:val="19"/>
              </w:rPr>
              <w:t>Finance costs</w:t>
            </w:r>
          </w:p>
        </w:tc>
        <w:tc>
          <w:tcPr>
            <w:tcW w:w="1151" w:type="dxa"/>
            <w:vMerge/>
            <w:tcBorders>
              <w:top w:val="nil"/>
            </w:tcBorders>
            <w:shd w:val="clear" w:color="auto" w:fill="FFFFFF"/>
          </w:tcPr>
          <w:p>
            <w:pPr>
              <w:rPr>
                <w:sz w:val="2"/>
                <w:szCs w:val="2"/>
              </w:rPr>
            </w:pPr>
          </w:p>
        </w:tc>
        <w:tc>
          <w:tcPr>
            <w:tcW w:w="1151" w:type="dxa"/>
            <w:shd w:val="clear" w:color="auto" w:fill="FFFFFF"/>
          </w:tcPr>
          <w:p>
            <w:pPr>
              <w:pStyle w:val="TableParagraph"/>
              <w:spacing w:before="57"/>
              <w:ind w:right="111"/>
              <w:jc w:val="right"/>
              <w:rPr>
                <w:sz w:val="19"/>
              </w:rPr>
            </w:pPr>
            <w:r>
              <w:rPr>
                <w:w w:val="95"/>
                <w:sz w:val="19"/>
              </w:rPr>
              <w:t>7,655</w:t>
            </w:r>
          </w:p>
        </w:tc>
        <w:tc>
          <w:tcPr>
            <w:tcW w:w="1151" w:type="dxa"/>
            <w:shd w:val="clear" w:color="auto" w:fill="E1E4BB"/>
          </w:tcPr>
          <w:p>
            <w:pPr>
              <w:pStyle w:val="TableParagraph"/>
              <w:spacing w:before="57"/>
              <w:ind w:right="111"/>
              <w:jc w:val="right"/>
              <w:rPr>
                <w:sz w:val="19"/>
              </w:rPr>
            </w:pPr>
            <w:r>
              <w:rPr>
                <w:w w:val="95"/>
                <w:sz w:val="19"/>
              </w:rPr>
              <w:t>7,780</w:t>
            </w:r>
          </w:p>
        </w:tc>
        <w:tc>
          <w:tcPr>
            <w:tcW w:w="1548" w:type="dxa"/>
            <w:shd w:val="clear" w:color="auto" w:fill="FFFFFF"/>
          </w:tcPr>
          <w:p>
            <w:pPr>
              <w:pStyle w:val="TableParagraph"/>
              <w:spacing w:before="57"/>
              <w:ind w:right="112"/>
              <w:jc w:val="right"/>
              <w:rPr>
                <w:sz w:val="19"/>
              </w:rPr>
            </w:pPr>
            <w:r>
              <w:rPr>
                <w:w w:val="95"/>
                <w:sz w:val="19"/>
              </w:rPr>
              <w:t>8,615</w:t>
            </w:r>
          </w:p>
        </w:tc>
        <w:tc>
          <w:tcPr>
            <w:tcW w:w="2172" w:type="dxa"/>
            <w:shd w:val="clear" w:color="auto" w:fill="FFFFFF"/>
          </w:tcPr>
          <w:p>
            <w:pPr>
              <w:pStyle w:val="TableParagraph"/>
              <w:spacing w:before="57"/>
              <w:ind w:right="112"/>
              <w:jc w:val="right"/>
              <w:rPr>
                <w:sz w:val="19"/>
              </w:rPr>
            </w:pPr>
            <w:r>
              <w:rPr>
                <w:w w:val="95"/>
                <w:sz w:val="19"/>
              </w:rPr>
              <w:t>125</w:t>
            </w:r>
          </w:p>
        </w:tc>
        <w:tc>
          <w:tcPr>
            <w:tcW w:w="2569" w:type="dxa"/>
            <w:shd w:val="clear" w:color="auto" w:fill="FFFFFF"/>
          </w:tcPr>
          <w:p>
            <w:pPr>
              <w:pStyle w:val="TableParagraph"/>
              <w:spacing w:before="57"/>
              <w:ind w:right="113"/>
              <w:jc w:val="right"/>
              <w:rPr>
                <w:sz w:val="19"/>
              </w:rPr>
            </w:pPr>
            <w:r>
              <w:rPr>
                <w:w w:val="90"/>
                <w:sz w:val="19"/>
              </w:rPr>
              <w:t>(835)</w:t>
            </w:r>
          </w:p>
        </w:tc>
      </w:tr>
      <w:tr>
        <w:trPr>
          <w:trHeight w:val="312" w:hRule="atLeast"/>
        </w:trPr>
        <w:tc>
          <w:tcPr>
            <w:tcW w:w="5556" w:type="dxa"/>
            <w:shd w:val="clear" w:color="auto" w:fill="FFFFFF"/>
          </w:tcPr>
          <w:p>
            <w:pPr>
              <w:pStyle w:val="TableParagraph"/>
              <w:spacing w:before="42"/>
              <w:ind w:left="113"/>
              <w:rPr>
                <w:sz w:val="19"/>
              </w:rPr>
            </w:pPr>
            <w:r>
              <w:rPr>
                <w:sz w:val="19"/>
              </w:rPr>
              <w:t>Accommodation expenses</w:t>
            </w:r>
          </w:p>
        </w:tc>
        <w:tc>
          <w:tcPr>
            <w:tcW w:w="1151" w:type="dxa"/>
            <w:vMerge w:val="restart"/>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42"/>
              <w:ind w:right="111"/>
              <w:jc w:val="right"/>
              <w:rPr>
                <w:sz w:val="19"/>
              </w:rPr>
            </w:pPr>
            <w:r>
              <w:rPr>
                <w:w w:val="95"/>
                <w:sz w:val="19"/>
              </w:rPr>
              <w:t>26,644</w:t>
            </w:r>
          </w:p>
        </w:tc>
        <w:tc>
          <w:tcPr>
            <w:tcW w:w="1151" w:type="dxa"/>
            <w:shd w:val="clear" w:color="auto" w:fill="E1E4BB"/>
          </w:tcPr>
          <w:p>
            <w:pPr>
              <w:pStyle w:val="TableParagraph"/>
              <w:spacing w:before="42"/>
              <w:ind w:right="111"/>
              <w:jc w:val="right"/>
              <w:rPr>
                <w:sz w:val="19"/>
              </w:rPr>
            </w:pPr>
            <w:r>
              <w:rPr>
                <w:w w:val="95"/>
                <w:sz w:val="19"/>
              </w:rPr>
              <w:t>40,562</w:t>
            </w:r>
          </w:p>
        </w:tc>
        <w:tc>
          <w:tcPr>
            <w:tcW w:w="1548" w:type="dxa"/>
            <w:shd w:val="clear" w:color="auto" w:fill="FFFFFF"/>
          </w:tcPr>
          <w:p>
            <w:pPr>
              <w:pStyle w:val="TableParagraph"/>
              <w:spacing w:before="42"/>
              <w:ind w:right="112"/>
              <w:jc w:val="right"/>
              <w:rPr>
                <w:sz w:val="19"/>
              </w:rPr>
            </w:pPr>
            <w:r>
              <w:rPr>
                <w:w w:val="95"/>
                <w:sz w:val="19"/>
              </w:rPr>
              <w:t>42,236</w:t>
            </w:r>
          </w:p>
        </w:tc>
        <w:tc>
          <w:tcPr>
            <w:tcW w:w="2172" w:type="dxa"/>
            <w:shd w:val="clear" w:color="auto" w:fill="FFFFFF"/>
          </w:tcPr>
          <w:p>
            <w:pPr>
              <w:pStyle w:val="TableParagraph"/>
              <w:spacing w:before="42"/>
              <w:ind w:right="112"/>
              <w:jc w:val="right"/>
              <w:rPr>
                <w:sz w:val="19"/>
              </w:rPr>
            </w:pPr>
            <w:r>
              <w:rPr>
                <w:w w:val="95"/>
                <w:sz w:val="19"/>
              </w:rPr>
              <w:t>13,918</w:t>
            </w:r>
          </w:p>
        </w:tc>
        <w:tc>
          <w:tcPr>
            <w:tcW w:w="2569" w:type="dxa"/>
            <w:shd w:val="clear" w:color="auto" w:fill="FFFFFF"/>
          </w:tcPr>
          <w:p>
            <w:pPr>
              <w:pStyle w:val="TableParagraph"/>
              <w:spacing w:before="42"/>
              <w:ind w:right="113"/>
              <w:jc w:val="right"/>
              <w:rPr>
                <w:sz w:val="19"/>
              </w:rPr>
            </w:pPr>
            <w:r>
              <w:rPr>
                <w:w w:val="90"/>
                <w:sz w:val="19"/>
              </w:rPr>
              <w:t>(1,674)</w:t>
            </w:r>
          </w:p>
        </w:tc>
      </w:tr>
      <w:tr>
        <w:trPr>
          <w:trHeight w:val="341" w:hRule="atLeast"/>
        </w:trPr>
        <w:tc>
          <w:tcPr>
            <w:tcW w:w="5556" w:type="dxa"/>
            <w:shd w:val="clear" w:color="auto" w:fill="FFFFFF"/>
          </w:tcPr>
          <w:p>
            <w:pPr>
              <w:pStyle w:val="TableParagraph"/>
              <w:spacing w:before="57"/>
              <w:ind w:left="113"/>
              <w:rPr>
                <w:sz w:val="19"/>
              </w:rPr>
            </w:pPr>
            <w:r>
              <w:rPr>
                <w:sz w:val="19"/>
              </w:rPr>
              <w:t>Grants and subsidies</w:t>
            </w:r>
          </w:p>
        </w:tc>
        <w:tc>
          <w:tcPr>
            <w:tcW w:w="1151" w:type="dxa"/>
            <w:vMerge/>
            <w:tcBorders>
              <w:top w:val="nil"/>
            </w:tcBorders>
            <w:shd w:val="clear" w:color="auto" w:fill="FFFFFF"/>
          </w:tcPr>
          <w:p>
            <w:pPr>
              <w:rPr>
                <w:sz w:val="2"/>
                <w:szCs w:val="2"/>
              </w:rPr>
            </w:pPr>
          </w:p>
        </w:tc>
        <w:tc>
          <w:tcPr>
            <w:tcW w:w="1151" w:type="dxa"/>
            <w:shd w:val="clear" w:color="auto" w:fill="FFFFFF"/>
          </w:tcPr>
          <w:p>
            <w:pPr>
              <w:pStyle w:val="TableParagraph"/>
              <w:spacing w:before="57"/>
              <w:ind w:right="111"/>
              <w:jc w:val="right"/>
              <w:rPr>
                <w:sz w:val="19"/>
              </w:rPr>
            </w:pPr>
            <w:r>
              <w:rPr>
                <w:w w:val="95"/>
                <w:sz w:val="19"/>
              </w:rPr>
              <w:t>1,073</w:t>
            </w:r>
          </w:p>
        </w:tc>
        <w:tc>
          <w:tcPr>
            <w:tcW w:w="1151" w:type="dxa"/>
            <w:shd w:val="clear" w:color="auto" w:fill="E1E4BB"/>
          </w:tcPr>
          <w:p>
            <w:pPr>
              <w:pStyle w:val="TableParagraph"/>
              <w:spacing w:before="57"/>
              <w:ind w:right="111"/>
              <w:jc w:val="right"/>
              <w:rPr>
                <w:sz w:val="19"/>
              </w:rPr>
            </w:pPr>
            <w:r>
              <w:rPr>
                <w:w w:val="95"/>
                <w:sz w:val="19"/>
              </w:rPr>
              <w:t>578</w:t>
            </w:r>
          </w:p>
        </w:tc>
        <w:tc>
          <w:tcPr>
            <w:tcW w:w="1548" w:type="dxa"/>
            <w:shd w:val="clear" w:color="auto" w:fill="FFFFFF"/>
          </w:tcPr>
          <w:p>
            <w:pPr>
              <w:pStyle w:val="TableParagraph"/>
              <w:spacing w:before="57"/>
              <w:ind w:right="112"/>
              <w:jc w:val="right"/>
              <w:rPr>
                <w:sz w:val="19"/>
              </w:rPr>
            </w:pPr>
            <w:r>
              <w:rPr>
                <w:w w:val="95"/>
                <w:sz w:val="19"/>
              </w:rPr>
              <w:t>754</w:t>
            </w:r>
          </w:p>
        </w:tc>
        <w:tc>
          <w:tcPr>
            <w:tcW w:w="2172" w:type="dxa"/>
            <w:shd w:val="clear" w:color="auto" w:fill="FFFFFF"/>
          </w:tcPr>
          <w:p>
            <w:pPr>
              <w:pStyle w:val="TableParagraph"/>
              <w:spacing w:before="57"/>
              <w:ind w:right="112"/>
              <w:jc w:val="right"/>
              <w:rPr>
                <w:sz w:val="19"/>
              </w:rPr>
            </w:pPr>
            <w:r>
              <w:rPr>
                <w:w w:val="90"/>
                <w:sz w:val="19"/>
              </w:rPr>
              <w:t>(495)</w:t>
            </w:r>
          </w:p>
        </w:tc>
        <w:tc>
          <w:tcPr>
            <w:tcW w:w="2569" w:type="dxa"/>
            <w:shd w:val="clear" w:color="auto" w:fill="FFFFFF"/>
          </w:tcPr>
          <w:p>
            <w:pPr>
              <w:pStyle w:val="TableParagraph"/>
              <w:spacing w:before="57"/>
              <w:ind w:right="113"/>
              <w:jc w:val="right"/>
              <w:rPr>
                <w:sz w:val="19"/>
              </w:rPr>
            </w:pPr>
            <w:r>
              <w:rPr>
                <w:w w:val="90"/>
                <w:sz w:val="19"/>
              </w:rPr>
              <w:t>(176)</w:t>
            </w:r>
          </w:p>
        </w:tc>
      </w:tr>
      <w:tr>
        <w:trPr>
          <w:trHeight w:val="312" w:hRule="atLeast"/>
        </w:trPr>
        <w:tc>
          <w:tcPr>
            <w:tcW w:w="5556" w:type="dxa"/>
            <w:shd w:val="clear" w:color="auto" w:fill="FFFFFF"/>
          </w:tcPr>
          <w:p>
            <w:pPr>
              <w:pStyle w:val="TableParagraph"/>
              <w:spacing w:before="42"/>
              <w:ind w:left="113"/>
              <w:rPr>
                <w:sz w:val="19"/>
              </w:rPr>
            </w:pPr>
            <w:r>
              <w:rPr>
                <w:sz w:val="19"/>
              </w:rPr>
              <w:t>Loss on disposal of non-current assets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42"/>
              <w:ind w:right="111"/>
              <w:jc w:val="right"/>
              <w:rPr>
                <w:sz w:val="19"/>
              </w:rPr>
            </w:pPr>
            <w:r>
              <w:rPr>
                <w:w w:val="111"/>
                <w:sz w:val="19"/>
              </w:rPr>
              <w:t>-</w:t>
            </w:r>
          </w:p>
        </w:tc>
        <w:tc>
          <w:tcPr>
            <w:tcW w:w="1151" w:type="dxa"/>
            <w:shd w:val="clear" w:color="auto" w:fill="E1E4BB"/>
          </w:tcPr>
          <w:p>
            <w:pPr>
              <w:pStyle w:val="TableParagraph"/>
              <w:spacing w:before="42"/>
              <w:ind w:right="111"/>
              <w:jc w:val="right"/>
              <w:rPr>
                <w:sz w:val="19"/>
              </w:rPr>
            </w:pPr>
            <w:r>
              <w:rPr>
                <w:w w:val="95"/>
                <w:sz w:val="19"/>
              </w:rPr>
              <w:t>17</w:t>
            </w:r>
          </w:p>
        </w:tc>
        <w:tc>
          <w:tcPr>
            <w:tcW w:w="1548" w:type="dxa"/>
            <w:shd w:val="clear" w:color="auto" w:fill="FFFFFF"/>
          </w:tcPr>
          <w:p>
            <w:pPr>
              <w:pStyle w:val="TableParagraph"/>
              <w:spacing w:before="42"/>
              <w:ind w:right="112"/>
              <w:jc w:val="right"/>
              <w:rPr>
                <w:sz w:val="19"/>
              </w:rPr>
            </w:pPr>
            <w:r>
              <w:rPr>
                <w:w w:val="95"/>
                <w:sz w:val="19"/>
              </w:rPr>
              <w:t>10</w:t>
            </w:r>
          </w:p>
        </w:tc>
        <w:tc>
          <w:tcPr>
            <w:tcW w:w="2172" w:type="dxa"/>
            <w:shd w:val="clear" w:color="auto" w:fill="FFFFFF"/>
          </w:tcPr>
          <w:p>
            <w:pPr>
              <w:pStyle w:val="TableParagraph"/>
              <w:spacing w:before="42"/>
              <w:ind w:right="112"/>
              <w:jc w:val="right"/>
              <w:rPr>
                <w:sz w:val="19"/>
              </w:rPr>
            </w:pPr>
            <w:r>
              <w:rPr>
                <w:w w:val="95"/>
                <w:sz w:val="19"/>
              </w:rPr>
              <w:t>17</w:t>
            </w:r>
          </w:p>
        </w:tc>
        <w:tc>
          <w:tcPr>
            <w:tcW w:w="2569" w:type="dxa"/>
            <w:shd w:val="clear" w:color="auto" w:fill="FFFFFF"/>
          </w:tcPr>
          <w:p>
            <w:pPr>
              <w:pStyle w:val="TableParagraph"/>
              <w:spacing w:before="42"/>
              <w:ind w:right="113"/>
              <w:jc w:val="right"/>
              <w:rPr>
                <w:sz w:val="19"/>
              </w:rPr>
            </w:pPr>
            <w:r>
              <w:rPr>
                <w:w w:val="99"/>
                <w:sz w:val="19"/>
              </w:rPr>
              <w:t>7</w:t>
            </w:r>
          </w:p>
        </w:tc>
      </w:tr>
      <w:tr>
        <w:trPr>
          <w:trHeight w:val="331" w:hRule="atLeast"/>
        </w:trPr>
        <w:tc>
          <w:tcPr>
            <w:tcW w:w="5556" w:type="dxa"/>
            <w:shd w:val="clear" w:color="auto" w:fill="FFFFFF"/>
          </w:tcPr>
          <w:p>
            <w:pPr>
              <w:pStyle w:val="TableParagraph"/>
              <w:spacing w:before="57"/>
              <w:ind w:left="113"/>
              <w:rPr>
                <w:sz w:val="19"/>
              </w:rPr>
            </w:pPr>
            <w:r>
              <w:rPr>
                <w:sz w:val="19"/>
              </w:rPr>
              <w:t>Other expenses</w:t>
            </w:r>
          </w:p>
        </w:tc>
        <w:tc>
          <w:tcPr>
            <w:tcW w:w="1151" w:type="dxa"/>
            <w:shd w:val="clear" w:color="auto" w:fill="FFFFFF"/>
          </w:tcPr>
          <w:p>
            <w:pPr>
              <w:pStyle w:val="TableParagraph"/>
              <w:spacing w:before="57"/>
              <w:ind w:right="520"/>
              <w:jc w:val="right"/>
              <w:rPr>
                <w:sz w:val="19"/>
              </w:rPr>
            </w:pPr>
            <w:hyperlink w:history="true" w:anchor="_bookmark25">
              <w:r>
                <w:rPr>
                  <w:color w:val="6F2770"/>
                  <w:w w:val="99"/>
                  <w:sz w:val="19"/>
                  <w:u w:val="single" w:color="6F2770"/>
                </w:rPr>
                <w:t>2</w:t>
              </w:r>
            </w:hyperlink>
          </w:p>
        </w:tc>
        <w:tc>
          <w:tcPr>
            <w:tcW w:w="1151" w:type="dxa"/>
            <w:tcBorders>
              <w:bottom w:val="single" w:sz="4" w:space="0" w:color="58595B"/>
            </w:tcBorders>
            <w:shd w:val="clear" w:color="auto" w:fill="FFFFFF"/>
          </w:tcPr>
          <w:p>
            <w:pPr>
              <w:pStyle w:val="TableParagraph"/>
              <w:spacing w:before="57"/>
              <w:ind w:right="111"/>
              <w:jc w:val="right"/>
              <w:rPr>
                <w:sz w:val="19"/>
              </w:rPr>
            </w:pPr>
            <w:r>
              <w:rPr>
                <w:w w:val="95"/>
                <w:sz w:val="19"/>
              </w:rPr>
              <w:t>5,841</w:t>
            </w:r>
          </w:p>
        </w:tc>
        <w:tc>
          <w:tcPr>
            <w:tcW w:w="1151" w:type="dxa"/>
            <w:tcBorders>
              <w:bottom w:val="single" w:sz="4" w:space="0" w:color="58595B"/>
            </w:tcBorders>
            <w:shd w:val="clear" w:color="auto" w:fill="E1E4BB"/>
          </w:tcPr>
          <w:p>
            <w:pPr>
              <w:pStyle w:val="TableParagraph"/>
              <w:spacing w:before="57"/>
              <w:ind w:right="111"/>
              <w:jc w:val="right"/>
              <w:rPr>
                <w:sz w:val="19"/>
              </w:rPr>
            </w:pPr>
            <w:r>
              <w:rPr>
                <w:w w:val="95"/>
                <w:sz w:val="19"/>
              </w:rPr>
              <w:t>39,707</w:t>
            </w:r>
          </w:p>
        </w:tc>
        <w:tc>
          <w:tcPr>
            <w:tcW w:w="1548" w:type="dxa"/>
            <w:tcBorders>
              <w:bottom w:val="single" w:sz="4" w:space="0" w:color="58595B"/>
            </w:tcBorders>
            <w:shd w:val="clear" w:color="auto" w:fill="FFFFFF"/>
          </w:tcPr>
          <w:p>
            <w:pPr>
              <w:pStyle w:val="TableParagraph"/>
              <w:spacing w:before="57"/>
              <w:ind w:right="112"/>
              <w:jc w:val="right"/>
              <w:rPr>
                <w:sz w:val="19"/>
              </w:rPr>
            </w:pPr>
            <w:r>
              <w:rPr>
                <w:w w:val="95"/>
                <w:sz w:val="19"/>
              </w:rPr>
              <w:t>34,021</w:t>
            </w:r>
          </w:p>
        </w:tc>
        <w:tc>
          <w:tcPr>
            <w:tcW w:w="2172" w:type="dxa"/>
            <w:tcBorders>
              <w:bottom w:val="single" w:sz="4" w:space="0" w:color="58595B"/>
            </w:tcBorders>
            <w:shd w:val="clear" w:color="auto" w:fill="FFFFFF"/>
          </w:tcPr>
          <w:p>
            <w:pPr>
              <w:pStyle w:val="TableParagraph"/>
              <w:spacing w:before="57"/>
              <w:ind w:right="112"/>
              <w:jc w:val="right"/>
              <w:rPr>
                <w:sz w:val="19"/>
              </w:rPr>
            </w:pPr>
            <w:r>
              <w:rPr>
                <w:w w:val="95"/>
                <w:sz w:val="19"/>
              </w:rPr>
              <w:t>33,866</w:t>
            </w:r>
          </w:p>
        </w:tc>
        <w:tc>
          <w:tcPr>
            <w:tcW w:w="2569" w:type="dxa"/>
            <w:tcBorders>
              <w:bottom w:val="single" w:sz="4" w:space="0" w:color="58595B"/>
            </w:tcBorders>
            <w:shd w:val="clear" w:color="auto" w:fill="FFFFFF"/>
          </w:tcPr>
          <w:p>
            <w:pPr>
              <w:pStyle w:val="TableParagraph"/>
              <w:spacing w:before="57"/>
              <w:ind w:right="113"/>
              <w:jc w:val="right"/>
              <w:rPr>
                <w:sz w:val="19"/>
              </w:rPr>
            </w:pPr>
            <w:r>
              <w:rPr>
                <w:w w:val="95"/>
                <w:sz w:val="19"/>
              </w:rPr>
              <w:t>5,686</w:t>
            </w:r>
          </w:p>
        </w:tc>
      </w:tr>
      <w:tr>
        <w:trPr>
          <w:trHeight w:val="307"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cost of services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58595B"/>
              <w:left w:val="single" w:sz="8" w:space="0" w:color="FFFFFF"/>
              <w:bottom w:val="single" w:sz="4" w:space="0" w:color="000000"/>
            </w:tcBorders>
            <w:shd w:val="clear" w:color="auto" w:fill="F4F4F4"/>
          </w:tcPr>
          <w:p>
            <w:pPr>
              <w:pStyle w:val="TableParagraph"/>
              <w:ind w:right="111"/>
              <w:jc w:val="right"/>
              <w:rPr>
                <w:b/>
                <w:sz w:val="19"/>
              </w:rPr>
            </w:pPr>
            <w:r>
              <w:rPr>
                <w:b/>
                <w:w w:val="95"/>
                <w:sz w:val="19"/>
              </w:rPr>
              <w:t>1,435,195</w:t>
            </w:r>
          </w:p>
        </w:tc>
        <w:tc>
          <w:tcPr>
            <w:tcW w:w="1151" w:type="dxa"/>
            <w:tcBorders>
              <w:top w:val="single" w:sz="4" w:space="0" w:color="58595B"/>
              <w:bottom w:val="single" w:sz="4" w:space="0" w:color="000000"/>
            </w:tcBorders>
            <w:shd w:val="clear" w:color="auto" w:fill="DFE1B8"/>
          </w:tcPr>
          <w:p>
            <w:pPr>
              <w:pStyle w:val="TableParagraph"/>
              <w:ind w:right="111"/>
              <w:jc w:val="right"/>
              <w:rPr>
                <w:b/>
                <w:sz w:val="19"/>
              </w:rPr>
            </w:pPr>
            <w:r>
              <w:rPr>
                <w:b/>
                <w:w w:val="95"/>
                <w:sz w:val="19"/>
              </w:rPr>
              <w:t>1,377,832</w:t>
            </w:r>
          </w:p>
        </w:tc>
        <w:tc>
          <w:tcPr>
            <w:tcW w:w="1548" w:type="dxa"/>
            <w:tcBorders>
              <w:top w:val="single" w:sz="4" w:space="0" w:color="58595B"/>
              <w:bottom w:val="single" w:sz="4" w:space="0" w:color="000000"/>
              <w:right w:val="single" w:sz="8" w:space="0" w:color="FFFFFF"/>
            </w:tcBorders>
            <w:shd w:val="clear" w:color="auto" w:fill="F4F4F4"/>
          </w:tcPr>
          <w:p>
            <w:pPr>
              <w:pStyle w:val="TableParagraph"/>
              <w:ind w:right="102"/>
              <w:jc w:val="right"/>
              <w:rPr>
                <w:b/>
                <w:sz w:val="19"/>
              </w:rPr>
            </w:pPr>
            <w:r>
              <w:rPr>
                <w:b/>
                <w:w w:val="95"/>
                <w:sz w:val="19"/>
              </w:rPr>
              <w:t>1,242,978</w:t>
            </w:r>
          </w:p>
        </w:tc>
        <w:tc>
          <w:tcPr>
            <w:tcW w:w="2172" w:type="dxa"/>
            <w:tcBorders>
              <w:top w:val="single" w:sz="4" w:space="0" w:color="58595B"/>
              <w:left w:val="single" w:sz="8" w:space="0" w:color="FFFFFF"/>
              <w:bottom w:val="single" w:sz="4" w:space="0" w:color="000000"/>
              <w:right w:val="single" w:sz="8" w:space="0" w:color="FFFFFF"/>
            </w:tcBorders>
            <w:shd w:val="clear" w:color="auto" w:fill="F4F4F4"/>
          </w:tcPr>
          <w:p>
            <w:pPr>
              <w:pStyle w:val="TableParagraph"/>
              <w:ind w:right="102"/>
              <w:jc w:val="right"/>
              <w:rPr>
                <w:b/>
                <w:sz w:val="19"/>
              </w:rPr>
            </w:pPr>
            <w:r>
              <w:rPr>
                <w:b/>
                <w:w w:val="95"/>
                <w:sz w:val="19"/>
              </w:rPr>
              <w:t>(57,363)</w:t>
            </w:r>
          </w:p>
        </w:tc>
        <w:tc>
          <w:tcPr>
            <w:tcW w:w="2569" w:type="dxa"/>
            <w:tcBorders>
              <w:top w:val="single" w:sz="4" w:space="0" w:color="58595B"/>
              <w:left w:val="single" w:sz="8" w:space="0" w:color="FFFFFF"/>
              <w:bottom w:val="single" w:sz="4" w:space="0" w:color="000000"/>
            </w:tcBorders>
            <w:shd w:val="clear" w:color="auto" w:fill="F4F4F4"/>
          </w:tcPr>
          <w:p>
            <w:pPr>
              <w:pStyle w:val="TableParagraph"/>
              <w:ind w:right="113"/>
              <w:jc w:val="right"/>
              <w:rPr>
                <w:b/>
                <w:sz w:val="19"/>
              </w:rPr>
            </w:pPr>
            <w:r>
              <w:rPr>
                <w:b/>
                <w:w w:val="95"/>
                <w:sz w:val="19"/>
              </w:rPr>
              <w:t>134,854</w:t>
            </w:r>
          </w:p>
        </w:tc>
      </w:tr>
    </w:tbl>
    <w:p>
      <w:pPr>
        <w:spacing w:after="0"/>
        <w:jc w:val="right"/>
        <w:rPr>
          <w:sz w:val="19"/>
        </w:rPr>
        <w:sectPr>
          <w:footerReference w:type="default" r:id="rId185"/>
          <w:pgSz w:w="16840" w:h="11910" w:orient="landscape"/>
          <w:pgMar w:footer="774" w:header="0" w:top="0" w:bottom="960" w:left="0" w:right="0"/>
        </w:sectPr>
      </w:pPr>
    </w:p>
    <w:p>
      <w:pPr>
        <w:pStyle w:val="BodyText"/>
        <w:rPr>
          <w:sz w:val="20"/>
        </w:rPr>
      </w:pPr>
      <w:r>
        <w:rPr/>
        <w:pict>
          <v:group style="position:absolute;margin-left:488.692902pt;margin-top:541.450378pt;width:314.4pt;height:.550pt;mso-position-horizontal-relative:page;mso-position-vertical-relative:page;z-index:20800" coordorigin="9774,10829" coordsize="6288,11">
            <v:line style="position:absolute" from="9774,10834" to="11322,10834" stroked="true" strokeweight=".501pt" strokecolor="#000000">
              <v:stroke dashstyle="solid"/>
            </v:line>
            <v:line style="position:absolute" from="11322,10834" to="13493,10834" stroked="true" strokeweight=".501pt" strokecolor="#000000">
              <v:stroke dashstyle="solid"/>
            </v:line>
            <v:line style="position:absolute" from="13493,10834" to="16061,10834" stroked="true" strokeweight=".501pt" strokecolor="#000000">
              <v:stroke dashstyle="solid"/>
            </v:line>
            <w10:wrap type="none"/>
          </v:group>
        </w:pict>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rPr>
          <w:b/>
        </w:rPr>
      </w:pPr>
    </w:p>
    <w:p>
      <w:pPr>
        <w:pStyle w:val="Heading1"/>
        <w:spacing w:before="93"/>
        <w:ind w:left="785"/>
      </w:pPr>
      <w:r>
        <w:rPr/>
        <w:pict>
          <v:group style="position:absolute;margin-left:120.271004pt;margin-top:-57.324211pt;width:721.65pt;height:42.55pt;mso-position-horizontal-relative:page;mso-position-vertical-relative:paragraph;z-index:2096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BodyText"/>
        <w:spacing w:before="7"/>
        <w:rPr>
          <w:sz w:val="2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61"/>
        <w:gridCol w:w="1538"/>
        <w:gridCol w:w="2172"/>
        <w:gridCol w:w="2569"/>
      </w:tblGrid>
      <w:tr>
        <w:trPr>
          <w:trHeight w:val="771" w:hRule="atLeast"/>
        </w:trPr>
        <w:tc>
          <w:tcPr>
            <w:tcW w:w="6707" w:type="dxa"/>
            <w:gridSpan w:val="2"/>
            <w:shd w:val="clear" w:color="auto" w:fill="783A79"/>
          </w:tcPr>
          <w:p>
            <w:pPr>
              <w:pStyle w:val="TableParagraph"/>
              <w:spacing w:line="249" w:lineRule="auto" w:before="52"/>
              <w:ind w:left="5914" w:hanging="175"/>
              <w:rPr>
                <w:b/>
                <w:sz w:val="19"/>
              </w:rPr>
            </w:pPr>
            <w:r>
              <w:rPr>
                <w:b/>
                <w:color w:val="FFFFFF"/>
                <w:sz w:val="19"/>
              </w:rPr>
              <w:t>Variance Note</w:t>
            </w:r>
          </w:p>
        </w:tc>
        <w:tc>
          <w:tcPr>
            <w:tcW w:w="1151" w:type="dxa"/>
            <w:shd w:val="clear" w:color="auto" w:fill="783A79"/>
          </w:tcPr>
          <w:p>
            <w:pPr>
              <w:pStyle w:val="TableParagraph"/>
              <w:spacing w:before="52"/>
              <w:ind w:left="238"/>
              <w:rPr>
                <w:b/>
                <w:sz w:val="19"/>
              </w:rPr>
            </w:pPr>
            <w:r>
              <w:rPr>
                <w:b/>
                <w:color w:val="FFFFFF"/>
                <w:sz w:val="19"/>
              </w:rPr>
              <w:t>Estimate</w:t>
            </w:r>
          </w:p>
          <w:p>
            <w:pPr>
              <w:pStyle w:val="TableParagraph"/>
              <w:spacing w:before="10"/>
              <w:ind w:left="614"/>
              <w:rPr>
                <w:b/>
                <w:sz w:val="19"/>
              </w:rPr>
            </w:pPr>
            <w:r>
              <w:rPr>
                <w:b/>
                <w:color w:val="FFFFFF"/>
                <w:sz w:val="19"/>
              </w:rPr>
              <w:t>2018</w:t>
            </w:r>
          </w:p>
          <w:p>
            <w:pPr>
              <w:pStyle w:val="TableParagraph"/>
              <w:spacing w:before="9"/>
              <w:ind w:left="614"/>
              <w:rPr>
                <w:b/>
                <w:sz w:val="19"/>
              </w:rPr>
            </w:pPr>
            <w:r>
              <w:rPr>
                <w:b/>
                <w:color w:val="FFFFFF"/>
                <w:sz w:val="19"/>
              </w:rPr>
              <w:t>$000</w:t>
            </w:r>
          </w:p>
        </w:tc>
        <w:tc>
          <w:tcPr>
            <w:tcW w:w="1161" w:type="dxa"/>
            <w:shd w:val="clear" w:color="auto" w:fill="783A79"/>
          </w:tcPr>
          <w:p>
            <w:pPr>
              <w:pStyle w:val="TableParagraph"/>
              <w:spacing w:line="249" w:lineRule="auto" w:before="52"/>
              <w:ind w:left="614" w:right="104" w:hanging="155"/>
              <w:rPr>
                <w:b/>
                <w:sz w:val="19"/>
              </w:rPr>
            </w:pPr>
            <w:r>
              <w:rPr>
                <w:b/>
                <w:color w:val="FFFFFF"/>
                <w:w w:val="95"/>
                <w:sz w:val="19"/>
              </w:rPr>
              <w:t>Actual </w:t>
            </w:r>
            <w:r>
              <w:rPr>
                <w:b/>
                <w:color w:val="FFFFFF"/>
                <w:sz w:val="19"/>
              </w:rPr>
              <w:t>2018</w:t>
            </w:r>
          </w:p>
          <w:p>
            <w:pPr>
              <w:pStyle w:val="TableParagraph"/>
              <w:spacing w:before="2"/>
              <w:ind w:left="614"/>
              <w:rPr>
                <w:b/>
                <w:sz w:val="19"/>
              </w:rPr>
            </w:pPr>
            <w:r>
              <w:rPr>
                <w:b/>
                <w:color w:val="FFFFFF"/>
                <w:sz w:val="19"/>
              </w:rPr>
              <w:t>$000</w:t>
            </w:r>
          </w:p>
        </w:tc>
        <w:tc>
          <w:tcPr>
            <w:tcW w:w="1538" w:type="dxa"/>
            <w:shd w:val="clear" w:color="auto" w:fill="783A79"/>
          </w:tcPr>
          <w:p>
            <w:pPr>
              <w:pStyle w:val="TableParagraph"/>
              <w:spacing w:before="52"/>
              <w:ind w:left="371"/>
              <w:rPr>
                <w:b/>
                <w:sz w:val="19"/>
              </w:rPr>
            </w:pPr>
            <w:r>
              <w:rPr>
                <w:b/>
                <w:color w:val="FFFFFF"/>
                <w:sz w:val="19"/>
              </w:rPr>
              <w:t>Actual</w:t>
            </w:r>
            <w:r>
              <w:rPr>
                <w:b/>
                <w:color w:val="FFFFFF"/>
                <w:spacing w:val="-4"/>
                <w:sz w:val="19"/>
              </w:rPr>
              <w:t> </w:t>
            </w:r>
            <w:r>
              <w:rPr>
                <w:b/>
                <w:color w:val="FFFFFF"/>
                <w:sz w:val="19"/>
              </w:rPr>
              <w:t>2017</w:t>
            </w:r>
          </w:p>
          <w:p>
            <w:pPr>
              <w:pStyle w:val="TableParagraph"/>
              <w:spacing w:before="8"/>
              <w:rPr>
                <w:sz w:val="20"/>
              </w:rPr>
            </w:pPr>
          </w:p>
          <w:p>
            <w:pPr>
              <w:pStyle w:val="TableParagraph"/>
              <w:spacing w:before="0"/>
              <w:ind w:left="1001"/>
              <w:rPr>
                <w:b/>
                <w:sz w:val="19"/>
              </w:rPr>
            </w:pPr>
            <w:r>
              <w:rPr>
                <w:b/>
                <w:color w:val="FFFFFF"/>
                <w:sz w:val="19"/>
              </w:rPr>
              <w:t>$000</w:t>
            </w:r>
          </w:p>
        </w:tc>
        <w:tc>
          <w:tcPr>
            <w:tcW w:w="2172" w:type="dxa"/>
            <w:shd w:val="clear" w:color="auto" w:fill="783A79"/>
          </w:tcPr>
          <w:p>
            <w:pPr>
              <w:pStyle w:val="TableParagraph"/>
              <w:spacing w:line="249" w:lineRule="auto" w:before="52"/>
              <w:ind w:left="273" w:right="112"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12"/>
              <w:jc w:val="right"/>
              <w:rPr>
                <w:b/>
                <w:sz w:val="19"/>
              </w:rPr>
            </w:pPr>
            <w:r>
              <w:rPr>
                <w:b/>
                <w:color w:val="FFFFFF"/>
                <w:w w:val="95"/>
                <w:sz w:val="19"/>
              </w:rPr>
              <w:t>$000</w:t>
            </w:r>
          </w:p>
        </w:tc>
        <w:tc>
          <w:tcPr>
            <w:tcW w:w="2569" w:type="dxa"/>
            <w:shd w:val="clear" w:color="auto" w:fill="783A79"/>
          </w:tcPr>
          <w:p>
            <w:pPr>
              <w:pStyle w:val="TableParagraph"/>
              <w:spacing w:line="249" w:lineRule="auto" w:before="52"/>
              <w:ind w:left="193" w:right="113"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13"/>
              <w:jc w:val="right"/>
              <w:rPr>
                <w:b/>
                <w:sz w:val="19"/>
              </w:rPr>
            </w:pPr>
            <w:r>
              <w:rPr>
                <w:b/>
                <w:color w:val="FFFFFF"/>
                <w:w w:val="95"/>
                <w:sz w:val="19"/>
              </w:rPr>
              <w:t>$000</w:t>
            </w:r>
          </w:p>
        </w:tc>
      </w:tr>
      <w:tr>
        <w:trPr>
          <w:trHeight w:val="322" w:hRule="atLeast"/>
        </w:trPr>
        <w:tc>
          <w:tcPr>
            <w:tcW w:w="5556" w:type="dxa"/>
            <w:vMerge w:val="restart"/>
            <w:shd w:val="clear" w:color="auto" w:fill="FFFFFF"/>
          </w:tcPr>
          <w:p>
            <w:pPr>
              <w:pStyle w:val="TableParagraph"/>
              <w:spacing w:before="42"/>
              <w:ind w:left="113"/>
              <w:rPr>
                <w:b/>
                <w:sz w:val="19"/>
              </w:rPr>
            </w:pPr>
            <w:r>
              <w:rPr>
                <w:b/>
                <w:sz w:val="19"/>
              </w:rPr>
              <w:t>Income</w:t>
            </w:r>
          </w:p>
          <w:p>
            <w:pPr>
              <w:pStyle w:val="TableParagraph"/>
              <w:spacing w:before="109"/>
              <w:ind w:left="113"/>
              <w:rPr>
                <w:i/>
                <w:sz w:val="19"/>
              </w:rPr>
            </w:pPr>
            <w:r>
              <w:rPr>
                <w:i/>
                <w:sz w:val="19"/>
              </w:rPr>
              <w:t>Revenue</w:t>
            </w:r>
          </w:p>
        </w:tc>
        <w:tc>
          <w:tcPr>
            <w:tcW w:w="1151" w:type="dxa"/>
            <w:vMerge w:val="restart"/>
            <w:shd w:val="clear" w:color="auto" w:fill="FFFFFF"/>
          </w:tcPr>
          <w:p>
            <w:pPr>
              <w:pStyle w:val="TableParagraph"/>
              <w:spacing w:before="0"/>
              <w:rPr>
                <w:rFonts w:ascii="Times New Roman"/>
                <w:sz w:val="20"/>
              </w:rPr>
            </w:pPr>
          </w:p>
        </w:tc>
        <w:tc>
          <w:tcPr>
            <w:tcW w:w="1151" w:type="dxa"/>
            <w:vMerge w:val="restart"/>
            <w:shd w:val="clear" w:color="auto" w:fill="FFFFFF"/>
          </w:tcPr>
          <w:p>
            <w:pPr>
              <w:pStyle w:val="TableParagraph"/>
              <w:spacing w:before="0"/>
              <w:rPr>
                <w:rFonts w:ascii="Times New Roman"/>
                <w:sz w:val="20"/>
              </w:rPr>
            </w:pPr>
          </w:p>
        </w:tc>
        <w:tc>
          <w:tcPr>
            <w:tcW w:w="1161"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91"/>
              <w:ind w:left="191"/>
              <w:rPr>
                <w:sz w:val="19"/>
              </w:rPr>
            </w:pPr>
            <w:r>
              <w:rPr>
                <w:sz w:val="19"/>
              </w:rPr>
              <w:t>1,176,982</w:t>
            </w:r>
          </w:p>
          <w:p>
            <w:pPr>
              <w:pStyle w:val="TableParagraph"/>
              <w:spacing w:before="108"/>
              <w:ind w:left="540" w:right="103"/>
              <w:jc w:val="center"/>
              <w:rPr>
                <w:sz w:val="19"/>
              </w:rPr>
            </w:pPr>
            <w:r>
              <w:rPr>
                <w:sz w:val="19"/>
              </w:rPr>
              <w:t>7,085</w:t>
            </w:r>
          </w:p>
          <w:p>
            <w:pPr>
              <w:pStyle w:val="TableParagraph"/>
              <w:spacing w:before="109"/>
              <w:ind w:left="699" w:right="103"/>
              <w:jc w:val="center"/>
              <w:rPr>
                <w:sz w:val="19"/>
              </w:rPr>
            </w:pPr>
            <w:r>
              <w:rPr>
                <w:sz w:val="19"/>
              </w:rPr>
              <w:t>298</w:t>
            </w:r>
          </w:p>
          <w:p>
            <w:pPr>
              <w:pStyle w:val="TableParagraph"/>
              <w:spacing w:before="109"/>
              <w:ind w:left="540" w:right="103"/>
              <w:jc w:val="center"/>
              <w:rPr>
                <w:sz w:val="19"/>
              </w:rPr>
            </w:pPr>
            <w:r>
              <w:rPr>
                <w:sz w:val="19"/>
              </w:rPr>
              <w:t>6,566</w:t>
            </w:r>
          </w:p>
        </w:tc>
        <w:tc>
          <w:tcPr>
            <w:tcW w:w="1538" w:type="dxa"/>
            <w:tcBorders>
              <w:right w:val="single" w:sz="8" w:space="0" w:color="FFFFFF"/>
            </w:tcBorders>
            <w:shd w:val="clear" w:color="auto" w:fill="F4F4F4"/>
          </w:tcPr>
          <w:p>
            <w:pPr>
              <w:pStyle w:val="TableParagraph"/>
              <w:spacing w:before="0"/>
              <w:rPr>
                <w:rFonts w:ascii="Times New Roman"/>
                <w:sz w:val="20"/>
              </w:rPr>
            </w:pPr>
          </w:p>
        </w:tc>
        <w:tc>
          <w:tcPr>
            <w:tcW w:w="2172"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2569" w:type="dxa"/>
            <w:tcBorders>
              <w:left w:val="single" w:sz="8" w:space="0" w:color="FFFFFF"/>
            </w:tcBorders>
            <w:shd w:val="clear" w:color="auto" w:fill="F4F4F4"/>
          </w:tcPr>
          <w:p>
            <w:pPr>
              <w:pStyle w:val="TableParagraph"/>
              <w:spacing w:before="0"/>
              <w:rPr>
                <w:rFonts w:ascii="Times New Roman"/>
                <w:sz w:val="20"/>
              </w:rPr>
            </w:pPr>
          </w:p>
        </w:tc>
      </w:tr>
      <w:tr>
        <w:trPr>
          <w:trHeight w:val="312"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61" w:type="dxa"/>
            <w:vMerge/>
            <w:tcBorders>
              <w:top w:val="nil"/>
              <w:bottom w:val="single" w:sz="4" w:space="0" w:color="000000"/>
            </w:tcBorders>
            <w:shd w:val="clear" w:color="auto" w:fill="E1E4BB"/>
          </w:tcPr>
          <w:p>
            <w:pPr>
              <w:rPr>
                <w:sz w:val="2"/>
                <w:szCs w:val="2"/>
              </w:rPr>
            </w:pPr>
          </w:p>
        </w:tc>
        <w:tc>
          <w:tcPr>
            <w:tcW w:w="1538" w:type="dxa"/>
            <w:tcBorders>
              <w:bottom w:val="single" w:sz="8" w:space="0" w:color="FFFFFF"/>
              <w:right w:val="single" w:sz="8" w:space="0" w:color="FFFFFF"/>
            </w:tcBorders>
            <w:shd w:val="clear" w:color="auto" w:fill="FAF9F9"/>
          </w:tcPr>
          <w:p>
            <w:pPr>
              <w:pStyle w:val="TableParagraph"/>
              <w:spacing w:before="0"/>
              <w:rPr>
                <w:rFonts w:ascii="Times New Roman"/>
                <w:sz w:val="20"/>
              </w:rPr>
            </w:pPr>
          </w:p>
        </w:tc>
        <w:tc>
          <w:tcPr>
            <w:tcW w:w="2172"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2569" w:type="dxa"/>
            <w:tcBorders>
              <w:left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634" w:hRule="atLeast"/>
        </w:trPr>
        <w:tc>
          <w:tcPr>
            <w:tcW w:w="5556" w:type="dxa"/>
            <w:shd w:val="clear" w:color="auto" w:fill="FFFFFF"/>
          </w:tcPr>
          <w:p>
            <w:pPr>
              <w:pStyle w:val="TableParagraph"/>
              <w:ind w:left="113"/>
              <w:rPr>
                <w:sz w:val="19"/>
              </w:rPr>
            </w:pPr>
            <w:r>
              <w:rPr>
                <w:sz w:val="19"/>
              </w:rPr>
              <w:t>User charges and fees</w:t>
            </w:r>
          </w:p>
          <w:p>
            <w:pPr>
              <w:pStyle w:val="TableParagraph"/>
              <w:spacing w:before="109"/>
              <w:ind w:left="113"/>
              <w:rPr>
                <w:sz w:val="19"/>
              </w:rPr>
            </w:pPr>
            <w:r>
              <w:rPr>
                <w:sz w:val="19"/>
              </w:rPr>
              <w:t>Commonwealth grants and contributions</w:t>
            </w:r>
          </w:p>
        </w:tc>
        <w:tc>
          <w:tcPr>
            <w:tcW w:w="1151" w:type="dxa"/>
            <w:shd w:val="clear" w:color="auto" w:fill="FFFFFF"/>
          </w:tcPr>
          <w:p>
            <w:pPr>
              <w:pStyle w:val="TableParagraph"/>
              <w:jc w:val="center"/>
              <w:rPr>
                <w:sz w:val="19"/>
              </w:rPr>
            </w:pPr>
            <w:hyperlink w:history="true" w:anchor="_bookmark26">
              <w:r>
                <w:rPr>
                  <w:color w:val="6F2770"/>
                  <w:w w:val="99"/>
                  <w:sz w:val="19"/>
                  <w:u w:val="single" w:color="6F2770"/>
                </w:rPr>
                <w:t>3</w:t>
              </w:r>
            </w:hyperlink>
          </w:p>
        </w:tc>
        <w:tc>
          <w:tcPr>
            <w:tcW w:w="1151" w:type="dxa"/>
            <w:shd w:val="clear" w:color="auto" w:fill="FFFFFF"/>
          </w:tcPr>
          <w:p>
            <w:pPr>
              <w:pStyle w:val="TableParagraph"/>
              <w:ind w:left="192"/>
              <w:rPr>
                <w:sz w:val="19"/>
              </w:rPr>
            </w:pPr>
            <w:r>
              <w:rPr>
                <w:sz w:val="19"/>
              </w:rPr>
              <w:t>1,272,747</w:t>
            </w:r>
          </w:p>
          <w:p>
            <w:pPr>
              <w:pStyle w:val="TableParagraph"/>
              <w:spacing w:before="109"/>
              <w:ind w:left="561"/>
              <w:rPr>
                <w:sz w:val="19"/>
              </w:rPr>
            </w:pPr>
            <w:r>
              <w:rPr>
                <w:sz w:val="19"/>
              </w:rPr>
              <w:t>1,425</w:t>
            </w:r>
          </w:p>
        </w:tc>
        <w:tc>
          <w:tcPr>
            <w:tcW w:w="1161" w:type="dxa"/>
            <w:vMerge/>
            <w:tcBorders>
              <w:top w:val="nil"/>
              <w:bottom w:val="single" w:sz="4" w:space="0" w:color="000000"/>
            </w:tcBorders>
            <w:shd w:val="clear" w:color="auto" w:fill="E1E4BB"/>
          </w:tcPr>
          <w:p>
            <w:pPr>
              <w:rPr>
                <w:sz w:val="2"/>
                <w:szCs w:val="2"/>
              </w:rPr>
            </w:pPr>
          </w:p>
        </w:tc>
        <w:tc>
          <w:tcPr>
            <w:tcW w:w="1538" w:type="dxa"/>
            <w:tcBorders>
              <w:top w:val="single" w:sz="8" w:space="0" w:color="FFFFFF"/>
              <w:bottom w:val="single" w:sz="8" w:space="0" w:color="FFFFFF"/>
              <w:right w:val="single" w:sz="8" w:space="0" w:color="FFFFFF"/>
            </w:tcBorders>
            <w:shd w:val="clear" w:color="auto" w:fill="FAF9F9"/>
          </w:tcPr>
          <w:p>
            <w:pPr>
              <w:pStyle w:val="TableParagraph"/>
              <w:ind w:left="578"/>
              <w:rPr>
                <w:sz w:val="19"/>
              </w:rPr>
            </w:pPr>
            <w:r>
              <w:rPr>
                <w:sz w:val="19"/>
              </w:rPr>
              <w:t>1,058,030</w:t>
            </w:r>
          </w:p>
          <w:p>
            <w:pPr>
              <w:pStyle w:val="TableParagraph"/>
              <w:spacing w:before="109"/>
              <w:ind w:left="948"/>
              <w:rPr>
                <w:sz w:val="19"/>
              </w:rPr>
            </w:pPr>
            <w:r>
              <w:rPr>
                <w:sz w:val="19"/>
              </w:rPr>
              <w:t>3,492</w:t>
            </w:r>
          </w:p>
        </w:tc>
        <w:tc>
          <w:tcPr>
            <w:tcW w:w="2172" w:type="dxa"/>
            <w:tcBorders>
              <w:top w:val="single" w:sz="8" w:space="0" w:color="FFFFFF"/>
              <w:left w:val="single" w:sz="8" w:space="0" w:color="FFFFFF"/>
              <w:bottom w:val="single" w:sz="8" w:space="0" w:color="FFFFFF"/>
              <w:right w:val="single" w:sz="8" w:space="0" w:color="FFFFFF"/>
            </w:tcBorders>
            <w:shd w:val="clear" w:color="auto" w:fill="FAF9F9"/>
          </w:tcPr>
          <w:p>
            <w:pPr>
              <w:pStyle w:val="TableParagraph"/>
              <w:ind w:right="102"/>
              <w:jc w:val="right"/>
              <w:rPr>
                <w:sz w:val="19"/>
              </w:rPr>
            </w:pPr>
            <w:r>
              <w:rPr>
                <w:spacing w:val="-1"/>
                <w:w w:val="95"/>
                <w:sz w:val="19"/>
              </w:rPr>
              <w:t>(95,765)</w:t>
            </w:r>
          </w:p>
          <w:p>
            <w:pPr>
              <w:pStyle w:val="TableParagraph"/>
              <w:spacing w:before="109"/>
              <w:ind w:right="102"/>
              <w:jc w:val="right"/>
              <w:rPr>
                <w:sz w:val="19"/>
              </w:rPr>
            </w:pPr>
            <w:r>
              <w:rPr>
                <w:spacing w:val="-1"/>
                <w:sz w:val="19"/>
              </w:rPr>
              <w:t>5,660</w:t>
            </w:r>
          </w:p>
        </w:tc>
        <w:tc>
          <w:tcPr>
            <w:tcW w:w="2569" w:type="dxa"/>
            <w:tcBorders>
              <w:top w:val="single" w:sz="8" w:space="0" w:color="FFFFFF"/>
              <w:left w:val="single" w:sz="8" w:space="0" w:color="FFFFFF"/>
              <w:bottom w:val="single" w:sz="8" w:space="0" w:color="FFFFFF"/>
            </w:tcBorders>
            <w:shd w:val="clear" w:color="auto" w:fill="FAF9F9"/>
          </w:tcPr>
          <w:p>
            <w:pPr>
              <w:pStyle w:val="TableParagraph"/>
              <w:ind w:right="113"/>
              <w:jc w:val="right"/>
              <w:rPr>
                <w:sz w:val="19"/>
              </w:rPr>
            </w:pPr>
            <w:r>
              <w:rPr>
                <w:w w:val="95"/>
                <w:sz w:val="19"/>
              </w:rPr>
              <w:t>118,952</w:t>
            </w:r>
          </w:p>
          <w:p>
            <w:pPr>
              <w:pStyle w:val="TableParagraph"/>
              <w:spacing w:before="109"/>
              <w:ind w:right="113"/>
              <w:jc w:val="right"/>
              <w:rPr>
                <w:sz w:val="19"/>
              </w:rPr>
            </w:pPr>
            <w:r>
              <w:rPr>
                <w:spacing w:val="-1"/>
                <w:sz w:val="19"/>
              </w:rPr>
              <w:t>3,593</w:t>
            </w:r>
          </w:p>
        </w:tc>
      </w:tr>
      <w:tr>
        <w:trPr>
          <w:trHeight w:val="639" w:hRule="atLeast"/>
        </w:trPr>
        <w:tc>
          <w:tcPr>
            <w:tcW w:w="5556" w:type="dxa"/>
            <w:shd w:val="clear" w:color="auto" w:fill="FFFFFF"/>
          </w:tcPr>
          <w:p>
            <w:pPr>
              <w:pStyle w:val="TableParagraph"/>
              <w:ind w:left="113"/>
              <w:rPr>
                <w:sz w:val="19"/>
              </w:rPr>
            </w:pPr>
            <w:r>
              <w:rPr>
                <w:sz w:val="19"/>
              </w:rPr>
              <w:t>Interest revenue</w:t>
            </w:r>
          </w:p>
          <w:p>
            <w:pPr>
              <w:pStyle w:val="TableParagraph"/>
              <w:spacing w:before="109"/>
              <w:ind w:left="113"/>
              <w:rPr>
                <w:sz w:val="19"/>
              </w:rPr>
            </w:pPr>
            <w:r>
              <w:rPr>
                <w:sz w:val="19"/>
              </w:rPr>
              <w:t>Other revenue</w:t>
            </w:r>
          </w:p>
        </w:tc>
        <w:tc>
          <w:tcPr>
            <w:tcW w:w="1151" w:type="dxa"/>
            <w:shd w:val="clear" w:color="auto" w:fill="FFFFFF"/>
          </w:tcPr>
          <w:p>
            <w:pPr>
              <w:pStyle w:val="TableParagraph"/>
              <w:spacing w:before="0"/>
              <w:rPr>
                <w:rFonts w:ascii="Times New Roman"/>
                <w:sz w:val="20"/>
              </w:rPr>
            </w:pPr>
          </w:p>
        </w:tc>
        <w:tc>
          <w:tcPr>
            <w:tcW w:w="1151" w:type="dxa"/>
            <w:tcBorders>
              <w:bottom w:val="single" w:sz="4" w:space="0" w:color="000000"/>
            </w:tcBorders>
            <w:shd w:val="clear" w:color="auto" w:fill="FFFFFF"/>
          </w:tcPr>
          <w:p>
            <w:pPr>
              <w:pStyle w:val="TableParagraph"/>
              <w:ind w:left="665" w:right="59"/>
              <w:jc w:val="center"/>
              <w:rPr>
                <w:sz w:val="19"/>
              </w:rPr>
            </w:pPr>
            <w:r>
              <w:rPr>
                <w:sz w:val="19"/>
              </w:rPr>
              <w:t>156</w:t>
            </w:r>
          </w:p>
          <w:p>
            <w:pPr>
              <w:pStyle w:val="TableParagraph"/>
              <w:spacing w:before="109"/>
              <w:ind w:left="507" w:right="59"/>
              <w:jc w:val="center"/>
              <w:rPr>
                <w:sz w:val="19"/>
              </w:rPr>
            </w:pPr>
            <w:r>
              <w:rPr>
                <w:sz w:val="19"/>
              </w:rPr>
              <w:t>9,545</w:t>
            </w:r>
          </w:p>
        </w:tc>
        <w:tc>
          <w:tcPr>
            <w:tcW w:w="1161" w:type="dxa"/>
            <w:vMerge/>
            <w:tcBorders>
              <w:top w:val="nil"/>
              <w:bottom w:val="single" w:sz="4" w:space="0" w:color="000000"/>
            </w:tcBorders>
            <w:shd w:val="clear" w:color="auto" w:fill="E1E4BB"/>
          </w:tcPr>
          <w:p>
            <w:pPr>
              <w:rPr>
                <w:sz w:val="2"/>
                <w:szCs w:val="2"/>
              </w:rPr>
            </w:pPr>
          </w:p>
        </w:tc>
        <w:tc>
          <w:tcPr>
            <w:tcW w:w="1538" w:type="dxa"/>
            <w:tcBorders>
              <w:top w:val="single" w:sz="8" w:space="0" w:color="FFFFFF"/>
              <w:bottom w:val="single" w:sz="4" w:space="0" w:color="000000"/>
              <w:right w:val="single" w:sz="8" w:space="0" w:color="FFFFFF"/>
            </w:tcBorders>
            <w:shd w:val="clear" w:color="auto" w:fill="FAF9F9"/>
          </w:tcPr>
          <w:p>
            <w:pPr>
              <w:pStyle w:val="TableParagraph"/>
              <w:ind w:right="102"/>
              <w:jc w:val="right"/>
              <w:rPr>
                <w:sz w:val="19"/>
              </w:rPr>
            </w:pPr>
            <w:r>
              <w:rPr>
                <w:w w:val="95"/>
                <w:sz w:val="19"/>
              </w:rPr>
              <w:t>473</w:t>
            </w:r>
          </w:p>
          <w:p>
            <w:pPr>
              <w:pStyle w:val="TableParagraph"/>
              <w:spacing w:before="109"/>
              <w:ind w:right="102"/>
              <w:jc w:val="right"/>
              <w:rPr>
                <w:sz w:val="19"/>
              </w:rPr>
            </w:pPr>
            <w:r>
              <w:rPr>
                <w:spacing w:val="-1"/>
                <w:sz w:val="19"/>
              </w:rPr>
              <w:t>10,615</w:t>
            </w:r>
          </w:p>
        </w:tc>
        <w:tc>
          <w:tcPr>
            <w:tcW w:w="2172" w:type="dxa"/>
            <w:tcBorders>
              <w:top w:val="single" w:sz="8" w:space="0" w:color="FFFFFF"/>
              <w:left w:val="single" w:sz="8" w:space="0" w:color="FFFFFF"/>
              <w:bottom w:val="single" w:sz="4" w:space="0" w:color="000000"/>
              <w:right w:val="single" w:sz="8" w:space="0" w:color="FFFFFF"/>
            </w:tcBorders>
            <w:shd w:val="clear" w:color="auto" w:fill="FAF9F9"/>
          </w:tcPr>
          <w:p>
            <w:pPr>
              <w:pStyle w:val="TableParagraph"/>
              <w:ind w:right="102"/>
              <w:jc w:val="right"/>
              <w:rPr>
                <w:sz w:val="19"/>
              </w:rPr>
            </w:pPr>
            <w:r>
              <w:rPr>
                <w:w w:val="95"/>
                <w:sz w:val="19"/>
              </w:rPr>
              <w:t>142</w:t>
            </w:r>
          </w:p>
          <w:p>
            <w:pPr>
              <w:pStyle w:val="TableParagraph"/>
              <w:spacing w:before="109"/>
              <w:ind w:right="102"/>
              <w:jc w:val="right"/>
              <w:rPr>
                <w:sz w:val="19"/>
              </w:rPr>
            </w:pPr>
            <w:r>
              <w:rPr>
                <w:w w:val="90"/>
                <w:sz w:val="19"/>
              </w:rPr>
              <w:t>(2,979)</w:t>
            </w:r>
          </w:p>
        </w:tc>
        <w:tc>
          <w:tcPr>
            <w:tcW w:w="2569" w:type="dxa"/>
            <w:tcBorders>
              <w:top w:val="single" w:sz="8" w:space="0" w:color="FFFFFF"/>
              <w:left w:val="single" w:sz="8" w:space="0" w:color="FFFFFF"/>
              <w:bottom w:val="single" w:sz="4" w:space="0" w:color="000000"/>
            </w:tcBorders>
            <w:shd w:val="clear" w:color="auto" w:fill="FAF9F9"/>
          </w:tcPr>
          <w:p>
            <w:pPr>
              <w:pStyle w:val="TableParagraph"/>
              <w:ind w:right="113"/>
              <w:jc w:val="right"/>
              <w:rPr>
                <w:sz w:val="19"/>
              </w:rPr>
            </w:pPr>
            <w:r>
              <w:rPr>
                <w:w w:val="90"/>
                <w:sz w:val="19"/>
              </w:rPr>
              <w:t>(175)</w:t>
            </w:r>
          </w:p>
          <w:p>
            <w:pPr>
              <w:pStyle w:val="TableParagraph"/>
              <w:spacing w:before="109"/>
              <w:ind w:right="113"/>
              <w:jc w:val="right"/>
              <w:rPr>
                <w:sz w:val="19"/>
              </w:rPr>
            </w:pPr>
            <w:r>
              <w:rPr>
                <w:w w:val="90"/>
                <w:sz w:val="19"/>
              </w:rPr>
              <w:t>(4,049)</w:t>
            </w:r>
          </w:p>
        </w:tc>
      </w:tr>
      <w:tr>
        <w:trPr>
          <w:trHeight w:val="317" w:hRule="atLeast"/>
        </w:trPr>
        <w:tc>
          <w:tcPr>
            <w:tcW w:w="5556" w:type="dxa"/>
            <w:vMerge w:val="restart"/>
            <w:shd w:val="clear" w:color="auto" w:fill="FFFFFF"/>
          </w:tcPr>
          <w:p>
            <w:pPr>
              <w:pStyle w:val="TableParagraph"/>
              <w:spacing w:before="37"/>
              <w:ind w:left="113"/>
              <w:rPr>
                <w:b/>
                <w:sz w:val="19"/>
              </w:rPr>
            </w:pPr>
            <w:r>
              <w:rPr>
                <w:b/>
                <w:sz w:val="19"/>
              </w:rPr>
              <w:t>Total revenue</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spacing w:before="37"/>
              <w:ind w:right="111"/>
              <w:jc w:val="right"/>
              <w:rPr>
                <w:b/>
                <w:sz w:val="19"/>
              </w:rPr>
            </w:pPr>
            <w:r>
              <w:rPr>
                <w:b/>
                <w:w w:val="95"/>
                <w:sz w:val="19"/>
              </w:rPr>
              <w:t>1,283,873</w:t>
            </w:r>
          </w:p>
        </w:tc>
        <w:tc>
          <w:tcPr>
            <w:tcW w:w="1161" w:type="dxa"/>
            <w:tcBorders>
              <w:top w:val="single" w:sz="4" w:space="0" w:color="000000"/>
              <w:bottom w:val="single" w:sz="4" w:space="0" w:color="000000"/>
            </w:tcBorders>
            <w:shd w:val="clear" w:color="auto" w:fill="DFE1B8"/>
          </w:tcPr>
          <w:p>
            <w:pPr>
              <w:pStyle w:val="TableParagraph"/>
              <w:spacing w:before="37"/>
              <w:ind w:right="121"/>
              <w:jc w:val="right"/>
              <w:rPr>
                <w:b/>
                <w:sz w:val="19"/>
              </w:rPr>
            </w:pPr>
            <w:r>
              <w:rPr>
                <w:b/>
                <w:w w:val="95"/>
                <w:sz w:val="19"/>
              </w:rPr>
              <w:t>1,190,931</w:t>
            </w:r>
          </w:p>
        </w:tc>
        <w:tc>
          <w:tcPr>
            <w:tcW w:w="1538" w:type="dxa"/>
            <w:tcBorders>
              <w:top w:val="single" w:sz="4" w:space="0" w:color="000000"/>
              <w:bottom w:val="single" w:sz="4" w:space="0" w:color="000000"/>
              <w:right w:val="single" w:sz="8" w:space="0" w:color="FFFFFF"/>
            </w:tcBorders>
            <w:shd w:val="clear" w:color="auto" w:fill="F4F4F4"/>
          </w:tcPr>
          <w:p>
            <w:pPr>
              <w:pStyle w:val="TableParagraph"/>
              <w:spacing w:before="37"/>
              <w:ind w:right="102"/>
              <w:jc w:val="right"/>
              <w:rPr>
                <w:b/>
                <w:sz w:val="19"/>
              </w:rPr>
            </w:pPr>
            <w:r>
              <w:rPr>
                <w:b/>
                <w:w w:val="95"/>
                <w:sz w:val="19"/>
              </w:rPr>
              <w:t>1,072,610</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7"/>
              <w:ind w:right="102"/>
              <w:jc w:val="right"/>
              <w:rPr>
                <w:b/>
                <w:sz w:val="19"/>
              </w:rPr>
            </w:pPr>
            <w:r>
              <w:rPr>
                <w:b/>
                <w:w w:val="95"/>
                <w:sz w:val="19"/>
              </w:rPr>
              <w:t>(92,942)</w:t>
            </w:r>
          </w:p>
        </w:tc>
        <w:tc>
          <w:tcPr>
            <w:tcW w:w="2569" w:type="dxa"/>
            <w:tcBorders>
              <w:top w:val="single" w:sz="4" w:space="0" w:color="000000"/>
              <w:left w:val="single" w:sz="8" w:space="0" w:color="FFFFFF"/>
              <w:bottom w:val="single" w:sz="4" w:space="0" w:color="000000"/>
            </w:tcBorders>
            <w:shd w:val="clear" w:color="auto" w:fill="F4F4F4"/>
          </w:tcPr>
          <w:p>
            <w:pPr>
              <w:pStyle w:val="TableParagraph"/>
              <w:spacing w:before="37"/>
              <w:ind w:right="113"/>
              <w:jc w:val="right"/>
              <w:rPr>
                <w:b/>
                <w:sz w:val="19"/>
              </w:rPr>
            </w:pPr>
            <w:r>
              <w:rPr>
                <w:b/>
                <w:w w:val="95"/>
                <w:sz w:val="19"/>
              </w:rPr>
              <w:t>118,321</w:t>
            </w:r>
          </w:p>
        </w:tc>
      </w:tr>
      <w:tr>
        <w:trPr>
          <w:trHeight w:val="312"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161" w:type="dxa"/>
            <w:vMerge w:val="restart"/>
            <w:tcBorders>
              <w:top w:val="single" w:sz="4" w:space="0" w:color="000000"/>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186"/>
              <w:ind w:left="561"/>
              <w:rPr>
                <w:sz w:val="19"/>
              </w:rPr>
            </w:pPr>
            <w:r>
              <w:rPr>
                <w:sz w:val="19"/>
              </w:rPr>
              <w:t>2,179</w:t>
            </w:r>
          </w:p>
        </w:tc>
        <w:tc>
          <w:tcPr>
            <w:tcW w:w="6279" w:type="dxa"/>
            <w:gridSpan w:val="3"/>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639" w:hRule="atLeast"/>
        </w:trPr>
        <w:tc>
          <w:tcPr>
            <w:tcW w:w="5556" w:type="dxa"/>
            <w:shd w:val="clear" w:color="auto" w:fill="FFFFFF"/>
          </w:tcPr>
          <w:p>
            <w:pPr>
              <w:pStyle w:val="TableParagraph"/>
              <w:ind w:left="113"/>
              <w:rPr>
                <w:i/>
                <w:sz w:val="19"/>
              </w:rPr>
            </w:pPr>
            <w:r>
              <w:rPr>
                <w:i/>
                <w:sz w:val="19"/>
              </w:rPr>
              <w:t>Gains</w:t>
            </w:r>
          </w:p>
          <w:p>
            <w:pPr>
              <w:pStyle w:val="TableParagraph"/>
              <w:spacing w:before="109"/>
              <w:ind w:left="113"/>
              <w:rPr>
                <w:sz w:val="19"/>
              </w:rPr>
            </w:pPr>
            <w:r>
              <w:rPr>
                <w:sz w:val="19"/>
              </w:rPr>
              <w:t>Gain on disposal of non-current assets</w:t>
            </w:r>
          </w:p>
        </w:tc>
        <w:tc>
          <w:tcPr>
            <w:tcW w:w="1151" w:type="dxa"/>
            <w:shd w:val="clear" w:color="auto" w:fill="FFFFFF"/>
          </w:tcPr>
          <w:p>
            <w:pPr>
              <w:pStyle w:val="TableParagraph"/>
              <w:spacing w:before="0"/>
              <w:rPr>
                <w:rFonts w:ascii="Times New Roman"/>
                <w:sz w:val="20"/>
              </w:rPr>
            </w:pPr>
          </w:p>
        </w:tc>
        <w:tc>
          <w:tcPr>
            <w:tcW w:w="1151" w:type="dxa"/>
            <w:tcBorders>
              <w:bottom w:val="single" w:sz="4" w:space="0" w:color="000000"/>
            </w:tcBorders>
            <w:shd w:val="clear" w:color="auto" w:fill="FFFFFF"/>
          </w:tcPr>
          <w:p>
            <w:pPr>
              <w:pStyle w:val="TableParagraph"/>
              <w:spacing w:before="3"/>
              <w:rPr>
                <w:sz w:val="31"/>
              </w:rPr>
            </w:pPr>
          </w:p>
          <w:p>
            <w:pPr>
              <w:pStyle w:val="TableParagraph"/>
              <w:spacing w:before="0"/>
              <w:ind w:right="111"/>
              <w:jc w:val="right"/>
              <w:rPr>
                <w:sz w:val="19"/>
              </w:rPr>
            </w:pPr>
            <w:r>
              <w:rPr>
                <w:w w:val="111"/>
                <w:sz w:val="19"/>
              </w:rPr>
              <w:t>-</w:t>
            </w:r>
          </w:p>
        </w:tc>
        <w:tc>
          <w:tcPr>
            <w:tcW w:w="1161" w:type="dxa"/>
            <w:vMerge/>
            <w:tcBorders>
              <w:top w:val="nil"/>
              <w:bottom w:val="single" w:sz="4" w:space="0" w:color="000000"/>
            </w:tcBorders>
            <w:shd w:val="clear" w:color="auto" w:fill="DFE1B8"/>
          </w:tcPr>
          <w:p>
            <w:pPr>
              <w:rPr>
                <w:sz w:val="2"/>
                <w:szCs w:val="2"/>
              </w:rPr>
            </w:pPr>
          </w:p>
        </w:tc>
        <w:tc>
          <w:tcPr>
            <w:tcW w:w="1538" w:type="dxa"/>
            <w:tcBorders>
              <w:top w:val="single" w:sz="8" w:space="0" w:color="FFFFFF"/>
              <w:bottom w:val="single" w:sz="4" w:space="0" w:color="000000"/>
              <w:right w:val="single" w:sz="8" w:space="0" w:color="FFFFFF"/>
            </w:tcBorders>
            <w:shd w:val="clear" w:color="auto" w:fill="FAF9F9"/>
          </w:tcPr>
          <w:p>
            <w:pPr>
              <w:pStyle w:val="TableParagraph"/>
              <w:spacing w:before="3"/>
              <w:rPr>
                <w:sz w:val="31"/>
              </w:rPr>
            </w:pPr>
          </w:p>
          <w:p>
            <w:pPr>
              <w:pStyle w:val="TableParagraph"/>
              <w:spacing w:before="0"/>
              <w:ind w:right="102"/>
              <w:jc w:val="right"/>
              <w:rPr>
                <w:sz w:val="19"/>
              </w:rPr>
            </w:pPr>
            <w:r>
              <w:rPr>
                <w:w w:val="95"/>
                <w:sz w:val="19"/>
              </w:rPr>
              <w:t>631</w:t>
            </w:r>
          </w:p>
        </w:tc>
        <w:tc>
          <w:tcPr>
            <w:tcW w:w="2172" w:type="dxa"/>
            <w:tcBorders>
              <w:top w:val="single" w:sz="8" w:space="0" w:color="FFFFFF"/>
              <w:left w:val="single" w:sz="8" w:space="0" w:color="FFFFFF"/>
              <w:bottom w:val="single" w:sz="4" w:space="0" w:color="000000"/>
              <w:right w:val="single" w:sz="8" w:space="0" w:color="FFFFFF"/>
            </w:tcBorders>
            <w:shd w:val="clear" w:color="auto" w:fill="FAF9F9"/>
          </w:tcPr>
          <w:p>
            <w:pPr>
              <w:pStyle w:val="TableParagraph"/>
              <w:spacing w:before="3"/>
              <w:rPr>
                <w:sz w:val="31"/>
              </w:rPr>
            </w:pPr>
          </w:p>
          <w:p>
            <w:pPr>
              <w:pStyle w:val="TableParagraph"/>
              <w:spacing w:before="0"/>
              <w:ind w:right="102"/>
              <w:jc w:val="right"/>
              <w:rPr>
                <w:sz w:val="19"/>
              </w:rPr>
            </w:pPr>
            <w:r>
              <w:rPr>
                <w:w w:val="95"/>
                <w:sz w:val="19"/>
              </w:rPr>
              <w:t>2,179</w:t>
            </w:r>
          </w:p>
        </w:tc>
        <w:tc>
          <w:tcPr>
            <w:tcW w:w="2569" w:type="dxa"/>
            <w:tcBorders>
              <w:top w:val="single" w:sz="8" w:space="0" w:color="FFFFFF"/>
              <w:left w:val="single" w:sz="8" w:space="0" w:color="FFFFFF"/>
              <w:bottom w:val="single" w:sz="4" w:space="0" w:color="000000"/>
            </w:tcBorders>
            <w:shd w:val="clear" w:color="auto" w:fill="FAF9F9"/>
          </w:tcPr>
          <w:p>
            <w:pPr>
              <w:pStyle w:val="TableParagraph"/>
              <w:spacing w:before="3"/>
              <w:rPr>
                <w:sz w:val="31"/>
              </w:rPr>
            </w:pPr>
          </w:p>
          <w:p>
            <w:pPr>
              <w:pStyle w:val="TableParagraph"/>
              <w:spacing w:before="0"/>
              <w:ind w:right="113"/>
              <w:jc w:val="right"/>
              <w:rPr>
                <w:sz w:val="19"/>
              </w:rPr>
            </w:pPr>
            <w:r>
              <w:rPr>
                <w:w w:val="95"/>
                <w:sz w:val="19"/>
              </w:rPr>
              <w:t>1,548</w:t>
            </w:r>
          </w:p>
        </w:tc>
      </w:tr>
      <w:tr>
        <w:trPr>
          <w:trHeight w:val="317" w:hRule="atLeast"/>
        </w:trPr>
        <w:tc>
          <w:tcPr>
            <w:tcW w:w="5556" w:type="dxa"/>
            <w:vMerge w:val="restart"/>
            <w:shd w:val="clear" w:color="auto" w:fill="FFFFFF"/>
          </w:tcPr>
          <w:p>
            <w:pPr>
              <w:pStyle w:val="TableParagraph"/>
              <w:spacing w:before="37"/>
              <w:ind w:left="113"/>
              <w:rPr>
                <w:b/>
                <w:sz w:val="19"/>
              </w:rPr>
            </w:pPr>
            <w:r>
              <w:rPr>
                <w:b/>
                <w:sz w:val="19"/>
              </w:rPr>
              <w:t>Total gains</w:t>
            </w:r>
          </w:p>
          <w:p>
            <w:pPr>
              <w:pStyle w:val="TableParagraph"/>
              <w:spacing w:before="109"/>
              <w:ind w:left="113"/>
              <w:rPr>
                <w:b/>
                <w:sz w:val="19"/>
              </w:rPr>
            </w:pPr>
            <w:r>
              <w:rPr>
                <w:b/>
                <w:sz w:val="19"/>
              </w:rPr>
              <w:t>Total income other than income from State Government</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spacing w:before="37"/>
              <w:ind w:right="111"/>
              <w:jc w:val="right"/>
              <w:rPr>
                <w:b/>
                <w:sz w:val="19"/>
              </w:rPr>
            </w:pPr>
            <w:r>
              <w:rPr>
                <w:b/>
                <w:w w:val="122"/>
                <w:sz w:val="19"/>
              </w:rPr>
              <w:t>-</w:t>
            </w:r>
          </w:p>
        </w:tc>
        <w:tc>
          <w:tcPr>
            <w:tcW w:w="1161" w:type="dxa"/>
            <w:tcBorders>
              <w:top w:val="single" w:sz="4" w:space="0" w:color="000000"/>
              <w:bottom w:val="single" w:sz="4" w:space="0" w:color="000000"/>
            </w:tcBorders>
            <w:shd w:val="clear" w:color="auto" w:fill="DFE1B8"/>
          </w:tcPr>
          <w:p>
            <w:pPr>
              <w:pStyle w:val="TableParagraph"/>
              <w:spacing w:before="37"/>
              <w:ind w:right="121"/>
              <w:jc w:val="right"/>
              <w:rPr>
                <w:b/>
                <w:sz w:val="19"/>
              </w:rPr>
            </w:pPr>
            <w:r>
              <w:rPr>
                <w:b/>
                <w:w w:val="95"/>
                <w:sz w:val="19"/>
              </w:rPr>
              <w:t>2,179</w:t>
            </w:r>
          </w:p>
        </w:tc>
        <w:tc>
          <w:tcPr>
            <w:tcW w:w="1538" w:type="dxa"/>
            <w:tcBorders>
              <w:top w:val="single" w:sz="4" w:space="0" w:color="000000"/>
              <w:bottom w:val="single" w:sz="4" w:space="0" w:color="000000"/>
              <w:right w:val="single" w:sz="8" w:space="0" w:color="FFFFFF"/>
            </w:tcBorders>
            <w:shd w:val="clear" w:color="auto" w:fill="F4F4F4"/>
          </w:tcPr>
          <w:p>
            <w:pPr>
              <w:pStyle w:val="TableParagraph"/>
              <w:spacing w:before="37"/>
              <w:ind w:right="102"/>
              <w:jc w:val="right"/>
              <w:rPr>
                <w:b/>
                <w:sz w:val="19"/>
              </w:rPr>
            </w:pPr>
            <w:r>
              <w:rPr>
                <w:b/>
                <w:w w:val="95"/>
                <w:sz w:val="19"/>
              </w:rPr>
              <w:t>631</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7"/>
              <w:ind w:right="102"/>
              <w:jc w:val="right"/>
              <w:rPr>
                <w:b/>
                <w:sz w:val="19"/>
              </w:rPr>
            </w:pPr>
            <w:r>
              <w:rPr>
                <w:b/>
                <w:w w:val="95"/>
                <w:sz w:val="19"/>
              </w:rPr>
              <w:t>2,179</w:t>
            </w:r>
          </w:p>
        </w:tc>
        <w:tc>
          <w:tcPr>
            <w:tcW w:w="2569" w:type="dxa"/>
            <w:tcBorders>
              <w:top w:val="single" w:sz="4" w:space="0" w:color="000000"/>
              <w:left w:val="single" w:sz="8" w:space="0" w:color="FFFFFF"/>
              <w:bottom w:val="single" w:sz="4" w:space="0" w:color="000000"/>
            </w:tcBorders>
            <w:shd w:val="clear" w:color="auto" w:fill="F4F4F4"/>
          </w:tcPr>
          <w:p>
            <w:pPr>
              <w:pStyle w:val="TableParagraph"/>
              <w:spacing w:before="37"/>
              <w:ind w:right="113"/>
              <w:jc w:val="right"/>
              <w:rPr>
                <w:b/>
                <w:sz w:val="19"/>
              </w:rPr>
            </w:pPr>
            <w:r>
              <w:rPr>
                <w:b/>
                <w:w w:val="95"/>
                <w:sz w:val="19"/>
              </w:rPr>
              <w:t>1,548</w:t>
            </w:r>
          </w:p>
        </w:tc>
      </w:tr>
      <w:tr>
        <w:trPr>
          <w:trHeight w:val="317"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single" w:sz="4" w:space="0" w:color="000000"/>
            </w:tcBorders>
            <w:shd w:val="clear" w:color="auto" w:fill="FAF9F9"/>
          </w:tcPr>
          <w:p>
            <w:pPr>
              <w:pStyle w:val="TableParagraph"/>
              <w:spacing w:before="37"/>
              <w:ind w:right="111"/>
              <w:jc w:val="right"/>
              <w:rPr>
                <w:b/>
                <w:sz w:val="19"/>
              </w:rPr>
            </w:pPr>
            <w:r>
              <w:rPr>
                <w:b/>
                <w:w w:val="95"/>
                <w:sz w:val="19"/>
              </w:rPr>
              <w:t>1,283,873</w:t>
            </w:r>
          </w:p>
        </w:tc>
        <w:tc>
          <w:tcPr>
            <w:tcW w:w="1161" w:type="dxa"/>
            <w:tcBorders>
              <w:top w:val="single" w:sz="4" w:space="0" w:color="000000"/>
              <w:bottom w:val="single" w:sz="4" w:space="0" w:color="000000"/>
            </w:tcBorders>
            <w:shd w:val="clear" w:color="auto" w:fill="E1E4BB"/>
          </w:tcPr>
          <w:p>
            <w:pPr>
              <w:pStyle w:val="TableParagraph"/>
              <w:spacing w:before="37"/>
              <w:ind w:right="121"/>
              <w:jc w:val="right"/>
              <w:rPr>
                <w:b/>
                <w:sz w:val="19"/>
              </w:rPr>
            </w:pPr>
            <w:r>
              <w:rPr>
                <w:b/>
                <w:w w:val="95"/>
                <w:sz w:val="19"/>
              </w:rPr>
              <w:t>1,193,110</w:t>
            </w:r>
          </w:p>
        </w:tc>
        <w:tc>
          <w:tcPr>
            <w:tcW w:w="1538" w:type="dxa"/>
            <w:tcBorders>
              <w:top w:val="single" w:sz="4" w:space="0" w:color="000000"/>
              <w:bottom w:val="single" w:sz="4" w:space="0" w:color="000000"/>
            </w:tcBorders>
            <w:shd w:val="clear" w:color="auto" w:fill="FAF9F9"/>
          </w:tcPr>
          <w:p>
            <w:pPr>
              <w:pStyle w:val="TableParagraph"/>
              <w:spacing w:before="37"/>
              <w:ind w:right="112"/>
              <w:jc w:val="right"/>
              <w:rPr>
                <w:b/>
                <w:sz w:val="19"/>
              </w:rPr>
            </w:pPr>
            <w:r>
              <w:rPr>
                <w:b/>
                <w:w w:val="95"/>
                <w:sz w:val="19"/>
              </w:rPr>
              <w:t>1,073,241</w:t>
            </w:r>
          </w:p>
        </w:tc>
        <w:tc>
          <w:tcPr>
            <w:tcW w:w="2172" w:type="dxa"/>
            <w:tcBorders>
              <w:top w:val="single" w:sz="4" w:space="0" w:color="000000"/>
              <w:bottom w:val="single" w:sz="4" w:space="0" w:color="000000"/>
            </w:tcBorders>
            <w:shd w:val="clear" w:color="auto" w:fill="FAF9F9"/>
          </w:tcPr>
          <w:p>
            <w:pPr>
              <w:pStyle w:val="TableParagraph"/>
              <w:spacing w:before="37"/>
              <w:ind w:right="112"/>
              <w:jc w:val="right"/>
              <w:rPr>
                <w:b/>
                <w:sz w:val="19"/>
              </w:rPr>
            </w:pPr>
            <w:r>
              <w:rPr>
                <w:b/>
                <w:w w:val="95"/>
                <w:sz w:val="19"/>
              </w:rPr>
              <w:t>(90,763)</w:t>
            </w:r>
          </w:p>
        </w:tc>
        <w:tc>
          <w:tcPr>
            <w:tcW w:w="2569" w:type="dxa"/>
            <w:tcBorders>
              <w:top w:val="single" w:sz="4" w:space="0" w:color="000000"/>
              <w:bottom w:val="single" w:sz="4" w:space="0" w:color="000000"/>
            </w:tcBorders>
            <w:shd w:val="clear" w:color="auto" w:fill="FAF9F9"/>
          </w:tcPr>
          <w:p>
            <w:pPr>
              <w:pStyle w:val="TableParagraph"/>
              <w:spacing w:before="37"/>
              <w:ind w:right="113"/>
              <w:jc w:val="right"/>
              <w:rPr>
                <w:b/>
                <w:sz w:val="19"/>
              </w:rPr>
            </w:pPr>
            <w:r>
              <w:rPr>
                <w:b/>
                <w:w w:val="95"/>
                <w:sz w:val="19"/>
              </w:rPr>
              <w:t>119,869</w:t>
            </w:r>
          </w:p>
        </w:tc>
      </w:tr>
      <w:tr>
        <w:trPr>
          <w:trHeight w:val="299" w:hRule="atLeast"/>
        </w:trPr>
        <w:tc>
          <w:tcPr>
            <w:tcW w:w="5556" w:type="dxa"/>
            <w:vMerge w:val="restart"/>
            <w:shd w:val="clear" w:color="auto" w:fill="FFFFFF"/>
          </w:tcPr>
          <w:p>
            <w:pPr>
              <w:pStyle w:val="TableParagraph"/>
              <w:spacing w:before="37"/>
              <w:ind w:left="113"/>
              <w:rPr>
                <w:b/>
                <w:sz w:val="19"/>
              </w:rPr>
            </w:pPr>
            <w:r>
              <w:rPr>
                <w:b/>
                <w:sz w:val="19"/>
              </w:rPr>
              <w:t>NET COST OF SERVICES</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double" w:sz="2" w:space="0" w:color="000000"/>
            </w:tcBorders>
            <w:shd w:val="clear" w:color="auto" w:fill="F4F4F4"/>
          </w:tcPr>
          <w:p>
            <w:pPr>
              <w:pStyle w:val="TableParagraph"/>
              <w:spacing w:before="37"/>
              <w:ind w:right="111"/>
              <w:jc w:val="right"/>
              <w:rPr>
                <w:b/>
                <w:sz w:val="19"/>
              </w:rPr>
            </w:pPr>
            <w:r>
              <w:rPr>
                <w:b/>
                <w:w w:val="95"/>
                <w:sz w:val="19"/>
              </w:rPr>
              <w:t>(151,322)</w:t>
            </w:r>
          </w:p>
        </w:tc>
        <w:tc>
          <w:tcPr>
            <w:tcW w:w="1161" w:type="dxa"/>
            <w:tcBorders>
              <w:top w:val="single" w:sz="4" w:space="0" w:color="000000"/>
              <w:bottom w:val="double" w:sz="2" w:space="0" w:color="000000"/>
            </w:tcBorders>
            <w:shd w:val="clear" w:color="auto" w:fill="DFE1B8"/>
          </w:tcPr>
          <w:p>
            <w:pPr>
              <w:pStyle w:val="TableParagraph"/>
              <w:spacing w:before="37"/>
              <w:ind w:right="121"/>
              <w:jc w:val="right"/>
              <w:rPr>
                <w:b/>
                <w:sz w:val="19"/>
              </w:rPr>
            </w:pPr>
            <w:r>
              <w:rPr>
                <w:b/>
                <w:w w:val="95"/>
                <w:sz w:val="19"/>
              </w:rPr>
              <w:t>(184,722)</w:t>
            </w:r>
          </w:p>
        </w:tc>
        <w:tc>
          <w:tcPr>
            <w:tcW w:w="1538" w:type="dxa"/>
            <w:tcBorders>
              <w:top w:val="single" w:sz="4" w:space="0" w:color="000000"/>
              <w:bottom w:val="double" w:sz="2" w:space="0" w:color="000000"/>
              <w:right w:val="single" w:sz="8" w:space="0" w:color="FFFFFF"/>
            </w:tcBorders>
            <w:shd w:val="clear" w:color="auto" w:fill="F4F4F4"/>
          </w:tcPr>
          <w:p>
            <w:pPr>
              <w:pStyle w:val="TableParagraph"/>
              <w:spacing w:before="37"/>
              <w:ind w:right="102"/>
              <w:jc w:val="right"/>
              <w:rPr>
                <w:b/>
                <w:sz w:val="19"/>
              </w:rPr>
            </w:pPr>
            <w:r>
              <w:rPr>
                <w:b/>
                <w:w w:val="95"/>
                <w:sz w:val="19"/>
              </w:rPr>
              <w:t>(169,737)</w:t>
            </w:r>
          </w:p>
        </w:tc>
        <w:tc>
          <w:tcPr>
            <w:tcW w:w="2172" w:type="dxa"/>
            <w:tcBorders>
              <w:top w:val="single" w:sz="4" w:space="0" w:color="000000"/>
              <w:left w:val="single" w:sz="8" w:space="0" w:color="FFFFFF"/>
              <w:bottom w:val="double" w:sz="2" w:space="0" w:color="000000"/>
              <w:right w:val="single" w:sz="8" w:space="0" w:color="FFFFFF"/>
            </w:tcBorders>
            <w:shd w:val="clear" w:color="auto" w:fill="F4F4F4"/>
          </w:tcPr>
          <w:p>
            <w:pPr>
              <w:pStyle w:val="TableParagraph"/>
              <w:spacing w:before="37"/>
              <w:ind w:right="102"/>
              <w:jc w:val="right"/>
              <w:rPr>
                <w:b/>
                <w:sz w:val="19"/>
              </w:rPr>
            </w:pPr>
            <w:r>
              <w:rPr>
                <w:b/>
                <w:w w:val="95"/>
                <w:sz w:val="19"/>
              </w:rPr>
              <w:t>(33,400)</w:t>
            </w:r>
          </w:p>
        </w:tc>
        <w:tc>
          <w:tcPr>
            <w:tcW w:w="2569" w:type="dxa"/>
            <w:tcBorders>
              <w:top w:val="single" w:sz="4" w:space="0" w:color="000000"/>
              <w:left w:val="single" w:sz="8" w:space="0" w:color="FFFFFF"/>
              <w:bottom w:val="double" w:sz="2" w:space="0" w:color="000000"/>
            </w:tcBorders>
            <w:shd w:val="clear" w:color="auto" w:fill="F4F4F4"/>
          </w:tcPr>
          <w:p>
            <w:pPr>
              <w:pStyle w:val="TableParagraph"/>
              <w:spacing w:before="37"/>
              <w:ind w:right="113"/>
              <w:jc w:val="right"/>
              <w:rPr>
                <w:b/>
                <w:sz w:val="19"/>
              </w:rPr>
            </w:pPr>
            <w:r>
              <w:rPr>
                <w:b/>
                <w:w w:val="95"/>
                <w:sz w:val="19"/>
              </w:rPr>
              <w:t>(14,985)</w:t>
            </w:r>
          </w:p>
        </w:tc>
      </w:tr>
      <w:tr>
        <w:trPr>
          <w:trHeight w:val="294"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double" w:sz="2"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161" w:type="dxa"/>
            <w:vMerge w:val="restart"/>
            <w:tcBorders>
              <w:top w:val="double" w:sz="2"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68"/>
              <w:ind w:left="329" w:right="103"/>
              <w:jc w:val="center"/>
              <w:rPr>
                <w:sz w:val="19"/>
              </w:rPr>
            </w:pPr>
            <w:r>
              <w:rPr>
                <w:sz w:val="19"/>
              </w:rPr>
              <w:t>150,900</w:t>
            </w:r>
          </w:p>
          <w:p>
            <w:pPr>
              <w:pStyle w:val="TableParagraph"/>
              <w:spacing w:before="109"/>
              <w:ind w:left="435" w:right="103"/>
              <w:jc w:val="center"/>
              <w:rPr>
                <w:sz w:val="19"/>
              </w:rPr>
            </w:pPr>
            <w:r>
              <w:rPr>
                <w:sz w:val="19"/>
              </w:rPr>
              <w:t>13,511</w:t>
            </w:r>
          </w:p>
          <w:p>
            <w:pPr>
              <w:pStyle w:val="TableParagraph"/>
              <w:spacing w:before="109"/>
              <w:ind w:left="720"/>
              <w:rPr>
                <w:sz w:val="19"/>
              </w:rPr>
            </w:pPr>
            <w:r>
              <w:rPr>
                <w:sz w:val="19"/>
              </w:rPr>
              <w:t>106</w:t>
            </w:r>
          </w:p>
        </w:tc>
        <w:tc>
          <w:tcPr>
            <w:tcW w:w="6279" w:type="dxa"/>
            <w:gridSpan w:val="3"/>
            <w:tcBorders>
              <w:top w:val="double" w:sz="2" w:space="0" w:color="000000"/>
              <w:bottom w:val="single" w:sz="8" w:space="0" w:color="FFFFFF"/>
            </w:tcBorders>
            <w:shd w:val="clear" w:color="auto" w:fill="FAF9F9"/>
          </w:tcPr>
          <w:p>
            <w:pPr>
              <w:pStyle w:val="TableParagraph"/>
              <w:spacing w:before="0"/>
              <w:rPr>
                <w:rFonts w:ascii="Times New Roman"/>
                <w:sz w:val="20"/>
              </w:rPr>
            </w:pPr>
          </w:p>
        </w:tc>
      </w:tr>
      <w:tr>
        <w:trPr>
          <w:trHeight w:val="634" w:hRule="atLeast"/>
        </w:trPr>
        <w:tc>
          <w:tcPr>
            <w:tcW w:w="5556" w:type="dxa"/>
            <w:shd w:val="clear" w:color="auto" w:fill="FFFFFF"/>
          </w:tcPr>
          <w:p>
            <w:pPr>
              <w:pStyle w:val="TableParagraph"/>
              <w:ind w:left="113"/>
              <w:rPr>
                <w:b/>
                <w:sz w:val="19"/>
              </w:rPr>
            </w:pPr>
            <w:r>
              <w:rPr>
                <w:b/>
                <w:sz w:val="19"/>
              </w:rPr>
              <w:t>Income from State Government</w:t>
            </w:r>
          </w:p>
          <w:p>
            <w:pPr>
              <w:pStyle w:val="TableParagraph"/>
              <w:spacing w:before="109"/>
              <w:ind w:left="113"/>
              <w:rPr>
                <w:sz w:val="19"/>
              </w:rPr>
            </w:pPr>
            <w:r>
              <w:rPr>
                <w:sz w:val="19"/>
              </w:rPr>
              <w:t>Service appropriations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3"/>
              <w:rPr>
                <w:sz w:val="31"/>
              </w:rPr>
            </w:pPr>
          </w:p>
          <w:p>
            <w:pPr>
              <w:pStyle w:val="TableParagraph"/>
              <w:spacing w:before="0"/>
              <w:ind w:right="111"/>
              <w:jc w:val="right"/>
              <w:rPr>
                <w:sz w:val="19"/>
              </w:rPr>
            </w:pPr>
            <w:r>
              <w:rPr>
                <w:w w:val="95"/>
                <w:sz w:val="19"/>
              </w:rPr>
              <w:t>152,507</w:t>
            </w:r>
          </w:p>
        </w:tc>
        <w:tc>
          <w:tcPr>
            <w:tcW w:w="1161" w:type="dxa"/>
            <w:vMerge/>
            <w:tcBorders>
              <w:top w:val="nil"/>
              <w:bottom w:val="single" w:sz="4" w:space="0" w:color="000000"/>
            </w:tcBorders>
            <w:shd w:val="clear" w:color="auto" w:fill="E1E4BB"/>
          </w:tcPr>
          <w:p>
            <w:pPr>
              <w:rPr>
                <w:sz w:val="2"/>
                <w:szCs w:val="2"/>
              </w:rPr>
            </w:pPr>
          </w:p>
        </w:tc>
        <w:tc>
          <w:tcPr>
            <w:tcW w:w="1538" w:type="dxa"/>
            <w:tcBorders>
              <w:top w:val="single" w:sz="8" w:space="0" w:color="FFFFFF"/>
              <w:bottom w:val="single" w:sz="8" w:space="0" w:color="FFFFFF"/>
              <w:right w:val="single" w:sz="8" w:space="0" w:color="FFFFFF"/>
            </w:tcBorders>
            <w:shd w:val="clear" w:color="auto" w:fill="FAF9F9"/>
          </w:tcPr>
          <w:p>
            <w:pPr>
              <w:pStyle w:val="TableParagraph"/>
              <w:spacing w:before="3"/>
              <w:rPr>
                <w:sz w:val="31"/>
              </w:rPr>
            </w:pPr>
          </w:p>
          <w:p>
            <w:pPr>
              <w:pStyle w:val="TableParagraph"/>
              <w:spacing w:before="0"/>
              <w:ind w:right="102"/>
              <w:jc w:val="right"/>
              <w:rPr>
                <w:sz w:val="19"/>
              </w:rPr>
            </w:pPr>
            <w:r>
              <w:rPr>
                <w:w w:val="95"/>
                <w:sz w:val="19"/>
              </w:rPr>
              <w:t>167,150</w:t>
            </w:r>
          </w:p>
        </w:tc>
        <w:tc>
          <w:tcPr>
            <w:tcW w:w="2172" w:type="dxa"/>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3"/>
              <w:rPr>
                <w:sz w:val="31"/>
              </w:rPr>
            </w:pPr>
          </w:p>
          <w:p>
            <w:pPr>
              <w:pStyle w:val="TableParagraph"/>
              <w:spacing w:before="0"/>
              <w:ind w:right="102"/>
              <w:jc w:val="right"/>
              <w:rPr>
                <w:sz w:val="19"/>
              </w:rPr>
            </w:pPr>
            <w:r>
              <w:rPr>
                <w:w w:val="90"/>
                <w:sz w:val="19"/>
              </w:rPr>
              <w:t>(1,607)</w:t>
            </w:r>
          </w:p>
        </w:tc>
        <w:tc>
          <w:tcPr>
            <w:tcW w:w="2569" w:type="dxa"/>
            <w:tcBorders>
              <w:top w:val="single" w:sz="8" w:space="0" w:color="FFFFFF"/>
              <w:left w:val="single" w:sz="8" w:space="0" w:color="FFFFFF"/>
              <w:bottom w:val="single" w:sz="8" w:space="0" w:color="FFFFFF"/>
            </w:tcBorders>
            <w:shd w:val="clear" w:color="auto" w:fill="FAF9F9"/>
          </w:tcPr>
          <w:p>
            <w:pPr>
              <w:pStyle w:val="TableParagraph"/>
              <w:spacing w:before="3"/>
              <w:rPr>
                <w:sz w:val="31"/>
              </w:rPr>
            </w:pPr>
          </w:p>
          <w:p>
            <w:pPr>
              <w:pStyle w:val="TableParagraph"/>
              <w:spacing w:before="0"/>
              <w:ind w:right="113"/>
              <w:jc w:val="right"/>
              <w:rPr>
                <w:sz w:val="19"/>
              </w:rPr>
            </w:pPr>
            <w:r>
              <w:rPr>
                <w:w w:val="95"/>
                <w:sz w:val="19"/>
              </w:rPr>
              <w:t>(16,250)</w:t>
            </w:r>
          </w:p>
        </w:tc>
      </w:tr>
      <w:tr>
        <w:trPr>
          <w:trHeight w:val="312" w:hRule="atLeast"/>
        </w:trPr>
        <w:tc>
          <w:tcPr>
            <w:tcW w:w="5556" w:type="dxa"/>
            <w:vMerge w:val="restart"/>
            <w:shd w:val="clear" w:color="auto" w:fill="FFFFFF"/>
          </w:tcPr>
          <w:p>
            <w:pPr>
              <w:pStyle w:val="TableParagraph"/>
              <w:spacing w:before="33"/>
              <w:ind w:left="113"/>
              <w:rPr>
                <w:sz w:val="19"/>
              </w:rPr>
            </w:pPr>
            <w:r>
              <w:rPr>
                <w:sz w:val="19"/>
              </w:rPr>
              <w:t>Services received free of charge</w:t>
            </w:r>
          </w:p>
          <w:p>
            <w:pPr>
              <w:pStyle w:val="TableParagraph"/>
              <w:spacing w:before="108"/>
              <w:ind w:left="113"/>
              <w:rPr>
                <w:sz w:val="19"/>
              </w:rPr>
            </w:pPr>
            <w:r>
              <w:rPr>
                <w:sz w:val="19"/>
              </w:rPr>
              <w:t>Royalties for Regions Fund</w:t>
            </w:r>
          </w:p>
        </w:tc>
        <w:tc>
          <w:tcPr>
            <w:tcW w:w="1151" w:type="dxa"/>
            <w:vMerge w:val="restart"/>
            <w:shd w:val="clear" w:color="auto" w:fill="FFFFFF"/>
          </w:tcPr>
          <w:p>
            <w:pPr>
              <w:pStyle w:val="TableParagraph"/>
              <w:spacing w:before="0"/>
              <w:rPr>
                <w:rFonts w:ascii="Times New Roman"/>
                <w:sz w:val="20"/>
              </w:rPr>
            </w:pPr>
          </w:p>
        </w:tc>
        <w:tc>
          <w:tcPr>
            <w:tcW w:w="1151" w:type="dxa"/>
            <w:vMerge w:val="restart"/>
            <w:tcBorders>
              <w:bottom w:val="single" w:sz="4" w:space="0" w:color="000000"/>
            </w:tcBorders>
            <w:shd w:val="clear" w:color="auto" w:fill="FFFFFF"/>
          </w:tcPr>
          <w:p>
            <w:pPr>
              <w:pStyle w:val="TableParagraph"/>
              <w:spacing w:before="33"/>
              <w:ind w:left="456"/>
              <w:rPr>
                <w:sz w:val="19"/>
              </w:rPr>
            </w:pPr>
            <w:r>
              <w:rPr>
                <w:sz w:val="19"/>
              </w:rPr>
              <w:t>14,646</w:t>
            </w:r>
          </w:p>
          <w:p>
            <w:pPr>
              <w:pStyle w:val="TableParagraph"/>
              <w:spacing w:before="108"/>
              <w:ind w:left="720"/>
              <w:rPr>
                <w:sz w:val="19"/>
              </w:rPr>
            </w:pPr>
            <w:r>
              <w:rPr>
                <w:sz w:val="19"/>
              </w:rPr>
              <w:t>125</w:t>
            </w:r>
          </w:p>
        </w:tc>
        <w:tc>
          <w:tcPr>
            <w:tcW w:w="1161" w:type="dxa"/>
            <w:vMerge/>
            <w:tcBorders>
              <w:top w:val="nil"/>
              <w:bottom w:val="single" w:sz="4" w:space="0" w:color="000000"/>
            </w:tcBorders>
            <w:shd w:val="clear" w:color="auto" w:fill="E1E4BB"/>
          </w:tcPr>
          <w:p>
            <w:pPr>
              <w:rPr>
                <w:sz w:val="2"/>
                <w:szCs w:val="2"/>
              </w:rPr>
            </w:pPr>
          </w:p>
        </w:tc>
        <w:tc>
          <w:tcPr>
            <w:tcW w:w="1538" w:type="dxa"/>
            <w:tcBorders>
              <w:top w:val="single" w:sz="8" w:space="0" w:color="FFFFFF"/>
              <w:right w:val="single" w:sz="8" w:space="0" w:color="FFFFFF"/>
            </w:tcBorders>
            <w:shd w:val="clear" w:color="auto" w:fill="F4F4F4"/>
          </w:tcPr>
          <w:p>
            <w:pPr>
              <w:pStyle w:val="TableParagraph"/>
              <w:spacing w:before="33"/>
              <w:ind w:right="102"/>
              <w:jc w:val="right"/>
              <w:rPr>
                <w:sz w:val="19"/>
              </w:rPr>
            </w:pPr>
            <w:r>
              <w:rPr>
                <w:w w:val="95"/>
                <w:sz w:val="19"/>
              </w:rPr>
              <w:t>13,303</w:t>
            </w:r>
          </w:p>
        </w:tc>
        <w:tc>
          <w:tcPr>
            <w:tcW w:w="2172" w:type="dxa"/>
            <w:tcBorders>
              <w:top w:val="single" w:sz="8" w:space="0" w:color="FFFFFF"/>
              <w:left w:val="single" w:sz="8" w:space="0" w:color="FFFFFF"/>
              <w:right w:val="single" w:sz="8" w:space="0" w:color="FFFFFF"/>
            </w:tcBorders>
            <w:shd w:val="clear" w:color="auto" w:fill="F4F4F4"/>
          </w:tcPr>
          <w:p>
            <w:pPr>
              <w:pStyle w:val="TableParagraph"/>
              <w:spacing w:before="33"/>
              <w:ind w:right="102"/>
              <w:jc w:val="right"/>
              <w:rPr>
                <w:sz w:val="19"/>
              </w:rPr>
            </w:pPr>
            <w:r>
              <w:rPr>
                <w:w w:val="90"/>
                <w:sz w:val="19"/>
              </w:rPr>
              <w:t>(1,135)</w:t>
            </w:r>
          </w:p>
        </w:tc>
        <w:tc>
          <w:tcPr>
            <w:tcW w:w="2569" w:type="dxa"/>
            <w:tcBorders>
              <w:top w:val="single" w:sz="8" w:space="0" w:color="FFFFFF"/>
              <w:left w:val="single" w:sz="8" w:space="0" w:color="FFFFFF"/>
            </w:tcBorders>
            <w:shd w:val="clear" w:color="auto" w:fill="F4F4F4"/>
          </w:tcPr>
          <w:p>
            <w:pPr>
              <w:pStyle w:val="TableParagraph"/>
              <w:spacing w:before="33"/>
              <w:ind w:right="113"/>
              <w:jc w:val="right"/>
              <w:rPr>
                <w:sz w:val="19"/>
              </w:rPr>
            </w:pPr>
            <w:r>
              <w:rPr>
                <w:w w:val="95"/>
                <w:sz w:val="19"/>
              </w:rPr>
              <w:t>208</w:t>
            </w:r>
          </w:p>
        </w:tc>
      </w:tr>
      <w:tr>
        <w:trPr>
          <w:trHeight w:val="312"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vMerge/>
            <w:tcBorders>
              <w:top w:val="nil"/>
              <w:bottom w:val="single" w:sz="4" w:space="0" w:color="000000"/>
            </w:tcBorders>
            <w:shd w:val="clear" w:color="auto" w:fill="FFFFFF"/>
          </w:tcPr>
          <w:p>
            <w:pPr>
              <w:rPr>
                <w:sz w:val="2"/>
                <w:szCs w:val="2"/>
              </w:rPr>
            </w:pPr>
          </w:p>
        </w:tc>
        <w:tc>
          <w:tcPr>
            <w:tcW w:w="1161" w:type="dxa"/>
            <w:vMerge/>
            <w:tcBorders>
              <w:top w:val="nil"/>
              <w:bottom w:val="single" w:sz="4" w:space="0" w:color="000000"/>
            </w:tcBorders>
            <w:shd w:val="clear" w:color="auto" w:fill="E1E4BB"/>
          </w:tcPr>
          <w:p>
            <w:pPr>
              <w:rPr>
                <w:sz w:val="2"/>
                <w:szCs w:val="2"/>
              </w:rPr>
            </w:pPr>
          </w:p>
        </w:tc>
        <w:tc>
          <w:tcPr>
            <w:tcW w:w="1538" w:type="dxa"/>
            <w:tcBorders>
              <w:bottom w:val="single" w:sz="4" w:space="0" w:color="000000"/>
              <w:right w:val="single" w:sz="8" w:space="0" w:color="FFFFFF"/>
            </w:tcBorders>
            <w:shd w:val="clear" w:color="auto" w:fill="FAF9F9"/>
          </w:tcPr>
          <w:p>
            <w:pPr>
              <w:pStyle w:val="TableParagraph"/>
              <w:spacing w:before="38"/>
              <w:ind w:right="102"/>
              <w:jc w:val="right"/>
              <w:rPr>
                <w:sz w:val="19"/>
              </w:rPr>
            </w:pPr>
            <w:r>
              <w:rPr>
                <w:w w:val="95"/>
                <w:sz w:val="19"/>
              </w:rPr>
              <w:t>125</w:t>
            </w:r>
          </w:p>
        </w:tc>
        <w:tc>
          <w:tcPr>
            <w:tcW w:w="2172" w:type="dxa"/>
            <w:tcBorders>
              <w:left w:val="single" w:sz="8" w:space="0" w:color="FFFFFF"/>
              <w:bottom w:val="single" w:sz="4" w:space="0" w:color="000000"/>
              <w:right w:val="single" w:sz="8" w:space="0" w:color="FFFFFF"/>
            </w:tcBorders>
            <w:shd w:val="clear" w:color="auto" w:fill="FAF9F9"/>
          </w:tcPr>
          <w:p>
            <w:pPr>
              <w:pStyle w:val="TableParagraph"/>
              <w:spacing w:before="38"/>
              <w:ind w:right="102"/>
              <w:jc w:val="right"/>
              <w:rPr>
                <w:sz w:val="19"/>
              </w:rPr>
            </w:pPr>
            <w:r>
              <w:rPr>
                <w:w w:val="85"/>
                <w:sz w:val="19"/>
              </w:rPr>
              <w:t>(19)</w:t>
            </w:r>
          </w:p>
        </w:tc>
        <w:tc>
          <w:tcPr>
            <w:tcW w:w="2569" w:type="dxa"/>
            <w:tcBorders>
              <w:left w:val="single" w:sz="8" w:space="0" w:color="FFFFFF"/>
              <w:bottom w:val="single" w:sz="4" w:space="0" w:color="000000"/>
            </w:tcBorders>
            <w:shd w:val="clear" w:color="auto" w:fill="FAF9F9"/>
          </w:tcPr>
          <w:p>
            <w:pPr>
              <w:pStyle w:val="TableParagraph"/>
              <w:spacing w:before="38"/>
              <w:ind w:right="113"/>
              <w:jc w:val="right"/>
              <w:rPr>
                <w:sz w:val="19"/>
              </w:rPr>
            </w:pPr>
            <w:r>
              <w:rPr>
                <w:w w:val="85"/>
                <w:sz w:val="19"/>
              </w:rPr>
              <w:t>(19)</w:t>
            </w:r>
          </w:p>
        </w:tc>
      </w:tr>
      <w:tr>
        <w:trPr>
          <w:trHeight w:val="307"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spacing w:before="33"/>
              <w:ind w:left="113"/>
              <w:rPr>
                <w:b/>
                <w:sz w:val="19"/>
              </w:rPr>
            </w:pPr>
            <w:r>
              <w:rPr>
                <w:b/>
                <w:sz w:val="19"/>
              </w:rPr>
              <w:t>Total income from State Government</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spacing w:before="33"/>
              <w:ind w:right="111"/>
              <w:jc w:val="right"/>
              <w:rPr>
                <w:b/>
                <w:sz w:val="19"/>
              </w:rPr>
            </w:pPr>
            <w:r>
              <w:rPr>
                <w:b/>
                <w:w w:val="95"/>
                <w:sz w:val="19"/>
              </w:rPr>
              <w:t>167,278</w:t>
            </w:r>
          </w:p>
        </w:tc>
        <w:tc>
          <w:tcPr>
            <w:tcW w:w="1161" w:type="dxa"/>
            <w:tcBorders>
              <w:top w:val="single" w:sz="4" w:space="0" w:color="000000"/>
              <w:bottom w:val="single" w:sz="4" w:space="0" w:color="000000"/>
            </w:tcBorders>
            <w:shd w:val="clear" w:color="auto" w:fill="DFE1B8"/>
          </w:tcPr>
          <w:p>
            <w:pPr>
              <w:pStyle w:val="TableParagraph"/>
              <w:spacing w:before="33"/>
              <w:ind w:right="121"/>
              <w:jc w:val="right"/>
              <w:rPr>
                <w:b/>
                <w:sz w:val="19"/>
              </w:rPr>
            </w:pPr>
            <w:r>
              <w:rPr>
                <w:b/>
                <w:w w:val="95"/>
                <w:sz w:val="19"/>
              </w:rPr>
              <w:t>164,517</w:t>
            </w:r>
          </w:p>
        </w:tc>
        <w:tc>
          <w:tcPr>
            <w:tcW w:w="1538" w:type="dxa"/>
            <w:tcBorders>
              <w:top w:val="single" w:sz="4" w:space="0" w:color="000000"/>
              <w:bottom w:val="single" w:sz="4" w:space="0" w:color="000000"/>
              <w:right w:val="single" w:sz="8" w:space="0" w:color="FFFFFF"/>
            </w:tcBorders>
            <w:shd w:val="clear" w:color="auto" w:fill="F4F4F4"/>
          </w:tcPr>
          <w:p>
            <w:pPr>
              <w:pStyle w:val="TableParagraph"/>
              <w:spacing w:before="33"/>
              <w:ind w:right="102"/>
              <w:jc w:val="right"/>
              <w:rPr>
                <w:b/>
                <w:sz w:val="19"/>
              </w:rPr>
            </w:pPr>
            <w:r>
              <w:rPr>
                <w:b/>
                <w:w w:val="95"/>
                <w:sz w:val="19"/>
              </w:rPr>
              <w:t>180,578</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3"/>
              <w:ind w:right="102"/>
              <w:jc w:val="right"/>
              <w:rPr>
                <w:b/>
                <w:sz w:val="19"/>
              </w:rPr>
            </w:pPr>
            <w:r>
              <w:rPr>
                <w:b/>
                <w:w w:val="95"/>
                <w:sz w:val="19"/>
              </w:rPr>
              <w:t>(2,761)</w:t>
            </w:r>
          </w:p>
        </w:tc>
        <w:tc>
          <w:tcPr>
            <w:tcW w:w="2569" w:type="dxa"/>
            <w:tcBorders>
              <w:top w:val="single" w:sz="4" w:space="0" w:color="000000"/>
              <w:left w:val="single" w:sz="8" w:space="0" w:color="FFFFFF"/>
              <w:bottom w:val="single" w:sz="4" w:space="0" w:color="000000"/>
            </w:tcBorders>
            <w:shd w:val="clear" w:color="auto" w:fill="F4F4F4"/>
          </w:tcPr>
          <w:p>
            <w:pPr>
              <w:pStyle w:val="TableParagraph"/>
              <w:spacing w:before="33"/>
              <w:ind w:right="113"/>
              <w:jc w:val="right"/>
              <w:rPr>
                <w:b/>
                <w:sz w:val="19"/>
              </w:rPr>
            </w:pPr>
            <w:r>
              <w:rPr>
                <w:b/>
                <w:w w:val="95"/>
                <w:sz w:val="19"/>
              </w:rPr>
              <w:t>(16,061)</w:t>
            </w:r>
          </w:p>
        </w:tc>
      </w:tr>
      <w:tr>
        <w:trPr>
          <w:trHeight w:val="284"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spacing w:before="33"/>
              <w:ind w:left="113"/>
              <w:rPr>
                <w:b/>
                <w:sz w:val="19"/>
              </w:rPr>
            </w:pPr>
            <w:r>
              <w:rPr>
                <w:b/>
                <w:sz w:val="19"/>
              </w:rPr>
              <w:t>SURPLUS/(DEFICIT) FOR THE PERIOD</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double" w:sz="2" w:space="0" w:color="000000"/>
            </w:tcBorders>
            <w:shd w:val="clear" w:color="auto" w:fill="F4F4F4"/>
          </w:tcPr>
          <w:p>
            <w:pPr>
              <w:pStyle w:val="TableParagraph"/>
              <w:spacing w:before="33"/>
              <w:ind w:right="111"/>
              <w:jc w:val="right"/>
              <w:rPr>
                <w:b/>
                <w:sz w:val="19"/>
              </w:rPr>
            </w:pPr>
            <w:r>
              <w:rPr>
                <w:b/>
                <w:w w:val="95"/>
                <w:sz w:val="19"/>
              </w:rPr>
              <w:t>15,956</w:t>
            </w:r>
          </w:p>
        </w:tc>
        <w:tc>
          <w:tcPr>
            <w:tcW w:w="1161" w:type="dxa"/>
            <w:tcBorders>
              <w:top w:val="single" w:sz="4" w:space="0" w:color="000000"/>
              <w:bottom w:val="double" w:sz="2" w:space="0" w:color="000000"/>
            </w:tcBorders>
            <w:shd w:val="clear" w:color="auto" w:fill="DFE1B8"/>
          </w:tcPr>
          <w:p>
            <w:pPr>
              <w:pStyle w:val="TableParagraph"/>
              <w:spacing w:before="33"/>
              <w:ind w:right="121"/>
              <w:jc w:val="right"/>
              <w:rPr>
                <w:b/>
                <w:sz w:val="19"/>
              </w:rPr>
            </w:pPr>
            <w:r>
              <w:rPr>
                <w:b/>
                <w:w w:val="95"/>
                <w:sz w:val="19"/>
              </w:rPr>
              <w:t>(20,205)</w:t>
            </w:r>
          </w:p>
        </w:tc>
        <w:tc>
          <w:tcPr>
            <w:tcW w:w="1538" w:type="dxa"/>
            <w:tcBorders>
              <w:top w:val="single" w:sz="4" w:space="0" w:color="000000"/>
              <w:bottom w:val="double" w:sz="2" w:space="0" w:color="000000"/>
              <w:right w:val="single" w:sz="8" w:space="0" w:color="FFFFFF"/>
            </w:tcBorders>
            <w:shd w:val="clear" w:color="auto" w:fill="F4F4F4"/>
          </w:tcPr>
          <w:p>
            <w:pPr>
              <w:pStyle w:val="TableParagraph"/>
              <w:spacing w:before="33"/>
              <w:ind w:right="102"/>
              <w:jc w:val="right"/>
              <w:rPr>
                <w:b/>
                <w:sz w:val="19"/>
              </w:rPr>
            </w:pPr>
            <w:r>
              <w:rPr>
                <w:b/>
                <w:w w:val="95"/>
                <w:sz w:val="19"/>
              </w:rPr>
              <w:t>10,841</w:t>
            </w:r>
          </w:p>
        </w:tc>
        <w:tc>
          <w:tcPr>
            <w:tcW w:w="2172" w:type="dxa"/>
            <w:tcBorders>
              <w:top w:val="single" w:sz="4" w:space="0" w:color="000000"/>
              <w:left w:val="single" w:sz="8" w:space="0" w:color="FFFFFF"/>
              <w:bottom w:val="double" w:sz="2" w:space="0" w:color="000000"/>
              <w:right w:val="single" w:sz="8" w:space="0" w:color="FFFFFF"/>
            </w:tcBorders>
            <w:shd w:val="clear" w:color="auto" w:fill="F4F4F4"/>
          </w:tcPr>
          <w:p>
            <w:pPr>
              <w:pStyle w:val="TableParagraph"/>
              <w:spacing w:before="33"/>
              <w:ind w:right="102"/>
              <w:jc w:val="right"/>
              <w:rPr>
                <w:b/>
                <w:sz w:val="19"/>
              </w:rPr>
            </w:pPr>
            <w:r>
              <w:rPr>
                <w:b/>
                <w:w w:val="95"/>
                <w:sz w:val="19"/>
              </w:rPr>
              <w:t>(36,161)</w:t>
            </w:r>
          </w:p>
        </w:tc>
        <w:tc>
          <w:tcPr>
            <w:tcW w:w="2569" w:type="dxa"/>
            <w:tcBorders>
              <w:top w:val="single" w:sz="4" w:space="0" w:color="000000"/>
              <w:left w:val="single" w:sz="8" w:space="0" w:color="FFFFFF"/>
              <w:bottom w:val="double" w:sz="2" w:space="0" w:color="000000"/>
            </w:tcBorders>
            <w:shd w:val="clear" w:color="auto" w:fill="F4F4F4"/>
          </w:tcPr>
          <w:p>
            <w:pPr>
              <w:pStyle w:val="TableParagraph"/>
              <w:spacing w:before="33"/>
              <w:ind w:right="113"/>
              <w:jc w:val="right"/>
              <w:rPr>
                <w:b/>
                <w:sz w:val="19"/>
              </w:rPr>
            </w:pPr>
            <w:r>
              <w:rPr>
                <w:b/>
                <w:w w:val="95"/>
                <w:sz w:val="19"/>
              </w:rPr>
              <w:t>(31,046)</w:t>
            </w:r>
          </w:p>
        </w:tc>
      </w:tr>
      <w:tr>
        <w:trPr>
          <w:trHeight w:val="304"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double" w:sz="2"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c>
          <w:tcPr>
            <w:tcW w:w="1161" w:type="dxa"/>
            <w:tcBorders>
              <w:top w:val="double" w:sz="2" w:space="0" w:color="000000"/>
              <w:bottom w:val="single" w:sz="4" w:space="0" w:color="000000"/>
            </w:tcBorders>
            <w:shd w:val="clear" w:color="auto" w:fill="DFE1B8"/>
          </w:tcPr>
          <w:p>
            <w:pPr>
              <w:pStyle w:val="TableParagraph"/>
              <w:spacing w:before="0"/>
              <w:rPr>
                <w:rFonts w:ascii="Times New Roman"/>
                <w:sz w:val="20"/>
              </w:rPr>
            </w:pPr>
          </w:p>
        </w:tc>
        <w:tc>
          <w:tcPr>
            <w:tcW w:w="1538" w:type="dxa"/>
            <w:tcBorders>
              <w:top w:val="double" w:sz="2" w:space="0" w:color="000000"/>
              <w:bottom w:val="single" w:sz="4" w:space="0" w:color="000000"/>
              <w:right w:val="single" w:sz="8" w:space="0" w:color="FFFFFF"/>
            </w:tcBorders>
            <w:shd w:val="clear" w:color="auto" w:fill="F4F4F4"/>
          </w:tcPr>
          <w:p>
            <w:pPr>
              <w:pStyle w:val="TableParagraph"/>
              <w:spacing w:before="0"/>
              <w:rPr>
                <w:rFonts w:ascii="Times New Roman"/>
                <w:sz w:val="20"/>
              </w:rPr>
            </w:pPr>
          </w:p>
        </w:tc>
        <w:tc>
          <w:tcPr>
            <w:tcW w:w="2172" w:type="dxa"/>
            <w:tcBorders>
              <w:top w:val="double" w:sz="2" w:space="0" w:color="000000"/>
              <w:left w:val="single" w:sz="8" w:space="0" w:color="FFFFFF"/>
              <w:bottom w:val="single" w:sz="4" w:space="0" w:color="000000"/>
              <w:right w:val="single" w:sz="8" w:space="0" w:color="FFFFFF"/>
            </w:tcBorders>
            <w:shd w:val="clear" w:color="auto" w:fill="F4F4F4"/>
          </w:tcPr>
          <w:p>
            <w:pPr>
              <w:pStyle w:val="TableParagraph"/>
              <w:spacing w:before="0"/>
              <w:rPr>
                <w:rFonts w:ascii="Times New Roman"/>
                <w:sz w:val="20"/>
              </w:rPr>
            </w:pPr>
          </w:p>
        </w:tc>
        <w:tc>
          <w:tcPr>
            <w:tcW w:w="2569" w:type="dxa"/>
            <w:tcBorders>
              <w:top w:val="double" w:sz="2"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r>
      <w:tr>
        <w:trPr>
          <w:trHeight w:val="274"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spacing w:before="33"/>
              <w:ind w:left="113"/>
              <w:rPr>
                <w:b/>
                <w:sz w:val="19"/>
              </w:rPr>
            </w:pPr>
            <w:r>
              <w:rPr>
                <w:b/>
                <w:sz w:val="19"/>
              </w:rPr>
              <w:t>TOTAL COMPREHENSIVE INCOME FOR THE PERIOD</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34" w:space="0" w:color="FFFFFF"/>
            </w:tcBorders>
            <w:shd w:val="clear" w:color="auto" w:fill="F4F4F4"/>
          </w:tcPr>
          <w:p>
            <w:pPr>
              <w:pStyle w:val="TableParagraph"/>
              <w:spacing w:before="33"/>
              <w:ind w:right="111"/>
              <w:jc w:val="right"/>
              <w:rPr>
                <w:b/>
                <w:sz w:val="19"/>
              </w:rPr>
            </w:pPr>
            <w:r>
              <w:rPr>
                <w:b/>
                <w:w w:val="95"/>
                <w:sz w:val="19"/>
              </w:rPr>
              <w:t>15,956</w:t>
            </w:r>
          </w:p>
        </w:tc>
        <w:tc>
          <w:tcPr>
            <w:tcW w:w="1161" w:type="dxa"/>
            <w:tcBorders>
              <w:top w:val="single" w:sz="4" w:space="0" w:color="000000"/>
              <w:bottom w:val="single" w:sz="34" w:space="0" w:color="FFFFFF"/>
            </w:tcBorders>
            <w:shd w:val="clear" w:color="auto" w:fill="DFE1B8"/>
          </w:tcPr>
          <w:p>
            <w:pPr>
              <w:pStyle w:val="TableParagraph"/>
              <w:spacing w:before="33"/>
              <w:ind w:right="121"/>
              <w:jc w:val="right"/>
              <w:rPr>
                <w:b/>
                <w:sz w:val="19"/>
              </w:rPr>
            </w:pPr>
            <w:r>
              <w:rPr>
                <w:b/>
                <w:w w:val="95"/>
                <w:sz w:val="19"/>
              </w:rPr>
              <w:t>(20,205)</w:t>
            </w:r>
          </w:p>
        </w:tc>
        <w:tc>
          <w:tcPr>
            <w:tcW w:w="1538" w:type="dxa"/>
            <w:tcBorders>
              <w:top w:val="single" w:sz="4" w:space="0" w:color="000000"/>
              <w:bottom w:val="single" w:sz="34" w:space="0" w:color="FFFFFF"/>
              <w:right w:val="single" w:sz="8" w:space="0" w:color="FFFFFF"/>
            </w:tcBorders>
            <w:shd w:val="clear" w:color="auto" w:fill="F4F4F4"/>
          </w:tcPr>
          <w:p>
            <w:pPr>
              <w:pStyle w:val="TableParagraph"/>
              <w:spacing w:before="33"/>
              <w:ind w:right="102"/>
              <w:jc w:val="right"/>
              <w:rPr>
                <w:b/>
                <w:sz w:val="19"/>
              </w:rPr>
            </w:pPr>
            <w:r>
              <w:rPr>
                <w:b/>
                <w:w w:val="95"/>
                <w:sz w:val="19"/>
              </w:rPr>
              <w:t>10,841</w:t>
            </w:r>
          </w:p>
        </w:tc>
        <w:tc>
          <w:tcPr>
            <w:tcW w:w="2172" w:type="dxa"/>
            <w:tcBorders>
              <w:top w:val="single" w:sz="4" w:space="0" w:color="000000"/>
              <w:left w:val="single" w:sz="8" w:space="0" w:color="FFFFFF"/>
              <w:bottom w:val="single" w:sz="34" w:space="0" w:color="FFFFFF"/>
              <w:right w:val="single" w:sz="8" w:space="0" w:color="FFFFFF"/>
            </w:tcBorders>
            <w:shd w:val="clear" w:color="auto" w:fill="F4F4F4"/>
          </w:tcPr>
          <w:p>
            <w:pPr>
              <w:pStyle w:val="TableParagraph"/>
              <w:spacing w:before="33"/>
              <w:ind w:right="102"/>
              <w:jc w:val="right"/>
              <w:rPr>
                <w:b/>
                <w:sz w:val="19"/>
              </w:rPr>
            </w:pPr>
            <w:r>
              <w:rPr>
                <w:b/>
                <w:w w:val="95"/>
                <w:sz w:val="19"/>
              </w:rPr>
              <w:t>(36,161)</w:t>
            </w:r>
          </w:p>
        </w:tc>
        <w:tc>
          <w:tcPr>
            <w:tcW w:w="2569" w:type="dxa"/>
            <w:tcBorders>
              <w:top w:val="single" w:sz="4" w:space="0" w:color="000000"/>
              <w:left w:val="single" w:sz="8" w:space="0" w:color="FFFFFF"/>
              <w:bottom w:val="single" w:sz="34" w:space="0" w:color="FFFFFF"/>
            </w:tcBorders>
            <w:shd w:val="clear" w:color="auto" w:fill="F4F4F4"/>
          </w:tcPr>
          <w:p>
            <w:pPr>
              <w:pStyle w:val="TableParagraph"/>
              <w:spacing w:before="33"/>
              <w:ind w:right="113"/>
              <w:jc w:val="right"/>
              <w:rPr>
                <w:b/>
                <w:sz w:val="19"/>
              </w:rPr>
            </w:pPr>
            <w:r>
              <w:rPr>
                <w:b/>
                <w:w w:val="95"/>
                <w:sz w:val="19"/>
              </w:rPr>
              <w:t>(31,046)</w:t>
            </w:r>
          </w:p>
        </w:tc>
      </w:tr>
    </w:tbl>
    <w:p>
      <w:pPr>
        <w:spacing w:after="0"/>
        <w:jc w:val="right"/>
        <w:rPr>
          <w:sz w:val="19"/>
        </w:rPr>
        <w:sectPr>
          <w:footerReference w:type="default" r:id="rId187"/>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spacing w:before="92"/>
        <w:ind w:left="765" w:right="0" w:firstLine="0"/>
        <w:jc w:val="left"/>
        <w:rPr>
          <w:sz w:val="72"/>
        </w:rPr>
      </w:pPr>
      <w:r>
        <w:rPr/>
        <w:pict>
          <v:group style="position:absolute;margin-left:120.271004pt;margin-top:-57.37421pt;width:721.65pt;height:42.55pt;mso-position-horizontal-relative:page;mso-position-vertical-relative:paragraph;z-index:21184"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30"/>
        <w:ind w:left="765" w:right="0" w:firstLine="0"/>
        <w:jc w:val="left"/>
        <w:rPr>
          <w:sz w:val="36"/>
        </w:rPr>
      </w:pPr>
      <w:r>
        <w:rPr>
          <w:color w:val="6F2770"/>
          <w:sz w:val="36"/>
        </w:rPr>
        <w:t>For the year ended 30 June 2018</w:t>
      </w:r>
    </w:p>
    <w:p>
      <w:pPr>
        <w:spacing w:before="279"/>
        <w:ind w:left="765" w:right="0" w:firstLine="0"/>
        <w:jc w:val="left"/>
        <w:rPr>
          <w:i/>
          <w:sz w:val="22"/>
        </w:rPr>
      </w:pPr>
      <w:r>
        <w:rPr>
          <w:i/>
          <w:color w:val="6F2770"/>
          <w:sz w:val="22"/>
        </w:rPr>
        <w:t>Major Estimate and Actual (2018) Variance Narratives</w:t>
      </w:r>
    </w:p>
    <w:p>
      <w:pPr>
        <w:pStyle w:val="ListParagraph"/>
        <w:numPr>
          <w:ilvl w:val="0"/>
          <w:numId w:val="20"/>
        </w:numPr>
        <w:tabs>
          <w:tab w:pos="1010" w:val="left" w:leader="none"/>
        </w:tabs>
        <w:spacing w:line="249" w:lineRule="auto" w:before="11" w:after="0"/>
        <w:ind w:left="1010" w:right="1159" w:hanging="245"/>
        <w:jc w:val="left"/>
        <w:rPr>
          <w:sz w:val="22"/>
        </w:rPr>
      </w:pPr>
      <w:r>
        <w:rPr>
          <w:sz w:val="22"/>
        </w:rPr>
        <w:t>The</w:t>
      </w:r>
      <w:r>
        <w:rPr>
          <w:spacing w:val="-21"/>
          <w:sz w:val="22"/>
        </w:rPr>
        <w:t> </w:t>
      </w:r>
      <w:r>
        <w:rPr>
          <w:sz w:val="22"/>
        </w:rPr>
        <w:t>2018</w:t>
      </w:r>
      <w:r>
        <w:rPr>
          <w:spacing w:val="-21"/>
          <w:sz w:val="22"/>
        </w:rPr>
        <w:t> </w:t>
      </w:r>
      <w:r>
        <w:rPr>
          <w:sz w:val="22"/>
        </w:rPr>
        <w:t>actual</w:t>
      </w:r>
      <w:r>
        <w:rPr>
          <w:spacing w:val="-21"/>
          <w:sz w:val="22"/>
        </w:rPr>
        <w:t> </w:t>
      </w:r>
      <w:r>
        <w:rPr>
          <w:sz w:val="22"/>
        </w:rPr>
        <w:t>reflects</w:t>
      </w:r>
      <w:r>
        <w:rPr>
          <w:spacing w:val="-21"/>
          <w:sz w:val="22"/>
        </w:rPr>
        <w:t> </w:t>
      </w:r>
      <w:r>
        <w:rPr>
          <w:sz w:val="22"/>
        </w:rPr>
        <w:t>a</w:t>
      </w:r>
      <w:r>
        <w:rPr>
          <w:spacing w:val="-21"/>
          <w:sz w:val="22"/>
        </w:rPr>
        <w:t> </w:t>
      </w:r>
      <w:r>
        <w:rPr>
          <w:sz w:val="22"/>
        </w:rPr>
        <w:t>lower</w:t>
      </w:r>
      <w:r>
        <w:rPr>
          <w:spacing w:val="-20"/>
          <w:sz w:val="22"/>
        </w:rPr>
        <w:t> </w:t>
      </w:r>
      <w:r>
        <w:rPr>
          <w:sz w:val="22"/>
        </w:rPr>
        <w:t>than</w:t>
      </w:r>
      <w:r>
        <w:rPr>
          <w:spacing w:val="-21"/>
          <w:sz w:val="22"/>
        </w:rPr>
        <w:t> </w:t>
      </w:r>
      <w:r>
        <w:rPr>
          <w:sz w:val="22"/>
        </w:rPr>
        <w:t>budgeted</w:t>
      </w:r>
      <w:r>
        <w:rPr>
          <w:spacing w:val="-21"/>
          <w:sz w:val="22"/>
        </w:rPr>
        <w:t> </w:t>
      </w:r>
      <w:r>
        <w:rPr>
          <w:sz w:val="22"/>
        </w:rPr>
        <w:t>result</w:t>
      </w:r>
      <w:r>
        <w:rPr>
          <w:spacing w:val="-21"/>
          <w:sz w:val="22"/>
        </w:rPr>
        <w:t> </w:t>
      </w:r>
      <w:r>
        <w:rPr>
          <w:sz w:val="22"/>
        </w:rPr>
        <w:t>in</w:t>
      </w:r>
      <w:r>
        <w:rPr>
          <w:spacing w:val="-21"/>
          <w:sz w:val="22"/>
        </w:rPr>
        <w:t> </w:t>
      </w:r>
      <w:r>
        <w:rPr>
          <w:sz w:val="22"/>
        </w:rPr>
        <w:t>Capital</w:t>
      </w:r>
      <w:r>
        <w:rPr>
          <w:spacing w:val="-21"/>
          <w:sz w:val="22"/>
        </w:rPr>
        <w:t> </w:t>
      </w:r>
      <w:r>
        <w:rPr>
          <w:sz w:val="22"/>
        </w:rPr>
        <w:t>Works</w:t>
      </w:r>
      <w:r>
        <w:rPr>
          <w:spacing w:val="-20"/>
          <w:sz w:val="22"/>
        </w:rPr>
        <w:t> </w:t>
      </w:r>
      <w:r>
        <w:rPr>
          <w:sz w:val="22"/>
        </w:rPr>
        <w:t>expenditure</w:t>
      </w:r>
      <w:r>
        <w:rPr>
          <w:spacing w:val="-21"/>
          <w:sz w:val="22"/>
        </w:rPr>
        <w:t> </w:t>
      </w:r>
      <w:r>
        <w:rPr>
          <w:sz w:val="22"/>
        </w:rPr>
        <w:t>managed</w:t>
      </w:r>
      <w:r>
        <w:rPr>
          <w:spacing w:val="-21"/>
          <w:sz w:val="22"/>
        </w:rPr>
        <w:t> </w:t>
      </w:r>
      <w:r>
        <w:rPr>
          <w:sz w:val="22"/>
        </w:rPr>
        <w:t>by</w:t>
      </w:r>
      <w:r>
        <w:rPr>
          <w:spacing w:val="-21"/>
          <w:sz w:val="22"/>
        </w:rPr>
        <w:t> </w:t>
      </w:r>
      <w:r>
        <w:rPr>
          <w:sz w:val="22"/>
        </w:rPr>
        <w:t>Building</w:t>
      </w:r>
      <w:r>
        <w:rPr>
          <w:spacing w:val="-21"/>
          <w:sz w:val="22"/>
        </w:rPr>
        <w:t> </w:t>
      </w:r>
      <w:r>
        <w:rPr>
          <w:sz w:val="22"/>
        </w:rPr>
        <w:t>Management</w:t>
      </w:r>
      <w:r>
        <w:rPr>
          <w:spacing w:val="-20"/>
          <w:sz w:val="22"/>
        </w:rPr>
        <w:t> </w:t>
      </w:r>
      <w:r>
        <w:rPr>
          <w:sz w:val="22"/>
        </w:rPr>
        <w:t>and</w:t>
      </w:r>
      <w:r>
        <w:rPr>
          <w:spacing w:val="-21"/>
          <w:sz w:val="22"/>
        </w:rPr>
        <w:t> </w:t>
      </w:r>
      <w:r>
        <w:rPr>
          <w:sz w:val="22"/>
        </w:rPr>
        <w:t>Works</w:t>
      </w:r>
      <w:r>
        <w:rPr>
          <w:spacing w:val="-21"/>
          <w:sz w:val="22"/>
        </w:rPr>
        <w:t> </w:t>
      </w:r>
      <w:r>
        <w:rPr>
          <w:sz w:val="22"/>
        </w:rPr>
        <w:t>on</w:t>
      </w:r>
      <w:r>
        <w:rPr>
          <w:spacing w:val="-21"/>
          <w:sz w:val="22"/>
        </w:rPr>
        <w:t> </w:t>
      </w:r>
      <w:r>
        <w:rPr>
          <w:sz w:val="22"/>
        </w:rPr>
        <w:t>behalf</w:t>
      </w:r>
      <w:r>
        <w:rPr>
          <w:spacing w:val="-21"/>
          <w:sz w:val="22"/>
        </w:rPr>
        <w:t> </w:t>
      </w:r>
      <w:r>
        <w:rPr>
          <w:sz w:val="22"/>
        </w:rPr>
        <w:t>of</w:t>
      </w:r>
      <w:r>
        <w:rPr>
          <w:spacing w:val="-21"/>
          <w:sz w:val="22"/>
        </w:rPr>
        <w:t> </w:t>
      </w:r>
      <w:r>
        <w:rPr>
          <w:sz w:val="22"/>
        </w:rPr>
        <w:t>Government agencies due to slower than expected economic</w:t>
      </w:r>
      <w:r>
        <w:rPr>
          <w:spacing w:val="-6"/>
          <w:sz w:val="22"/>
        </w:rPr>
        <w:t> </w:t>
      </w:r>
      <w:r>
        <w:rPr>
          <w:sz w:val="22"/>
        </w:rPr>
        <w:t>conditions.</w:t>
      </w:r>
    </w:p>
    <w:p>
      <w:pPr>
        <w:pStyle w:val="ListParagraph"/>
        <w:numPr>
          <w:ilvl w:val="0"/>
          <w:numId w:val="20"/>
        </w:numPr>
        <w:tabs>
          <w:tab w:pos="1010" w:val="left" w:leader="none"/>
        </w:tabs>
        <w:spacing w:line="240" w:lineRule="auto" w:before="2" w:after="0"/>
        <w:ind w:left="1010" w:right="0" w:hanging="245"/>
        <w:jc w:val="left"/>
        <w:rPr>
          <w:sz w:val="22"/>
        </w:rPr>
      </w:pPr>
      <w:r>
        <w:rPr>
          <w:sz w:val="22"/>
        </w:rPr>
        <w:t>The</w:t>
      </w:r>
      <w:r>
        <w:rPr>
          <w:spacing w:val="-5"/>
          <w:sz w:val="22"/>
        </w:rPr>
        <w:t> </w:t>
      </w:r>
      <w:r>
        <w:rPr>
          <w:sz w:val="22"/>
        </w:rPr>
        <w:t>2018</w:t>
      </w:r>
      <w:r>
        <w:rPr>
          <w:spacing w:val="-4"/>
          <w:sz w:val="22"/>
        </w:rPr>
        <w:t> </w:t>
      </w:r>
      <w:r>
        <w:rPr>
          <w:sz w:val="22"/>
        </w:rPr>
        <w:t>actual</w:t>
      </w:r>
      <w:r>
        <w:rPr>
          <w:spacing w:val="-4"/>
          <w:sz w:val="22"/>
        </w:rPr>
        <w:t> </w:t>
      </w:r>
      <w:r>
        <w:rPr>
          <w:sz w:val="22"/>
        </w:rPr>
        <w:t>includes</w:t>
      </w:r>
      <w:r>
        <w:rPr>
          <w:spacing w:val="-5"/>
          <w:sz w:val="22"/>
        </w:rPr>
        <w:t> </w:t>
      </w:r>
      <w:r>
        <w:rPr>
          <w:sz w:val="22"/>
        </w:rPr>
        <w:t>the</w:t>
      </w:r>
      <w:r>
        <w:rPr>
          <w:spacing w:val="-4"/>
          <w:sz w:val="22"/>
        </w:rPr>
        <w:t> </w:t>
      </w:r>
      <w:r>
        <w:rPr>
          <w:sz w:val="22"/>
        </w:rPr>
        <w:t>write</w:t>
      </w:r>
      <w:r>
        <w:rPr>
          <w:spacing w:val="-4"/>
          <w:sz w:val="22"/>
        </w:rPr>
        <w:t> </w:t>
      </w:r>
      <w:r>
        <w:rPr>
          <w:sz w:val="22"/>
        </w:rPr>
        <w:t>down</w:t>
      </w:r>
      <w:r>
        <w:rPr>
          <w:spacing w:val="-5"/>
          <w:sz w:val="22"/>
        </w:rPr>
        <w:t> </w:t>
      </w:r>
      <w:r>
        <w:rPr>
          <w:sz w:val="22"/>
        </w:rPr>
        <w:t>of</w:t>
      </w:r>
      <w:r>
        <w:rPr>
          <w:spacing w:val="-4"/>
          <w:sz w:val="22"/>
        </w:rPr>
        <w:t> </w:t>
      </w:r>
      <w:r>
        <w:rPr>
          <w:sz w:val="22"/>
        </w:rPr>
        <w:t>the</w:t>
      </w:r>
      <w:r>
        <w:rPr>
          <w:spacing w:val="-4"/>
          <w:sz w:val="22"/>
        </w:rPr>
        <w:t> </w:t>
      </w:r>
      <w:r>
        <w:rPr>
          <w:spacing w:val="-3"/>
          <w:sz w:val="22"/>
        </w:rPr>
        <w:t>Department’s</w:t>
      </w:r>
      <w:r>
        <w:rPr>
          <w:spacing w:val="-5"/>
          <w:sz w:val="22"/>
        </w:rPr>
        <w:t> </w:t>
      </w:r>
      <w:r>
        <w:rPr>
          <w:sz w:val="22"/>
        </w:rPr>
        <w:t>land</w:t>
      </w:r>
      <w:r>
        <w:rPr>
          <w:spacing w:val="-4"/>
          <w:sz w:val="22"/>
        </w:rPr>
        <w:t> </w:t>
      </w:r>
      <w:r>
        <w:rPr>
          <w:sz w:val="22"/>
        </w:rPr>
        <w:t>and</w:t>
      </w:r>
      <w:r>
        <w:rPr>
          <w:spacing w:val="-4"/>
          <w:sz w:val="22"/>
        </w:rPr>
        <w:t> </w:t>
      </w:r>
      <w:r>
        <w:rPr>
          <w:sz w:val="22"/>
        </w:rPr>
        <w:t>building</w:t>
      </w:r>
      <w:r>
        <w:rPr>
          <w:spacing w:val="-5"/>
          <w:sz w:val="22"/>
        </w:rPr>
        <w:t> </w:t>
      </w:r>
      <w:r>
        <w:rPr>
          <w:sz w:val="22"/>
        </w:rPr>
        <w:t>assets</w:t>
      </w:r>
      <w:r>
        <w:rPr>
          <w:spacing w:val="-4"/>
          <w:sz w:val="22"/>
        </w:rPr>
        <w:t> </w:t>
      </w:r>
      <w:r>
        <w:rPr>
          <w:sz w:val="22"/>
        </w:rPr>
        <w:t>as</w:t>
      </w:r>
      <w:r>
        <w:rPr>
          <w:spacing w:val="-4"/>
          <w:sz w:val="22"/>
        </w:rPr>
        <w:t> </w:t>
      </w:r>
      <w:r>
        <w:rPr>
          <w:sz w:val="22"/>
        </w:rPr>
        <w:t>a</w:t>
      </w:r>
      <w:r>
        <w:rPr>
          <w:spacing w:val="-5"/>
          <w:sz w:val="22"/>
        </w:rPr>
        <w:t> </w:t>
      </w:r>
      <w:r>
        <w:rPr>
          <w:sz w:val="22"/>
        </w:rPr>
        <w:t>result</w:t>
      </w:r>
      <w:r>
        <w:rPr>
          <w:spacing w:val="-4"/>
          <w:sz w:val="22"/>
        </w:rPr>
        <w:t> </w:t>
      </w:r>
      <w:r>
        <w:rPr>
          <w:sz w:val="22"/>
        </w:rPr>
        <w:t>of</w:t>
      </w:r>
      <w:r>
        <w:rPr>
          <w:spacing w:val="-4"/>
          <w:sz w:val="22"/>
        </w:rPr>
        <w:t> </w:t>
      </w:r>
      <w:r>
        <w:rPr>
          <w:sz w:val="22"/>
        </w:rPr>
        <w:t>the</w:t>
      </w:r>
      <w:r>
        <w:rPr>
          <w:spacing w:val="-5"/>
          <w:sz w:val="22"/>
        </w:rPr>
        <w:t> </w:t>
      </w:r>
      <w:r>
        <w:rPr>
          <w:sz w:val="22"/>
        </w:rPr>
        <w:t>annual</w:t>
      </w:r>
      <w:r>
        <w:rPr>
          <w:spacing w:val="-4"/>
          <w:sz w:val="22"/>
        </w:rPr>
        <w:t> </w:t>
      </w:r>
      <w:r>
        <w:rPr>
          <w:sz w:val="22"/>
        </w:rPr>
        <w:t>valuation</w:t>
      </w:r>
      <w:r>
        <w:rPr>
          <w:spacing w:val="-4"/>
          <w:sz w:val="22"/>
        </w:rPr>
        <w:t> </w:t>
      </w:r>
      <w:r>
        <w:rPr>
          <w:sz w:val="22"/>
        </w:rPr>
        <w:t>process.</w:t>
      </w:r>
    </w:p>
    <w:p>
      <w:pPr>
        <w:pStyle w:val="ListParagraph"/>
        <w:numPr>
          <w:ilvl w:val="0"/>
          <w:numId w:val="20"/>
        </w:numPr>
        <w:tabs>
          <w:tab w:pos="1010" w:val="left" w:leader="none"/>
        </w:tabs>
        <w:spacing w:line="240" w:lineRule="auto" w:before="11" w:after="0"/>
        <w:ind w:left="1010" w:right="0" w:hanging="245"/>
        <w:jc w:val="left"/>
        <w:rPr>
          <w:sz w:val="22"/>
        </w:rPr>
      </w:pPr>
      <w:r>
        <w:rPr>
          <w:sz w:val="22"/>
        </w:rPr>
        <w:t>A</w:t>
      </w:r>
      <w:r>
        <w:rPr>
          <w:spacing w:val="-5"/>
          <w:sz w:val="22"/>
        </w:rPr>
        <w:t> </w:t>
      </w:r>
      <w:r>
        <w:rPr>
          <w:sz w:val="22"/>
        </w:rPr>
        <w:t>reduction</w:t>
      </w:r>
      <w:r>
        <w:rPr>
          <w:spacing w:val="-5"/>
          <w:sz w:val="22"/>
        </w:rPr>
        <w:t> </w:t>
      </w:r>
      <w:r>
        <w:rPr>
          <w:sz w:val="22"/>
        </w:rPr>
        <w:t>in</w:t>
      </w:r>
      <w:r>
        <w:rPr>
          <w:spacing w:val="-4"/>
          <w:sz w:val="22"/>
        </w:rPr>
        <w:t> </w:t>
      </w:r>
      <w:r>
        <w:rPr>
          <w:sz w:val="22"/>
        </w:rPr>
        <w:t>Capital</w:t>
      </w:r>
      <w:r>
        <w:rPr>
          <w:spacing w:val="-5"/>
          <w:sz w:val="22"/>
        </w:rPr>
        <w:t> </w:t>
      </w:r>
      <w:r>
        <w:rPr>
          <w:sz w:val="22"/>
        </w:rPr>
        <w:t>Works</w:t>
      </w:r>
      <w:r>
        <w:rPr>
          <w:spacing w:val="-4"/>
          <w:sz w:val="22"/>
        </w:rPr>
        <w:t> </w:t>
      </w:r>
      <w:r>
        <w:rPr>
          <w:sz w:val="22"/>
        </w:rPr>
        <w:t>expenditure</w:t>
      </w:r>
      <w:r>
        <w:rPr>
          <w:spacing w:val="-5"/>
          <w:sz w:val="22"/>
        </w:rPr>
        <w:t> </w:t>
      </w:r>
      <w:r>
        <w:rPr>
          <w:sz w:val="22"/>
        </w:rPr>
        <w:t>managed</w:t>
      </w:r>
      <w:r>
        <w:rPr>
          <w:spacing w:val="-4"/>
          <w:sz w:val="22"/>
        </w:rPr>
        <w:t> </w:t>
      </w:r>
      <w:r>
        <w:rPr>
          <w:sz w:val="22"/>
        </w:rPr>
        <w:t>on</w:t>
      </w:r>
      <w:r>
        <w:rPr>
          <w:spacing w:val="-5"/>
          <w:sz w:val="22"/>
        </w:rPr>
        <w:t> </w:t>
      </w:r>
      <w:r>
        <w:rPr>
          <w:sz w:val="22"/>
        </w:rPr>
        <w:t>behalf</w:t>
      </w:r>
      <w:r>
        <w:rPr>
          <w:spacing w:val="-5"/>
          <w:sz w:val="22"/>
        </w:rPr>
        <w:t> </w:t>
      </w:r>
      <w:r>
        <w:rPr>
          <w:sz w:val="22"/>
        </w:rPr>
        <w:t>of</w:t>
      </w:r>
      <w:r>
        <w:rPr>
          <w:spacing w:val="-4"/>
          <w:sz w:val="22"/>
        </w:rPr>
        <w:t> </w:t>
      </w:r>
      <w:r>
        <w:rPr>
          <w:sz w:val="22"/>
        </w:rPr>
        <w:t>Government</w:t>
      </w:r>
      <w:r>
        <w:rPr>
          <w:spacing w:val="-5"/>
          <w:sz w:val="22"/>
        </w:rPr>
        <w:t> </w:t>
      </w:r>
      <w:r>
        <w:rPr>
          <w:sz w:val="22"/>
        </w:rPr>
        <w:t>agencies</w:t>
      </w:r>
      <w:r>
        <w:rPr>
          <w:spacing w:val="-4"/>
          <w:sz w:val="22"/>
        </w:rPr>
        <w:t> </w:t>
      </w:r>
      <w:r>
        <w:rPr>
          <w:sz w:val="22"/>
        </w:rPr>
        <w:t>resulted</w:t>
      </w:r>
      <w:r>
        <w:rPr>
          <w:spacing w:val="-5"/>
          <w:sz w:val="22"/>
        </w:rPr>
        <w:t> </w:t>
      </w:r>
      <w:r>
        <w:rPr>
          <w:sz w:val="22"/>
        </w:rPr>
        <w:t>in</w:t>
      </w:r>
      <w:r>
        <w:rPr>
          <w:spacing w:val="-4"/>
          <w:sz w:val="22"/>
        </w:rPr>
        <w:t> </w:t>
      </w:r>
      <w:r>
        <w:rPr>
          <w:sz w:val="22"/>
        </w:rPr>
        <w:t>lower</w:t>
      </w:r>
      <w:r>
        <w:rPr>
          <w:spacing w:val="-5"/>
          <w:sz w:val="22"/>
        </w:rPr>
        <w:t> </w:t>
      </w:r>
      <w:r>
        <w:rPr>
          <w:sz w:val="22"/>
        </w:rPr>
        <w:t>recoveries</w:t>
      </w:r>
      <w:r>
        <w:rPr>
          <w:spacing w:val="-5"/>
          <w:sz w:val="22"/>
        </w:rPr>
        <w:t> </w:t>
      </w:r>
      <w:r>
        <w:rPr>
          <w:sz w:val="22"/>
        </w:rPr>
        <w:t>in</w:t>
      </w:r>
      <w:r>
        <w:rPr>
          <w:spacing w:val="-4"/>
          <w:sz w:val="22"/>
        </w:rPr>
        <w:t> </w:t>
      </w:r>
      <w:r>
        <w:rPr>
          <w:sz w:val="22"/>
        </w:rPr>
        <w:t>2018.</w:t>
      </w:r>
    </w:p>
    <w:p>
      <w:pPr>
        <w:pStyle w:val="BodyText"/>
        <w:spacing w:before="11"/>
        <w:rPr>
          <w:sz w:val="23"/>
        </w:rPr>
      </w:pPr>
    </w:p>
    <w:p>
      <w:pPr>
        <w:spacing w:before="0"/>
        <w:ind w:left="765" w:right="0" w:firstLine="0"/>
        <w:jc w:val="left"/>
        <w:rPr>
          <w:i/>
          <w:sz w:val="22"/>
        </w:rPr>
      </w:pPr>
      <w:r>
        <w:rPr>
          <w:i/>
          <w:color w:val="6F2770"/>
          <w:sz w:val="22"/>
        </w:rPr>
        <w:t>Major Actual (2018) and Comparative (2017) Variance Narratives</w:t>
      </w:r>
    </w:p>
    <w:p>
      <w:pPr>
        <w:pStyle w:val="BodyText"/>
        <w:spacing w:line="249" w:lineRule="auto" w:before="11"/>
        <w:ind w:left="1009" w:right="1196" w:hanging="245"/>
      </w:pPr>
      <w:r>
        <w:rPr/>
        <w:t>1.</w:t>
      </w:r>
      <w:r>
        <w:rPr>
          <w:spacing w:val="-23"/>
        </w:rPr>
        <w:t> </w:t>
      </w:r>
      <w:r>
        <w:rPr/>
        <w:t>The</w:t>
      </w:r>
      <w:r>
        <w:rPr>
          <w:spacing w:val="-23"/>
        </w:rPr>
        <w:t> </w:t>
      </w:r>
      <w:r>
        <w:rPr/>
        <w:t>higher</w:t>
      </w:r>
      <w:r>
        <w:rPr>
          <w:spacing w:val="-23"/>
        </w:rPr>
        <w:t> </w:t>
      </w:r>
      <w:r>
        <w:rPr/>
        <w:t>expenditure</w:t>
      </w:r>
      <w:r>
        <w:rPr>
          <w:spacing w:val="-23"/>
        </w:rPr>
        <w:t> </w:t>
      </w:r>
      <w:r>
        <w:rPr/>
        <w:t>in</w:t>
      </w:r>
      <w:r>
        <w:rPr>
          <w:spacing w:val="-22"/>
        </w:rPr>
        <w:t> </w:t>
      </w:r>
      <w:r>
        <w:rPr/>
        <w:t>2018</w:t>
      </w:r>
      <w:r>
        <w:rPr>
          <w:spacing w:val="-23"/>
        </w:rPr>
        <w:t> </w:t>
      </w:r>
      <w:r>
        <w:rPr/>
        <w:t>reflects</w:t>
      </w:r>
      <w:r>
        <w:rPr>
          <w:spacing w:val="-23"/>
        </w:rPr>
        <w:t> </w:t>
      </w:r>
      <w:r>
        <w:rPr/>
        <w:t>an</w:t>
      </w:r>
      <w:r>
        <w:rPr>
          <w:spacing w:val="-23"/>
        </w:rPr>
        <w:t> </w:t>
      </w:r>
      <w:r>
        <w:rPr/>
        <w:t>increased</w:t>
      </w:r>
      <w:r>
        <w:rPr>
          <w:spacing w:val="-23"/>
        </w:rPr>
        <w:t> </w:t>
      </w:r>
      <w:r>
        <w:rPr/>
        <w:t>demand</w:t>
      </w:r>
      <w:r>
        <w:rPr>
          <w:spacing w:val="-22"/>
        </w:rPr>
        <w:t> </w:t>
      </w:r>
      <w:r>
        <w:rPr/>
        <w:t>for</w:t>
      </w:r>
      <w:r>
        <w:rPr>
          <w:spacing w:val="-23"/>
        </w:rPr>
        <w:t> </w:t>
      </w:r>
      <w:r>
        <w:rPr/>
        <w:t>agency</w:t>
      </w:r>
      <w:r>
        <w:rPr>
          <w:spacing w:val="-23"/>
        </w:rPr>
        <w:t> </w:t>
      </w:r>
      <w:r>
        <w:rPr/>
        <w:t>services</w:t>
      </w:r>
      <w:r>
        <w:rPr>
          <w:spacing w:val="-23"/>
        </w:rPr>
        <w:t> </w:t>
      </w:r>
      <w:r>
        <w:rPr/>
        <w:t>primarily</w:t>
      </w:r>
      <w:r>
        <w:rPr>
          <w:spacing w:val="-23"/>
        </w:rPr>
        <w:t> </w:t>
      </w:r>
      <w:r>
        <w:rPr/>
        <w:t>relating</w:t>
      </w:r>
      <w:r>
        <w:rPr>
          <w:spacing w:val="-22"/>
        </w:rPr>
        <w:t> </w:t>
      </w:r>
      <w:r>
        <w:rPr/>
        <w:t>to</w:t>
      </w:r>
      <w:r>
        <w:rPr>
          <w:spacing w:val="-23"/>
        </w:rPr>
        <w:t> </w:t>
      </w:r>
      <w:r>
        <w:rPr/>
        <w:t>Capital</w:t>
      </w:r>
      <w:r>
        <w:rPr>
          <w:spacing w:val="-23"/>
        </w:rPr>
        <w:t> </w:t>
      </w:r>
      <w:r>
        <w:rPr/>
        <w:t>projects</w:t>
      </w:r>
      <w:r>
        <w:rPr>
          <w:spacing w:val="-23"/>
        </w:rPr>
        <w:t> </w:t>
      </w:r>
      <w:r>
        <w:rPr/>
        <w:t>managed</w:t>
      </w:r>
      <w:r>
        <w:rPr>
          <w:spacing w:val="-23"/>
        </w:rPr>
        <w:t> </w:t>
      </w:r>
      <w:r>
        <w:rPr/>
        <w:t>on</w:t>
      </w:r>
      <w:r>
        <w:rPr>
          <w:spacing w:val="-22"/>
        </w:rPr>
        <w:t> </w:t>
      </w:r>
      <w:r>
        <w:rPr/>
        <w:t>behalf</w:t>
      </w:r>
      <w:r>
        <w:rPr>
          <w:spacing w:val="-23"/>
        </w:rPr>
        <w:t> </w:t>
      </w:r>
      <w:r>
        <w:rPr/>
        <w:t>of</w:t>
      </w:r>
      <w:r>
        <w:rPr>
          <w:spacing w:val="-23"/>
        </w:rPr>
        <w:t> </w:t>
      </w:r>
      <w:r>
        <w:rPr/>
        <w:t>other</w:t>
      </w:r>
      <w:r>
        <w:rPr>
          <w:spacing w:val="-23"/>
        </w:rPr>
        <w:t> </w:t>
      </w:r>
      <w:r>
        <w:rPr/>
        <w:t>agencies along with the Strategic Project works transferred from the Department of</w:t>
      </w:r>
      <w:r>
        <w:rPr>
          <w:spacing w:val="-21"/>
        </w:rPr>
        <w:t> </w:t>
      </w:r>
      <w:r>
        <w:rPr>
          <w:spacing w:val="-6"/>
        </w:rPr>
        <w:t>Treasury.</w:t>
      </w:r>
    </w:p>
    <w:p>
      <w:pPr>
        <w:pStyle w:val="BodyText"/>
        <w:spacing w:line="249" w:lineRule="auto" w:before="2"/>
        <w:ind w:left="1009" w:right="1035" w:hanging="245"/>
      </w:pPr>
      <w:r>
        <w:rPr/>
        <w:t>3.</w:t>
      </w:r>
      <w:r>
        <w:rPr>
          <w:spacing w:val="-20"/>
        </w:rPr>
        <w:t> </w:t>
      </w:r>
      <w:r>
        <w:rPr/>
        <w:t>The</w:t>
      </w:r>
      <w:r>
        <w:rPr>
          <w:spacing w:val="-19"/>
        </w:rPr>
        <w:t> </w:t>
      </w:r>
      <w:r>
        <w:rPr/>
        <w:t>increase</w:t>
      </w:r>
      <w:r>
        <w:rPr>
          <w:spacing w:val="-19"/>
        </w:rPr>
        <w:t> </w:t>
      </w:r>
      <w:r>
        <w:rPr/>
        <w:t>in</w:t>
      </w:r>
      <w:r>
        <w:rPr>
          <w:spacing w:val="-19"/>
        </w:rPr>
        <w:t> </w:t>
      </w:r>
      <w:r>
        <w:rPr/>
        <w:t>2018</w:t>
      </w:r>
      <w:r>
        <w:rPr>
          <w:spacing w:val="-19"/>
        </w:rPr>
        <w:t> </w:t>
      </w:r>
      <w:r>
        <w:rPr/>
        <w:t>is</w:t>
      </w:r>
      <w:r>
        <w:rPr>
          <w:spacing w:val="-19"/>
        </w:rPr>
        <w:t> </w:t>
      </w:r>
      <w:r>
        <w:rPr/>
        <w:t>as</w:t>
      </w:r>
      <w:r>
        <w:rPr>
          <w:spacing w:val="-19"/>
        </w:rPr>
        <w:t> </w:t>
      </w:r>
      <w:r>
        <w:rPr/>
        <w:t>a</w:t>
      </w:r>
      <w:r>
        <w:rPr>
          <w:spacing w:val="-19"/>
        </w:rPr>
        <w:t> </w:t>
      </w:r>
      <w:r>
        <w:rPr/>
        <w:t>result</w:t>
      </w:r>
      <w:r>
        <w:rPr>
          <w:spacing w:val="-19"/>
        </w:rPr>
        <w:t> </w:t>
      </w:r>
      <w:r>
        <w:rPr/>
        <w:t>of</w:t>
      </w:r>
      <w:r>
        <w:rPr>
          <w:spacing w:val="-19"/>
        </w:rPr>
        <w:t> </w:t>
      </w:r>
      <w:r>
        <w:rPr/>
        <w:t>a</w:t>
      </w:r>
      <w:r>
        <w:rPr>
          <w:spacing w:val="-19"/>
        </w:rPr>
        <w:t> </w:t>
      </w:r>
      <w:r>
        <w:rPr/>
        <w:t>higher</w:t>
      </w:r>
      <w:r>
        <w:rPr>
          <w:spacing w:val="-20"/>
        </w:rPr>
        <w:t> </w:t>
      </w:r>
      <w:r>
        <w:rPr/>
        <w:t>recovery</w:t>
      </w:r>
      <w:r>
        <w:rPr>
          <w:spacing w:val="-19"/>
        </w:rPr>
        <w:t> </w:t>
      </w:r>
      <w:r>
        <w:rPr/>
        <w:t>of</w:t>
      </w:r>
      <w:r>
        <w:rPr>
          <w:spacing w:val="-19"/>
        </w:rPr>
        <w:t> </w:t>
      </w:r>
      <w:r>
        <w:rPr/>
        <w:t>costs</w:t>
      </w:r>
      <w:r>
        <w:rPr>
          <w:spacing w:val="-19"/>
        </w:rPr>
        <w:t> </w:t>
      </w:r>
      <w:r>
        <w:rPr/>
        <w:t>in</w:t>
      </w:r>
      <w:r>
        <w:rPr>
          <w:spacing w:val="-19"/>
        </w:rPr>
        <w:t> </w:t>
      </w:r>
      <w:r>
        <w:rPr/>
        <w:t>line</w:t>
      </w:r>
      <w:r>
        <w:rPr>
          <w:spacing w:val="-19"/>
        </w:rPr>
        <w:t> </w:t>
      </w:r>
      <w:r>
        <w:rPr/>
        <w:t>with</w:t>
      </w:r>
      <w:r>
        <w:rPr>
          <w:spacing w:val="-19"/>
        </w:rPr>
        <w:t> </w:t>
      </w:r>
      <w:r>
        <w:rPr/>
        <w:t>the</w:t>
      </w:r>
      <w:r>
        <w:rPr>
          <w:spacing w:val="-19"/>
        </w:rPr>
        <w:t> </w:t>
      </w:r>
      <w:r>
        <w:rPr/>
        <w:t>increased</w:t>
      </w:r>
      <w:r>
        <w:rPr>
          <w:spacing w:val="-19"/>
        </w:rPr>
        <w:t> </w:t>
      </w:r>
      <w:r>
        <w:rPr/>
        <w:t>Capital</w:t>
      </w:r>
      <w:r>
        <w:rPr>
          <w:spacing w:val="-19"/>
        </w:rPr>
        <w:t> </w:t>
      </w:r>
      <w:r>
        <w:rPr/>
        <w:t>Works</w:t>
      </w:r>
      <w:r>
        <w:rPr>
          <w:spacing w:val="-19"/>
        </w:rPr>
        <w:t> </w:t>
      </w:r>
      <w:r>
        <w:rPr/>
        <w:t>expenditure</w:t>
      </w:r>
      <w:r>
        <w:rPr>
          <w:spacing w:val="-19"/>
        </w:rPr>
        <w:t> </w:t>
      </w:r>
      <w:r>
        <w:rPr/>
        <w:t>managed</w:t>
      </w:r>
      <w:r>
        <w:rPr>
          <w:spacing w:val="-20"/>
        </w:rPr>
        <w:t> </w:t>
      </w:r>
      <w:r>
        <w:rPr/>
        <w:t>on</w:t>
      </w:r>
      <w:r>
        <w:rPr>
          <w:spacing w:val="-19"/>
        </w:rPr>
        <w:t> </w:t>
      </w:r>
      <w:r>
        <w:rPr/>
        <w:t>behalf</w:t>
      </w:r>
      <w:r>
        <w:rPr>
          <w:spacing w:val="-19"/>
        </w:rPr>
        <w:t> </w:t>
      </w:r>
      <w:r>
        <w:rPr/>
        <w:t>of</w:t>
      </w:r>
      <w:r>
        <w:rPr>
          <w:spacing w:val="-19"/>
        </w:rPr>
        <w:t> </w:t>
      </w:r>
      <w:r>
        <w:rPr/>
        <w:t>other</w:t>
      </w:r>
      <w:r>
        <w:rPr>
          <w:spacing w:val="-19"/>
        </w:rPr>
        <w:t> </w:t>
      </w:r>
      <w:r>
        <w:rPr/>
        <w:t>Government agencies along with the Strategic Project works transferred from the Department of</w:t>
      </w:r>
      <w:r>
        <w:rPr>
          <w:spacing w:val="-29"/>
        </w:rPr>
        <w:t> </w:t>
      </w:r>
      <w:r>
        <w:rPr>
          <w:spacing w:val="-6"/>
        </w:rPr>
        <w:t>Treasury.</w:t>
      </w:r>
    </w:p>
    <w:p>
      <w:pPr>
        <w:pStyle w:val="BodyText"/>
        <w:spacing w:before="3"/>
        <w:rPr>
          <w:sz w:val="19"/>
        </w:rPr>
      </w:pPr>
    </w:p>
    <w:p>
      <w:pPr>
        <w:spacing w:before="107" w:after="45"/>
        <w:ind w:left="785" w:right="0" w:firstLine="0"/>
        <w:jc w:val="left"/>
        <w:rPr>
          <w:b/>
          <w:sz w:val="19"/>
        </w:rPr>
      </w:pPr>
      <w:r>
        <w:rPr>
          <w:b/>
          <w:sz w:val="19"/>
        </w:rPr>
        <w:t>Statement of Financial Position (Controlled Operations)</w:t>
      </w: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1" w:hRule="atLeast"/>
        </w:trPr>
        <w:tc>
          <w:tcPr>
            <w:tcW w:w="15298" w:type="dxa"/>
            <w:gridSpan w:val="7"/>
            <w:shd w:val="clear" w:color="auto" w:fill="783A79"/>
          </w:tcPr>
          <w:p>
            <w:pPr>
              <w:pStyle w:val="TableParagraph"/>
              <w:tabs>
                <w:tab w:pos="6945" w:val="left" w:leader="none"/>
                <w:tab w:pos="7321" w:val="left" w:leader="none"/>
                <w:tab w:pos="8318" w:val="left" w:leader="none"/>
                <w:tab w:pos="8472" w:val="left" w:leader="none"/>
                <w:tab w:pos="9390" w:val="left" w:leader="none"/>
                <w:tab w:pos="10830" w:val="left" w:leader="none"/>
                <w:tab w:pos="11002" w:val="left" w:leader="none"/>
                <w:tab w:pos="12922" w:val="left" w:leader="none"/>
                <w:tab w:pos="12962" w:val="left" w:leader="none"/>
              </w:tabs>
              <w:spacing w:line="249" w:lineRule="auto" w:before="42"/>
              <w:ind w:left="5914" w:right="113" w:hanging="175"/>
              <w:rPr>
                <w:b/>
                <w:sz w:val="19"/>
              </w:rPr>
            </w:pPr>
            <w:r>
              <w:rPr>
                <w:b/>
                <w:color w:val="FFFFFF"/>
                <w:sz w:val="19"/>
              </w:rPr>
              <w:t>Variance</w:t>
              <w:tab/>
              <w:t>Estimate</w:t>
              <w:tab/>
              <w:t>Actual</w:t>
              <w:tab/>
              <w:t>Actual</w:t>
            </w:r>
            <w:r>
              <w:rPr>
                <w:b/>
                <w:color w:val="FFFFFF"/>
                <w:spacing w:val="-2"/>
                <w:sz w:val="19"/>
              </w:rPr>
              <w:t> </w:t>
            </w:r>
            <w:r>
              <w:rPr>
                <w:b/>
                <w:color w:val="FFFFFF"/>
                <w:sz w:val="19"/>
              </w:rPr>
              <w:t>2017</w:t>
              <w:tab/>
              <w:tab/>
              <w:t>Variance</w:t>
            </w:r>
            <w:r>
              <w:rPr>
                <w:b/>
                <w:color w:val="FFFFFF"/>
                <w:spacing w:val="2"/>
                <w:sz w:val="19"/>
              </w:rPr>
              <w:t> </w:t>
            </w:r>
            <w:r>
              <w:rPr>
                <w:b/>
                <w:color w:val="FFFFFF"/>
                <w:sz w:val="19"/>
              </w:rPr>
              <w:t>between</w:t>
              <w:tab/>
              <w:tab/>
              <w:t>Variance between </w:t>
            </w:r>
            <w:r>
              <w:rPr>
                <w:b/>
                <w:color w:val="FFFFFF"/>
                <w:spacing w:val="-3"/>
                <w:sz w:val="19"/>
              </w:rPr>
              <w:t>actual </w:t>
            </w:r>
            <w:r>
              <w:rPr>
                <w:b/>
                <w:color w:val="FFFFFF"/>
                <w:sz w:val="19"/>
              </w:rPr>
              <w:t>Note</w:t>
              <w:tab/>
              <w:tab/>
              <w:t>2018</w:t>
              <w:tab/>
              <w:tab/>
              <w:t>2018</w:t>
              <w:tab/>
              <w:tab/>
              <w:t>estimate</w:t>
            </w:r>
            <w:r>
              <w:rPr>
                <w:b/>
                <w:color w:val="FFFFFF"/>
                <w:spacing w:val="9"/>
                <w:sz w:val="19"/>
              </w:rPr>
              <w:t> </w:t>
            </w:r>
            <w:r>
              <w:rPr>
                <w:b/>
                <w:color w:val="FFFFFF"/>
                <w:sz w:val="19"/>
              </w:rPr>
              <w:t>and</w:t>
            </w:r>
            <w:r>
              <w:rPr>
                <w:b/>
                <w:color w:val="FFFFFF"/>
                <w:spacing w:val="10"/>
                <w:sz w:val="19"/>
              </w:rPr>
              <w:t> </w:t>
            </w:r>
            <w:r>
              <w:rPr>
                <w:b/>
                <w:color w:val="FFFFFF"/>
                <w:sz w:val="19"/>
              </w:rPr>
              <w:t>actual</w:t>
              <w:tab/>
              <w:t>results for 2018 and</w:t>
            </w:r>
            <w:r>
              <w:rPr>
                <w:b/>
                <w:color w:val="FFFFFF"/>
                <w:spacing w:val="-11"/>
                <w:sz w:val="19"/>
              </w:rPr>
              <w:t> </w:t>
            </w:r>
            <w:r>
              <w:rPr>
                <w:b/>
                <w:color w:val="FFFFFF"/>
                <w:spacing w:val="-4"/>
                <w:sz w:val="19"/>
              </w:rPr>
              <w:t>2017</w:t>
            </w:r>
          </w:p>
          <w:p>
            <w:pPr>
              <w:pStyle w:val="TableParagraph"/>
              <w:tabs>
                <w:tab w:pos="8472" w:val="left" w:leader="none"/>
                <w:tab w:pos="10020" w:val="left" w:leader="none"/>
                <w:tab w:pos="12191" w:val="left" w:leader="none"/>
                <w:tab w:pos="14759" w:val="left" w:leader="none"/>
              </w:tabs>
              <w:spacing w:before="2"/>
              <w:ind w:left="7321"/>
              <w:rPr>
                <w:b/>
                <w:sz w:val="19"/>
              </w:rPr>
            </w:pPr>
            <w:r>
              <w:rPr>
                <w:b/>
                <w:color w:val="FFFFFF"/>
                <w:sz w:val="19"/>
              </w:rPr>
              <w:t>$000</w:t>
              <w:tab/>
              <w:t>$000</w:t>
              <w:tab/>
              <w:t>$000</w:t>
              <w:tab/>
              <w:t>$000</w:t>
              <w:tab/>
              <w:t>$000</w:t>
            </w:r>
          </w:p>
        </w:tc>
      </w:tr>
      <w:tr>
        <w:trPr>
          <w:trHeight w:val="304" w:hRule="atLeast"/>
        </w:trPr>
        <w:tc>
          <w:tcPr>
            <w:tcW w:w="5556" w:type="dxa"/>
            <w:tcBorders>
              <w:right w:val="single" w:sz="8" w:space="0" w:color="FFFFFF"/>
            </w:tcBorders>
            <w:shd w:val="clear" w:color="auto" w:fill="FAF9F9"/>
          </w:tcPr>
          <w:p>
            <w:pPr>
              <w:pStyle w:val="TableParagraph"/>
              <w:spacing w:before="42"/>
              <w:ind w:left="113"/>
              <w:rPr>
                <w:b/>
                <w:sz w:val="19"/>
              </w:rPr>
            </w:pPr>
            <w:r>
              <w:rPr>
                <w:b/>
                <w:sz w:val="19"/>
              </w:rPr>
              <w:t>ASSETS</w:t>
            </w:r>
          </w:p>
        </w:tc>
        <w:tc>
          <w:tcPr>
            <w:tcW w:w="1151" w:type="dxa"/>
            <w:vMerge w:val="restart"/>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151" w:type="dxa"/>
            <w:vMerge w:val="restart"/>
            <w:tcBorders>
              <w:left w:val="single" w:sz="8" w:space="0" w:color="FFFFFF"/>
              <w:bottom w:val="single" w:sz="8" w:space="0" w:color="FFFFFF"/>
            </w:tcBorders>
            <w:shd w:val="clear" w:color="auto" w:fill="FAF9F9"/>
          </w:tcPr>
          <w:p>
            <w:pPr>
              <w:pStyle w:val="TableParagraph"/>
              <w:spacing w:before="0"/>
              <w:rPr>
                <w:rFonts w:ascii="Times New Roman"/>
                <w:sz w:val="20"/>
              </w:rPr>
            </w:pPr>
          </w:p>
        </w:tc>
        <w:tc>
          <w:tcPr>
            <w:tcW w:w="1151" w:type="dxa"/>
            <w:shd w:val="clear" w:color="auto" w:fill="E1E4BB"/>
          </w:tcPr>
          <w:p>
            <w:pPr>
              <w:pStyle w:val="TableParagraph"/>
              <w:spacing w:before="0"/>
              <w:rPr>
                <w:rFonts w:ascii="Times New Roman"/>
                <w:sz w:val="20"/>
              </w:rPr>
            </w:pPr>
          </w:p>
        </w:tc>
        <w:tc>
          <w:tcPr>
            <w:tcW w:w="1548" w:type="dxa"/>
            <w:vMerge w:val="restart"/>
            <w:shd w:val="clear" w:color="auto" w:fill="FFFFFF"/>
          </w:tcPr>
          <w:p>
            <w:pPr>
              <w:pStyle w:val="TableParagraph"/>
              <w:spacing w:before="0"/>
              <w:rPr>
                <w:rFonts w:ascii="Times New Roman"/>
                <w:sz w:val="20"/>
              </w:rPr>
            </w:pPr>
          </w:p>
        </w:tc>
        <w:tc>
          <w:tcPr>
            <w:tcW w:w="2172" w:type="dxa"/>
            <w:vMerge w:val="restart"/>
            <w:shd w:val="clear" w:color="auto" w:fill="FFFFFF"/>
          </w:tcPr>
          <w:p>
            <w:pPr>
              <w:pStyle w:val="TableParagraph"/>
              <w:spacing w:before="0"/>
              <w:rPr>
                <w:rFonts w:ascii="Times New Roman"/>
                <w:sz w:val="20"/>
              </w:rPr>
            </w:pPr>
          </w:p>
        </w:tc>
        <w:tc>
          <w:tcPr>
            <w:tcW w:w="2569" w:type="dxa"/>
            <w:vMerge w:val="restart"/>
            <w:shd w:val="clear" w:color="auto" w:fill="FFFFFF"/>
          </w:tcPr>
          <w:p>
            <w:pPr>
              <w:pStyle w:val="TableParagraph"/>
              <w:spacing w:before="0"/>
              <w:rPr>
                <w:rFonts w:ascii="Times New Roman"/>
                <w:sz w:val="20"/>
              </w:rPr>
            </w:pPr>
          </w:p>
        </w:tc>
      </w:tr>
      <w:tr>
        <w:trPr>
          <w:trHeight w:val="319" w:hRule="atLeast"/>
        </w:trPr>
        <w:tc>
          <w:tcPr>
            <w:tcW w:w="5556" w:type="dxa"/>
            <w:tcBorders>
              <w:bottom w:val="single" w:sz="8" w:space="0" w:color="FFFFFF"/>
              <w:right w:val="single" w:sz="8" w:space="0" w:color="FFFFFF"/>
            </w:tcBorders>
            <w:shd w:val="clear" w:color="auto" w:fill="FAF9F9"/>
          </w:tcPr>
          <w:p>
            <w:pPr>
              <w:pStyle w:val="TableParagraph"/>
              <w:spacing w:before="45"/>
              <w:ind w:left="113"/>
              <w:rPr>
                <w:i/>
                <w:sz w:val="19"/>
              </w:rPr>
            </w:pPr>
            <w:r>
              <w:rPr>
                <w:i/>
                <w:color w:val="6F2770"/>
                <w:sz w:val="19"/>
              </w:rPr>
              <w:t>Current assets</w:t>
            </w:r>
          </w:p>
        </w:tc>
        <w:tc>
          <w:tcPr>
            <w:tcW w:w="1151"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151" w:type="dxa"/>
            <w:vMerge/>
            <w:tcBorders>
              <w:top w:val="nil"/>
              <w:left w:val="single" w:sz="8" w:space="0" w:color="FFFFFF"/>
              <w:bottom w:val="single" w:sz="8" w:space="0" w:color="FFFFFF"/>
            </w:tcBorders>
            <w:shd w:val="clear" w:color="auto" w:fill="FAF9F9"/>
          </w:tcPr>
          <w:p>
            <w:pPr>
              <w:rPr>
                <w:sz w:val="2"/>
                <w:szCs w:val="2"/>
              </w:rPr>
            </w:pPr>
          </w:p>
        </w:tc>
        <w:tc>
          <w:tcPr>
            <w:tcW w:w="1151" w:type="dxa"/>
            <w:shd w:val="clear" w:color="auto" w:fill="E1E4BB"/>
          </w:tcPr>
          <w:p>
            <w:pPr>
              <w:pStyle w:val="TableParagraph"/>
              <w:spacing w:before="0"/>
              <w:rPr>
                <w:rFonts w:ascii="Times New Roman"/>
                <w:sz w:val="20"/>
              </w:rPr>
            </w:pPr>
          </w:p>
        </w:tc>
        <w:tc>
          <w:tcPr>
            <w:tcW w:w="1548" w:type="dxa"/>
            <w:vMerge/>
            <w:tcBorders>
              <w:top w:val="nil"/>
            </w:tcBorders>
            <w:shd w:val="clear" w:color="auto" w:fill="FFFFFF"/>
          </w:tcPr>
          <w:p>
            <w:pPr>
              <w:rPr>
                <w:sz w:val="2"/>
                <w:szCs w:val="2"/>
              </w:rPr>
            </w:pPr>
          </w:p>
        </w:tc>
        <w:tc>
          <w:tcPr>
            <w:tcW w:w="2172" w:type="dxa"/>
            <w:vMerge/>
            <w:tcBorders>
              <w:top w:val="nil"/>
            </w:tcBorders>
            <w:shd w:val="clear" w:color="auto" w:fill="FFFFFF"/>
          </w:tcPr>
          <w:p>
            <w:pPr>
              <w:rPr>
                <w:sz w:val="2"/>
                <w:szCs w:val="2"/>
              </w:rPr>
            </w:pPr>
          </w:p>
        </w:tc>
        <w:tc>
          <w:tcPr>
            <w:tcW w:w="2569" w:type="dxa"/>
            <w:vMerge/>
            <w:tcBorders>
              <w:top w:val="nil"/>
            </w:tcBorders>
            <w:shd w:val="clear" w:color="auto" w:fill="FFFFFF"/>
          </w:tcPr>
          <w:p>
            <w:pPr>
              <w:rPr>
                <w:sz w:val="2"/>
                <w:szCs w:val="2"/>
              </w:rPr>
            </w:pPr>
          </w:p>
        </w:tc>
      </w:tr>
      <w:tr>
        <w:trPr>
          <w:trHeight w:val="292" w:hRule="atLeast"/>
        </w:trPr>
        <w:tc>
          <w:tcPr>
            <w:tcW w:w="5556" w:type="dxa"/>
            <w:tcBorders>
              <w:top w:val="single" w:sz="8" w:space="0" w:color="FFFFFF"/>
              <w:right w:val="single" w:sz="8" w:space="0" w:color="FFFFFF"/>
            </w:tcBorders>
            <w:shd w:val="clear" w:color="auto" w:fill="FAF9F9"/>
          </w:tcPr>
          <w:p>
            <w:pPr>
              <w:pStyle w:val="TableParagraph"/>
              <w:ind w:left="113"/>
              <w:rPr>
                <w:sz w:val="19"/>
              </w:rPr>
            </w:pPr>
            <w:r>
              <w:rPr>
                <w:sz w:val="19"/>
              </w:rPr>
              <w:t>Cash and cash equivalents</w:t>
            </w:r>
          </w:p>
        </w:tc>
        <w:tc>
          <w:tcPr>
            <w:tcW w:w="1151" w:type="dxa"/>
            <w:vMerge w:val="restart"/>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127,198</w:t>
            </w:r>
          </w:p>
        </w:tc>
        <w:tc>
          <w:tcPr>
            <w:tcW w:w="1151" w:type="dxa"/>
            <w:shd w:val="clear" w:color="auto" w:fill="E1E4BB"/>
          </w:tcPr>
          <w:p>
            <w:pPr>
              <w:pStyle w:val="TableParagraph"/>
              <w:ind w:right="112"/>
              <w:jc w:val="right"/>
              <w:rPr>
                <w:sz w:val="19"/>
              </w:rPr>
            </w:pPr>
            <w:r>
              <w:rPr>
                <w:w w:val="95"/>
                <w:sz w:val="19"/>
              </w:rPr>
              <w:t>75,890</w:t>
            </w:r>
          </w:p>
        </w:tc>
        <w:tc>
          <w:tcPr>
            <w:tcW w:w="1548" w:type="dxa"/>
            <w:shd w:val="clear" w:color="auto" w:fill="FFFFFF"/>
          </w:tcPr>
          <w:p>
            <w:pPr>
              <w:pStyle w:val="TableParagraph"/>
              <w:ind w:right="112"/>
              <w:jc w:val="right"/>
              <w:rPr>
                <w:sz w:val="19"/>
              </w:rPr>
            </w:pPr>
            <w:r>
              <w:rPr>
                <w:w w:val="95"/>
                <w:sz w:val="19"/>
              </w:rPr>
              <w:t>70,618</w:t>
            </w:r>
          </w:p>
        </w:tc>
        <w:tc>
          <w:tcPr>
            <w:tcW w:w="2172" w:type="dxa"/>
            <w:shd w:val="clear" w:color="auto" w:fill="FFFFFF"/>
          </w:tcPr>
          <w:p>
            <w:pPr>
              <w:pStyle w:val="TableParagraph"/>
              <w:ind w:right="112"/>
              <w:jc w:val="right"/>
              <w:rPr>
                <w:sz w:val="19"/>
              </w:rPr>
            </w:pPr>
            <w:r>
              <w:rPr>
                <w:w w:val="95"/>
                <w:sz w:val="19"/>
              </w:rPr>
              <w:t>(51,308)</w:t>
            </w:r>
          </w:p>
        </w:tc>
        <w:tc>
          <w:tcPr>
            <w:tcW w:w="2569" w:type="dxa"/>
            <w:shd w:val="clear" w:color="auto" w:fill="FFFFFF"/>
          </w:tcPr>
          <w:p>
            <w:pPr>
              <w:pStyle w:val="TableParagraph"/>
              <w:ind w:right="113"/>
              <w:jc w:val="right"/>
              <w:rPr>
                <w:sz w:val="19"/>
              </w:rPr>
            </w:pPr>
            <w:r>
              <w:rPr>
                <w:w w:val="95"/>
                <w:sz w:val="19"/>
              </w:rPr>
              <w:t>5,272</w:t>
            </w:r>
          </w:p>
        </w:tc>
      </w:tr>
      <w:tr>
        <w:trPr>
          <w:trHeight w:val="321" w:hRule="atLeast"/>
        </w:trPr>
        <w:tc>
          <w:tcPr>
            <w:tcW w:w="5556" w:type="dxa"/>
            <w:tcBorders>
              <w:bottom w:val="single" w:sz="8" w:space="0" w:color="FFFFFF"/>
              <w:right w:val="single" w:sz="8" w:space="0" w:color="FFFFFF"/>
            </w:tcBorders>
            <w:shd w:val="clear" w:color="auto" w:fill="FAF9F9"/>
          </w:tcPr>
          <w:p>
            <w:pPr>
              <w:pStyle w:val="TableParagraph"/>
              <w:spacing w:before="47"/>
              <w:ind w:left="113"/>
              <w:rPr>
                <w:sz w:val="19"/>
              </w:rPr>
            </w:pPr>
            <w:r>
              <w:rPr>
                <w:sz w:val="19"/>
              </w:rPr>
              <w:t>Restricted cash and cash equivalents</w:t>
            </w:r>
          </w:p>
        </w:tc>
        <w:tc>
          <w:tcPr>
            <w:tcW w:w="1151"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151" w:type="dxa"/>
            <w:tcBorders>
              <w:left w:val="single" w:sz="8" w:space="0" w:color="FFFFFF"/>
              <w:bottom w:val="single" w:sz="8" w:space="0" w:color="FFFFFF"/>
            </w:tcBorders>
            <w:shd w:val="clear" w:color="auto" w:fill="FAF9F9"/>
          </w:tcPr>
          <w:p>
            <w:pPr>
              <w:pStyle w:val="TableParagraph"/>
              <w:spacing w:before="47"/>
              <w:ind w:right="111"/>
              <w:jc w:val="right"/>
              <w:rPr>
                <w:sz w:val="19"/>
              </w:rPr>
            </w:pPr>
            <w:r>
              <w:rPr>
                <w:w w:val="95"/>
                <w:sz w:val="19"/>
              </w:rPr>
              <w:t>6,531</w:t>
            </w:r>
          </w:p>
        </w:tc>
        <w:tc>
          <w:tcPr>
            <w:tcW w:w="1151" w:type="dxa"/>
            <w:shd w:val="clear" w:color="auto" w:fill="E1E4BB"/>
          </w:tcPr>
          <w:p>
            <w:pPr>
              <w:pStyle w:val="TableParagraph"/>
              <w:spacing w:before="47"/>
              <w:ind w:right="112"/>
              <w:jc w:val="right"/>
              <w:rPr>
                <w:sz w:val="19"/>
              </w:rPr>
            </w:pPr>
            <w:r>
              <w:rPr>
                <w:w w:val="95"/>
                <w:sz w:val="19"/>
              </w:rPr>
              <w:t>1,001</w:t>
            </w:r>
          </w:p>
        </w:tc>
        <w:tc>
          <w:tcPr>
            <w:tcW w:w="1548" w:type="dxa"/>
            <w:shd w:val="clear" w:color="auto" w:fill="FFFFFF"/>
          </w:tcPr>
          <w:p>
            <w:pPr>
              <w:pStyle w:val="TableParagraph"/>
              <w:spacing w:before="47"/>
              <w:ind w:right="112"/>
              <w:jc w:val="right"/>
              <w:rPr>
                <w:sz w:val="19"/>
              </w:rPr>
            </w:pPr>
            <w:r>
              <w:rPr>
                <w:w w:val="95"/>
                <w:sz w:val="19"/>
              </w:rPr>
              <w:t>3,171</w:t>
            </w:r>
          </w:p>
        </w:tc>
        <w:tc>
          <w:tcPr>
            <w:tcW w:w="2172" w:type="dxa"/>
            <w:shd w:val="clear" w:color="auto" w:fill="FFFFFF"/>
          </w:tcPr>
          <w:p>
            <w:pPr>
              <w:pStyle w:val="TableParagraph"/>
              <w:spacing w:before="47"/>
              <w:ind w:right="112"/>
              <w:jc w:val="right"/>
              <w:rPr>
                <w:sz w:val="19"/>
              </w:rPr>
            </w:pPr>
            <w:r>
              <w:rPr>
                <w:w w:val="90"/>
                <w:sz w:val="19"/>
              </w:rPr>
              <w:t>(5,530)</w:t>
            </w:r>
          </w:p>
        </w:tc>
        <w:tc>
          <w:tcPr>
            <w:tcW w:w="2569" w:type="dxa"/>
            <w:shd w:val="clear" w:color="auto" w:fill="FFFFFF"/>
          </w:tcPr>
          <w:p>
            <w:pPr>
              <w:pStyle w:val="TableParagraph"/>
              <w:spacing w:before="47"/>
              <w:ind w:right="113"/>
              <w:jc w:val="right"/>
              <w:rPr>
                <w:sz w:val="19"/>
              </w:rPr>
            </w:pPr>
            <w:r>
              <w:rPr>
                <w:w w:val="90"/>
                <w:sz w:val="19"/>
              </w:rPr>
              <w:t>(2,170)</w:t>
            </w:r>
          </w:p>
        </w:tc>
      </w:tr>
      <w:tr>
        <w:trPr>
          <w:trHeight w:val="292" w:hRule="atLeast"/>
        </w:trPr>
        <w:tc>
          <w:tcPr>
            <w:tcW w:w="5556" w:type="dxa"/>
            <w:tcBorders>
              <w:top w:val="single" w:sz="8" w:space="0" w:color="FFFFFF"/>
              <w:right w:val="single" w:sz="8" w:space="0" w:color="FFFFFF"/>
            </w:tcBorders>
            <w:shd w:val="clear" w:color="auto" w:fill="FAF9F9"/>
          </w:tcPr>
          <w:p>
            <w:pPr>
              <w:pStyle w:val="TableParagraph"/>
              <w:ind w:left="113"/>
              <w:rPr>
                <w:sz w:val="19"/>
              </w:rPr>
            </w:pPr>
            <w:r>
              <w:rPr>
                <w:sz w:val="19"/>
              </w:rPr>
              <w:t>Receivables</w:t>
            </w:r>
          </w:p>
        </w:tc>
        <w:tc>
          <w:tcPr>
            <w:tcW w:w="1151" w:type="dxa"/>
            <w:vMerge w:val="restart"/>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180,577</w:t>
            </w:r>
          </w:p>
        </w:tc>
        <w:tc>
          <w:tcPr>
            <w:tcW w:w="1151" w:type="dxa"/>
            <w:shd w:val="clear" w:color="auto" w:fill="E1E4BB"/>
          </w:tcPr>
          <w:p>
            <w:pPr>
              <w:pStyle w:val="TableParagraph"/>
              <w:ind w:right="112"/>
              <w:jc w:val="right"/>
              <w:rPr>
                <w:sz w:val="19"/>
              </w:rPr>
            </w:pPr>
            <w:r>
              <w:rPr>
                <w:w w:val="95"/>
                <w:sz w:val="19"/>
              </w:rPr>
              <w:t>132,386</w:t>
            </w:r>
          </w:p>
        </w:tc>
        <w:tc>
          <w:tcPr>
            <w:tcW w:w="1548" w:type="dxa"/>
            <w:shd w:val="clear" w:color="auto" w:fill="FFFFFF"/>
          </w:tcPr>
          <w:p>
            <w:pPr>
              <w:pStyle w:val="TableParagraph"/>
              <w:ind w:right="112"/>
              <w:jc w:val="right"/>
              <w:rPr>
                <w:sz w:val="19"/>
              </w:rPr>
            </w:pPr>
            <w:r>
              <w:rPr>
                <w:w w:val="95"/>
                <w:sz w:val="19"/>
              </w:rPr>
              <w:t>176,431</w:t>
            </w:r>
          </w:p>
        </w:tc>
        <w:tc>
          <w:tcPr>
            <w:tcW w:w="2172" w:type="dxa"/>
            <w:shd w:val="clear" w:color="auto" w:fill="FFFFFF"/>
          </w:tcPr>
          <w:p>
            <w:pPr>
              <w:pStyle w:val="TableParagraph"/>
              <w:ind w:right="112"/>
              <w:jc w:val="right"/>
              <w:rPr>
                <w:sz w:val="19"/>
              </w:rPr>
            </w:pPr>
            <w:r>
              <w:rPr>
                <w:w w:val="95"/>
                <w:sz w:val="19"/>
              </w:rPr>
              <w:t>(48,191)</w:t>
            </w:r>
          </w:p>
        </w:tc>
        <w:tc>
          <w:tcPr>
            <w:tcW w:w="2569" w:type="dxa"/>
            <w:shd w:val="clear" w:color="auto" w:fill="FFFFFF"/>
          </w:tcPr>
          <w:p>
            <w:pPr>
              <w:pStyle w:val="TableParagraph"/>
              <w:ind w:right="113"/>
              <w:jc w:val="right"/>
              <w:rPr>
                <w:sz w:val="19"/>
              </w:rPr>
            </w:pPr>
            <w:r>
              <w:rPr>
                <w:w w:val="95"/>
                <w:sz w:val="19"/>
              </w:rPr>
              <w:t>(44,045)</w:t>
            </w:r>
          </w:p>
        </w:tc>
      </w:tr>
      <w:tr>
        <w:trPr>
          <w:trHeight w:val="321" w:hRule="atLeast"/>
        </w:trPr>
        <w:tc>
          <w:tcPr>
            <w:tcW w:w="5556" w:type="dxa"/>
            <w:tcBorders>
              <w:bottom w:val="single" w:sz="8" w:space="0" w:color="FFFFFF"/>
              <w:right w:val="single" w:sz="8" w:space="0" w:color="FFFFFF"/>
            </w:tcBorders>
            <w:shd w:val="clear" w:color="auto" w:fill="FAF9F9"/>
          </w:tcPr>
          <w:p>
            <w:pPr>
              <w:pStyle w:val="TableParagraph"/>
              <w:spacing w:before="47"/>
              <w:ind w:left="113"/>
              <w:rPr>
                <w:sz w:val="19"/>
              </w:rPr>
            </w:pPr>
            <w:r>
              <w:rPr>
                <w:sz w:val="19"/>
              </w:rPr>
              <w:t>Finance lease receivables</w:t>
            </w:r>
          </w:p>
        </w:tc>
        <w:tc>
          <w:tcPr>
            <w:tcW w:w="1151"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151" w:type="dxa"/>
            <w:tcBorders>
              <w:left w:val="single" w:sz="8" w:space="0" w:color="FFFFFF"/>
              <w:bottom w:val="single" w:sz="8" w:space="0" w:color="FFFFFF"/>
            </w:tcBorders>
            <w:shd w:val="clear" w:color="auto" w:fill="FAF9F9"/>
          </w:tcPr>
          <w:p>
            <w:pPr>
              <w:pStyle w:val="TableParagraph"/>
              <w:spacing w:before="47"/>
              <w:ind w:right="111"/>
              <w:jc w:val="right"/>
              <w:rPr>
                <w:sz w:val="19"/>
              </w:rPr>
            </w:pPr>
            <w:r>
              <w:rPr>
                <w:w w:val="95"/>
                <w:sz w:val="19"/>
              </w:rPr>
              <w:t>533</w:t>
            </w:r>
          </w:p>
        </w:tc>
        <w:tc>
          <w:tcPr>
            <w:tcW w:w="1151" w:type="dxa"/>
            <w:shd w:val="clear" w:color="auto" w:fill="E1E4BB"/>
          </w:tcPr>
          <w:p>
            <w:pPr>
              <w:pStyle w:val="TableParagraph"/>
              <w:spacing w:before="47"/>
              <w:ind w:right="112"/>
              <w:jc w:val="right"/>
              <w:rPr>
                <w:sz w:val="19"/>
              </w:rPr>
            </w:pPr>
            <w:r>
              <w:rPr>
                <w:w w:val="95"/>
                <w:sz w:val="19"/>
              </w:rPr>
              <w:t>409</w:t>
            </w:r>
          </w:p>
        </w:tc>
        <w:tc>
          <w:tcPr>
            <w:tcW w:w="1548" w:type="dxa"/>
            <w:shd w:val="clear" w:color="auto" w:fill="FFFFFF"/>
          </w:tcPr>
          <w:p>
            <w:pPr>
              <w:pStyle w:val="TableParagraph"/>
              <w:spacing w:before="47"/>
              <w:ind w:right="112"/>
              <w:jc w:val="right"/>
              <w:rPr>
                <w:sz w:val="19"/>
              </w:rPr>
            </w:pPr>
            <w:r>
              <w:rPr>
                <w:w w:val="95"/>
                <w:sz w:val="19"/>
              </w:rPr>
              <w:t>494</w:t>
            </w:r>
          </w:p>
        </w:tc>
        <w:tc>
          <w:tcPr>
            <w:tcW w:w="2172" w:type="dxa"/>
            <w:shd w:val="clear" w:color="auto" w:fill="FFFFFF"/>
          </w:tcPr>
          <w:p>
            <w:pPr>
              <w:pStyle w:val="TableParagraph"/>
              <w:spacing w:before="47"/>
              <w:ind w:right="112"/>
              <w:jc w:val="right"/>
              <w:rPr>
                <w:sz w:val="19"/>
              </w:rPr>
            </w:pPr>
            <w:r>
              <w:rPr>
                <w:w w:val="90"/>
                <w:sz w:val="19"/>
              </w:rPr>
              <w:t>(124)</w:t>
            </w:r>
          </w:p>
        </w:tc>
        <w:tc>
          <w:tcPr>
            <w:tcW w:w="2569" w:type="dxa"/>
            <w:shd w:val="clear" w:color="auto" w:fill="FFFFFF"/>
          </w:tcPr>
          <w:p>
            <w:pPr>
              <w:pStyle w:val="TableParagraph"/>
              <w:spacing w:before="47"/>
              <w:ind w:right="113"/>
              <w:jc w:val="right"/>
              <w:rPr>
                <w:sz w:val="19"/>
              </w:rPr>
            </w:pPr>
            <w:r>
              <w:rPr>
                <w:w w:val="85"/>
                <w:sz w:val="19"/>
              </w:rPr>
              <w:t>(85)</w:t>
            </w:r>
          </w:p>
        </w:tc>
      </w:tr>
      <w:tr>
        <w:trPr>
          <w:trHeight w:val="292" w:hRule="atLeast"/>
        </w:trPr>
        <w:tc>
          <w:tcPr>
            <w:tcW w:w="5556" w:type="dxa"/>
            <w:tcBorders>
              <w:top w:val="single" w:sz="8" w:space="0" w:color="FFFFFF"/>
              <w:right w:val="single" w:sz="8" w:space="0" w:color="FFFFFF"/>
            </w:tcBorders>
            <w:shd w:val="clear" w:color="auto" w:fill="FAF9F9"/>
          </w:tcPr>
          <w:p>
            <w:pPr>
              <w:pStyle w:val="TableParagraph"/>
              <w:ind w:left="113"/>
              <w:rPr>
                <w:sz w:val="19"/>
              </w:rPr>
            </w:pPr>
            <w:r>
              <w:rPr>
                <w:sz w:val="19"/>
              </w:rPr>
              <w:t>Amounts receivable for services</w:t>
            </w:r>
          </w:p>
        </w:tc>
        <w:tc>
          <w:tcPr>
            <w:tcW w:w="1151" w:type="dxa"/>
            <w:vMerge w:val="restart"/>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1,487</w:t>
            </w:r>
          </w:p>
        </w:tc>
        <w:tc>
          <w:tcPr>
            <w:tcW w:w="1151" w:type="dxa"/>
            <w:shd w:val="clear" w:color="auto" w:fill="E1E4BB"/>
          </w:tcPr>
          <w:p>
            <w:pPr>
              <w:pStyle w:val="TableParagraph"/>
              <w:ind w:right="112"/>
              <w:jc w:val="right"/>
              <w:rPr>
                <w:sz w:val="19"/>
              </w:rPr>
            </w:pPr>
            <w:r>
              <w:rPr>
                <w:w w:val="95"/>
                <w:sz w:val="19"/>
              </w:rPr>
              <w:t>779</w:t>
            </w:r>
          </w:p>
        </w:tc>
        <w:tc>
          <w:tcPr>
            <w:tcW w:w="1548" w:type="dxa"/>
            <w:tcBorders>
              <w:top w:val="single" w:sz="8" w:space="0" w:color="FFFFFF"/>
              <w:right w:val="single" w:sz="8" w:space="0" w:color="FFFFFF"/>
            </w:tcBorders>
            <w:shd w:val="clear" w:color="auto" w:fill="FAF9F9"/>
          </w:tcPr>
          <w:p>
            <w:pPr>
              <w:pStyle w:val="TableParagraph"/>
              <w:ind w:right="102"/>
              <w:jc w:val="right"/>
              <w:rPr>
                <w:sz w:val="19"/>
              </w:rPr>
            </w:pPr>
            <w:r>
              <w:rPr>
                <w:w w:val="95"/>
                <w:sz w:val="19"/>
              </w:rPr>
              <w:t>2,250</w:t>
            </w:r>
          </w:p>
        </w:tc>
        <w:tc>
          <w:tcPr>
            <w:tcW w:w="2172" w:type="dxa"/>
            <w:tcBorders>
              <w:top w:val="single" w:sz="8" w:space="0" w:color="FFFFFF"/>
              <w:left w:val="single" w:sz="8" w:space="0" w:color="FFFFFF"/>
              <w:right w:val="single" w:sz="8" w:space="0" w:color="FFFFFF"/>
            </w:tcBorders>
            <w:shd w:val="clear" w:color="auto" w:fill="FAF9F9"/>
          </w:tcPr>
          <w:p>
            <w:pPr>
              <w:pStyle w:val="TableParagraph"/>
              <w:ind w:right="102"/>
              <w:jc w:val="right"/>
              <w:rPr>
                <w:sz w:val="19"/>
              </w:rPr>
            </w:pPr>
            <w:r>
              <w:rPr>
                <w:w w:val="90"/>
                <w:sz w:val="19"/>
              </w:rPr>
              <w:t>(708)</w:t>
            </w:r>
          </w:p>
        </w:tc>
        <w:tc>
          <w:tcPr>
            <w:tcW w:w="2569" w:type="dxa"/>
            <w:tcBorders>
              <w:top w:val="single" w:sz="8" w:space="0" w:color="FFFFFF"/>
              <w:left w:val="single" w:sz="8" w:space="0" w:color="FFFFFF"/>
            </w:tcBorders>
            <w:shd w:val="clear" w:color="auto" w:fill="FAF9F9"/>
          </w:tcPr>
          <w:p>
            <w:pPr>
              <w:pStyle w:val="TableParagraph"/>
              <w:ind w:right="113"/>
              <w:jc w:val="right"/>
              <w:rPr>
                <w:sz w:val="19"/>
              </w:rPr>
            </w:pPr>
            <w:r>
              <w:rPr>
                <w:w w:val="90"/>
                <w:sz w:val="19"/>
              </w:rPr>
              <w:t>(1,471)</w:t>
            </w:r>
          </w:p>
        </w:tc>
      </w:tr>
      <w:tr>
        <w:trPr>
          <w:trHeight w:val="321" w:hRule="atLeast"/>
        </w:trPr>
        <w:tc>
          <w:tcPr>
            <w:tcW w:w="5556" w:type="dxa"/>
            <w:tcBorders>
              <w:bottom w:val="single" w:sz="8" w:space="0" w:color="FFFFFF"/>
              <w:right w:val="single" w:sz="8" w:space="0" w:color="FFFFFF"/>
            </w:tcBorders>
            <w:shd w:val="clear" w:color="auto" w:fill="FAF9F9"/>
          </w:tcPr>
          <w:p>
            <w:pPr>
              <w:pStyle w:val="TableParagraph"/>
              <w:spacing w:before="47"/>
              <w:ind w:left="113"/>
              <w:rPr>
                <w:sz w:val="19"/>
              </w:rPr>
            </w:pPr>
            <w:r>
              <w:rPr>
                <w:sz w:val="19"/>
              </w:rPr>
              <w:t>Other current assets</w:t>
            </w:r>
          </w:p>
        </w:tc>
        <w:tc>
          <w:tcPr>
            <w:tcW w:w="1151"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151" w:type="dxa"/>
            <w:tcBorders>
              <w:left w:val="single" w:sz="8" w:space="0" w:color="FFFFFF"/>
              <w:bottom w:val="single" w:sz="4" w:space="0" w:color="000000"/>
            </w:tcBorders>
            <w:shd w:val="clear" w:color="auto" w:fill="FAF9F9"/>
          </w:tcPr>
          <w:p>
            <w:pPr>
              <w:pStyle w:val="TableParagraph"/>
              <w:spacing w:before="47"/>
              <w:ind w:right="111"/>
              <w:jc w:val="right"/>
              <w:rPr>
                <w:sz w:val="19"/>
              </w:rPr>
            </w:pPr>
            <w:r>
              <w:rPr>
                <w:w w:val="95"/>
                <w:sz w:val="19"/>
              </w:rPr>
              <w:t>25,245</w:t>
            </w:r>
          </w:p>
        </w:tc>
        <w:tc>
          <w:tcPr>
            <w:tcW w:w="1151" w:type="dxa"/>
            <w:tcBorders>
              <w:bottom w:val="single" w:sz="4" w:space="0" w:color="000000"/>
            </w:tcBorders>
            <w:shd w:val="clear" w:color="auto" w:fill="E1E4BB"/>
          </w:tcPr>
          <w:p>
            <w:pPr>
              <w:pStyle w:val="TableParagraph"/>
              <w:spacing w:before="47"/>
              <w:ind w:right="112"/>
              <w:jc w:val="right"/>
              <w:rPr>
                <w:sz w:val="19"/>
              </w:rPr>
            </w:pPr>
            <w:r>
              <w:rPr>
                <w:w w:val="95"/>
                <w:sz w:val="19"/>
              </w:rPr>
              <w:t>29,347</w:t>
            </w:r>
          </w:p>
        </w:tc>
        <w:tc>
          <w:tcPr>
            <w:tcW w:w="1548" w:type="dxa"/>
            <w:tcBorders>
              <w:bottom w:val="single" w:sz="4" w:space="0" w:color="000000"/>
              <w:right w:val="single" w:sz="8" w:space="0" w:color="FFFFFF"/>
            </w:tcBorders>
            <w:shd w:val="clear" w:color="auto" w:fill="FAF9F9"/>
          </w:tcPr>
          <w:p>
            <w:pPr>
              <w:pStyle w:val="TableParagraph"/>
              <w:spacing w:before="47"/>
              <w:ind w:right="102"/>
              <w:jc w:val="right"/>
              <w:rPr>
                <w:sz w:val="19"/>
              </w:rPr>
            </w:pPr>
            <w:r>
              <w:rPr>
                <w:w w:val="95"/>
                <w:sz w:val="19"/>
              </w:rPr>
              <w:t>29,254</w:t>
            </w:r>
          </w:p>
        </w:tc>
        <w:tc>
          <w:tcPr>
            <w:tcW w:w="2172" w:type="dxa"/>
            <w:tcBorders>
              <w:left w:val="single" w:sz="8" w:space="0" w:color="FFFFFF"/>
              <w:bottom w:val="single" w:sz="4" w:space="0" w:color="000000"/>
              <w:right w:val="single" w:sz="8" w:space="0" w:color="FFFFFF"/>
            </w:tcBorders>
            <w:shd w:val="clear" w:color="auto" w:fill="FAF9F9"/>
          </w:tcPr>
          <w:p>
            <w:pPr>
              <w:pStyle w:val="TableParagraph"/>
              <w:spacing w:before="47"/>
              <w:ind w:right="102"/>
              <w:jc w:val="right"/>
              <w:rPr>
                <w:sz w:val="19"/>
              </w:rPr>
            </w:pPr>
            <w:r>
              <w:rPr>
                <w:w w:val="95"/>
                <w:sz w:val="19"/>
              </w:rPr>
              <w:t>4,102</w:t>
            </w:r>
          </w:p>
        </w:tc>
        <w:tc>
          <w:tcPr>
            <w:tcW w:w="2569" w:type="dxa"/>
            <w:tcBorders>
              <w:left w:val="single" w:sz="8" w:space="0" w:color="FFFFFF"/>
              <w:bottom w:val="single" w:sz="4" w:space="0" w:color="000000"/>
            </w:tcBorders>
            <w:shd w:val="clear" w:color="auto" w:fill="FAF9F9"/>
          </w:tcPr>
          <w:p>
            <w:pPr>
              <w:pStyle w:val="TableParagraph"/>
              <w:spacing w:before="47"/>
              <w:ind w:right="113"/>
              <w:jc w:val="right"/>
              <w:rPr>
                <w:sz w:val="19"/>
              </w:rPr>
            </w:pPr>
            <w:r>
              <w:rPr>
                <w:w w:val="95"/>
                <w:sz w:val="19"/>
              </w:rPr>
              <w:t>93</w:t>
            </w:r>
          </w:p>
        </w:tc>
      </w:tr>
      <w:tr>
        <w:trPr>
          <w:trHeight w:val="307"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current assets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ind w:right="111"/>
              <w:jc w:val="right"/>
              <w:rPr>
                <w:b/>
                <w:sz w:val="19"/>
              </w:rPr>
            </w:pPr>
            <w:r>
              <w:rPr>
                <w:b/>
                <w:w w:val="95"/>
                <w:sz w:val="19"/>
              </w:rPr>
              <w:t>341,571</w:t>
            </w:r>
          </w:p>
        </w:tc>
        <w:tc>
          <w:tcPr>
            <w:tcW w:w="1151" w:type="dxa"/>
            <w:tcBorders>
              <w:top w:val="single" w:sz="4" w:space="0" w:color="000000"/>
              <w:bottom w:val="single" w:sz="4" w:space="0" w:color="000000"/>
            </w:tcBorders>
            <w:shd w:val="clear" w:color="auto" w:fill="DFE1B8"/>
          </w:tcPr>
          <w:p>
            <w:pPr>
              <w:pStyle w:val="TableParagraph"/>
              <w:ind w:right="112"/>
              <w:jc w:val="right"/>
              <w:rPr>
                <w:b/>
                <w:sz w:val="19"/>
              </w:rPr>
            </w:pPr>
            <w:r>
              <w:rPr>
                <w:b/>
                <w:w w:val="95"/>
                <w:sz w:val="19"/>
              </w:rPr>
              <w:t>239,812</w:t>
            </w:r>
          </w:p>
        </w:tc>
        <w:tc>
          <w:tcPr>
            <w:tcW w:w="1548" w:type="dxa"/>
            <w:tcBorders>
              <w:top w:val="single" w:sz="4" w:space="0" w:color="000000"/>
              <w:bottom w:val="single" w:sz="4" w:space="0" w:color="000000"/>
              <w:right w:val="single" w:sz="8" w:space="0" w:color="FFFFFF"/>
            </w:tcBorders>
            <w:shd w:val="clear" w:color="auto" w:fill="F4F4F4"/>
          </w:tcPr>
          <w:p>
            <w:pPr>
              <w:pStyle w:val="TableParagraph"/>
              <w:ind w:right="102"/>
              <w:jc w:val="right"/>
              <w:rPr>
                <w:b/>
                <w:sz w:val="19"/>
              </w:rPr>
            </w:pPr>
            <w:r>
              <w:rPr>
                <w:b/>
                <w:w w:val="95"/>
                <w:sz w:val="19"/>
              </w:rPr>
              <w:t>282,218</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ind w:right="102"/>
              <w:jc w:val="right"/>
              <w:rPr>
                <w:b/>
                <w:sz w:val="19"/>
              </w:rPr>
            </w:pPr>
            <w:r>
              <w:rPr>
                <w:b/>
                <w:w w:val="95"/>
                <w:sz w:val="19"/>
              </w:rPr>
              <w:t>(101,759)</w:t>
            </w:r>
          </w:p>
        </w:tc>
        <w:tc>
          <w:tcPr>
            <w:tcW w:w="2569" w:type="dxa"/>
            <w:tcBorders>
              <w:top w:val="single" w:sz="4" w:space="0" w:color="000000"/>
              <w:left w:val="single" w:sz="8" w:space="0" w:color="FFFFFF"/>
              <w:bottom w:val="single" w:sz="4" w:space="0" w:color="000000"/>
            </w:tcBorders>
            <w:shd w:val="clear" w:color="auto" w:fill="F4F4F4"/>
          </w:tcPr>
          <w:p>
            <w:pPr>
              <w:pStyle w:val="TableParagraph"/>
              <w:ind w:right="113"/>
              <w:jc w:val="right"/>
              <w:rPr>
                <w:b/>
                <w:sz w:val="19"/>
              </w:rPr>
            </w:pPr>
            <w:r>
              <w:rPr>
                <w:b/>
                <w:w w:val="95"/>
                <w:sz w:val="19"/>
              </w:rPr>
              <w:t>(42,406)</w:t>
            </w:r>
          </w:p>
        </w:tc>
      </w:tr>
    </w:tbl>
    <w:p>
      <w:pPr>
        <w:spacing w:after="0"/>
        <w:jc w:val="right"/>
        <w:rPr>
          <w:sz w:val="19"/>
        </w:rPr>
        <w:sectPr>
          <w:footerReference w:type="default" r:id="rId188"/>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rPr>
          <w:b/>
        </w:rPr>
      </w:pPr>
    </w:p>
    <w:p>
      <w:pPr>
        <w:pStyle w:val="Heading1"/>
        <w:spacing w:before="93"/>
        <w:ind w:left="785"/>
      </w:pPr>
      <w:r>
        <w:rPr/>
        <w:pict>
          <v:group style="position:absolute;margin-left:120.271004pt;margin-top:-57.324211pt;width:721.65pt;height:42.55pt;mso-position-horizontal-relative:page;mso-position-vertical-relative:paragraph;z-index:21424"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Heading5"/>
        <w:spacing w:before="257"/>
      </w:pPr>
      <w:r>
        <w:rPr/>
        <w:pict>
          <v:group style="position:absolute;margin-left:489.192902pt;margin-top:81.520401pt;width:314.4pt;height:310.55pt;mso-position-horizontal-relative:page;mso-position-vertical-relative:paragraph;z-index:-691240" coordorigin="9784,1630" coordsize="6288,6211">
            <v:shape style="position:absolute;left:9783;top:1630;width:6288;height:982" coordorigin="9784,1630" coordsize="6288,982" path="m16071,2285l13503,2285,11332,2285,9784,2285,9784,2612,11332,2612,13503,2612,16071,2612,16071,2285m16071,1630l13503,1630,11332,1630,9784,1630,9784,1958,11332,1958,13503,1958,16071,1958,16071,1630e" filled="true" fillcolor="#f4f4f4" stroked="false">
              <v:path arrowok="t"/>
              <v:fill type="solid"/>
            </v:shape>
            <v:shape style="position:absolute;left:9783;top:1957;width:6288;height:328" coordorigin="9784,1958" coordsize="6288,328" path="m16071,1958l13503,1958,11332,1958,9784,1958,9784,2285,11332,2285,13503,2285,16071,2285,16071,1958e" filled="true" fillcolor="#faf9f9" stroked="false">
              <v:path arrowok="t"/>
              <v:fill type="solid"/>
            </v:shape>
            <v:shape style="position:absolute;left:9783;top:2939;width:6288;height:328" coordorigin="9784,2939" coordsize="6288,328" path="m16071,2939l13503,2939,11332,2939,9784,2939,9784,3266,11332,3266,13503,3266,16071,3266,16071,2939e" filled="true" fillcolor="#f4f4f4" stroked="false">
              <v:path arrowok="t"/>
              <v:fill type="solid"/>
            </v:shape>
            <v:shape style="position:absolute;left:9783;top:2611;width:6288;height:328" coordorigin="9784,2612" coordsize="6288,328" path="m16071,2612l13503,2612,11332,2612,9784,2612,9784,2939,11332,2939,13503,2939,16071,2939,16071,2612e" filled="true" fillcolor="#faf9f9" stroked="false">
              <v:path arrowok="t"/>
              <v:fill type="solid"/>
            </v:shape>
            <v:shape style="position:absolute;left:9783;top:3593;width:6288;height:328" coordorigin="9784,3593" coordsize="6288,328" path="m16071,3593l13503,3593,11332,3593,9784,3593,9784,3921,11332,3921,13503,3921,16071,3921,16071,3593e" filled="true" fillcolor="#f4f4f4" stroked="false">
              <v:path arrowok="t"/>
              <v:fill type="solid"/>
            </v:shape>
            <v:shape style="position:absolute;left:9783;top:3266;width:6288;height:328" coordorigin="9784,3266" coordsize="6288,328" path="m16071,3266l13503,3266,11332,3266,9784,3266,9784,3593,11332,3593,13503,3593,16071,3593,16071,3266e" filled="true" fillcolor="#faf9f9" stroked="false">
              <v:path arrowok="t"/>
              <v:fill type="solid"/>
            </v:shape>
            <v:shape style="position:absolute;left:9783;top:4247;width:6288;height:328" coordorigin="9784,4248" coordsize="6288,328" path="m16071,4248l13503,4248,11332,4248,9784,4248,9784,4575,11332,4575,13503,4575,16071,4575,16071,4248e" filled="true" fillcolor="#f4f4f4" stroked="false">
              <v:path arrowok="t"/>
              <v:fill type="solid"/>
            </v:shape>
            <v:shape style="position:absolute;left:9783;top:3920;width:6288;height:328" coordorigin="9784,3921" coordsize="6288,328" path="m16071,3921l13503,3921,11332,3921,9784,3921,9784,4248,11332,4248,13503,4248,16071,4248,16071,3921e" filled="true" fillcolor="#faf9f9" stroked="false">
              <v:path arrowok="t"/>
              <v:fill type="solid"/>
            </v:shape>
            <v:shape style="position:absolute;left:9783;top:4901;width:6288;height:328" coordorigin="9784,4902" coordsize="6288,328" path="m16071,4902l13503,4902,11332,4902,9784,4902,9784,5229,11332,5229,13503,5229,16071,5229,16071,4902e" filled="true" fillcolor="#f4f4f4" stroked="false">
              <v:path arrowok="t"/>
              <v:fill type="solid"/>
            </v:shape>
            <v:shape style="position:absolute;left:9783;top:4574;width:6288;height:982" coordorigin="9784,4575" coordsize="6288,982" path="m16071,5229l13503,5229,11332,5229,9784,5229,9784,5556,11332,5556,13503,5556,16071,5556,16071,5229m16071,4575l13503,4575,11332,4575,9784,4575,9784,4902,11332,4902,13503,4902,16071,4902,16071,4575e" filled="true" fillcolor="#faf9f9" stroked="false">
              <v:path arrowok="t"/>
              <v:fill type="solid"/>
            </v:shape>
            <v:shape style="position:absolute;left:9783;top:1947;width:6288;height:3619" coordorigin="9784,1948" coordsize="6288,3619" path="m11322,5546l9784,5546,9784,5566,11322,5566,11322,5546m11322,5219l9784,5219,9784,5239,11322,5239,11322,5219m11322,3256l9784,3256,9784,3276,11322,3276,11322,3256m11322,2929l9784,2929,9784,2949,11322,2949,11322,2929m11322,2602l9784,2602,9784,2622,11322,2622,11322,2602m11322,2275l9784,2275,9784,2295,11322,2295,11322,2275m11322,1948l9784,1948,9784,1968,11322,1968,11322,1948m13493,5546l11342,5546,11342,5566,13493,5566,13493,5546m13493,5219l11342,5219,11342,5239,13493,5239,13493,5219m13493,3256l11342,3256,11342,3276,13493,3276,13493,3256m13493,2929l11342,2929,11342,2949,13493,2949,13493,2929m13493,2602l11342,2602,11342,2622,13493,2622,13493,2602m13493,2275l11342,2275,11342,2295,13493,2295,13493,2275m13493,1948l11342,1948,11342,1968,13493,1968,13493,1948m16071,5546l13513,5546,13513,5566,16071,5566,16071,5546m16071,5219l13513,5219,13513,5239,16071,5239,16071,5219m16071,3256l13513,3256,13513,3276,16071,3276,16071,3256m16071,2929l13513,2929,13513,2949,16071,2949,16071,2929m16071,2602l13513,2602,13513,2622,16071,2622,16071,2602m16071,2275l13513,2275,13513,2295,16071,2295,16071,2275m16071,1948l13513,1948,13513,1968,16071,1968,16071,1948e" filled="true" fillcolor="#ffffff" stroked="false">
              <v:path arrowok="t"/>
              <v:fill type="solid"/>
            </v:shape>
            <v:line style="position:absolute" from="11332,1958" to="11332,1635" stroked="true" strokeweight="1pt" strokecolor="#ffffff">
              <v:stroke dashstyle="solid"/>
            </v:line>
            <v:line style="position:absolute" from="13503,1958" to="13503,1635" stroked="true" strokeweight="1pt" strokecolor="#ffffff">
              <v:stroke dashstyle="solid"/>
            </v:line>
            <v:line style="position:absolute" from="11332,2285" to="11332,1958" stroked="true" strokeweight="1pt" strokecolor="#ffffff">
              <v:stroke dashstyle="solid"/>
            </v:line>
            <v:line style="position:absolute" from="13503,2285" to="13503,1958" stroked="true" strokeweight="1pt" strokecolor="#ffffff">
              <v:stroke dashstyle="solid"/>
            </v:line>
            <v:line style="position:absolute" from="11332,2612" to="11332,2285" stroked="true" strokeweight="1pt" strokecolor="#ffffff">
              <v:stroke dashstyle="solid"/>
            </v:line>
            <v:line style="position:absolute" from="13503,2612" to="13503,2285" stroked="true" strokeweight="1pt" strokecolor="#ffffff">
              <v:stroke dashstyle="solid"/>
            </v:line>
            <v:line style="position:absolute" from="11332,2939" to="11332,2612" stroked="true" strokeweight="1pt" strokecolor="#ffffff">
              <v:stroke dashstyle="solid"/>
            </v:line>
            <v:line style="position:absolute" from="13503,2939" to="13503,2612" stroked="true" strokeweight="1pt" strokecolor="#ffffff">
              <v:stroke dashstyle="solid"/>
            </v:line>
            <v:line style="position:absolute" from="11332,3266" to="11332,2939" stroked="true" strokeweight="1pt" strokecolor="#ffffff">
              <v:stroke dashstyle="solid"/>
            </v:line>
            <v:line style="position:absolute" from="13503,3266" to="13503,2939" stroked="true" strokeweight="1pt" strokecolor="#ffffff">
              <v:stroke dashstyle="solid"/>
            </v:line>
            <v:line style="position:absolute" from="11332,3583" to="11332,3266" stroked="true" strokeweight="1pt" strokecolor="#ffffff">
              <v:stroke dashstyle="solid"/>
            </v:line>
            <v:line style="position:absolute" from="13503,3583" to="13503,3266" stroked="true" strokeweight="1pt" strokecolor="#ffffff">
              <v:stroke dashstyle="solid"/>
            </v:line>
            <v:line style="position:absolute" from="11332,3921" to="11332,3603" stroked="true" strokeweight="1pt" strokecolor="#ffffff">
              <v:stroke dashstyle="solid"/>
            </v:line>
            <v:line style="position:absolute" from="13503,3921" to="13503,3603" stroked="true" strokeweight="1pt" strokecolor="#ffffff">
              <v:stroke dashstyle="solid"/>
            </v:line>
            <v:line style="position:absolute" from="11332,4243" to="11332,3921" stroked="true" strokeweight="1pt" strokecolor="#ffffff">
              <v:stroke dashstyle="solid"/>
            </v:line>
            <v:line style="position:absolute" from="13503,4243" to="13503,3921" stroked="true" strokeweight="1pt" strokecolor="#ffffff">
              <v:stroke dashstyle="solid"/>
            </v:line>
            <v:line style="position:absolute" from="11332,4570" to="11332,4253" stroked="true" strokeweight="1pt" strokecolor="#ffffff">
              <v:stroke dashstyle="solid"/>
            </v:line>
            <v:line style="position:absolute" from="13503,4570" to="13503,4253" stroked="true" strokeweight="1pt" strokecolor="#ffffff">
              <v:stroke dashstyle="solid"/>
            </v:line>
            <v:line style="position:absolute" from="11332,4872" to="11332,4580" stroked="true" strokeweight="1pt" strokecolor="#ffffff">
              <v:stroke dashstyle="solid"/>
            </v:line>
            <v:line style="position:absolute" from="13503,4872" to="13503,4580" stroked="true" strokeweight="1pt" strokecolor="#ffffff">
              <v:stroke dashstyle="solid"/>
            </v:line>
            <v:line style="position:absolute" from="11332,5229" to="11332,4932" stroked="true" strokeweight="1pt" strokecolor="#ffffff">
              <v:stroke dashstyle="solid"/>
            </v:line>
            <v:line style="position:absolute" from="13503,5229" to="13503,4932" stroked="true" strokeweight="1pt" strokecolor="#ffffff">
              <v:stroke dashstyle="solid"/>
            </v:line>
            <v:line style="position:absolute" from="11332,5556" to="11332,5229" stroked="true" strokeweight="1pt" strokecolor="#ffffff">
              <v:stroke dashstyle="solid"/>
            </v:line>
            <v:line style="position:absolute" from="13503,5556" to="13503,5229" stroked="true" strokeweight="1pt" strokecolor="#ffffff">
              <v:stroke dashstyle="solid"/>
            </v:line>
            <v:line style="position:absolute" from="11332,5883" to="11332,5556" stroked="true" strokeweight="1pt" strokecolor="#ffffff">
              <v:stroke dashstyle="solid"/>
            </v:line>
            <v:line style="position:absolute" from="13503,5883" to="13503,5556" stroked="true" strokeweight="1pt" strokecolor="#ffffff">
              <v:stroke dashstyle="solid"/>
            </v:line>
            <v:shape style="position:absolute;left:9783;top:6200;width:6288;height:20" coordorigin="9784,6201" coordsize="6288,20" path="m11322,6201l9784,6201,9784,6221,11322,6221,11322,6201m13493,6201l11342,6201,11342,6221,13493,6221,13493,6201m16071,6201l13513,6201,13513,6221,16071,6221,16071,6201e" filled="true" fillcolor="#ffffff" stroked="false">
              <v:path arrowok="t"/>
              <v:fill type="solid"/>
            </v:shape>
            <v:line style="position:absolute" from="11332,6211" to="11332,5883" stroked="true" strokeweight="1pt" strokecolor="#ffffff">
              <v:stroke dashstyle="solid"/>
            </v:line>
            <v:line style="position:absolute" from="13503,6211" to="13503,5883" stroked="true" strokeweight="1pt" strokecolor="#ffffff">
              <v:stroke dashstyle="solid"/>
            </v:line>
            <v:line style="position:absolute" from="11332,6538" to="11332,6211" stroked="true" strokeweight="1pt" strokecolor="#ffffff">
              <v:stroke dashstyle="solid"/>
            </v:line>
            <v:line style="position:absolute" from="13503,6538" to="13503,6211" stroked="true" strokeweight="1pt" strokecolor="#ffffff">
              <v:stroke dashstyle="solid"/>
            </v:line>
            <v:shape style="position:absolute;left:9783;top:6854;width:6288;height:20" coordorigin="9784,6855" coordsize="6288,20" path="m11322,6855l9784,6855,9784,6875,11322,6875,11322,6855m13493,6855l11342,6855,11342,6875,13493,6875,13493,6855m16071,6855l13513,6855,13513,6875,16071,6875,16071,6855e" filled="true" fillcolor="#ffffff" stroked="false">
              <v:path arrowok="t"/>
              <v:fill type="solid"/>
            </v:shape>
            <v:line style="position:absolute" from="11332,6865" to="11332,6538" stroked="true" strokeweight="1pt" strokecolor="#ffffff">
              <v:stroke dashstyle="solid"/>
            </v:line>
            <v:line style="position:absolute" from="13503,6865" to="13503,6538" stroked="true" strokeweight="1pt" strokecolor="#ffffff">
              <v:stroke dashstyle="solid"/>
            </v:line>
            <v:line style="position:absolute" from="11332,7192" to="11332,6865" stroked="true" strokeweight="1pt" strokecolor="#ffffff">
              <v:stroke dashstyle="solid"/>
            </v:line>
            <v:line style="position:absolute" from="13503,7192" to="13503,6865" stroked="true" strokeweight="1pt" strokecolor="#ffffff">
              <v:stroke dashstyle="solid"/>
            </v:line>
            <v:line style="position:absolute" from="11332,7514" to="11332,7192" stroked="true" strokeweight="1pt" strokecolor="#ffffff">
              <v:stroke dashstyle="solid"/>
            </v:line>
            <v:line style="position:absolute" from="13503,7514" to="13503,7192" stroked="true" strokeweight="1pt" strokecolor="#ffffff">
              <v:stroke dashstyle="solid"/>
            </v:line>
            <v:line style="position:absolute" from="11332,7841" to="11332,7524" stroked="true" strokeweight="1pt" strokecolor="#ffffff">
              <v:stroke dashstyle="solid"/>
            </v:line>
            <v:line style="position:absolute" from="13503,7841" to="13503,7524" stroked="true" strokeweight="1pt" strokecolor="#ffffff">
              <v:stroke dashstyle="solid"/>
            </v:line>
            <v:shape style="position:absolute;left:9783;top:3583;width:6288;height:20" coordorigin="9784,3583" coordsize="6288,20" path="m16071,3583l13503,3583,11332,3583,9784,3583,9784,3603,11332,3603,13503,3603,16071,3603,16071,3583e" filled="true" fillcolor="#ffffff" stroked="false">
              <v:path arrowok="t"/>
              <v:fill type="solid"/>
            </v:shape>
            <w10:wrap type="none"/>
          </v:group>
        </w:pict>
      </w:r>
      <w:r>
        <w:rPr>
          <w:color w:val="6F2770"/>
        </w:rPr>
        <w:t>Note 44. Explanatory statement (cont.)</w:t>
      </w:r>
    </w:p>
    <w:p>
      <w:pPr>
        <w:pStyle w:val="BodyText"/>
        <w:spacing w:before="3"/>
        <w:rPr>
          <w:sz w:val="21"/>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628"/>
        <w:gridCol w:w="2131"/>
        <w:gridCol w:w="2527"/>
      </w:tblGrid>
      <w:tr>
        <w:trPr>
          <w:trHeight w:val="761" w:hRule="atLeast"/>
        </w:trPr>
        <w:tc>
          <w:tcPr>
            <w:tcW w:w="6707" w:type="dxa"/>
            <w:gridSpan w:val="2"/>
            <w:tcBorders>
              <w:left w:val="single" w:sz="8" w:space="0" w:color="FFFFFF"/>
            </w:tcBorders>
            <w:shd w:val="clear" w:color="auto" w:fill="783A79"/>
          </w:tcPr>
          <w:p>
            <w:pPr>
              <w:pStyle w:val="TableParagraph"/>
              <w:spacing w:line="249" w:lineRule="auto" w:before="42"/>
              <w:ind w:left="5914" w:hanging="175"/>
              <w:rPr>
                <w:b/>
                <w:sz w:val="19"/>
              </w:rPr>
            </w:pPr>
            <w:r>
              <w:rPr>
                <w:b/>
                <w:color w:val="FFFFFF"/>
                <w:sz w:val="19"/>
              </w:rPr>
              <w:t>Variance Note</w:t>
            </w:r>
          </w:p>
        </w:tc>
        <w:tc>
          <w:tcPr>
            <w:tcW w:w="1151" w:type="dxa"/>
            <w:shd w:val="clear" w:color="auto" w:fill="783A79"/>
          </w:tcPr>
          <w:p>
            <w:pPr>
              <w:pStyle w:val="TableParagraph"/>
              <w:spacing w:before="42"/>
              <w:ind w:left="248"/>
              <w:rPr>
                <w:b/>
                <w:sz w:val="19"/>
              </w:rPr>
            </w:pPr>
            <w:r>
              <w:rPr>
                <w:b/>
                <w:color w:val="FFFFFF"/>
                <w:sz w:val="19"/>
              </w:rPr>
              <w:t>Estimate</w:t>
            </w:r>
          </w:p>
          <w:p>
            <w:pPr>
              <w:pStyle w:val="TableParagraph"/>
              <w:spacing w:before="10"/>
              <w:ind w:left="624"/>
              <w:rPr>
                <w:b/>
                <w:sz w:val="19"/>
              </w:rPr>
            </w:pPr>
            <w:r>
              <w:rPr>
                <w:b/>
                <w:color w:val="FFFFFF"/>
                <w:sz w:val="19"/>
              </w:rPr>
              <w:t>2018</w:t>
            </w:r>
          </w:p>
          <w:p>
            <w:pPr>
              <w:pStyle w:val="TableParagraph"/>
              <w:spacing w:before="9"/>
              <w:ind w:left="624"/>
              <w:rPr>
                <w:b/>
                <w:sz w:val="19"/>
              </w:rPr>
            </w:pPr>
            <w:r>
              <w:rPr>
                <w:b/>
                <w:color w:val="FFFFFF"/>
                <w:sz w:val="19"/>
              </w:rPr>
              <w:t>$000</w:t>
            </w:r>
          </w:p>
        </w:tc>
        <w:tc>
          <w:tcPr>
            <w:tcW w:w="1151" w:type="dxa"/>
            <w:shd w:val="clear" w:color="auto" w:fill="783A79"/>
          </w:tcPr>
          <w:p>
            <w:pPr>
              <w:pStyle w:val="TableParagraph"/>
              <w:spacing w:line="249" w:lineRule="auto" w:before="42"/>
              <w:ind w:left="624" w:right="84" w:hanging="155"/>
              <w:rPr>
                <w:b/>
                <w:sz w:val="19"/>
              </w:rPr>
            </w:pPr>
            <w:r>
              <w:rPr>
                <w:b/>
                <w:color w:val="FFFFFF"/>
                <w:w w:val="95"/>
                <w:sz w:val="19"/>
              </w:rPr>
              <w:t>Actual </w:t>
            </w:r>
            <w:r>
              <w:rPr>
                <w:b/>
                <w:color w:val="FFFFFF"/>
                <w:sz w:val="19"/>
              </w:rPr>
              <w:t>2018</w:t>
            </w:r>
          </w:p>
          <w:p>
            <w:pPr>
              <w:pStyle w:val="TableParagraph"/>
              <w:spacing w:before="2"/>
              <w:ind w:left="624"/>
              <w:rPr>
                <w:b/>
                <w:sz w:val="19"/>
              </w:rPr>
            </w:pPr>
            <w:r>
              <w:rPr>
                <w:b/>
                <w:color w:val="FFFFFF"/>
                <w:sz w:val="19"/>
              </w:rPr>
              <w:t>$000</w:t>
            </w:r>
          </w:p>
        </w:tc>
        <w:tc>
          <w:tcPr>
            <w:tcW w:w="162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8"/>
              <w:rPr>
                <w:sz w:val="20"/>
              </w:rPr>
            </w:pPr>
          </w:p>
          <w:p>
            <w:pPr>
              <w:pStyle w:val="TableParagraph"/>
              <w:spacing w:before="0"/>
              <w:ind w:left="1021"/>
              <w:rPr>
                <w:b/>
                <w:sz w:val="19"/>
              </w:rPr>
            </w:pPr>
            <w:r>
              <w:rPr>
                <w:b/>
                <w:color w:val="FFFFFF"/>
                <w:sz w:val="19"/>
              </w:rPr>
              <w:t>$000</w:t>
            </w:r>
          </w:p>
        </w:tc>
        <w:tc>
          <w:tcPr>
            <w:tcW w:w="2131" w:type="dxa"/>
            <w:shd w:val="clear" w:color="auto" w:fill="783A79"/>
          </w:tcPr>
          <w:p>
            <w:pPr>
              <w:pStyle w:val="TableParagraph"/>
              <w:spacing w:line="249" w:lineRule="auto" w:before="42"/>
              <w:ind w:left="203" w:right="141"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41"/>
              <w:jc w:val="right"/>
              <w:rPr>
                <w:b/>
                <w:sz w:val="19"/>
              </w:rPr>
            </w:pPr>
            <w:r>
              <w:rPr>
                <w:b/>
                <w:color w:val="FFFFFF"/>
                <w:w w:val="95"/>
                <w:sz w:val="19"/>
              </w:rPr>
              <w:t>$000</w:t>
            </w:r>
          </w:p>
        </w:tc>
        <w:tc>
          <w:tcPr>
            <w:tcW w:w="2527" w:type="dxa"/>
            <w:shd w:val="clear" w:color="auto" w:fill="783A79"/>
          </w:tcPr>
          <w:p>
            <w:pPr>
              <w:pStyle w:val="TableParagraph"/>
              <w:spacing w:line="249" w:lineRule="auto" w:before="42"/>
              <w:ind w:left="164" w:right="100"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00"/>
              <w:jc w:val="right"/>
              <w:rPr>
                <w:b/>
                <w:sz w:val="19"/>
              </w:rPr>
            </w:pPr>
            <w:r>
              <w:rPr>
                <w:b/>
                <w:color w:val="FFFFFF"/>
                <w:w w:val="95"/>
                <w:sz w:val="19"/>
              </w:rPr>
              <w:t>$000</w:t>
            </w:r>
          </w:p>
        </w:tc>
      </w:tr>
      <w:tr>
        <w:trPr>
          <w:trHeight w:val="644" w:hRule="atLeast"/>
        </w:trPr>
        <w:tc>
          <w:tcPr>
            <w:tcW w:w="5556" w:type="dxa"/>
            <w:shd w:val="clear" w:color="auto" w:fill="FFFFFF"/>
          </w:tcPr>
          <w:p>
            <w:pPr>
              <w:pStyle w:val="TableParagraph"/>
              <w:spacing w:before="42"/>
              <w:ind w:left="123"/>
              <w:rPr>
                <w:i/>
                <w:sz w:val="19"/>
              </w:rPr>
            </w:pPr>
            <w:r>
              <w:rPr>
                <w:i/>
                <w:color w:val="6F2770"/>
                <w:sz w:val="19"/>
              </w:rPr>
              <w:t>Non-current assets</w:t>
            </w:r>
          </w:p>
          <w:p>
            <w:pPr>
              <w:pStyle w:val="TableParagraph"/>
              <w:spacing w:before="109"/>
              <w:ind w:left="123"/>
              <w:rPr>
                <w:sz w:val="19"/>
              </w:rPr>
            </w:pPr>
            <w:r>
              <w:rPr>
                <w:sz w:val="19"/>
              </w:rPr>
              <w:t>Restricted cash and cash equivalents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1"/>
              <w:rPr>
                <w:sz w:val="32"/>
              </w:rPr>
            </w:pPr>
          </w:p>
          <w:p>
            <w:pPr>
              <w:pStyle w:val="TableParagraph"/>
              <w:spacing w:before="0"/>
              <w:ind w:right="101"/>
              <w:jc w:val="right"/>
              <w:rPr>
                <w:sz w:val="19"/>
              </w:rPr>
            </w:pPr>
            <w:r>
              <w:rPr>
                <w:w w:val="95"/>
                <w:sz w:val="19"/>
              </w:rPr>
              <w:t>170</w:t>
            </w:r>
          </w:p>
        </w:tc>
        <w:tc>
          <w:tcPr>
            <w:tcW w:w="1151"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685" w:right="59"/>
              <w:jc w:val="center"/>
              <w:rPr>
                <w:sz w:val="19"/>
              </w:rPr>
            </w:pPr>
            <w:r>
              <w:rPr>
                <w:sz w:val="19"/>
              </w:rPr>
              <w:t>734</w:t>
            </w:r>
          </w:p>
          <w:p>
            <w:pPr>
              <w:pStyle w:val="TableParagraph"/>
              <w:spacing w:before="109"/>
              <w:ind w:left="685" w:right="59"/>
              <w:jc w:val="center"/>
              <w:rPr>
                <w:sz w:val="19"/>
              </w:rPr>
            </w:pPr>
            <w:r>
              <w:rPr>
                <w:sz w:val="19"/>
              </w:rPr>
              <w:t>535</w:t>
            </w:r>
          </w:p>
          <w:p>
            <w:pPr>
              <w:pStyle w:val="TableParagraph"/>
              <w:spacing w:before="109"/>
              <w:ind w:left="685" w:right="59"/>
              <w:jc w:val="center"/>
              <w:rPr>
                <w:sz w:val="19"/>
              </w:rPr>
            </w:pPr>
            <w:r>
              <w:rPr>
                <w:sz w:val="19"/>
              </w:rPr>
              <w:t>248</w:t>
            </w:r>
          </w:p>
          <w:p>
            <w:pPr>
              <w:pStyle w:val="TableParagraph"/>
              <w:spacing w:before="108"/>
              <w:ind w:left="315" w:right="59"/>
              <w:jc w:val="center"/>
              <w:rPr>
                <w:sz w:val="19"/>
              </w:rPr>
            </w:pPr>
            <w:r>
              <w:rPr>
                <w:sz w:val="19"/>
              </w:rPr>
              <w:t>523,084</w:t>
            </w:r>
          </w:p>
          <w:p>
            <w:pPr>
              <w:pStyle w:val="TableParagraph"/>
              <w:spacing w:before="109"/>
              <w:ind w:left="315" w:right="59"/>
              <w:jc w:val="center"/>
              <w:rPr>
                <w:sz w:val="19"/>
              </w:rPr>
            </w:pPr>
            <w:r>
              <w:rPr>
                <w:sz w:val="19"/>
              </w:rPr>
              <w:t>687,094</w:t>
            </w:r>
          </w:p>
          <w:p>
            <w:pPr>
              <w:pStyle w:val="TableParagraph"/>
              <w:spacing w:before="109"/>
              <w:ind w:left="421" w:right="59"/>
              <w:jc w:val="center"/>
              <w:rPr>
                <w:sz w:val="19"/>
              </w:rPr>
            </w:pPr>
            <w:r>
              <w:rPr>
                <w:sz w:val="19"/>
              </w:rPr>
              <w:t>34,463</w:t>
            </w:r>
          </w:p>
          <w:p>
            <w:pPr>
              <w:pStyle w:val="TableParagraph"/>
              <w:spacing w:before="108"/>
              <w:ind w:left="526" w:right="59"/>
              <w:jc w:val="center"/>
              <w:rPr>
                <w:sz w:val="19"/>
              </w:rPr>
            </w:pPr>
            <w:r>
              <w:rPr>
                <w:sz w:val="19"/>
              </w:rPr>
              <w:t>4,307</w:t>
            </w:r>
          </w:p>
        </w:tc>
        <w:tc>
          <w:tcPr>
            <w:tcW w:w="1628" w:type="dxa"/>
            <w:vMerge w:val="restart"/>
            <w:tcBorders>
              <w:bottom w:val="single" w:sz="4" w:space="0" w:color="000000"/>
            </w:tcBorders>
          </w:tcPr>
          <w:p>
            <w:pPr>
              <w:pStyle w:val="TableParagraph"/>
              <w:spacing w:before="1"/>
              <w:rPr>
                <w:sz w:val="32"/>
              </w:rPr>
            </w:pPr>
          </w:p>
          <w:p>
            <w:pPr>
              <w:pStyle w:val="TableParagraph"/>
              <w:spacing w:before="0"/>
              <w:ind w:right="182"/>
              <w:jc w:val="right"/>
              <w:rPr>
                <w:sz w:val="19"/>
              </w:rPr>
            </w:pPr>
            <w:r>
              <w:rPr>
                <w:w w:val="95"/>
                <w:sz w:val="19"/>
              </w:rPr>
              <w:t>398</w:t>
            </w:r>
          </w:p>
          <w:p>
            <w:pPr>
              <w:pStyle w:val="TableParagraph"/>
              <w:spacing w:before="109"/>
              <w:ind w:right="182"/>
              <w:jc w:val="right"/>
              <w:rPr>
                <w:sz w:val="19"/>
              </w:rPr>
            </w:pPr>
            <w:r>
              <w:rPr>
                <w:w w:val="95"/>
                <w:sz w:val="19"/>
              </w:rPr>
              <w:t>1,948</w:t>
            </w:r>
          </w:p>
          <w:p>
            <w:pPr>
              <w:pStyle w:val="TableParagraph"/>
              <w:spacing w:before="109"/>
              <w:ind w:right="182"/>
              <w:jc w:val="right"/>
              <w:rPr>
                <w:sz w:val="19"/>
              </w:rPr>
            </w:pPr>
            <w:r>
              <w:rPr>
                <w:w w:val="95"/>
                <w:sz w:val="19"/>
              </w:rPr>
              <w:t>597</w:t>
            </w:r>
          </w:p>
          <w:p>
            <w:pPr>
              <w:pStyle w:val="TableParagraph"/>
              <w:spacing w:before="108"/>
              <w:ind w:right="182"/>
              <w:jc w:val="right"/>
              <w:rPr>
                <w:sz w:val="19"/>
              </w:rPr>
            </w:pPr>
            <w:r>
              <w:rPr>
                <w:w w:val="95"/>
                <w:sz w:val="19"/>
              </w:rPr>
              <w:t>461,896</w:t>
            </w:r>
          </w:p>
          <w:p>
            <w:pPr>
              <w:pStyle w:val="TableParagraph"/>
              <w:spacing w:before="109"/>
              <w:ind w:right="182"/>
              <w:jc w:val="right"/>
              <w:rPr>
                <w:sz w:val="19"/>
              </w:rPr>
            </w:pPr>
            <w:r>
              <w:rPr>
                <w:w w:val="95"/>
                <w:sz w:val="19"/>
              </w:rPr>
              <w:t>720,374</w:t>
            </w:r>
          </w:p>
          <w:p>
            <w:pPr>
              <w:pStyle w:val="TableParagraph"/>
              <w:spacing w:before="109"/>
              <w:ind w:left="736" w:right="58"/>
              <w:jc w:val="center"/>
              <w:rPr>
                <w:sz w:val="19"/>
              </w:rPr>
            </w:pPr>
            <w:r>
              <w:rPr>
                <w:sz w:val="19"/>
              </w:rPr>
              <w:t>31,805</w:t>
            </w:r>
          </w:p>
          <w:p>
            <w:pPr>
              <w:pStyle w:val="TableParagraph"/>
              <w:spacing w:before="108"/>
              <w:ind w:right="182"/>
              <w:jc w:val="right"/>
              <w:rPr>
                <w:sz w:val="19"/>
              </w:rPr>
            </w:pPr>
            <w:r>
              <w:rPr>
                <w:w w:val="95"/>
                <w:sz w:val="19"/>
              </w:rPr>
              <w:t>6,440</w:t>
            </w:r>
          </w:p>
        </w:tc>
        <w:tc>
          <w:tcPr>
            <w:tcW w:w="2131" w:type="dxa"/>
            <w:vMerge w:val="restart"/>
            <w:tcBorders>
              <w:bottom w:val="single" w:sz="4" w:space="0" w:color="000000"/>
            </w:tcBorders>
          </w:tcPr>
          <w:p>
            <w:pPr>
              <w:pStyle w:val="TableParagraph"/>
              <w:spacing w:before="1"/>
              <w:rPr>
                <w:sz w:val="32"/>
              </w:rPr>
            </w:pPr>
          </w:p>
          <w:p>
            <w:pPr>
              <w:pStyle w:val="TableParagraph"/>
              <w:spacing w:before="0"/>
              <w:ind w:right="141"/>
              <w:jc w:val="right"/>
              <w:rPr>
                <w:sz w:val="19"/>
              </w:rPr>
            </w:pPr>
            <w:r>
              <w:rPr>
                <w:w w:val="95"/>
                <w:sz w:val="19"/>
              </w:rPr>
              <w:t>564</w:t>
            </w:r>
          </w:p>
          <w:p>
            <w:pPr>
              <w:pStyle w:val="TableParagraph"/>
              <w:spacing w:before="109"/>
              <w:ind w:right="141"/>
              <w:jc w:val="right"/>
              <w:rPr>
                <w:sz w:val="19"/>
              </w:rPr>
            </w:pPr>
            <w:r>
              <w:rPr>
                <w:w w:val="95"/>
                <w:sz w:val="19"/>
              </w:rPr>
              <w:t>535</w:t>
            </w:r>
          </w:p>
          <w:p>
            <w:pPr>
              <w:pStyle w:val="TableParagraph"/>
              <w:spacing w:before="109"/>
              <w:ind w:right="141"/>
              <w:jc w:val="right"/>
              <w:rPr>
                <w:sz w:val="19"/>
              </w:rPr>
            </w:pPr>
            <w:r>
              <w:rPr>
                <w:w w:val="90"/>
                <w:sz w:val="19"/>
              </w:rPr>
              <w:t>(2,260)</w:t>
            </w:r>
          </w:p>
          <w:p>
            <w:pPr>
              <w:pStyle w:val="TableParagraph"/>
              <w:spacing w:before="108"/>
              <w:ind w:right="141"/>
              <w:jc w:val="right"/>
              <w:rPr>
                <w:sz w:val="19"/>
              </w:rPr>
            </w:pPr>
            <w:r>
              <w:rPr>
                <w:w w:val="95"/>
                <w:sz w:val="19"/>
              </w:rPr>
              <w:t>1,709</w:t>
            </w:r>
          </w:p>
          <w:p>
            <w:pPr>
              <w:pStyle w:val="TableParagraph"/>
              <w:spacing w:before="109"/>
              <w:ind w:right="141"/>
              <w:jc w:val="right"/>
              <w:rPr>
                <w:sz w:val="19"/>
              </w:rPr>
            </w:pPr>
            <w:r>
              <w:rPr>
                <w:spacing w:val="-1"/>
                <w:w w:val="95"/>
                <w:sz w:val="19"/>
              </w:rPr>
              <w:t>(51,286)</w:t>
            </w:r>
          </w:p>
          <w:p>
            <w:pPr>
              <w:pStyle w:val="TableParagraph"/>
              <w:spacing w:before="109"/>
              <w:ind w:right="141"/>
              <w:jc w:val="right"/>
              <w:rPr>
                <w:sz w:val="19"/>
              </w:rPr>
            </w:pPr>
            <w:r>
              <w:rPr>
                <w:w w:val="95"/>
                <w:sz w:val="19"/>
              </w:rPr>
              <w:t>12,348</w:t>
            </w:r>
          </w:p>
          <w:p>
            <w:pPr>
              <w:pStyle w:val="TableParagraph"/>
              <w:spacing w:before="108"/>
              <w:ind w:right="141"/>
              <w:jc w:val="right"/>
              <w:rPr>
                <w:sz w:val="19"/>
              </w:rPr>
            </w:pPr>
            <w:r>
              <w:rPr>
                <w:w w:val="90"/>
                <w:sz w:val="19"/>
              </w:rPr>
              <w:t>(1,429)</w:t>
            </w:r>
          </w:p>
        </w:tc>
        <w:tc>
          <w:tcPr>
            <w:tcW w:w="2527" w:type="dxa"/>
            <w:vMerge w:val="restart"/>
            <w:tcBorders>
              <w:bottom w:val="single" w:sz="4" w:space="0" w:color="000000"/>
            </w:tcBorders>
          </w:tcPr>
          <w:p>
            <w:pPr>
              <w:pStyle w:val="TableParagraph"/>
              <w:spacing w:before="1"/>
              <w:rPr>
                <w:sz w:val="32"/>
              </w:rPr>
            </w:pPr>
          </w:p>
          <w:p>
            <w:pPr>
              <w:pStyle w:val="TableParagraph"/>
              <w:spacing w:before="0"/>
              <w:ind w:right="100"/>
              <w:jc w:val="right"/>
              <w:rPr>
                <w:sz w:val="19"/>
              </w:rPr>
            </w:pPr>
            <w:r>
              <w:rPr>
                <w:w w:val="95"/>
                <w:sz w:val="19"/>
              </w:rPr>
              <w:t>336</w:t>
            </w:r>
          </w:p>
          <w:p>
            <w:pPr>
              <w:pStyle w:val="TableParagraph"/>
              <w:spacing w:before="109"/>
              <w:ind w:right="100"/>
              <w:jc w:val="right"/>
              <w:rPr>
                <w:sz w:val="19"/>
              </w:rPr>
            </w:pPr>
            <w:r>
              <w:rPr>
                <w:w w:val="90"/>
                <w:sz w:val="19"/>
              </w:rPr>
              <w:t>(1,413)</w:t>
            </w:r>
          </w:p>
          <w:p>
            <w:pPr>
              <w:pStyle w:val="TableParagraph"/>
              <w:spacing w:before="109"/>
              <w:ind w:right="100"/>
              <w:jc w:val="right"/>
              <w:rPr>
                <w:sz w:val="19"/>
              </w:rPr>
            </w:pPr>
            <w:r>
              <w:rPr>
                <w:w w:val="90"/>
                <w:sz w:val="19"/>
              </w:rPr>
              <w:t>(349)</w:t>
            </w:r>
          </w:p>
          <w:p>
            <w:pPr>
              <w:pStyle w:val="TableParagraph"/>
              <w:spacing w:before="108"/>
              <w:ind w:right="100"/>
              <w:jc w:val="right"/>
              <w:rPr>
                <w:sz w:val="19"/>
              </w:rPr>
            </w:pPr>
            <w:r>
              <w:rPr>
                <w:spacing w:val="-1"/>
                <w:sz w:val="19"/>
              </w:rPr>
              <w:t>61,188</w:t>
            </w:r>
          </w:p>
          <w:p>
            <w:pPr>
              <w:pStyle w:val="TableParagraph"/>
              <w:spacing w:before="109"/>
              <w:ind w:right="100"/>
              <w:jc w:val="right"/>
              <w:rPr>
                <w:sz w:val="19"/>
              </w:rPr>
            </w:pPr>
            <w:r>
              <w:rPr>
                <w:spacing w:val="-1"/>
                <w:w w:val="95"/>
                <w:sz w:val="19"/>
              </w:rPr>
              <w:t>(33,280)</w:t>
            </w:r>
          </w:p>
          <w:p>
            <w:pPr>
              <w:pStyle w:val="TableParagraph"/>
              <w:spacing w:before="109"/>
              <w:ind w:right="100"/>
              <w:jc w:val="right"/>
              <w:rPr>
                <w:sz w:val="19"/>
              </w:rPr>
            </w:pPr>
            <w:r>
              <w:rPr>
                <w:spacing w:val="-1"/>
                <w:sz w:val="19"/>
              </w:rPr>
              <w:t>2,658</w:t>
            </w:r>
          </w:p>
          <w:p>
            <w:pPr>
              <w:pStyle w:val="TableParagraph"/>
              <w:spacing w:before="108"/>
              <w:ind w:right="100"/>
              <w:jc w:val="right"/>
              <w:rPr>
                <w:sz w:val="19"/>
              </w:rPr>
            </w:pPr>
            <w:r>
              <w:rPr>
                <w:w w:val="90"/>
                <w:sz w:val="19"/>
              </w:rPr>
              <w:t>(2,133)</w:t>
            </w:r>
          </w:p>
        </w:tc>
      </w:tr>
      <w:tr>
        <w:trPr>
          <w:trHeight w:val="1288" w:hRule="atLeast"/>
        </w:trPr>
        <w:tc>
          <w:tcPr>
            <w:tcW w:w="5556" w:type="dxa"/>
            <w:vMerge w:val="restart"/>
            <w:shd w:val="clear" w:color="auto" w:fill="FFFFFF"/>
          </w:tcPr>
          <w:p>
            <w:pPr>
              <w:pStyle w:val="TableParagraph"/>
              <w:ind w:left="123"/>
              <w:rPr>
                <w:sz w:val="19"/>
              </w:rPr>
            </w:pPr>
            <w:r>
              <w:rPr>
                <w:sz w:val="19"/>
              </w:rPr>
              <w:t>Receivables</w:t>
            </w:r>
          </w:p>
          <w:p>
            <w:pPr>
              <w:pStyle w:val="TableParagraph"/>
              <w:spacing w:line="360" w:lineRule="auto" w:before="109"/>
              <w:ind w:left="123" w:right="2744"/>
              <w:rPr>
                <w:sz w:val="19"/>
              </w:rPr>
            </w:pPr>
            <w:r>
              <w:rPr>
                <w:sz w:val="19"/>
              </w:rPr>
              <w:t>Finance lease receivables Amounts receivable for </w:t>
            </w:r>
            <w:r>
              <w:rPr>
                <w:spacing w:val="-3"/>
                <w:sz w:val="19"/>
              </w:rPr>
              <w:t>services</w:t>
            </w:r>
          </w:p>
          <w:p>
            <w:pPr>
              <w:pStyle w:val="TableParagraph"/>
              <w:spacing w:line="360" w:lineRule="auto" w:before="0"/>
              <w:ind w:left="123" w:right="2201"/>
              <w:rPr>
                <w:sz w:val="19"/>
              </w:rPr>
            </w:pPr>
            <w:r>
              <w:rPr>
                <w:spacing w:val="-3"/>
                <w:sz w:val="19"/>
              </w:rPr>
              <w:t>Property,</w:t>
            </w:r>
            <w:r>
              <w:rPr>
                <w:spacing w:val="-25"/>
                <w:sz w:val="19"/>
              </w:rPr>
              <w:t> </w:t>
            </w:r>
            <w:r>
              <w:rPr>
                <w:sz w:val="19"/>
              </w:rPr>
              <w:t>plant,</w:t>
            </w:r>
            <w:r>
              <w:rPr>
                <w:spacing w:val="-25"/>
                <w:sz w:val="19"/>
              </w:rPr>
              <w:t> </w:t>
            </w:r>
            <w:r>
              <w:rPr>
                <w:sz w:val="19"/>
              </w:rPr>
              <w:t>equipment</w:t>
            </w:r>
            <w:r>
              <w:rPr>
                <w:spacing w:val="-24"/>
                <w:sz w:val="19"/>
              </w:rPr>
              <w:t> </w:t>
            </w:r>
            <w:r>
              <w:rPr>
                <w:sz w:val="19"/>
              </w:rPr>
              <w:t>and</w:t>
            </w:r>
            <w:r>
              <w:rPr>
                <w:spacing w:val="-25"/>
                <w:sz w:val="19"/>
              </w:rPr>
              <w:t> </w:t>
            </w:r>
            <w:r>
              <w:rPr>
                <w:sz w:val="19"/>
              </w:rPr>
              <w:t>vehicles Intangible</w:t>
            </w:r>
            <w:r>
              <w:rPr>
                <w:spacing w:val="-2"/>
                <w:sz w:val="19"/>
              </w:rPr>
              <w:t> </w:t>
            </w:r>
            <w:r>
              <w:rPr>
                <w:sz w:val="19"/>
              </w:rPr>
              <w:t>assets</w:t>
            </w:r>
          </w:p>
          <w:p>
            <w:pPr>
              <w:pStyle w:val="TableParagraph"/>
              <w:spacing w:line="217" w:lineRule="exact" w:before="0"/>
              <w:ind w:left="123"/>
              <w:rPr>
                <w:sz w:val="19"/>
              </w:rPr>
            </w:pPr>
            <w:r>
              <w:rPr>
                <w:sz w:val="19"/>
              </w:rPr>
              <w:t>Other non-current assets</w:t>
            </w:r>
          </w:p>
        </w:tc>
        <w:tc>
          <w:tcPr>
            <w:tcW w:w="1151" w:type="dxa"/>
            <w:vMerge w:val="restart"/>
            <w:shd w:val="clear" w:color="auto" w:fill="FFFFFF"/>
          </w:tcPr>
          <w:p>
            <w:pPr>
              <w:pStyle w:val="TableParagraph"/>
              <w:spacing w:before="0"/>
              <w:rPr>
                <w:sz w:val="22"/>
              </w:rPr>
            </w:pPr>
          </w:p>
          <w:p>
            <w:pPr>
              <w:pStyle w:val="TableParagraph"/>
              <w:spacing w:before="0"/>
              <w:rPr>
                <w:sz w:val="22"/>
              </w:rPr>
            </w:pPr>
          </w:p>
          <w:p>
            <w:pPr>
              <w:pStyle w:val="TableParagraph"/>
              <w:spacing w:before="181"/>
              <w:ind w:left="19"/>
              <w:jc w:val="center"/>
              <w:rPr>
                <w:sz w:val="19"/>
              </w:rPr>
            </w:pPr>
            <w:hyperlink w:history="true" w:anchor="_bookmark25">
              <w:r>
                <w:rPr>
                  <w:color w:val="6F2770"/>
                  <w:w w:val="99"/>
                  <w:sz w:val="19"/>
                  <w:u w:val="single" w:color="6F2770"/>
                </w:rPr>
                <w:t>1</w:t>
              </w:r>
            </w:hyperlink>
          </w:p>
          <w:p>
            <w:pPr>
              <w:pStyle w:val="TableParagraph"/>
              <w:spacing w:before="108"/>
              <w:ind w:left="19"/>
              <w:jc w:val="center"/>
              <w:rPr>
                <w:sz w:val="19"/>
              </w:rPr>
            </w:pPr>
            <w:hyperlink w:history="true" w:anchor="_bookmark25">
              <w:r>
                <w:rPr>
                  <w:color w:val="6F2770"/>
                  <w:w w:val="99"/>
                  <w:sz w:val="19"/>
                  <w:u w:val="single" w:color="6F2770"/>
                </w:rPr>
                <w:t>2</w:t>
              </w:r>
            </w:hyperlink>
          </w:p>
        </w:tc>
        <w:tc>
          <w:tcPr>
            <w:tcW w:w="1151" w:type="dxa"/>
            <w:tcBorders>
              <w:top w:val="single" w:sz="8" w:space="0" w:color="FFFFFF"/>
              <w:left w:val="single" w:sz="8" w:space="0" w:color="FFFFFF"/>
              <w:bottom w:val="single" w:sz="8" w:space="0" w:color="FFFFFF"/>
            </w:tcBorders>
            <w:shd w:val="clear" w:color="auto" w:fill="FAF9F9"/>
          </w:tcPr>
          <w:p>
            <w:pPr>
              <w:pStyle w:val="TableParagraph"/>
              <w:spacing w:line="360" w:lineRule="auto"/>
              <w:ind w:left="561" w:right="84" w:firstLine="405"/>
              <w:rPr>
                <w:sz w:val="19"/>
              </w:rPr>
            </w:pPr>
            <w:r>
              <w:rPr>
                <w:w w:val="105"/>
                <w:sz w:val="19"/>
              </w:rPr>
              <w:t>- </w:t>
            </w:r>
            <w:r>
              <w:rPr>
                <w:sz w:val="19"/>
              </w:rPr>
              <w:t>2,508</w:t>
            </w:r>
          </w:p>
          <w:p>
            <w:pPr>
              <w:pStyle w:val="TableParagraph"/>
              <w:spacing w:line="217" w:lineRule="exact" w:before="0"/>
              <w:ind w:left="350"/>
              <w:rPr>
                <w:sz w:val="19"/>
              </w:rPr>
            </w:pPr>
            <w:r>
              <w:rPr>
                <w:sz w:val="19"/>
              </w:rPr>
              <w:t>521,375</w:t>
            </w:r>
          </w:p>
          <w:p>
            <w:pPr>
              <w:pStyle w:val="TableParagraph"/>
              <w:spacing w:before="109"/>
              <w:ind w:left="350"/>
              <w:rPr>
                <w:sz w:val="19"/>
              </w:rPr>
            </w:pPr>
            <w:r>
              <w:rPr>
                <w:sz w:val="19"/>
              </w:rPr>
              <w:t>738,380</w:t>
            </w:r>
          </w:p>
        </w:tc>
        <w:tc>
          <w:tcPr>
            <w:tcW w:w="1151" w:type="dxa"/>
            <w:vMerge/>
            <w:tcBorders>
              <w:top w:val="nil"/>
              <w:bottom w:val="single" w:sz="4" w:space="0" w:color="000000"/>
            </w:tcBorders>
            <w:shd w:val="clear" w:color="auto" w:fill="E1E4BB"/>
          </w:tcPr>
          <w:p>
            <w:pPr>
              <w:rPr>
                <w:sz w:val="2"/>
                <w:szCs w:val="2"/>
              </w:rPr>
            </w:pPr>
          </w:p>
        </w:tc>
        <w:tc>
          <w:tcPr>
            <w:tcW w:w="1628" w:type="dxa"/>
            <w:vMerge/>
            <w:tcBorders>
              <w:top w:val="nil"/>
              <w:bottom w:val="single" w:sz="4" w:space="0" w:color="000000"/>
            </w:tcBorders>
          </w:tcPr>
          <w:p>
            <w:pPr>
              <w:rPr>
                <w:sz w:val="2"/>
                <w:szCs w:val="2"/>
              </w:rPr>
            </w:pPr>
          </w:p>
        </w:tc>
        <w:tc>
          <w:tcPr>
            <w:tcW w:w="2131" w:type="dxa"/>
            <w:vMerge/>
            <w:tcBorders>
              <w:top w:val="nil"/>
              <w:bottom w:val="single" w:sz="4" w:space="0" w:color="000000"/>
            </w:tcBorders>
          </w:tcPr>
          <w:p>
            <w:pPr>
              <w:rPr>
                <w:sz w:val="2"/>
                <w:szCs w:val="2"/>
              </w:rPr>
            </w:pPr>
          </w:p>
        </w:tc>
        <w:tc>
          <w:tcPr>
            <w:tcW w:w="2527" w:type="dxa"/>
            <w:vMerge/>
            <w:tcBorders>
              <w:top w:val="nil"/>
              <w:bottom w:val="single" w:sz="4" w:space="0" w:color="000000"/>
            </w:tcBorders>
          </w:tcPr>
          <w:p>
            <w:pPr>
              <w:rPr>
                <w:sz w:val="2"/>
                <w:szCs w:val="2"/>
              </w:rPr>
            </w:pPr>
          </w:p>
        </w:tc>
      </w:tr>
      <w:tr>
        <w:trPr>
          <w:trHeight w:val="639"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8" w:space="0" w:color="FFFFFF"/>
              <w:left w:val="single" w:sz="8" w:space="0" w:color="FFFFFF"/>
              <w:bottom w:val="single" w:sz="4" w:space="0" w:color="000000"/>
            </w:tcBorders>
            <w:shd w:val="clear" w:color="auto" w:fill="FAF9F9"/>
          </w:tcPr>
          <w:p>
            <w:pPr>
              <w:pStyle w:val="TableParagraph"/>
              <w:ind w:left="427" w:right="75"/>
              <w:jc w:val="center"/>
              <w:rPr>
                <w:sz w:val="19"/>
              </w:rPr>
            </w:pPr>
            <w:r>
              <w:rPr>
                <w:sz w:val="19"/>
              </w:rPr>
              <w:t>22,115</w:t>
            </w:r>
          </w:p>
          <w:p>
            <w:pPr>
              <w:pStyle w:val="TableParagraph"/>
              <w:spacing w:before="109"/>
              <w:ind w:left="533" w:right="75"/>
              <w:jc w:val="center"/>
              <w:rPr>
                <w:sz w:val="19"/>
              </w:rPr>
            </w:pPr>
            <w:r>
              <w:rPr>
                <w:sz w:val="19"/>
              </w:rPr>
              <w:t>5,736</w:t>
            </w:r>
          </w:p>
        </w:tc>
        <w:tc>
          <w:tcPr>
            <w:tcW w:w="1151" w:type="dxa"/>
            <w:vMerge/>
            <w:tcBorders>
              <w:top w:val="nil"/>
              <w:bottom w:val="single" w:sz="4" w:space="0" w:color="000000"/>
            </w:tcBorders>
            <w:shd w:val="clear" w:color="auto" w:fill="E1E4BB"/>
          </w:tcPr>
          <w:p>
            <w:pPr>
              <w:rPr>
                <w:sz w:val="2"/>
                <w:szCs w:val="2"/>
              </w:rPr>
            </w:pPr>
          </w:p>
        </w:tc>
        <w:tc>
          <w:tcPr>
            <w:tcW w:w="1628" w:type="dxa"/>
            <w:vMerge/>
            <w:tcBorders>
              <w:top w:val="nil"/>
              <w:bottom w:val="single" w:sz="4" w:space="0" w:color="000000"/>
            </w:tcBorders>
          </w:tcPr>
          <w:p>
            <w:pPr>
              <w:rPr>
                <w:sz w:val="2"/>
                <w:szCs w:val="2"/>
              </w:rPr>
            </w:pPr>
          </w:p>
        </w:tc>
        <w:tc>
          <w:tcPr>
            <w:tcW w:w="2131" w:type="dxa"/>
            <w:vMerge/>
            <w:tcBorders>
              <w:top w:val="nil"/>
              <w:bottom w:val="single" w:sz="4" w:space="0" w:color="000000"/>
            </w:tcBorders>
          </w:tcPr>
          <w:p>
            <w:pPr>
              <w:rPr>
                <w:sz w:val="2"/>
                <w:szCs w:val="2"/>
              </w:rPr>
            </w:pPr>
          </w:p>
        </w:tc>
        <w:tc>
          <w:tcPr>
            <w:tcW w:w="2527" w:type="dxa"/>
            <w:vMerge/>
            <w:tcBorders>
              <w:top w:val="nil"/>
              <w:bottom w:val="single" w:sz="4" w:space="0" w:color="000000"/>
            </w:tcBorders>
          </w:tcPr>
          <w:p>
            <w:pPr>
              <w:rPr>
                <w:sz w:val="2"/>
                <w:szCs w:val="2"/>
              </w:rPr>
            </w:pPr>
          </w:p>
        </w:tc>
      </w:tr>
      <w:tr>
        <w:trPr>
          <w:trHeight w:val="317" w:hRule="atLeast"/>
        </w:trPr>
        <w:tc>
          <w:tcPr>
            <w:tcW w:w="5556" w:type="dxa"/>
            <w:vMerge w:val="restart"/>
            <w:shd w:val="clear" w:color="auto" w:fill="FFFFFF"/>
          </w:tcPr>
          <w:p>
            <w:pPr>
              <w:pStyle w:val="TableParagraph"/>
              <w:spacing w:before="37"/>
              <w:ind w:left="123"/>
              <w:rPr>
                <w:b/>
                <w:sz w:val="19"/>
              </w:rPr>
            </w:pPr>
            <w:r>
              <w:rPr>
                <w:b/>
                <w:sz w:val="19"/>
              </w:rPr>
              <w:t>Total non-current assets</w:t>
            </w:r>
          </w:p>
          <w:p>
            <w:pPr>
              <w:pStyle w:val="TableParagraph"/>
              <w:spacing w:before="109"/>
              <w:ind w:left="123"/>
              <w:rPr>
                <w:b/>
                <w:sz w:val="19"/>
              </w:rPr>
            </w:pPr>
            <w:r>
              <w:rPr>
                <w:b/>
                <w:sz w:val="19"/>
              </w:rPr>
              <w:t>TOTAL ASSETS</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spacing w:before="37"/>
              <w:ind w:right="101"/>
              <w:jc w:val="right"/>
              <w:rPr>
                <w:b/>
                <w:sz w:val="19"/>
              </w:rPr>
            </w:pPr>
            <w:r>
              <w:rPr>
                <w:b/>
                <w:w w:val="95"/>
                <w:sz w:val="19"/>
              </w:rPr>
              <w:t>1,290,284</w:t>
            </w:r>
          </w:p>
        </w:tc>
        <w:tc>
          <w:tcPr>
            <w:tcW w:w="1151" w:type="dxa"/>
            <w:tcBorders>
              <w:top w:val="single" w:sz="4" w:space="0" w:color="000000"/>
              <w:bottom w:val="single" w:sz="4" w:space="0" w:color="000000"/>
            </w:tcBorders>
            <w:shd w:val="clear" w:color="auto" w:fill="DFE1B8"/>
          </w:tcPr>
          <w:p>
            <w:pPr>
              <w:pStyle w:val="TableParagraph"/>
              <w:spacing w:before="37"/>
              <w:ind w:right="101"/>
              <w:jc w:val="right"/>
              <w:rPr>
                <w:b/>
                <w:sz w:val="19"/>
              </w:rPr>
            </w:pPr>
            <w:r>
              <w:rPr>
                <w:b/>
                <w:w w:val="95"/>
                <w:sz w:val="19"/>
              </w:rPr>
              <w:t>1,250,465</w:t>
            </w:r>
          </w:p>
        </w:tc>
        <w:tc>
          <w:tcPr>
            <w:tcW w:w="1628" w:type="dxa"/>
            <w:tcBorders>
              <w:top w:val="single" w:sz="4" w:space="0" w:color="000000"/>
              <w:bottom w:val="single" w:sz="4" w:space="0" w:color="000000"/>
            </w:tcBorders>
          </w:tcPr>
          <w:p>
            <w:pPr>
              <w:pStyle w:val="TableParagraph"/>
              <w:spacing w:before="37"/>
              <w:ind w:right="182"/>
              <w:jc w:val="right"/>
              <w:rPr>
                <w:b/>
                <w:sz w:val="19"/>
              </w:rPr>
            </w:pPr>
            <w:r>
              <w:rPr>
                <w:b/>
                <w:w w:val="95"/>
                <w:sz w:val="19"/>
              </w:rPr>
              <w:t>1,223,458</w:t>
            </w:r>
          </w:p>
        </w:tc>
        <w:tc>
          <w:tcPr>
            <w:tcW w:w="2131" w:type="dxa"/>
            <w:tcBorders>
              <w:top w:val="single" w:sz="4" w:space="0" w:color="000000"/>
              <w:bottom w:val="single" w:sz="4" w:space="0" w:color="000000"/>
            </w:tcBorders>
          </w:tcPr>
          <w:p>
            <w:pPr>
              <w:pStyle w:val="TableParagraph"/>
              <w:spacing w:before="37"/>
              <w:ind w:right="141"/>
              <w:jc w:val="right"/>
              <w:rPr>
                <w:b/>
                <w:sz w:val="19"/>
              </w:rPr>
            </w:pPr>
            <w:r>
              <w:rPr>
                <w:b/>
                <w:w w:val="95"/>
                <w:sz w:val="19"/>
              </w:rPr>
              <w:t>(39,819)</w:t>
            </w:r>
          </w:p>
        </w:tc>
        <w:tc>
          <w:tcPr>
            <w:tcW w:w="2527" w:type="dxa"/>
            <w:tcBorders>
              <w:top w:val="single" w:sz="4" w:space="0" w:color="000000"/>
              <w:bottom w:val="single" w:sz="4" w:space="0" w:color="000000"/>
            </w:tcBorders>
          </w:tcPr>
          <w:p>
            <w:pPr>
              <w:pStyle w:val="TableParagraph"/>
              <w:spacing w:before="37"/>
              <w:ind w:right="100"/>
              <w:jc w:val="right"/>
              <w:rPr>
                <w:b/>
                <w:sz w:val="19"/>
              </w:rPr>
            </w:pPr>
            <w:r>
              <w:rPr>
                <w:b/>
                <w:w w:val="95"/>
                <w:sz w:val="19"/>
              </w:rPr>
              <w:t>27,007</w:t>
            </w:r>
          </w:p>
        </w:tc>
      </w:tr>
      <w:tr>
        <w:trPr>
          <w:trHeight w:val="289"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double" w:sz="2" w:space="0" w:color="000000"/>
            </w:tcBorders>
            <w:shd w:val="clear" w:color="auto" w:fill="FAF9F9"/>
          </w:tcPr>
          <w:p>
            <w:pPr>
              <w:pStyle w:val="TableParagraph"/>
              <w:spacing w:before="37"/>
              <w:ind w:right="101"/>
              <w:jc w:val="right"/>
              <w:rPr>
                <w:b/>
                <w:sz w:val="19"/>
              </w:rPr>
            </w:pPr>
            <w:r>
              <w:rPr>
                <w:b/>
                <w:w w:val="95"/>
                <w:sz w:val="19"/>
              </w:rPr>
              <w:t>1,631,855</w:t>
            </w:r>
          </w:p>
        </w:tc>
        <w:tc>
          <w:tcPr>
            <w:tcW w:w="1151" w:type="dxa"/>
            <w:tcBorders>
              <w:top w:val="single" w:sz="4" w:space="0" w:color="000000"/>
              <w:bottom w:val="double" w:sz="2" w:space="0" w:color="000000"/>
            </w:tcBorders>
            <w:shd w:val="clear" w:color="auto" w:fill="E1E4BB"/>
          </w:tcPr>
          <w:p>
            <w:pPr>
              <w:pStyle w:val="TableParagraph"/>
              <w:spacing w:before="37"/>
              <w:ind w:right="101"/>
              <w:jc w:val="right"/>
              <w:rPr>
                <w:b/>
                <w:sz w:val="19"/>
              </w:rPr>
            </w:pPr>
            <w:r>
              <w:rPr>
                <w:b/>
                <w:w w:val="95"/>
                <w:sz w:val="19"/>
              </w:rPr>
              <w:t>1,490,277</w:t>
            </w:r>
          </w:p>
        </w:tc>
        <w:tc>
          <w:tcPr>
            <w:tcW w:w="1628" w:type="dxa"/>
            <w:tcBorders>
              <w:top w:val="single" w:sz="4" w:space="0" w:color="000000"/>
              <w:bottom w:val="double" w:sz="2" w:space="0" w:color="000000"/>
            </w:tcBorders>
          </w:tcPr>
          <w:p>
            <w:pPr>
              <w:pStyle w:val="TableParagraph"/>
              <w:spacing w:before="37"/>
              <w:ind w:right="182"/>
              <w:jc w:val="right"/>
              <w:rPr>
                <w:b/>
                <w:sz w:val="19"/>
              </w:rPr>
            </w:pPr>
            <w:r>
              <w:rPr>
                <w:b/>
                <w:w w:val="95"/>
                <w:sz w:val="19"/>
              </w:rPr>
              <w:t>1,505,676</w:t>
            </w:r>
          </w:p>
        </w:tc>
        <w:tc>
          <w:tcPr>
            <w:tcW w:w="2131" w:type="dxa"/>
            <w:tcBorders>
              <w:top w:val="single" w:sz="4" w:space="0" w:color="000000"/>
              <w:bottom w:val="double" w:sz="2" w:space="0" w:color="000000"/>
            </w:tcBorders>
          </w:tcPr>
          <w:p>
            <w:pPr>
              <w:pStyle w:val="TableParagraph"/>
              <w:spacing w:before="37"/>
              <w:ind w:right="141"/>
              <w:jc w:val="right"/>
              <w:rPr>
                <w:b/>
                <w:sz w:val="19"/>
              </w:rPr>
            </w:pPr>
            <w:r>
              <w:rPr>
                <w:b/>
                <w:w w:val="95"/>
                <w:sz w:val="19"/>
              </w:rPr>
              <w:t>(141,578)</w:t>
            </w:r>
          </w:p>
        </w:tc>
        <w:tc>
          <w:tcPr>
            <w:tcW w:w="2527" w:type="dxa"/>
            <w:tcBorders>
              <w:top w:val="single" w:sz="4" w:space="0" w:color="000000"/>
              <w:bottom w:val="double" w:sz="2" w:space="0" w:color="000000"/>
            </w:tcBorders>
          </w:tcPr>
          <w:p>
            <w:pPr>
              <w:pStyle w:val="TableParagraph"/>
              <w:spacing w:before="37"/>
              <w:ind w:right="100"/>
              <w:jc w:val="right"/>
              <w:rPr>
                <w:b/>
                <w:sz w:val="19"/>
              </w:rPr>
            </w:pPr>
            <w:r>
              <w:rPr>
                <w:b/>
                <w:w w:val="95"/>
                <w:sz w:val="19"/>
              </w:rPr>
              <w:t>(15,399)</w:t>
            </w:r>
          </w:p>
        </w:tc>
      </w:tr>
      <w:tr>
        <w:trPr>
          <w:trHeight w:val="636" w:hRule="atLeast"/>
        </w:trPr>
        <w:tc>
          <w:tcPr>
            <w:tcW w:w="5556" w:type="dxa"/>
            <w:shd w:val="clear" w:color="auto" w:fill="FFFFFF"/>
          </w:tcPr>
          <w:p>
            <w:pPr>
              <w:pStyle w:val="TableParagraph"/>
              <w:spacing w:before="0"/>
              <w:rPr>
                <w:sz w:val="31"/>
              </w:rPr>
            </w:pPr>
          </w:p>
          <w:p>
            <w:pPr>
              <w:pStyle w:val="TableParagraph"/>
              <w:spacing w:before="1"/>
              <w:ind w:left="123"/>
              <w:rPr>
                <w:b/>
                <w:sz w:val="19"/>
              </w:rPr>
            </w:pPr>
            <w:r>
              <w:rPr>
                <w:b/>
                <w:sz w:val="19"/>
              </w:rPr>
              <w:t>LIABILITIES</w:t>
            </w:r>
          </w:p>
        </w:tc>
        <w:tc>
          <w:tcPr>
            <w:tcW w:w="1151" w:type="dxa"/>
            <w:shd w:val="clear" w:color="auto" w:fill="FFFFFF"/>
          </w:tcPr>
          <w:p>
            <w:pPr>
              <w:pStyle w:val="TableParagraph"/>
              <w:spacing w:before="0"/>
              <w:rPr>
                <w:rFonts w:ascii="Times New Roman"/>
                <w:sz w:val="20"/>
              </w:rPr>
            </w:pPr>
          </w:p>
        </w:tc>
        <w:tc>
          <w:tcPr>
            <w:tcW w:w="1151" w:type="dxa"/>
            <w:tcBorders>
              <w:top w:val="double" w:sz="2" w:space="0" w:color="000000"/>
            </w:tcBorders>
            <w:shd w:val="clear" w:color="auto" w:fill="FFFFFF"/>
          </w:tcPr>
          <w:p>
            <w:pPr>
              <w:pStyle w:val="TableParagraph"/>
              <w:spacing w:before="0"/>
              <w:rPr>
                <w:rFonts w:ascii="Times New Roman"/>
                <w:sz w:val="20"/>
              </w:rPr>
            </w:pPr>
          </w:p>
        </w:tc>
        <w:tc>
          <w:tcPr>
            <w:tcW w:w="1151" w:type="dxa"/>
            <w:vMerge w:val="restart"/>
            <w:tcBorders>
              <w:top w:val="double" w:sz="2"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1"/>
              <w:rPr>
                <w:sz w:val="21"/>
              </w:rPr>
            </w:pPr>
          </w:p>
          <w:p>
            <w:pPr>
              <w:pStyle w:val="TableParagraph"/>
              <w:spacing w:before="0"/>
              <w:ind w:left="315" w:right="59"/>
              <w:jc w:val="center"/>
              <w:rPr>
                <w:sz w:val="19"/>
              </w:rPr>
            </w:pPr>
            <w:r>
              <w:rPr>
                <w:sz w:val="19"/>
              </w:rPr>
              <w:t>112,770</w:t>
            </w:r>
          </w:p>
          <w:p>
            <w:pPr>
              <w:pStyle w:val="TableParagraph"/>
              <w:spacing w:before="109"/>
              <w:ind w:left="421" w:right="59"/>
              <w:jc w:val="center"/>
              <w:rPr>
                <w:sz w:val="19"/>
              </w:rPr>
            </w:pPr>
            <w:r>
              <w:rPr>
                <w:sz w:val="19"/>
              </w:rPr>
              <w:t>23,913</w:t>
            </w:r>
          </w:p>
          <w:p>
            <w:pPr>
              <w:pStyle w:val="TableParagraph"/>
              <w:spacing w:before="108"/>
              <w:ind w:left="421" w:right="59"/>
              <w:jc w:val="center"/>
              <w:rPr>
                <w:sz w:val="19"/>
              </w:rPr>
            </w:pPr>
            <w:r>
              <w:rPr>
                <w:sz w:val="19"/>
              </w:rPr>
              <w:t>26,212</w:t>
            </w:r>
          </w:p>
          <w:p>
            <w:pPr>
              <w:pStyle w:val="TableParagraph"/>
              <w:spacing w:before="109"/>
              <w:ind w:left="421" w:right="59"/>
              <w:jc w:val="center"/>
              <w:rPr>
                <w:sz w:val="19"/>
              </w:rPr>
            </w:pPr>
            <w:r>
              <w:rPr>
                <w:sz w:val="19"/>
              </w:rPr>
              <w:t>16,771</w:t>
            </w:r>
          </w:p>
          <w:p>
            <w:pPr>
              <w:pStyle w:val="TableParagraph"/>
              <w:spacing w:before="109"/>
              <w:ind w:left="421" w:right="59"/>
              <w:jc w:val="center"/>
              <w:rPr>
                <w:sz w:val="19"/>
              </w:rPr>
            </w:pPr>
            <w:r>
              <w:rPr>
                <w:sz w:val="19"/>
              </w:rPr>
              <w:t>23,058</w:t>
            </w:r>
          </w:p>
        </w:tc>
        <w:tc>
          <w:tcPr>
            <w:tcW w:w="6286" w:type="dxa"/>
            <w:gridSpan w:val="3"/>
            <w:tcBorders>
              <w:top w:val="double" w:sz="2" w:space="0" w:color="000000"/>
            </w:tcBorders>
          </w:tcPr>
          <w:p>
            <w:pPr>
              <w:pStyle w:val="TableParagraph"/>
              <w:spacing w:before="0"/>
              <w:rPr>
                <w:rFonts w:ascii="Times New Roman"/>
                <w:sz w:val="20"/>
              </w:rPr>
            </w:pPr>
          </w:p>
        </w:tc>
      </w:tr>
      <w:tr>
        <w:trPr>
          <w:trHeight w:val="644" w:hRule="atLeast"/>
        </w:trPr>
        <w:tc>
          <w:tcPr>
            <w:tcW w:w="5556" w:type="dxa"/>
            <w:shd w:val="clear" w:color="auto" w:fill="FFFFFF"/>
          </w:tcPr>
          <w:p>
            <w:pPr>
              <w:pStyle w:val="TableParagraph"/>
              <w:spacing w:before="37"/>
              <w:ind w:left="123"/>
              <w:rPr>
                <w:i/>
                <w:sz w:val="19"/>
              </w:rPr>
            </w:pPr>
            <w:r>
              <w:rPr>
                <w:i/>
                <w:color w:val="6F2770"/>
                <w:sz w:val="19"/>
              </w:rPr>
              <w:t>Current liabilities</w:t>
            </w:r>
          </w:p>
          <w:p>
            <w:pPr>
              <w:pStyle w:val="TableParagraph"/>
              <w:spacing w:before="109"/>
              <w:ind w:left="123"/>
              <w:rPr>
                <w:sz w:val="19"/>
              </w:rPr>
            </w:pPr>
            <w:r>
              <w:rPr>
                <w:sz w:val="19"/>
              </w:rPr>
              <w:t>Payables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8"/>
              <w:rPr>
                <w:sz w:val="31"/>
              </w:rPr>
            </w:pPr>
          </w:p>
          <w:p>
            <w:pPr>
              <w:pStyle w:val="TableParagraph"/>
              <w:spacing w:before="0"/>
              <w:ind w:right="101"/>
              <w:jc w:val="right"/>
              <w:rPr>
                <w:sz w:val="19"/>
              </w:rPr>
            </w:pPr>
            <w:r>
              <w:rPr>
                <w:w w:val="95"/>
                <w:sz w:val="19"/>
              </w:rPr>
              <w:t>198,299</w:t>
            </w:r>
          </w:p>
        </w:tc>
        <w:tc>
          <w:tcPr>
            <w:tcW w:w="1151" w:type="dxa"/>
            <w:vMerge/>
            <w:tcBorders>
              <w:top w:val="nil"/>
              <w:bottom w:val="single" w:sz="4" w:space="0" w:color="000000"/>
            </w:tcBorders>
            <w:shd w:val="clear" w:color="auto" w:fill="E1E4BB"/>
          </w:tcPr>
          <w:p>
            <w:pPr>
              <w:rPr>
                <w:sz w:val="2"/>
                <w:szCs w:val="2"/>
              </w:rPr>
            </w:pPr>
          </w:p>
        </w:tc>
        <w:tc>
          <w:tcPr>
            <w:tcW w:w="1628"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left="736" w:right="164"/>
              <w:jc w:val="center"/>
              <w:rPr>
                <w:sz w:val="19"/>
              </w:rPr>
            </w:pPr>
            <w:r>
              <w:rPr>
                <w:sz w:val="19"/>
              </w:rPr>
              <w:t>115,613</w:t>
            </w:r>
          </w:p>
          <w:p>
            <w:pPr>
              <w:pStyle w:val="TableParagraph"/>
              <w:spacing w:before="109"/>
              <w:ind w:left="736" w:right="58"/>
              <w:jc w:val="center"/>
              <w:rPr>
                <w:sz w:val="19"/>
              </w:rPr>
            </w:pPr>
            <w:r>
              <w:rPr>
                <w:sz w:val="19"/>
              </w:rPr>
              <w:t>24,040</w:t>
            </w:r>
          </w:p>
          <w:p>
            <w:pPr>
              <w:pStyle w:val="TableParagraph"/>
              <w:spacing w:before="108"/>
              <w:ind w:left="736" w:right="58"/>
              <w:jc w:val="center"/>
              <w:rPr>
                <w:sz w:val="19"/>
              </w:rPr>
            </w:pPr>
            <w:r>
              <w:rPr>
                <w:sz w:val="19"/>
              </w:rPr>
              <w:t>27,916</w:t>
            </w:r>
          </w:p>
          <w:p>
            <w:pPr>
              <w:pStyle w:val="TableParagraph"/>
              <w:spacing w:before="109"/>
              <w:ind w:left="736" w:right="58"/>
              <w:jc w:val="center"/>
              <w:rPr>
                <w:sz w:val="19"/>
              </w:rPr>
            </w:pPr>
            <w:r>
              <w:rPr>
                <w:sz w:val="19"/>
              </w:rPr>
              <w:t>13,604</w:t>
            </w:r>
          </w:p>
          <w:p>
            <w:pPr>
              <w:pStyle w:val="TableParagraph"/>
              <w:spacing w:before="109"/>
              <w:ind w:left="736" w:right="58"/>
              <w:jc w:val="center"/>
              <w:rPr>
                <w:sz w:val="19"/>
              </w:rPr>
            </w:pPr>
            <w:r>
              <w:rPr>
                <w:sz w:val="19"/>
              </w:rPr>
              <w:t>24,055</w:t>
            </w:r>
          </w:p>
        </w:tc>
        <w:tc>
          <w:tcPr>
            <w:tcW w:w="2131"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left="1276" w:right="106"/>
              <w:jc w:val="center"/>
              <w:rPr>
                <w:sz w:val="19"/>
              </w:rPr>
            </w:pPr>
            <w:r>
              <w:rPr>
                <w:sz w:val="19"/>
              </w:rPr>
              <w:t>(85,529)</w:t>
            </w:r>
          </w:p>
          <w:p>
            <w:pPr>
              <w:pStyle w:val="TableParagraph"/>
              <w:spacing w:before="109"/>
              <w:ind w:left="1276"/>
              <w:jc w:val="center"/>
              <w:rPr>
                <w:sz w:val="19"/>
              </w:rPr>
            </w:pPr>
            <w:r>
              <w:rPr>
                <w:sz w:val="19"/>
              </w:rPr>
              <w:t>(3,429)</w:t>
            </w:r>
          </w:p>
          <w:p>
            <w:pPr>
              <w:pStyle w:val="TableParagraph"/>
              <w:spacing w:before="108"/>
              <w:ind w:left="1276"/>
              <w:jc w:val="center"/>
              <w:rPr>
                <w:sz w:val="19"/>
              </w:rPr>
            </w:pPr>
            <w:r>
              <w:rPr>
                <w:sz w:val="19"/>
              </w:rPr>
              <w:t>(2,769)</w:t>
            </w:r>
          </w:p>
          <w:p>
            <w:pPr>
              <w:pStyle w:val="TableParagraph"/>
              <w:spacing w:before="109"/>
              <w:ind w:right="141"/>
              <w:jc w:val="right"/>
              <w:rPr>
                <w:sz w:val="19"/>
              </w:rPr>
            </w:pPr>
            <w:r>
              <w:rPr>
                <w:w w:val="95"/>
                <w:sz w:val="19"/>
              </w:rPr>
              <w:t>6,937</w:t>
            </w:r>
          </w:p>
          <w:p>
            <w:pPr>
              <w:pStyle w:val="TableParagraph"/>
              <w:spacing w:before="109"/>
              <w:ind w:left="1276"/>
              <w:jc w:val="center"/>
              <w:rPr>
                <w:sz w:val="19"/>
              </w:rPr>
            </w:pPr>
            <w:r>
              <w:rPr>
                <w:sz w:val="19"/>
              </w:rPr>
              <w:t>(3,938)</w:t>
            </w:r>
          </w:p>
        </w:tc>
        <w:tc>
          <w:tcPr>
            <w:tcW w:w="2527"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right="100"/>
              <w:jc w:val="right"/>
              <w:rPr>
                <w:sz w:val="19"/>
              </w:rPr>
            </w:pPr>
            <w:r>
              <w:rPr>
                <w:w w:val="90"/>
                <w:sz w:val="19"/>
              </w:rPr>
              <w:t>(2,843)</w:t>
            </w:r>
          </w:p>
          <w:p>
            <w:pPr>
              <w:pStyle w:val="TableParagraph"/>
              <w:spacing w:before="109"/>
              <w:ind w:right="100"/>
              <w:jc w:val="right"/>
              <w:rPr>
                <w:sz w:val="19"/>
              </w:rPr>
            </w:pPr>
            <w:r>
              <w:rPr>
                <w:w w:val="90"/>
                <w:sz w:val="19"/>
              </w:rPr>
              <w:t>(127)</w:t>
            </w:r>
          </w:p>
          <w:p>
            <w:pPr>
              <w:pStyle w:val="TableParagraph"/>
              <w:spacing w:before="108"/>
              <w:ind w:right="100"/>
              <w:jc w:val="right"/>
              <w:rPr>
                <w:sz w:val="19"/>
              </w:rPr>
            </w:pPr>
            <w:r>
              <w:rPr>
                <w:w w:val="90"/>
                <w:sz w:val="19"/>
              </w:rPr>
              <w:t>(1,704)</w:t>
            </w:r>
          </w:p>
          <w:p>
            <w:pPr>
              <w:pStyle w:val="TableParagraph"/>
              <w:spacing w:before="109"/>
              <w:ind w:right="100"/>
              <w:jc w:val="right"/>
              <w:rPr>
                <w:sz w:val="19"/>
              </w:rPr>
            </w:pPr>
            <w:r>
              <w:rPr>
                <w:spacing w:val="-1"/>
                <w:sz w:val="19"/>
              </w:rPr>
              <w:t>3,167</w:t>
            </w:r>
          </w:p>
          <w:p>
            <w:pPr>
              <w:pStyle w:val="TableParagraph"/>
              <w:spacing w:before="109"/>
              <w:ind w:right="100"/>
              <w:jc w:val="right"/>
              <w:rPr>
                <w:sz w:val="19"/>
              </w:rPr>
            </w:pPr>
            <w:r>
              <w:rPr>
                <w:w w:val="90"/>
                <w:sz w:val="19"/>
              </w:rPr>
              <w:t>(997)</w:t>
            </w:r>
          </w:p>
        </w:tc>
      </w:tr>
      <w:tr>
        <w:trPr>
          <w:trHeight w:val="644" w:hRule="atLeast"/>
        </w:trPr>
        <w:tc>
          <w:tcPr>
            <w:tcW w:w="5556" w:type="dxa"/>
            <w:shd w:val="clear" w:color="auto" w:fill="FFFFFF"/>
          </w:tcPr>
          <w:p>
            <w:pPr>
              <w:pStyle w:val="TableParagraph"/>
              <w:spacing w:before="37"/>
              <w:ind w:left="123"/>
              <w:rPr>
                <w:sz w:val="19"/>
              </w:rPr>
            </w:pPr>
            <w:r>
              <w:rPr>
                <w:sz w:val="19"/>
              </w:rPr>
              <w:t>Borrowings</w:t>
            </w:r>
          </w:p>
          <w:p>
            <w:pPr>
              <w:pStyle w:val="TableParagraph"/>
              <w:spacing w:before="109"/>
              <w:ind w:left="123"/>
              <w:rPr>
                <w:sz w:val="19"/>
              </w:rPr>
            </w:pPr>
            <w:r>
              <w:rPr>
                <w:sz w:val="19"/>
              </w:rPr>
              <w:t>Provisions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37"/>
              <w:ind w:left="466"/>
              <w:rPr>
                <w:sz w:val="19"/>
              </w:rPr>
            </w:pPr>
            <w:r>
              <w:rPr>
                <w:sz w:val="19"/>
              </w:rPr>
              <w:t>27,342</w:t>
            </w:r>
          </w:p>
          <w:p>
            <w:pPr>
              <w:pStyle w:val="TableParagraph"/>
              <w:spacing w:before="109"/>
              <w:ind w:left="466"/>
              <w:rPr>
                <w:sz w:val="19"/>
              </w:rPr>
            </w:pPr>
            <w:r>
              <w:rPr>
                <w:sz w:val="19"/>
              </w:rPr>
              <w:t>28,981</w:t>
            </w:r>
          </w:p>
        </w:tc>
        <w:tc>
          <w:tcPr>
            <w:tcW w:w="1151" w:type="dxa"/>
            <w:vMerge/>
            <w:tcBorders>
              <w:top w:val="nil"/>
              <w:bottom w:val="single" w:sz="4" w:space="0" w:color="000000"/>
            </w:tcBorders>
            <w:shd w:val="clear" w:color="auto" w:fill="E1E4BB"/>
          </w:tcPr>
          <w:p>
            <w:pPr>
              <w:rPr>
                <w:sz w:val="2"/>
                <w:szCs w:val="2"/>
              </w:rPr>
            </w:pPr>
          </w:p>
        </w:tc>
        <w:tc>
          <w:tcPr>
            <w:tcW w:w="1628" w:type="dxa"/>
            <w:vMerge/>
            <w:tcBorders>
              <w:top w:val="nil"/>
              <w:bottom w:val="single" w:sz="4" w:space="0" w:color="000000"/>
            </w:tcBorders>
            <w:shd w:val="clear" w:color="auto" w:fill="FFFFFF"/>
          </w:tcPr>
          <w:p>
            <w:pPr>
              <w:rPr>
                <w:sz w:val="2"/>
                <w:szCs w:val="2"/>
              </w:rPr>
            </w:pPr>
          </w:p>
        </w:tc>
        <w:tc>
          <w:tcPr>
            <w:tcW w:w="2131" w:type="dxa"/>
            <w:vMerge/>
            <w:tcBorders>
              <w:top w:val="nil"/>
              <w:bottom w:val="single" w:sz="4" w:space="0" w:color="000000"/>
            </w:tcBorders>
            <w:shd w:val="clear" w:color="auto" w:fill="FFFFFF"/>
          </w:tcPr>
          <w:p>
            <w:pPr>
              <w:rPr>
                <w:sz w:val="2"/>
                <w:szCs w:val="2"/>
              </w:rPr>
            </w:pPr>
          </w:p>
        </w:tc>
        <w:tc>
          <w:tcPr>
            <w:tcW w:w="2527" w:type="dxa"/>
            <w:vMerge/>
            <w:tcBorders>
              <w:top w:val="nil"/>
              <w:bottom w:val="single" w:sz="4" w:space="0" w:color="000000"/>
            </w:tcBorders>
            <w:shd w:val="clear" w:color="auto" w:fill="FFFFFF"/>
          </w:tcPr>
          <w:p>
            <w:pPr>
              <w:rPr>
                <w:sz w:val="2"/>
                <w:szCs w:val="2"/>
              </w:rPr>
            </w:pPr>
          </w:p>
        </w:tc>
      </w:tr>
      <w:tr>
        <w:trPr>
          <w:trHeight w:val="639" w:hRule="atLeast"/>
        </w:trPr>
        <w:tc>
          <w:tcPr>
            <w:tcW w:w="5556" w:type="dxa"/>
            <w:shd w:val="clear" w:color="auto" w:fill="FFFFFF"/>
          </w:tcPr>
          <w:p>
            <w:pPr>
              <w:pStyle w:val="TableParagraph"/>
              <w:spacing w:before="37"/>
              <w:ind w:left="123"/>
              <w:rPr>
                <w:sz w:val="19"/>
              </w:rPr>
            </w:pPr>
            <w:r>
              <w:rPr>
                <w:sz w:val="19"/>
              </w:rPr>
              <w:t>Lease incentives</w:t>
            </w:r>
          </w:p>
          <w:p>
            <w:pPr>
              <w:pStyle w:val="TableParagraph"/>
              <w:spacing w:before="109"/>
              <w:ind w:left="123"/>
              <w:rPr>
                <w:sz w:val="19"/>
              </w:rPr>
            </w:pPr>
            <w:r>
              <w:rPr>
                <w:sz w:val="19"/>
              </w:rPr>
              <w:t>Other current liabilities</w:t>
            </w:r>
          </w:p>
        </w:tc>
        <w:tc>
          <w:tcPr>
            <w:tcW w:w="1151" w:type="dxa"/>
            <w:shd w:val="clear" w:color="auto" w:fill="FFFFFF"/>
          </w:tcPr>
          <w:p>
            <w:pPr>
              <w:pStyle w:val="TableParagraph"/>
              <w:spacing w:before="0"/>
              <w:rPr>
                <w:rFonts w:ascii="Times New Roman"/>
                <w:sz w:val="20"/>
              </w:rPr>
            </w:pPr>
          </w:p>
        </w:tc>
        <w:tc>
          <w:tcPr>
            <w:tcW w:w="1151" w:type="dxa"/>
            <w:tcBorders>
              <w:bottom w:val="single" w:sz="4" w:space="0" w:color="000000"/>
            </w:tcBorders>
            <w:shd w:val="clear" w:color="auto" w:fill="FFFFFF"/>
          </w:tcPr>
          <w:p>
            <w:pPr>
              <w:pStyle w:val="TableParagraph"/>
              <w:spacing w:before="37"/>
              <w:ind w:left="527" w:right="59"/>
              <w:jc w:val="center"/>
              <w:rPr>
                <w:sz w:val="19"/>
              </w:rPr>
            </w:pPr>
            <w:r>
              <w:rPr>
                <w:sz w:val="19"/>
              </w:rPr>
              <w:t>9,834</w:t>
            </w:r>
          </w:p>
          <w:p>
            <w:pPr>
              <w:pStyle w:val="TableParagraph"/>
              <w:spacing w:before="109"/>
              <w:ind w:left="421" w:right="59"/>
              <w:jc w:val="center"/>
              <w:rPr>
                <w:sz w:val="19"/>
              </w:rPr>
            </w:pPr>
            <w:r>
              <w:rPr>
                <w:sz w:val="19"/>
              </w:rPr>
              <w:t>26,996</w:t>
            </w:r>
          </w:p>
        </w:tc>
        <w:tc>
          <w:tcPr>
            <w:tcW w:w="1151" w:type="dxa"/>
            <w:vMerge/>
            <w:tcBorders>
              <w:top w:val="nil"/>
              <w:bottom w:val="single" w:sz="4" w:space="0" w:color="000000"/>
            </w:tcBorders>
            <w:shd w:val="clear" w:color="auto" w:fill="E1E4BB"/>
          </w:tcPr>
          <w:p>
            <w:pPr>
              <w:rPr>
                <w:sz w:val="2"/>
                <w:szCs w:val="2"/>
              </w:rPr>
            </w:pPr>
          </w:p>
        </w:tc>
        <w:tc>
          <w:tcPr>
            <w:tcW w:w="1628" w:type="dxa"/>
            <w:vMerge/>
            <w:tcBorders>
              <w:top w:val="nil"/>
              <w:bottom w:val="single" w:sz="4" w:space="0" w:color="000000"/>
            </w:tcBorders>
            <w:shd w:val="clear" w:color="auto" w:fill="FFFFFF"/>
          </w:tcPr>
          <w:p>
            <w:pPr>
              <w:rPr>
                <w:sz w:val="2"/>
                <w:szCs w:val="2"/>
              </w:rPr>
            </w:pPr>
          </w:p>
        </w:tc>
        <w:tc>
          <w:tcPr>
            <w:tcW w:w="2131" w:type="dxa"/>
            <w:vMerge/>
            <w:tcBorders>
              <w:top w:val="nil"/>
              <w:bottom w:val="single" w:sz="4" w:space="0" w:color="000000"/>
            </w:tcBorders>
            <w:shd w:val="clear" w:color="auto" w:fill="FFFFFF"/>
          </w:tcPr>
          <w:p>
            <w:pPr>
              <w:rPr>
                <w:sz w:val="2"/>
                <w:szCs w:val="2"/>
              </w:rPr>
            </w:pPr>
          </w:p>
        </w:tc>
        <w:tc>
          <w:tcPr>
            <w:tcW w:w="2527" w:type="dxa"/>
            <w:vMerge/>
            <w:tcBorders>
              <w:top w:val="nil"/>
              <w:bottom w:val="single" w:sz="4" w:space="0" w:color="000000"/>
            </w:tcBorders>
            <w:shd w:val="clear" w:color="auto" w:fill="FFFFFF"/>
          </w:tcPr>
          <w:p>
            <w:pPr>
              <w:rPr>
                <w:sz w:val="2"/>
                <w:szCs w:val="2"/>
              </w:rPr>
            </w:pPr>
          </w:p>
        </w:tc>
      </w:tr>
      <w:tr>
        <w:trPr>
          <w:trHeight w:val="307" w:hRule="atLeast"/>
        </w:trPr>
        <w:tc>
          <w:tcPr>
            <w:tcW w:w="5556"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current liabilities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ind w:right="101"/>
              <w:jc w:val="right"/>
              <w:rPr>
                <w:b/>
                <w:sz w:val="19"/>
              </w:rPr>
            </w:pPr>
            <w:r>
              <w:rPr>
                <w:b/>
                <w:w w:val="95"/>
                <w:sz w:val="19"/>
              </w:rPr>
              <w:t>291,452</w:t>
            </w:r>
          </w:p>
        </w:tc>
        <w:tc>
          <w:tcPr>
            <w:tcW w:w="1151" w:type="dxa"/>
            <w:tcBorders>
              <w:top w:val="single" w:sz="4" w:space="0" w:color="000000"/>
              <w:bottom w:val="single" w:sz="4" w:space="0" w:color="000000"/>
            </w:tcBorders>
            <w:shd w:val="clear" w:color="auto" w:fill="DFE1B8"/>
          </w:tcPr>
          <w:p>
            <w:pPr>
              <w:pStyle w:val="TableParagraph"/>
              <w:ind w:right="101"/>
              <w:jc w:val="right"/>
              <w:rPr>
                <w:b/>
                <w:sz w:val="19"/>
              </w:rPr>
            </w:pPr>
            <w:r>
              <w:rPr>
                <w:b/>
                <w:w w:val="95"/>
                <w:sz w:val="19"/>
              </w:rPr>
              <w:t>202,724</w:t>
            </w:r>
          </w:p>
        </w:tc>
        <w:tc>
          <w:tcPr>
            <w:tcW w:w="1628" w:type="dxa"/>
            <w:tcBorders>
              <w:top w:val="single" w:sz="4" w:space="0" w:color="000000"/>
              <w:bottom w:val="single" w:sz="4" w:space="0" w:color="000000"/>
            </w:tcBorders>
          </w:tcPr>
          <w:p>
            <w:pPr>
              <w:pStyle w:val="TableParagraph"/>
              <w:ind w:right="182"/>
              <w:jc w:val="right"/>
              <w:rPr>
                <w:b/>
                <w:sz w:val="19"/>
              </w:rPr>
            </w:pPr>
            <w:r>
              <w:rPr>
                <w:b/>
                <w:w w:val="95"/>
                <w:sz w:val="19"/>
              </w:rPr>
              <w:t>205,228</w:t>
            </w:r>
          </w:p>
        </w:tc>
        <w:tc>
          <w:tcPr>
            <w:tcW w:w="2131" w:type="dxa"/>
            <w:tcBorders>
              <w:top w:val="single" w:sz="4" w:space="0" w:color="000000"/>
              <w:bottom w:val="single" w:sz="4" w:space="0" w:color="000000"/>
            </w:tcBorders>
          </w:tcPr>
          <w:p>
            <w:pPr>
              <w:pStyle w:val="TableParagraph"/>
              <w:ind w:right="141"/>
              <w:jc w:val="right"/>
              <w:rPr>
                <w:b/>
                <w:sz w:val="19"/>
              </w:rPr>
            </w:pPr>
            <w:r>
              <w:rPr>
                <w:b/>
                <w:w w:val="95"/>
                <w:sz w:val="19"/>
              </w:rPr>
              <w:t>(88,728)</w:t>
            </w:r>
          </w:p>
        </w:tc>
        <w:tc>
          <w:tcPr>
            <w:tcW w:w="2527" w:type="dxa"/>
            <w:tcBorders>
              <w:top w:val="single" w:sz="4" w:space="0" w:color="000000"/>
              <w:bottom w:val="single" w:sz="4" w:space="0" w:color="000000"/>
            </w:tcBorders>
          </w:tcPr>
          <w:p>
            <w:pPr>
              <w:pStyle w:val="TableParagraph"/>
              <w:ind w:right="100"/>
              <w:jc w:val="right"/>
              <w:rPr>
                <w:b/>
                <w:sz w:val="19"/>
              </w:rPr>
            </w:pPr>
            <w:r>
              <w:rPr>
                <w:b/>
                <w:w w:val="95"/>
                <w:sz w:val="19"/>
              </w:rPr>
              <w:t>(2,504)</w:t>
            </w:r>
          </w:p>
        </w:tc>
      </w:tr>
    </w:tbl>
    <w:p>
      <w:pPr>
        <w:spacing w:after="0"/>
        <w:jc w:val="right"/>
        <w:rPr>
          <w:sz w:val="19"/>
        </w:rPr>
        <w:sectPr>
          <w:footerReference w:type="default" r:id="rId189"/>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spacing w:before="92"/>
        <w:ind w:left="765" w:right="0" w:firstLine="0"/>
        <w:jc w:val="left"/>
        <w:rPr>
          <w:sz w:val="72"/>
        </w:rPr>
      </w:pPr>
      <w:r>
        <w:rPr/>
        <w:pict>
          <v:group style="position:absolute;margin-left:120.271004pt;margin-top:-57.37421pt;width:721.65pt;height:42.55pt;mso-position-horizontal-relative:page;mso-position-vertical-relative:paragraph;z-index:21664"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30"/>
        <w:ind w:left="765" w:right="0" w:firstLine="0"/>
        <w:jc w:val="left"/>
        <w:rPr>
          <w:sz w:val="36"/>
        </w:rPr>
      </w:pPr>
      <w:r>
        <w:rPr>
          <w:color w:val="6F2770"/>
          <w:sz w:val="36"/>
        </w:rPr>
        <w:t>For the year ended 30 June 2018</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1" w:hRule="atLeast"/>
        </w:trPr>
        <w:tc>
          <w:tcPr>
            <w:tcW w:w="6707" w:type="dxa"/>
            <w:gridSpan w:val="2"/>
            <w:tcBorders>
              <w:left w:val="single" w:sz="8" w:space="0" w:color="FFFFFF"/>
            </w:tcBorders>
            <w:shd w:val="clear" w:color="auto" w:fill="783A79"/>
          </w:tcPr>
          <w:p>
            <w:pPr>
              <w:pStyle w:val="TableParagraph"/>
              <w:spacing w:line="249" w:lineRule="auto" w:before="42"/>
              <w:ind w:left="5914" w:hanging="175"/>
              <w:rPr>
                <w:b/>
                <w:sz w:val="19"/>
              </w:rPr>
            </w:pPr>
            <w:r>
              <w:rPr>
                <w:b/>
                <w:color w:val="FFFFFF"/>
                <w:sz w:val="19"/>
              </w:rPr>
              <w:t>Variance Note</w:t>
            </w:r>
          </w:p>
        </w:tc>
        <w:tc>
          <w:tcPr>
            <w:tcW w:w="1151" w:type="dxa"/>
            <w:shd w:val="clear" w:color="auto" w:fill="783A79"/>
          </w:tcPr>
          <w:p>
            <w:pPr>
              <w:pStyle w:val="TableParagraph"/>
              <w:spacing w:before="42"/>
              <w:ind w:left="248"/>
              <w:rPr>
                <w:b/>
                <w:sz w:val="19"/>
              </w:rPr>
            </w:pPr>
            <w:r>
              <w:rPr>
                <w:b/>
                <w:color w:val="FFFFFF"/>
                <w:sz w:val="19"/>
              </w:rPr>
              <w:t>Estimate</w:t>
            </w:r>
          </w:p>
          <w:p>
            <w:pPr>
              <w:pStyle w:val="TableParagraph"/>
              <w:spacing w:before="10"/>
              <w:ind w:left="624"/>
              <w:rPr>
                <w:b/>
                <w:sz w:val="19"/>
              </w:rPr>
            </w:pPr>
            <w:r>
              <w:rPr>
                <w:b/>
                <w:color w:val="FFFFFF"/>
                <w:sz w:val="19"/>
              </w:rPr>
              <w:t>2018</w:t>
            </w:r>
          </w:p>
          <w:p>
            <w:pPr>
              <w:pStyle w:val="TableParagraph"/>
              <w:spacing w:before="9"/>
              <w:ind w:left="624"/>
              <w:rPr>
                <w:b/>
                <w:sz w:val="19"/>
              </w:rPr>
            </w:pPr>
            <w:r>
              <w:rPr>
                <w:b/>
                <w:color w:val="FFFFFF"/>
                <w:sz w:val="19"/>
              </w:rPr>
              <w:t>$000</w:t>
            </w:r>
          </w:p>
        </w:tc>
        <w:tc>
          <w:tcPr>
            <w:tcW w:w="1151" w:type="dxa"/>
            <w:shd w:val="clear" w:color="auto" w:fill="783A79"/>
          </w:tcPr>
          <w:p>
            <w:pPr>
              <w:pStyle w:val="TableParagraph"/>
              <w:spacing w:line="249" w:lineRule="auto" w:before="42"/>
              <w:ind w:left="624" w:right="84" w:hanging="155"/>
              <w:rPr>
                <w:b/>
                <w:sz w:val="19"/>
              </w:rPr>
            </w:pPr>
            <w:r>
              <w:rPr>
                <w:b/>
                <w:color w:val="FFFFFF"/>
                <w:w w:val="95"/>
                <w:sz w:val="19"/>
              </w:rPr>
              <w:t>Actual </w:t>
            </w:r>
            <w:r>
              <w:rPr>
                <w:b/>
                <w:color w:val="FFFFFF"/>
                <w:sz w:val="19"/>
              </w:rPr>
              <w:t>2018</w:t>
            </w:r>
          </w:p>
          <w:p>
            <w:pPr>
              <w:pStyle w:val="TableParagraph"/>
              <w:spacing w:before="2"/>
              <w:ind w:left="624"/>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8"/>
              <w:rPr>
                <w:sz w:val="20"/>
              </w:rPr>
            </w:pPr>
          </w:p>
          <w:p>
            <w:pPr>
              <w:pStyle w:val="TableParagraph"/>
              <w:spacing w:before="0"/>
              <w:ind w:left="1021"/>
              <w:rPr>
                <w:b/>
                <w:sz w:val="19"/>
              </w:rPr>
            </w:pPr>
            <w:r>
              <w:rPr>
                <w:b/>
                <w:color w:val="FFFFFF"/>
                <w:sz w:val="19"/>
              </w:rPr>
              <w:t>$000</w:t>
            </w:r>
          </w:p>
        </w:tc>
        <w:tc>
          <w:tcPr>
            <w:tcW w:w="2172" w:type="dxa"/>
            <w:shd w:val="clear" w:color="auto" w:fill="783A79"/>
          </w:tcPr>
          <w:p>
            <w:pPr>
              <w:pStyle w:val="TableParagraph"/>
              <w:spacing w:line="249" w:lineRule="auto" w:before="42"/>
              <w:ind w:left="283" w:right="102"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02"/>
              <w:jc w:val="right"/>
              <w:rPr>
                <w:b/>
                <w:sz w:val="19"/>
              </w:rPr>
            </w:pPr>
            <w:r>
              <w:rPr>
                <w:b/>
                <w:color w:val="FFFFFF"/>
                <w:w w:val="95"/>
                <w:sz w:val="19"/>
              </w:rPr>
              <w:t>$000</w:t>
            </w:r>
          </w:p>
        </w:tc>
        <w:tc>
          <w:tcPr>
            <w:tcW w:w="2569" w:type="dxa"/>
            <w:shd w:val="clear" w:color="auto" w:fill="783A79"/>
          </w:tcPr>
          <w:p>
            <w:pPr>
              <w:pStyle w:val="TableParagraph"/>
              <w:spacing w:line="249" w:lineRule="auto" w:before="42"/>
              <w:ind w:left="203" w:right="103"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03"/>
              <w:jc w:val="right"/>
              <w:rPr>
                <w:b/>
                <w:sz w:val="19"/>
              </w:rPr>
            </w:pPr>
            <w:r>
              <w:rPr>
                <w:b/>
                <w:color w:val="FFFFFF"/>
                <w:w w:val="95"/>
                <w:sz w:val="19"/>
              </w:rPr>
              <w:t>$000</w:t>
            </w:r>
          </w:p>
        </w:tc>
      </w:tr>
      <w:tr>
        <w:trPr>
          <w:trHeight w:val="649" w:hRule="atLeast"/>
        </w:trPr>
        <w:tc>
          <w:tcPr>
            <w:tcW w:w="5556" w:type="dxa"/>
            <w:shd w:val="clear" w:color="auto" w:fill="FFFFFF"/>
          </w:tcPr>
          <w:p>
            <w:pPr>
              <w:pStyle w:val="TableParagraph"/>
              <w:spacing w:before="42"/>
              <w:ind w:left="123"/>
              <w:rPr>
                <w:i/>
                <w:sz w:val="19"/>
              </w:rPr>
            </w:pPr>
            <w:r>
              <w:rPr>
                <w:i/>
                <w:color w:val="6F2770"/>
                <w:sz w:val="19"/>
              </w:rPr>
              <w:t>Non-current liabilities</w:t>
            </w:r>
          </w:p>
          <w:p>
            <w:pPr>
              <w:pStyle w:val="TableParagraph"/>
              <w:spacing w:before="109"/>
              <w:ind w:left="123"/>
              <w:rPr>
                <w:sz w:val="19"/>
              </w:rPr>
            </w:pPr>
            <w:r>
              <w:rPr>
                <w:sz w:val="19"/>
              </w:rPr>
              <w:t>Borrowings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1"/>
              <w:rPr>
                <w:sz w:val="32"/>
              </w:rPr>
            </w:pPr>
          </w:p>
          <w:p>
            <w:pPr>
              <w:pStyle w:val="TableParagraph"/>
              <w:spacing w:before="0"/>
              <w:ind w:right="101"/>
              <w:jc w:val="right"/>
              <w:rPr>
                <w:sz w:val="19"/>
              </w:rPr>
            </w:pPr>
            <w:r>
              <w:rPr>
                <w:w w:val="95"/>
                <w:sz w:val="19"/>
              </w:rPr>
              <w:t>61,255</w:t>
            </w:r>
          </w:p>
        </w:tc>
        <w:tc>
          <w:tcPr>
            <w:tcW w:w="1151"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420" w:right="59"/>
              <w:jc w:val="center"/>
              <w:rPr>
                <w:sz w:val="19"/>
              </w:rPr>
            </w:pPr>
            <w:r>
              <w:rPr>
                <w:sz w:val="19"/>
              </w:rPr>
              <w:t>56,005</w:t>
            </w:r>
          </w:p>
          <w:p>
            <w:pPr>
              <w:pStyle w:val="TableParagraph"/>
              <w:spacing w:before="109"/>
              <w:ind w:left="526" w:right="59"/>
              <w:jc w:val="center"/>
              <w:rPr>
                <w:sz w:val="19"/>
              </w:rPr>
            </w:pPr>
            <w:r>
              <w:rPr>
                <w:sz w:val="19"/>
              </w:rPr>
              <w:t>5,352</w:t>
            </w:r>
          </w:p>
          <w:p>
            <w:pPr>
              <w:pStyle w:val="TableParagraph"/>
              <w:spacing w:before="109"/>
              <w:ind w:left="315" w:right="59"/>
              <w:jc w:val="center"/>
              <w:rPr>
                <w:sz w:val="19"/>
              </w:rPr>
            </w:pPr>
            <w:r>
              <w:rPr>
                <w:sz w:val="19"/>
              </w:rPr>
              <w:t>131,249</w:t>
            </w:r>
          </w:p>
        </w:tc>
        <w:tc>
          <w:tcPr>
            <w:tcW w:w="1548" w:type="dxa"/>
            <w:shd w:val="clear" w:color="auto" w:fill="FFFFFF"/>
          </w:tcPr>
          <w:p>
            <w:pPr>
              <w:pStyle w:val="TableParagraph"/>
              <w:spacing w:before="1"/>
              <w:rPr>
                <w:sz w:val="32"/>
              </w:rPr>
            </w:pPr>
          </w:p>
          <w:p>
            <w:pPr>
              <w:pStyle w:val="TableParagraph"/>
              <w:spacing w:before="0"/>
              <w:ind w:right="102"/>
              <w:jc w:val="right"/>
              <w:rPr>
                <w:sz w:val="19"/>
              </w:rPr>
            </w:pPr>
            <w:r>
              <w:rPr>
                <w:w w:val="95"/>
                <w:sz w:val="19"/>
              </w:rPr>
              <w:t>77,776</w:t>
            </w:r>
          </w:p>
        </w:tc>
        <w:tc>
          <w:tcPr>
            <w:tcW w:w="2172" w:type="dxa"/>
            <w:shd w:val="clear" w:color="auto" w:fill="FFFFFF"/>
          </w:tcPr>
          <w:p>
            <w:pPr>
              <w:pStyle w:val="TableParagraph"/>
              <w:spacing w:before="1"/>
              <w:rPr>
                <w:sz w:val="32"/>
              </w:rPr>
            </w:pPr>
          </w:p>
          <w:p>
            <w:pPr>
              <w:pStyle w:val="TableParagraph"/>
              <w:spacing w:before="0"/>
              <w:ind w:right="102"/>
              <w:jc w:val="right"/>
              <w:rPr>
                <w:sz w:val="19"/>
              </w:rPr>
            </w:pPr>
            <w:r>
              <w:rPr>
                <w:w w:val="90"/>
                <w:sz w:val="19"/>
              </w:rPr>
              <w:t>(5,250)</w:t>
            </w:r>
          </w:p>
        </w:tc>
        <w:tc>
          <w:tcPr>
            <w:tcW w:w="2569" w:type="dxa"/>
            <w:shd w:val="clear" w:color="auto" w:fill="FFFFFF"/>
          </w:tcPr>
          <w:p>
            <w:pPr>
              <w:pStyle w:val="TableParagraph"/>
              <w:spacing w:before="1"/>
              <w:rPr>
                <w:sz w:val="32"/>
              </w:rPr>
            </w:pPr>
          </w:p>
          <w:p>
            <w:pPr>
              <w:pStyle w:val="TableParagraph"/>
              <w:spacing w:before="0"/>
              <w:ind w:right="103"/>
              <w:jc w:val="right"/>
              <w:rPr>
                <w:sz w:val="19"/>
              </w:rPr>
            </w:pPr>
            <w:r>
              <w:rPr>
                <w:w w:val="95"/>
                <w:sz w:val="19"/>
              </w:rPr>
              <w:t>(21,771)</w:t>
            </w:r>
          </w:p>
        </w:tc>
      </w:tr>
      <w:tr>
        <w:trPr>
          <w:trHeight w:val="644" w:hRule="atLeast"/>
        </w:trPr>
        <w:tc>
          <w:tcPr>
            <w:tcW w:w="5556" w:type="dxa"/>
            <w:shd w:val="clear" w:color="auto" w:fill="FFFFFF"/>
          </w:tcPr>
          <w:p>
            <w:pPr>
              <w:pStyle w:val="TableParagraph"/>
              <w:spacing w:before="37"/>
              <w:ind w:left="123"/>
              <w:rPr>
                <w:sz w:val="19"/>
              </w:rPr>
            </w:pPr>
            <w:r>
              <w:rPr>
                <w:sz w:val="19"/>
              </w:rPr>
              <w:t>Provisions</w:t>
            </w:r>
          </w:p>
          <w:p>
            <w:pPr>
              <w:pStyle w:val="TableParagraph"/>
              <w:spacing w:before="109"/>
              <w:ind w:left="123"/>
              <w:rPr>
                <w:sz w:val="19"/>
              </w:rPr>
            </w:pPr>
            <w:r>
              <w:rPr>
                <w:sz w:val="19"/>
              </w:rPr>
              <w:t>Lease incentives</w:t>
            </w:r>
          </w:p>
        </w:tc>
        <w:tc>
          <w:tcPr>
            <w:tcW w:w="1151" w:type="dxa"/>
            <w:shd w:val="clear" w:color="auto" w:fill="FFFFFF"/>
          </w:tcPr>
          <w:p>
            <w:pPr>
              <w:pStyle w:val="TableParagraph"/>
              <w:spacing w:before="8"/>
              <w:rPr>
                <w:sz w:val="31"/>
              </w:rPr>
            </w:pPr>
          </w:p>
          <w:p>
            <w:pPr>
              <w:pStyle w:val="TableParagraph"/>
              <w:spacing w:before="0"/>
              <w:ind w:left="19"/>
              <w:jc w:val="center"/>
              <w:rPr>
                <w:sz w:val="19"/>
              </w:rPr>
            </w:pPr>
            <w:hyperlink w:history="true" w:anchor="_bookmark26">
              <w:r>
                <w:rPr>
                  <w:color w:val="6F2770"/>
                  <w:w w:val="99"/>
                  <w:sz w:val="19"/>
                  <w:u w:val="single" w:color="6F2770"/>
                </w:rPr>
                <w:t>3</w:t>
              </w:r>
            </w:hyperlink>
          </w:p>
        </w:tc>
        <w:tc>
          <w:tcPr>
            <w:tcW w:w="1151" w:type="dxa"/>
            <w:tcBorders>
              <w:bottom w:val="single" w:sz="4" w:space="0" w:color="000000"/>
            </w:tcBorders>
            <w:shd w:val="clear" w:color="auto" w:fill="FFFFFF"/>
          </w:tcPr>
          <w:p>
            <w:pPr>
              <w:pStyle w:val="TableParagraph"/>
              <w:spacing w:before="37"/>
              <w:ind w:left="526" w:right="59"/>
              <w:jc w:val="center"/>
              <w:rPr>
                <w:sz w:val="19"/>
              </w:rPr>
            </w:pPr>
            <w:r>
              <w:rPr>
                <w:sz w:val="19"/>
              </w:rPr>
              <w:t>5,926</w:t>
            </w:r>
          </w:p>
          <w:p>
            <w:pPr>
              <w:pStyle w:val="TableParagraph"/>
              <w:spacing w:before="109"/>
              <w:ind w:left="421" w:right="59"/>
              <w:jc w:val="center"/>
              <w:rPr>
                <w:sz w:val="19"/>
              </w:rPr>
            </w:pPr>
            <w:r>
              <w:rPr>
                <w:sz w:val="19"/>
              </w:rPr>
              <w:t>88,849</w:t>
            </w:r>
          </w:p>
        </w:tc>
        <w:tc>
          <w:tcPr>
            <w:tcW w:w="1151" w:type="dxa"/>
            <w:vMerge/>
            <w:tcBorders>
              <w:top w:val="nil"/>
              <w:bottom w:val="single" w:sz="4" w:space="0" w:color="000000"/>
            </w:tcBorders>
            <w:shd w:val="clear" w:color="auto" w:fill="E1E4BB"/>
          </w:tcPr>
          <w:p>
            <w:pPr>
              <w:rPr>
                <w:sz w:val="2"/>
                <w:szCs w:val="2"/>
              </w:rPr>
            </w:pPr>
          </w:p>
        </w:tc>
        <w:tc>
          <w:tcPr>
            <w:tcW w:w="1548" w:type="dxa"/>
            <w:tcBorders>
              <w:bottom w:val="single" w:sz="4" w:space="0" w:color="000000"/>
            </w:tcBorders>
            <w:shd w:val="clear" w:color="auto" w:fill="FFFFFF"/>
          </w:tcPr>
          <w:p>
            <w:pPr>
              <w:pStyle w:val="TableParagraph"/>
              <w:spacing w:before="37"/>
              <w:ind w:left="968"/>
              <w:rPr>
                <w:sz w:val="19"/>
              </w:rPr>
            </w:pPr>
            <w:r>
              <w:rPr>
                <w:sz w:val="19"/>
              </w:rPr>
              <w:t>6,360</w:t>
            </w:r>
          </w:p>
          <w:p>
            <w:pPr>
              <w:pStyle w:val="TableParagraph"/>
              <w:spacing w:before="109"/>
              <w:ind w:left="757"/>
              <w:rPr>
                <w:sz w:val="19"/>
              </w:rPr>
            </w:pPr>
            <w:r>
              <w:rPr>
                <w:sz w:val="19"/>
              </w:rPr>
              <w:t>101,251</w:t>
            </w:r>
          </w:p>
        </w:tc>
        <w:tc>
          <w:tcPr>
            <w:tcW w:w="2172" w:type="dxa"/>
            <w:tcBorders>
              <w:bottom w:val="single" w:sz="4" w:space="0" w:color="000000"/>
            </w:tcBorders>
            <w:shd w:val="clear" w:color="auto" w:fill="FFFFFF"/>
          </w:tcPr>
          <w:p>
            <w:pPr>
              <w:pStyle w:val="TableParagraph"/>
              <w:spacing w:before="37"/>
              <w:ind w:right="102"/>
              <w:jc w:val="right"/>
              <w:rPr>
                <w:sz w:val="19"/>
              </w:rPr>
            </w:pPr>
            <w:r>
              <w:rPr>
                <w:w w:val="90"/>
                <w:sz w:val="19"/>
              </w:rPr>
              <w:t>(574)</w:t>
            </w:r>
          </w:p>
          <w:p>
            <w:pPr>
              <w:pStyle w:val="TableParagraph"/>
              <w:spacing w:before="109"/>
              <w:ind w:right="102"/>
              <w:jc w:val="right"/>
              <w:rPr>
                <w:sz w:val="19"/>
              </w:rPr>
            </w:pPr>
            <w:r>
              <w:rPr>
                <w:spacing w:val="-1"/>
                <w:sz w:val="19"/>
              </w:rPr>
              <w:t>42,400</w:t>
            </w:r>
          </w:p>
        </w:tc>
        <w:tc>
          <w:tcPr>
            <w:tcW w:w="2569" w:type="dxa"/>
            <w:tcBorders>
              <w:bottom w:val="single" w:sz="4" w:space="0" w:color="000000"/>
            </w:tcBorders>
            <w:shd w:val="clear" w:color="auto" w:fill="FFFFFF"/>
          </w:tcPr>
          <w:p>
            <w:pPr>
              <w:pStyle w:val="TableParagraph"/>
              <w:spacing w:before="37"/>
              <w:ind w:right="103"/>
              <w:jc w:val="right"/>
              <w:rPr>
                <w:sz w:val="19"/>
              </w:rPr>
            </w:pPr>
            <w:r>
              <w:rPr>
                <w:w w:val="90"/>
                <w:sz w:val="19"/>
              </w:rPr>
              <w:t>(1,008)</w:t>
            </w:r>
          </w:p>
          <w:p>
            <w:pPr>
              <w:pStyle w:val="TableParagraph"/>
              <w:spacing w:before="109"/>
              <w:ind w:right="103"/>
              <w:jc w:val="right"/>
              <w:rPr>
                <w:sz w:val="19"/>
              </w:rPr>
            </w:pPr>
            <w:r>
              <w:rPr>
                <w:spacing w:val="-1"/>
                <w:sz w:val="19"/>
              </w:rPr>
              <w:t>29,998</w:t>
            </w:r>
          </w:p>
        </w:tc>
      </w:tr>
      <w:tr>
        <w:trPr>
          <w:trHeight w:val="317" w:hRule="atLeast"/>
        </w:trPr>
        <w:tc>
          <w:tcPr>
            <w:tcW w:w="5556" w:type="dxa"/>
            <w:vMerge w:val="restart"/>
            <w:shd w:val="clear" w:color="auto" w:fill="FFFFFF"/>
          </w:tcPr>
          <w:p>
            <w:pPr>
              <w:pStyle w:val="TableParagraph"/>
              <w:spacing w:before="37"/>
              <w:ind w:left="123"/>
              <w:rPr>
                <w:b/>
                <w:sz w:val="19"/>
              </w:rPr>
            </w:pPr>
            <w:r>
              <w:rPr>
                <w:b/>
                <w:sz w:val="19"/>
              </w:rPr>
              <w:t>Total non-current liabilities</w:t>
            </w:r>
          </w:p>
          <w:p>
            <w:pPr>
              <w:pStyle w:val="TableParagraph"/>
              <w:spacing w:before="109"/>
              <w:ind w:left="123"/>
              <w:rPr>
                <w:b/>
                <w:sz w:val="19"/>
              </w:rPr>
            </w:pPr>
            <w:r>
              <w:rPr>
                <w:b/>
                <w:sz w:val="19"/>
              </w:rPr>
              <w:t>TOTAL LIABILITIES</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2E2C2C"/>
            </w:tcBorders>
            <w:shd w:val="clear" w:color="auto" w:fill="F4F4F4"/>
          </w:tcPr>
          <w:p>
            <w:pPr>
              <w:pStyle w:val="TableParagraph"/>
              <w:spacing w:before="37"/>
              <w:ind w:right="101"/>
              <w:jc w:val="right"/>
              <w:rPr>
                <w:b/>
                <w:sz w:val="19"/>
              </w:rPr>
            </w:pPr>
            <w:r>
              <w:rPr>
                <w:b/>
                <w:w w:val="95"/>
                <w:sz w:val="19"/>
              </w:rPr>
              <w:t>156,030</w:t>
            </w:r>
          </w:p>
        </w:tc>
        <w:tc>
          <w:tcPr>
            <w:tcW w:w="1151" w:type="dxa"/>
            <w:tcBorders>
              <w:top w:val="single" w:sz="4" w:space="0" w:color="000000"/>
              <w:bottom w:val="single" w:sz="4" w:space="0" w:color="2E2C2C"/>
            </w:tcBorders>
            <w:shd w:val="clear" w:color="auto" w:fill="DFE1B8"/>
          </w:tcPr>
          <w:p>
            <w:pPr>
              <w:pStyle w:val="TableParagraph"/>
              <w:spacing w:before="37"/>
              <w:ind w:right="101"/>
              <w:jc w:val="right"/>
              <w:rPr>
                <w:b/>
                <w:sz w:val="19"/>
              </w:rPr>
            </w:pPr>
            <w:r>
              <w:rPr>
                <w:b/>
                <w:w w:val="95"/>
                <w:sz w:val="19"/>
              </w:rPr>
              <w:t>192,606</w:t>
            </w:r>
          </w:p>
        </w:tc>
        <w:tc>
          <w:tcPr>
            <w:tcW w:w="1548" w:type="dxa"/>
            <w:tcBorders>
              <w:top w:val="single" w:sz="4" w:space="0" w:color="000000"/>
              <w:bottom w:val="single" w:sz="4" w:space="0" w:color="2E2C2C"/>
              <w:right w:val="single" w:sz="8" w:space="0" w:color="FFFFFF"/>
            </w:tcBorders>
            <w:shd w:val="clear" w:color="auto" w:fill="F4F4F4"/>
          </w:tcPr>
          <w:p>
            <w:pPr>
              <w:pStyle w:val="TableParagraph"/>
              <w:spacing w:before="37"/>
              <w:ind w:right="92"/>
              <w:jc w:val="right"/>
              <w:rPr>
                <w:b/>
                <w:sz w:val="19"/>
              </w:rPr>
            </w:pPr>
            <w:r>
              <w:rPr>
                <w:b/>
                <w:w w:val="95"/>
                <w:sz w:val="19"/>
              </w:rPr>
              <w:t>185,387</w:t>
            </w:r>
          </w:p>
        </w:tc>
        <w:tc>
          <w:tcPr>
            <w:tcW w:w="2172" w:type="dxa"/>
            <w:tcBorders>
              <w:top w:val="single" w:sz="4" w:space="0" w:color="000000"/>
              <w:left w:val="single" w:sz="8" w:space="0" w:color="FFFFFF"/>
              <w:bottom w:val="single" w:sz="4" w:space="0" w:color="2E2C2C"/>
              <w:right w:val="single" w:sz="8" w:space="0" w:color="FFFFFF"/>
            </w:tcBorders>
            <w:shd w:val="clear" w:color="auto" w:fill="F4F4F4"/>
          </w:tcPr>
          <w:p>
            <w:pPr>
              <w:pStyle w:val="TableParagraph"/>
              <w:spacing w:before="37"/>
              <w:ind w:right="92"/>
              <w:jc w:val="right"/>
              <w:rPr>
                <w:b/>
                <w:sz w:val="19"/>
              </w:rPr>
            </w:pPr>
            <w:r>
              <w:rPr>
                <w:b/>
                <w:w w:val="95"/>
                <w:sz w:val="19"/>
              </w:rPr>
              <w:t>36,576</w:t>
            </w:r>
          </w:p>
        </w:tc>
        <w:tc>
          <w:tcPr>
            <w:tcW w:w="2569" w:type="dxa"/>
            <w:tcBorders>
              <w:top w:val="single" w:sz="4" w:space="0" w:color="000000"/>
              <w:left w:val="single" w:sz="8" w:space="0" w:color="FFFFFF"/>
              <w:bottom w:val="single" w:sz="4" w:space="0" w:color="2E2C2C"/>
            </w:tcBorders>
            <w:shd w:val="clear" w:color="auto" w:fill="F4F4F4"/>
          </w:tcPr>
          <w:p>
            <w:pPr>
              <w:pStyle w:val="TableParagraph"/>
              <w:spacing w:before="37"/>
              <w:ind w:right="103"/>
              <w:jc w:val="right"/>
              <w:rPr>
                <w:b/>
                <w:sz w:val="19"/>
              </w:rPr>
            </w:pPr>
            <w:r>
              <w:rPr>
                <w:b/>
                <w:w w:val="95"/>
                <w:sz w:val="19"/>
              </w:rPr>
              <w:t>7,219</w:t>
            </w:r>
          </w:p>
        </w:tc>
      </w:tr>
      <w:tr>
        <w:trPr>
          <w:trHeight w:val="289"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2E2C2C"/>
              <w:left w:val="single" w:sz="8" w:space="0" w:color="FFFFFF"/>
              <w:bottom w:val="double" w:sz="2" w:space="0" w:color="000000"/>
            </w:tcBorders>
            <w:shd w:val="clear" w:color="auto" w:fill="FAF9F9"/>
          </w:tcPr>
          <w:p>
            <w:pPr>
              <w:pStyle w:val="TableParagraph"/>
              <w:spacing w:before="37"/>
              <w:ind w:right="101"/>
              <w:jc w:val="right"/>
              <w:rPr>
                <w:b/>
                <w:sz w:val="19"/>
              </w:rPr>
            </w:pPr>
            <w:r>
              <w:rPr>
                <w:b/>
                <w:w w:val="95"/>
                <w:sz w:val="19"/>
              </w:rPr>
              <w:t>447,482</w:t>
            </w:r>
          </w:p>
        </w:tc>
        <w:tc>
          <w:tcPr>
            <w:tcW w:w="1151" w:type="dxa"/>
            <w:tcBorders>
              <w:top w:val="single" w:sz="4" w:space="0" w:color="2E2C2C"/>
              <w:bottom w:val="double" w:sz="2" w:space="0" w:color="000000"/>
            </w:tcBorders>
            <w:shd w:val="clear" w:color="auto" w:fill="E1E4BB"/>
          </w:tcPr>
          <w:p>
            <w:pPr>
              <w:pStyle w:val="TableParagraph"/>
              <w:spacing w:before="37"/>
              <w:ind w:right="101"/>
              <w:jc w:val="right"/>
              <w:rPr>
                <w:b/>
                <w:sz w:val="19"/>
              </w:rPr>
            </w:pPr>
            <w:r>
              <w:rPr>
                <w:b/>
                <w:w w:val="95"/>
                <w:sz w:val="19"/>
              </w:rPr>
              <w:t>395,330</w:t>
            </w:r>
          </w:p>
        </w:tc>
        <w:tc>
          <w:tcPr>
            <w:tcW w:w="1548" w:type="dxa"/>
            <w:tcBorders>
              <w:top w:val="single" w:sz="4" w:space="0" w:color="2E2C2C"/>
              <w:bottom w:val="double" w:sz="2" w:space="0" w:color="000000"/>
            </w:tcBorders>
            <w:shd w:val="clear" w:color="auto" w:fill="FAF9F9"/>
          </w:tcPr>
          <w:p>
            <w:pPr>
              <w:pStyle w:val="TableParagraph"/>
              <w:spacing w:before="37"/>
              <w:ind w:right="102"/>
              <w:jc w:val="right"/>
              <w:rPr>
                <w:b/>
                <w:sz w:val="19"/>
              </w:rPr>
            </w:pPr>
            <w:r>
              <w:rPr>
                <w:b/>
                <w:w w:val="95"/>
                <w:sz w:val="19"/>
              </w:rPr>
              <w:t>390,615</w:t>
            </w:r>
          </w:p>
        </w:tc>
        <w:tc>
          <w:tcPr>
            <w:tcW w:w="2172" w:type="dxa"/>
            <w:tcBorders>
              <w:top w:val="single" w:sz="4" w:space="0" w:color="2E2C2C"/>
              <w:bottom w:val="double" w:sz="2" w:space="0" w:color="000000"/>
            </w:tcBorders>
            <w:shd w:val="clear" w:color="auto" w:fill="FAF9F9"/>
          </w:tcPr>
          <w:p>
            <w:pPr>
              <w:pStyle w:val="TableParagraph"/>
              <w:spacing w:before="37"/>
              <w:ind w:right="102"/>
              <w:jc w:val="right"/>
              <w:rPr>
                <w:b/>
                <w:sz w:val="19"/>
              </w:rPr>
            </w:pPr>
            <w:r>
              <w:rPr>
                <w:b/>
                <w:w w:val="95"/>
                <w:sz w:val="19"/>
              </w:rPr>
              <w:t>(52,152)</w:t>
            </w:r>
          </w:p>
        </w:tc>
        <w:tc>
          <w:tcPr>
            <w:tcW w:w="2569" w:type="dxa"/>
            <w:tcBorders>
              <w:top w:val="single" w:sz="4" w:space="0" w:color="2E2C2C"/>
              <w:bottom w:val="double" w:sz="2" w:space="0" w:color="000000"/>
            </w:tcBorders>
            <w:shd w:val="clear" w:color="auto" w:fill="FAF9F9"/>
          </w:tcPr>
          <w:p>
            <w:pPr>
              <w:pStyle w:val="TableParagraph"/>
              <w:spacing w:before="37"/>
              <w:ind w:right="103"/>
              <w:jc w:val="right"/>
              <w:rPr>
                <w:b/>
                <w:sz w:val="19"/>
              </w:rPr>
            </w:pPr>
            <w:r>
              <w:rPr>
                <w:b/>
                <w:w w:val="95"/>
                <w:sz w:val="19"/>
              </w:rPr>
              <w:t>4,715</w:t>
            </w:r>
          </w:p>
        </w:tc>
      </w:tr>
      <w:tr>
        <w:trPr>
          <w:trHeight w:val="309" w:hRule="atLeast"/>
        </w:trPr>
        <w:tc>
          <w:tcPr>
            <w:tcW w:w="5556" w:type="dxa"/>
            <w:vMerge w:val="restart"/>
            <w:shd w:val="clear" w:color="auto" w:fill="FFFFFF"/>
          </w:tcPr>
          <w:p>
            <w:pPr>
              <w:pStyle w:val="TableParagraph"/>
              <w:spacing w:before="0"/>
              <w:rPr>
                <w:sz w:val="31"/>
              </w:rPr>
            </w:pPr>
          </w:p>
          <w:p>
            <w:pPr>
              <w:pStyle w:val="TableParagraph"/>
              <w:spacing w:before="0"/>
              <w:ind w:left="123"/>
              <w:rPr>
                <w:b/>
                <w:sz w:val="19"/>
              </w:rPr>
            </w:pPr>
            <w:r>
              <w:rPr>
                <w:b/>
                <w:sz w:val="19"/>
              </w:rPr>
              <w:t>NET ASSETS</w:t>
            </w:r>
          </w:p>
        </w:tc>
        <w:tc>
          <w:tcPr>
            <w:tcW w:w="1151" w:type="dxa"/>
            <w:vMerge w:val="restart"/>
            <w:shd w:val="clear" w:color="auto" w:fill="FFFFFF"/>
          </w:tcPr>
          <w:p>
            <w:pPr>
              <w:pStyle w:val="TableParagraph"/>
              <w:spacing w:before="0"/>
              <w:rPr>
                <w:rFonts w:ascii="Times New Roman"/>
                <w:sz w:val="20"/>
              </w:rPr>
            </w:pPr>
          </w:p>
        </w:tc>
        <w:tc>
          <w:tcPr>
            <w:tcW w:w="1151" w:type="dxa"/>
            <w:tcBorders>
              <w:top w:val="double" w:sz="2"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c>
          <w:tcPr>
            <w:tcW w:w="1151" w:type="dxa"/>
            <w:tcBorders>
              <w:top w:val="double" w:sz="2" w:space="0" w:color="000000"/>
              <w:bottom w:val="single" w:sz="4" w:space="0" w:color="000000"/>
            </w:tcBorders>
            <w:shd w:val="clear" w:color="auto" w:fill="DFE1B8"/>
          </w:tcPr>
          <w:p>
            <w:pPr>
              <w:pStyle w:val="TableParagraph"/>
              <w:spacing w:before="0"/>
              <w:rPr>
                <w:rFonts w:ascii="Times New Roman"/>
                <w:sz w:val="20"/>
              </w:rPr>
            </w:pPr>
          </w:p>
        </w:tc>
        <w:tc>
          <w:tcPr>
            <w:tcW w:w="1548" w:type="dxa"/>
            <w:tcBorders>
              <w:top w:val="double" w:sz="2" w:space="0" w:color="000000"/>
              <w:bottom w:val="single" w:sz="4" w:space="0" w:color="000000"/>
              <w:right w:val="single" w:sz="8" w:space="0" w:color="FFFFFF"/>
            </w:tcBorders>
            <w:shd w:val="clear" w:color="auto" w:fill="F4F4F4"/>
          </w:tcPr>
          <w:p>
            <w:pPr>
              <w:pStyle w:val="TableParagraph"/>
              <w:spacing w:before="0"/>
              <w:rPr>
                <w:rFonts w:ascii="Times New Roman"/>
                <w:sz w:val="20"/>
              </w:rPr>
            </w:pPr>
          </w:p>
        </w:tc>
        <w:tc>
          <w:tcPr>
            <w:tcW w:w="2172" w:type="dxa"/>
            <w:tcBorders>
              <w:top w:val="double" w:sz="2" w:space="0" w:color="000000"/>
              <w:left w:val="single" w:sz="8" w:space="0" w:color="FFFFFF"/>
              <w:bottom w:val="single" w:sz="4" w:space="0" w:color="000000"/>
              <w:right w:val="single" w:sz="8" w:space="0" w:color="FFFFFF"/>
            </w:tcBorders>
            <w:shd w:val="clear" w:color="auto" w:fill="F4F4F4"/>
          </w:tcPr>
          <w:p>
            <w:pPr>
              <w:pStyle w:val="TableParagraph"/>
              <w:spacing w:before="0"/>
              <w:rPr>
                <w:rFonts w:ascii="Times New Roman"/>
                <w:sz w:val="20"/>
              </w:rPr>
            </w:pPr>
          </w:p>
        </w:tc>
        <w:tc>
          <w:tcPr>
            <w:tcW w:w="2569" w:type="dxa"/>
            <w:tcBorders>
              <w:top w:val="double" w:sz="2"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r>
      <w:tr>
        <w:trPr>
          <w:trHeight w:val="289"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double" w:sz="2" w:space="0" w:color="000101"/>
            </w:tcBorders>
            <w:shd w:val="clear" w:color="auto" w:fill="FAF9F9"/>
          </w:tcPr>
          <w:p>
            <w:pPr>
              <w:pStyle w:val="TableParagraph"/>
              <w:spacing w:before="37"/>
              <w:ind w:right="101"/>
              <w:jc w:val="right"/>
              <w:rPr>
                <w:b/>
                <w:sz w:val="19"/>
              </w:rPr>
            </w:pPr>
            <w:r>
              <w:rPr>
                <w:b/>
                <w:w w:val="95"/>
                <w:sz w:val="19"/>
              </w:rPr>
              <w:t>1,184,373</w:t>
            </w:r>
          </w:p>
        </w:tc>
        <w:tc>
          <w:tcPr>
            <w:tcW w:w="1151" w:type="dxa"/>
            <w:tcBorders>
              <w:top w:val="single" w:sz="4" w:space="0" w:color="000000"/>
              <w:bottom w:val="double" w:sz="2" w:space="0" w:color="000101"/>
            </w:tcBorders>
            <w:shd w:val="clear" w:color="auto" w:fill="E1E4BB"/>
          </w:tcPr>
          <w:p>
            <w:pPr>
              <w:pStyle w:val="TableParagraph"/>
              <w:spacing w:before="37"/>
              <w:ind w:right="101"/>
              <w:jc w:val="right"/>
              <w:rPr>
                <w:b/>
                <w:sz w:val="19"/>
              </w:rPr>
            </w:pPr>
            <w:r>
              <w:rPr>
                <w:b/>
                <w:w w:val="95"/>
                <w:sz w:val="19"/>
              </w:rPr>
              <w:t>1,094,947</w:t>
            </w:r>
          </w:p>
        </w:tc>
        <w:tc>
          <w:tcPr>
            <w:tcW w:w="1548" w:type="dxa"/>
            <w:tcBorders>
              <w:top w:val="single" w:sz="4" w:space="0" w:color="000000"/>
              <w:bottom w:val="double" w:sz="2" w:space="0" w:color="000101"/>
            </w:tcBorders>
            <w:shd w:val="clear" w:color="auto" w:fill="FAF9F9"/>
          </w:tcPr>
          <w:p>
            <w:pPr>
              <w:pStyle w:val="TableParagraph"/>
              <w:spacing w:before="37"/>
              <w:ind w:right="102"/>
              <w:jc w:val="right"/>
              <w:rPr>
                <w:b/>
                <w:sz w:val="19"/>
              </w:rPr>
            </w:pPr>
            <w:r>
              <w:rPr>
                <w:b/>
                <w:w w:val="95"/>
                <w:sz w:val="19"/>
              </w:rPr>
              <w:t>1,115,061</w:t>
            </w:r>
          </w:p>
        </w:tc>
        <w:tc>
          <w:tcPr>
            <w:tcW w:w="2172" w:type="dxa"/>
            <w:tcBorders>
              <w:top w:val="single" w:sz="4" w:space="0" w:color="000000"/>
              <w:bottom w:val="double" w:sz="2" w:space="0" w:color="000101"/>
            </w:tcBorders>
            <w:shd w:val="clear" w:color="auto" w:fill="FAF9F9"/>
          </w:tcPr>
          <w:p>
            <w:pPr>
              <w:pStyle w:val="TableParagraph"/>
              <w:spacing w:before="37"/>
              <w:ind w:right="102"/>
              <w:jc w:val="right"/>
              <w:rPr>
                <w:b/>
                <w:sz w:val="19"/>
              </w:rPr>
            </w:pPr>
            <w:r>
              <w:rPr>
                <w:b/>
                <w:w w:val="95"/>
                <w:sz w:val="19"/>
              </w:rPr>
              <w:t>(89,426)</w:t>
            </w:r>
          </w:p>
        </w:tc>
        <w:tc>
          <w:tcPr>
            <w:tcW w:w="2569" w:type="dxa"/>
            <w:tcBorders>
              <w:top w:val="single" w:sz="4" w:space="0" w:color="000000"/>
              <w:bottom w:val="double" w:sz="2" w:space="0" w:color="000101"/>
            </w:tcBorders>
            <w:shd w:val="clear" w:color="auto" w:fill="FAF9F9"/>
          </w:tcPr>
          <w:p>
            <w:pPr>
              <w:pStyle w:val="TableParagraph"/>
              <w:spacing w:before="37"/>
              <w:ind w:right="103"/>
              <w:jc w:val="right"/>
              <w:rPr>
                <w:b/>
                <w:sz w:val="19"/>
              </w:rPr>
            </w:pPr>
            <w:r>
              <w:rPr>
                <w:b/>
                <w:w w:val="95"/>
                <w:sz w:val="19"/>
              </w:rPr>
              <w:t>(20,114)</w:t>
            </w:r>
          </w:p>
        </w:tc>
      </w:tr>
      <w:tr>
        <w:trPr>
          <w:trHeight w:val="299" w:hRule="atLeast"/>
        </w:trPr>
        <w:tc>
          <w:tcPr>
            <w:tcW w:w="5556" w:type="dxa"/>
            <w:vMerge w:val="restart"/>
            <w:shd w:val="clear" w:color="auto" w:fill="FFFFFF"/>
          </w:tcPr>
          <w:p>
            <w:pPr>
              <w:pStyle w:val="TableParagraph"/>
              <w:spacing w:before="0"/>
              <w:rPr>
                <w:sz w:val="31"/>
              </w:rPr>
            </w:pPr>
          </w:p>
          <w:p>
            <w:pPr>
              <w:pStyle w:val="TableParagraph"/>
              <w:spacing w:before="1"/>
              <w:ind w:left="123"/>
              <w:rPr>
                <w:b/>
                <w:sz w:val="19"/>
              </w:rPr>
            </w:pPr>
            <w:r>
              <w:rPr>
                <w:b/>
                <w:sz w:val="19"/>
              </w:rPr>
              <w:t>EQUITY</w:t>
            </w:r>
          </w:p>
        </w:tc>
        <w:tc>
          <w:tcPr>
            <w:tcW w:w="1151"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double" w:sz="2" w:space="0" w:color="000101"/>
              <w:left w:val="single" w:sz="8" w:space="0" w:color="FFFFFF"/>
            </w:tcBorders>
            <w:shd w:val="clear" w:color="auto" w:fill="F4F4F4"/>
          </w:tcPr>
          <w:p>
            <w:pPr>
              <w:pStyle w:val="TableParagraph"/>
              <w:spacing w:before="0"/>
              <w:rPr>
                <w:rFonts w:ascii="Times New Roman"/>
                <w:sz w:val="20"/>
              </w:rPr>
            </w:pPr>
          </w:p>
        </w:tc>
        <w:tc>
          <w:tcPr>
            <w:tcW w:w="1151" w:type="dxa"/>
            <w:vMerge w:val="restart"/>
            <w:tcBorders>
              <w:top w:val="double" w:sz="2" w:space="0" w:color="000101"/>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78"/>
              <w:ind w:left="201"/>
              <w:rPr>
                <w:sz w:val="19"/>
              </w:rPr>
            </w:pPr>
            <w:r>
              <w:rPr>
                <w:sz w:val="19"/>
              </w:rPr>
              <w:t>1,056,019</w:t>
            </w:r>
          </w:p>
          <w:p>
            <w:pPr>
              <w:pStyle w:val="TableParagraph"/>
              <w:spacing w:before="109"/>
              <w:ind w:left="466"/>
              <w:rPr>
                <w:sz w:val="19"/>
              </w:rPr>
            </w:pPr>
            <w:r>
              <w:rPr>
                <w:sz w:val="19"/>
              </w:rPr>
              <w:t>38,928</w:t>
            </w:r>
          </w:p>
        </w:tc>
        <w:tc>
          <w:tcPr>
            <w:tcW w:w="1548" w:type="dxa"/>
            <w:tcBorders>
              <w:top w:val="double" w:sz="2" w:space="0" w:color="000101"/>
              <w:right w:val="single" w:sz="8" w:space="0" w:color="FFFFFF"/>
            </w:tcBorders>
            <w:shd w:val="clear" w:color="auto" w:fill="F4F4F4"/>
          </w:tcPr>
          <w:p>
            <w:pPr>
              <w:pStyle w:val="TableParagraph"/>
              <w:spacing w:before="0"/>
              <w:rPr>
                <w:rFonts w:ascii="Times New Roman"/>
                <w:sz w:val="20"/>
              </w:rPr>
            </w:pPr>
          </w:p>
        </w:tc>
        <w:tc>
          <w:tcPr>
            <w:tcW w:w="2172" w:type="dxa"/>
            <w:tcBorders>
              <w:top w:val="double" w:sz="2" w:space="0" w:color="000101"/>
              <w:left w:val="single" w:sz="8" w:space="0" w:color="FFFFFF"/>
              <w:right w:val="single" w:sz="8" w:space="0" w:color="FFFFFF"/>
            </w:tcBorders>
            <w:shd w:val="clear" w:color="auto" w:fill="F4F4F4"/>
          </w:tcPr>
          <w:p>
            <w:pPr>
              <w:pStyle w:val="TableParagraph"/>
              <w:spacing w:before="0"/>
              <w:rPr>
                <w:rFonts w:ascii="Times New Roman"/>
                <w:sz w:val="20"/>
              </w:rPr>
            </w:pPr>
          </w:p>
        </w:tc>
        <w:tc>
          <w:tcPr>
            <w:tcW w:w="2569" w:type="dxa"/>
            <w:tcBorders>
              <w:top w:val="double" w:sz="2" w:space="0" w:color="000101"/>
              <w:left w:val="single" w:sz="8" w:space="0" w:color="FFFFFF"/>
            </w:tcBorders>
            <w:shd w:val="clear" w:color="auto" w:fill="F4F4F4"/>
          </w:tcPr>
          <w:p>
            <w:pPr>
              <w:pStyle w:val="TableParagraph"/>
              <w:spacing w:before="0"/>
              <w:rPr>
                <w:rFonts w:ascii="Times New Roman"/>
                <w:sz w:val="20"/>
              </w:rPr>
            </w:pPr>
          </w:p>
        </w:tc>
      </w:tr>
      <w:tr>
        <w:trPr>
          <w:trHeight w:val="322"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0"/>
              <w:rPr>
                <w:rFonts w:ascii="Times New Roman"/>
                <w:sz w:val="20"/>
              </w:rPr>
            </w:pPr>
          </w:p>
        </w:tc>
        <w:tc>
          <w:tcPr>
            <w:tcW w:w="1151" w:type="dxa"/>
            <w:vMerge/>
            <w:tcBorders>
              <w:top w:val="nil"/>
              <w:bottom w:val="single" w:sz="4" w:space="0" w:color="000000"/>
            </w:tcBorders>
            <w:shd w:val="clear" w:color="auto" w:fill="E1E4BB"/>
          </w:tcPr>
          <w:p>
            <w:pPr>
              <w:rPr>
                <w:sz w:val="2"/>
                <w:szCs w:val="2"/>
              </w:rPr>
            </w:pPr>
          </w:p>
        </w:tc>
        <w:tc>
          <w:tcPr>
            <w:tcW w:w="6289" w:type="dxa"/>
            <w:gridSpan w:val="3"/>
            <w:tcBorders>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5556" w:type="dxa"/>
            <w:vMerge w:val="restart"/>
            <w:shd w:val="clear" w:color="auto" w:fill="FFFFFF"/>
          </w:tcPr>
          <w:p>
            <w:pPr>
              <w:pStyle w:val="TableParagraph"/>
              <w:ind w:left="123"/>
              <w:rPr>
                <w:sz w:val="19"/>
              </w:rPr>
            </w:pPr>
            <w:r>
              <w:rPr>
                <w:sz w:val="19"/>
              </w:rPr>
              <w:t>Contributed equity</w:t>
            </w:r>
          </w:p>
          <w:p>
            <w:pPr>
              <w:pStyle w:val="TableParagraph"/>
              <w:spacing w:before="109"/>
              <w:ind w:left="123"/>
              <w:rPr>
                <w:sz w:val="19"/>
              </w:rPr>
            </w:pPr>
            <w:r>
              <w:rPr>
                <w:sz w:val="19"/>
              </w:rPr>
              <w:t>Accumulated surplus/(deficit)</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double" w:sz="1"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1,136,736</w:t>
            </w: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1,055,928</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(80,717)</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03"/>
              <w:jc w:val="right"/>
              <w:rPr>
                <w:sz w:val="19"/>
              </w:rPr>
            </w:pPr>
            <w:r>
              <w:rPr>
                <w:w w:val="95"/>
                <w:sz w:val="19"/>
              </w:rPr>
              <w:t>91</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01"/>
              <w:jc w:val="right"/>
              <w:rPr>
                <w:sz w:val="19"/>
              </w:rPr>
            </w:pPr>
            <w:r>
              <w:rPr>
                <w:w w:val="95"/>
                <w:sz w:val="19"/>
              </w:rPr>
              <w:t>47,637</w:t>
            </w: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4" w:space="0" w:color="000000"/>
            </w:tcBorders>
            <w:shd w:val="clear" w:color="auto" w:fill="FAF9F9"/>
          </w:tcPr>
          <w:p>
            <w:pPr>
              <w:pStyle w:val="TableParagraph"/>
              <w:ind w:right="102"/>
              <w:jc w:val="right"/>
              <w:rPr>
                <w:sz w:val="19"/>
              </w:rPr>
            </w:pPr>
            <w:r>
              <w:rPr>
                <w:w w:val="95"/>
                <w:sz w:val="19"/>
              </w:rPr>
              <w:t>59,133</w:t>
            </w:r>
          </w:p>
        </w:tc>
        <w:tc>
          <w:tcPr>
            <w:tcW w:w="2172" w:type="dxa"/>
            <w:tcBorders>
              <w:top w:val="single" w:sz="8" w:space="0" w:color="FFFFFF"/>
              <w:bottom w:val="single" w:sz="4" w:space="0" w:color="000000"/>
            </w:tcBorders>
            <w:shd w:val="clear" w:color="auto" w:fill="FAF9F9"/>
          </w:tcPr>
          <w:p>
            <w:pPr>
              <w:pStyle w:val="TableParagraph"/>
              <w:ind w:right="102"/>
              <w:jc w:val="right"/>
              <w:rPr>
                <w:sz w:val="19"/>
              </w:rPr>
            </w:pPr>
            <w:r>
              <w:rPr>
                <w:w w:val="90"/>
                <w:sz w:val="19"/>
              </w:rPr>
              <w:t>(8,709)</w:t>
            </w:r>
          </w:p>
        </w:tc>
        <w:tc>
          <w:tcPr>
            <w:tcW w:w="2569" w:type="dxa"/>
            <w:tcBorders>
              <w:top w:val="single" w:sz="8" w:space="0" w:color="FFFFFF"/>
              <w:bottom w:val="single" w:sz="4" w:space="0" w:color="000000"/>
            </w:tcBorders>
            <w:shd w:val="clear" w:color="auto" w:fill="FAF9F9"/>
          </w:tcPr>
          <w:p>
            <w:pPr>
              <w:pStyle w:val="TableParagraph"/>
              <w:ind w:right="103"/>
              <w:jc w:val="right"/>
              <w:rPr>
                <w:sz w:val="19"/>
              </w:rPr>
            </w:pPr>
            <w:r>
              <w:rPr>
                <w:w w:val="95"/>
                <w:sz w:val="19"/>
              </w:rPr>
              <w:t>(20,205)</w:t>
            </w:r>
          </w:p>
        </w:tc>
      </w:tr>
      <w:tr>
        <w:trPr>
          <w:trHeight w:val="287" w:hRule="atLeast"/>
        </w:trPr>
        <w:tc>
          <w:tcPr>
            <w:tcW w:w="5556"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EQUITY</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24" w:space="0" w:color="FFFFFF"/>
            </w:tcBorders>
            <w:shd w:val="clear" w:color="auto" w:fill="F4F4F4"/>
          </w:tcPr>
          <w:p>
            <w:pPr>
              <w:pStyle w:val="TableParagraph"/>
              <w:ind w:right="101"/>
              <w:jc w:val="right"/>
              <w:rPr>
                <w:b/>
                <w:sz w:val="19"/>
              </w:rPr>
            </w:pPr>
            <w:r>
              <w:rPr>
                <w:b/>
                <w:w w:val="95"/>
                <w:sz w:val="19"/>
              </w:rPr>
              <w:t>1,184,373</w:t>
            </w:r>
          </w:p>
        </w:tc>
        <w:tc>
          <w:tcPr>
            <w:tcW w:w="1151" w:type="dxa"/>
            <w:tcBorders>
              <w:top w:val="single" w:sz="4" w:space="0" w:color="000000"/>
              <w:bottom w:val="single" w:sz="24" w:space="0" w:color="FFFFFF"/>
            </w:tcBorders>
            <w:shd w:val="clear" w:color="auto" w:fill="DFE1B8"/>
          </w:tcPr>
          <w:p>
            <w:pPr>
              <w:pStyle w:val="TableParagraph"/>
              <w:ind w:right="101"/>
              <w:jc w:val="right"/>
              <w:rPr>
                <w:b/>
                <w:sz w:val="19"/>
              </w:rPr>
            </w:pPr>
            <w:r>
              <w:rPr>
                <w:b/>
                <w:w w:val="95"/>
                <w:sz w:val="19"/>
              </w:rPr>
              <w:t>1,094,947</w:t>
            </w:r>
          </w:p>
        </w:tc>
        <w:tc>
          <w:tcPr>
            <w:tcW w:w="1548" w:type="dxa"/>
            <w:tcBorders>
              <w:top w:val="single" w:sz="4" w:space="0" w:color="000000"/>
              <w:bottom w:val="single" w:sz="24" w:space="0" w:color="FFFFFF"/>
              <w:right w:val="single" w:sz="8" w:space="0" w:color="FFFFFF"/>
            </w:tcBorders>
            <w:shd w:val="clear" w:color="auto" w:fill="F4F4F4"/>
          </w:tcPr>
          <w:p>
            <w:pPr>
              <w:pStyle w:val="TableParagraph"/>
              <w:ind w:right="92"/>
              <w:jc w:val="right"/>
              <w:rPr>
                <w:b/>
                <w:sz w:val="19"/>
              </w:rPr>
            </w:pPr>
            <w:r>
              <w:rPr>
                <w:b/>
                <w:w w:val="95"/>
                <w:sz w:val="19"/>
              </w:rPr>
              <w:t>1,115,061</w:t>
            </w:r>
          </w:p>
        </w:tc>
        <w:tc>
          <w:tcPr>
            <w:tcW w:w="2172"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ind w:right="92"/>
              <w:jc w:val="right"/>
              <w:rPr>
                <w:b/>
                <w:sz w:val="19"/>
              </w:rPr>
            </w:pPr>
            <w:r>
              <w:rPr>
                <w:b/>
                <w:w w:val="95"/>
                <w:sz w:val="19"/>
              </w:rPr>
              <w:t>(89,426)</w:t>
            </w:r>
          </w:p>
        </w:tc>
        <w:tc>
          <w:tcPr>
            <w:tcW w:w="2569" w:type="dxa"/>
            <w:tcBorders>
              <w:top w:val="single" w:sz="4" w:space="0" w:color="000000"/>
              <w:left w:val="single" w:sz="8" w:space="0" w:color="FFFFFF"/>
              <w:bottom w:val="single" w:sz="24" w:space="0" w:color="FFFFFF"/>
            </w:tcBorders>
            <w:shd w:val="clear" w:color="auto" w:fill="F4F4F4"/>
          </w:tcPr>
          <w:p>
            <w:pPr>
              <w:pStyle w:val="TableParagraph"/>
              <w:ind w:right="103"/>
              <w:jc w:val="right"/>
              <w:rPr>
                <w:b/>
                <w:sz w:val="19"/>
              </w:rPr>
            </w:pPr>
            <w:r>
              <w:rPr>
                <w:b/>
                <w:w w:val="95"/>
                <w:sz w:val="19"/>
              </w:rPr>
              <w:t>(20,114)</w:t>
            </w:r>
          </w:p>
        </w:tc>
      </w:tr>
    </w:tbl>
    <w:p>
      <w:pPr>
        <w:pStyle w:val="BodyText"/>
        <w:spacing w:line="20" w:lineRule="exact"/>
        <w:ind w:left="9778"/>
        <w:rPr>
          <w:sz w:val="2"/>
        </w:rPr>
      </w:pPr>
      <w:r>
        <w:rPr>
          <w:sz w:val="2"/>
        </w:rPr>
        <w:pict>
          <v:group style="width:314.4pt;height:.550pt;mso-position-horizontal-relative:char;mso-position-vertical-relative:line" coordorigin="0,0" coordsize="6288,11">
            <v:line style="position:absolute" from="0,5" to="1548,5" stroked="true" strokeweight=".501pt" strokecolor="#000000">
              <v:stroke dashstyle="solid"/>
            </v:line>
            <v:line style="position:absolute" from="1548,5" to="3719,5" stroked="true" strokeweight=".501pt" strokecolor="#000000">
              <v:stroke dashstyle="solid"/>
            </v:line>
            <v:line style="position:absolute" from="3719,5" to="6287,5" stroked="true" strokeweight=".501pt" strokecolor="#000000">
              <v:stroke dashstyle="solid"/>
            </v:line>
          </v:group>
        </w:pict>
      </w:r>
      <w:r>
        <w:rPr>
          <w:sz w:val="2"/>
        </w:rPr>
      </w:r>
    </w:p>
    <w:p>
      <w:pPr>
        <w:spacing w:before="240"/>
        <w:ind w:left="765" w:right="0" w:firstLine="0"/>
        <w:jc w:val="left"/>
        <w:rPr>
          <w:i/>
          <w:sz w:val="22"/>
        </w:rPr>
      </w:pPr>
      <w:r>
        <w:rPr>
          <w:i/>
          <w:color w:val="6F2770"/>
          <w:sz w:val="22"/>
        </w:rPr>
        <w:t>Major Estimate and Actual (2018) Variance Narratives</w:t>
      </w:r>
    </w:p>
    <w:p>
      <w:pPr>
        <w:pStyle w:val="ListParagraph"/>
        <w:numPr>
          <w:ilvl w:val="0"/>
          <w:numId w:val="21"/>
        </w:numPr>
        <w:tabs>
          <w:tab w:pos="1004" w:val="left" w:leader="none"/>
        </w:tabs>
        <w:spacing w:line="249" w:lineRule="auto" w:before="11" w:after="0"/>
        <w:ind w:left="1001" w:right="900" w:hanging="236"/>
        <w:jc w:val="left"/>
        <w:rPr>
          <w:sz w:val="22"/>
        </w:rPr>
      </w:pPr>
      <w:r>
        <w:rPr>
          <w:sz w:val="22"/>
        </w:rPr>
        <w:t>The</w:t>
      </w:r>
      <w:r>
        <w:rPr>
          <w:spacing w:val="-23"/>
          <w:sz w:val="22"/>
        </w:rPr>
        <w:t> </w:t>
      </w:r>
      <w:r>
        <w:rPr>
          <w:spacing w:val="-3"/>
          <w:sz w:val="22"/>
        </w:rPr>
        <w:t>variance</w:t>
      </w:r>
      <w:r>
        <w:rPr>
          <w:spacing w:val="-22"/>
          <w:sz w:val="22"/>
        </w:rPr>
        <w:t> </w:t>
      </w:r>
      <w:r>
        <w:rPr>
          <w:sz w:val="22"/>
        </w:rPr>
        <w:t>to</w:t>
      </w:r>
      <w:r>
        <w:rPr>
          <w:spacing w:val="-22"/>
          <w:sz w:val="22"/>
        </w:rPr>
        <w:t> </w:t>
      </w:r>
      <w:r>
        <w:rPr>
          <w:spacing w:val="-3"/>
          <w:sz w:val="22"/>
        </w:rPr>
        <w:t>estimate</w:t>
      </w:r>
      <w:r>
        <w:rPr>
          <w:spacing w:val="-22"/>
          <w:sz w:val="22"/>
        </w:rPr>
        <w:t> </w:t>
      </w:r>
      <w:r>
        <w:rPr>
          <w:sz w:val="22"/>
        </w:rPr>
        <w:t>is</w:t>
      </w:r>
      <w:r>
        <w:rPr>
          <w:spacing w:val="-22"/>
          <w:sz w:val="22"/>
        </w:rPr>
        <w:t> </w:t>
      </w:r>
      <w:r>
        <w:rPr>
          <w:sz w:val="22"/>
        </w:rPr>
        <w:t>due</w:t>
      </w:r>
      <w:r>
        <w:rPr>
          <w:spacing w:val="-22"/>
          <w:sz w:val="22"/>
        </w:rPr>
        <w:t> </w:t>
      </w:r>
      <w:r>
        <w:rPr>
          <w:sz w:val="22"/>
        </w:rPr>
        <w:t>to</w:t>
      </w:r>
      <w:r>
        <w:rPr>
          <w:spacing w:val="-22"/>
          <w:sz w:val="22"/>
        </w:rPr>
        <w:t> </w:t>
      </w:r>
      <w:r>
        <w:rPr>
          <w:sz w:val="22"/>
        </w:rPr>
        <w:t>a</w:t>
      </w:r>
      <w:r>
        <w:rPr>
          <w:spacing w:val="-22"/>
          <w:sz w:val="22"/>
        </w:rPr>
        <w:t> </w:t>
      </w:r>
      <w:r>
        <w:rPr>
          <w:spacing w:val="-4"/>
          <w:sz w:val="22"/>
        </w:rPr>
        <w:t>decrease</w:t>
      </w:r>
      <w:r>
        <w:rPr>
          <w:spacing w:val="-22"/>
          <w:sz w:val="22"/>
        </w:rPr>
        <w:t> </w:t>
      </w:r>
      <w:r>
        <w:rPr>
          <w:sz w:val="22"/>
        </w:rPr>
        <w:t>in</w:t>
      </w:r>
      <w:r>
        <w:rPr>
          <w:spacing w:val="-22"/>
          <w:sz w:val="22"/>
        </w:rPr>
        <w:t> </w:t>
      </w:r>
      <w:r>
        <w:rPr>
          <w:sz w:val="22"/>
        </w:rPr>
        <w:t>the</w:t>
      </w:r>
      <w:r>
        <w:rPr>
          <w:spacing w:val="-22"/>
          <w:sz w:val="22"/>
        </w:rPr>
        <w:t> </w:t>
      </w:r>
      <w:r>
        <w:rPr>
          <w:spacing w:val="-3"/>
          <w:sz w:val="22"/>
        </w:rPr>
        <w:t>value</w:t>
      </w:r>
      <w:r>
        <w:rPr>
          <w:spacing w:val="-22"/>
          <w:sz w:val="22"/>
        </w:rPr>
        <w:t> </w:t>
      </w:r>
      <w:r>
        <w:rPr>
          <w:sz w:val="22"/>
        </w:rPr>
        <w:t>of</w:t>
      </w:r>
      <w:r>
        <w:rPr>
          <w:spacing w:val="-23"/>
          <w:sz w:val="22"/>
        </w:rPr>
        <w:t> </w:t>
      </w:r>
      <w:r>
        <w:rPr>
          <w:spacing w:val="-3"/>
          <w:sz w:val="22"/>
        </w:rPr>
        <w:t>land</w:t>
      </w:r>
      <w:r>
        <w:rPr>
          <w:spacing w:val="-22"/>
          <w:sz w:val="22"/>
        </w:rPr>
        <w:t> </w:t>
      </w:r>
      <w:r>
        <w:rPr>
          <w:sz w:val="22"/>
        </w:rPr>
        <w:t>and</w:t>
      </w:r>
      <w:r>
        <w:rPr>
          <w:spacing w:val="-22"/>
          <w:sz w:val="22"/>
        </w:rPr>
        <w:t> </w:t>
      </w:r>
      <w:r>
        <w:rPr>
          <w:spacing w:val="-3"/>
          <w:sz w:val="22"/>
        </w:rPr>
        <w:t>buildings</w:t>
      </w:r>
      <w:r>
        <w:rPr>
          <w:spacing w:val="-22"/>
          <w:sz w:val="22"/>
        </w:rPr>
        <w:t> </w:t>
      </w:r>
      <w:r>
        <w:rPr>
          <w:sz w:val="22"/>
        </w:rPr>
        <w:t>as</w:t>
      </w:r>
      <w:r>
        <w:rPr>
          <w:spacing w:val="-22"/>
          <w:sz w:val="22"/>
        </w:rPr>
        <w:t> </w:t>
      </w:r>
      <w:r>
        <w:rPr>
          <w:sz w:val="22"/>
        </w:rPr>
        <w:t>a</w:t>
      </w:r>
      <w:r>
        <w:rPr>
          <w:spacing w:val="-22"/>
          <w:sz w:val="22"/>
        </w:rPr>
        <w:t> </w:t>
      </w:r>
      <w:r>
        <w:rPr>
          <w:spacing w:val="-4"/>
          <w:sz w:val="22"/>
        </w:rPr>
        <w:t>result</w:t>
      </w:r>
      <w:r>
        <w:rPr>
          <w:spacing w:val="-22"/>
          <w:sz w:val="22"/>
        </w:rPr>
        <w:t> </w:t>
      </w:r>
      <w:r>
        <w:rPr>
          <w:sz w:val="22"/>
        </w:rPr>
        <w:t>of</w:t>
      </w:r>
      <w:r>
        <w:rPr>
          <w:spacing w:val="-22"/>
          <w:sz w:val="22"/>
        </w:rPr>
        <w:t> </w:t>
      </w:r>
      <w:r>
        <w:rPr>
          <w:sz w:val="22"/>
        </w:rPr>
        <w:t>the</w:t>
      </w:r>
      <w:r>
        <w:rPr>
          <w:spacing w:val="-22"/>
          <w:sz w:val="22"/>
        </w:rPr>
        <w:t> </w:t>
      </w:r>
      <w:r>
        <w:rPr>
          <w:spacing w:val="-3"/>
          <w:sz w:val="22"/>
        </w:rPr>
        <w:t>annual</w:t>
      </w:r>
      <w:r>
        <w:rPr>
          <w:spacing w:val="-22"/>
          <w:sz w:val="22"/>
        </w:rPr>
        <w:t> </w:t>
      </w:r>
      <w:r>
        <w:rPr>
          <w:spacing w:val="-4"/>
          <w:sz w:val="22"/>
        </w:rPr>
        <w:t>revaluation</w:t>
      </w:r>
      <w:r>
        <w:rPr>
          <w:spacing w:val="-22"/>
          <w:sz w:val="22"/>
        </w:rPr>
        <w:t> </w:t>
      </w:r>
      <w:r>
        <w:rPr>
          <w:spacing w:val="-4"/>
          <w:sz w:val="22"/>
        </w:rPr>
        <w:t>process</w:t>
      </w:r>
      <w:r>
        <w:rPr>
          <w:spacing w:val="-22"/>
          <w:sz w:val="22"/>
        </w:rPr>
        <w:t> </w:t>
      </w:r>
      <w:r>
        <w:rPr>
          <w:sz w:val="22"/>
        </w:rPr>
        <w:t>and</w:t>
      </w:r>
      <w:r>
        <w:rPr>
          <w:spacing w:val="-23"/>
          <w:sz w:val="22"/>
        </w:rPr>
        <w:t> </w:t>
      </w:r>
      <w:r>
        <w:rPr>
          <w:spacing w:val="-4"/>
          <w:sz w:val="22"/>
        </w:rPr>
        <w:t>reductions</w:t>
      </w:r>
      <w:r>
        <w:rPr>
          <w:spacing w:val="-22"/>
          <w:sz w:val="22"/>
        </w:rPr>
        <w:t> </w:t>
      </w:r>
      <w:r>
        <w:rPr>
          <w:sz w:val="22"/>
        </w:rPr>
        <w:t>in</w:t>
      </w:r>
      <w:r>
        <w:rPr>
          <w:spacing w:val="-22"/>
          <w:sz w:val="22"/>
        </w:rPr>
        <w:t> </w:t>
      </w:r>
      <w:r>
        <w:rPr>
          <w:spacing w:val="-3"/>
          <w:sz w:val="22"/>
        </w:rPr>
        <w:t>fleet</w:t>
      </w:r>
      <w:r>
        <w:rPr>
          <w:spacing w:val="-22"/>
          <w:sz w:val="22"/>
        </w:rPr>
        <w:t> </w:t>
      </w:r>
      <w:r>
        <w:rPr>
          <w:spacing w:val="-4"/>
          <w:sz w:val="22"/>
        </w:rPr>
        <w:t>purchases</w:t>
      </w:r>
      <w:r>
        <w:rPr>
          <w:spacing w:val="-22"/>
          <w:sz w:val="22"/>
        </w:rPr>
        <w:t> </w:t>
      </w:r>
      <w:r>
        <w:rPr>
          <w:sz w:val="22"/>
        </w:rPr>
        <w:t>as</w:t>
      </w:r>
      <w:r>
        <w:rPr>
          <w:spacing w:val="-22"/>
          <w:sz w:val="22"/>
        </w:rPr>
        <w:t> </w:t>
      </w:r>
      <w:r>
        <w:rPr>
          <w:sz w:val="22"/>
        </w:rPr>
        <w:t>a </w:t>
      </w:r>
      <w:r>
        <w:rPr>
          <w:spacing w:val="-4"/>
          <w:sz w:val="22"/>
        </w:rPr>
        <w:t>result </w:t>
      </w:r>
      <w:r>
        <w:rPr>
          <w:sz w:val="22"/>
        </w:rPr>
        <w:t>of the </w:t>
      </w:r>
      <w:r>
        <w:rPr>
          <w:spacing w:val="-3"/>
          <w:sz w:val="22"/>
        </w:rPr>
        <w:t>State Fleet</w:t>
      </w:r>
      <w:r>
        <w:rPr>
          <w:spacing w:val="-21"/>
          <w:sz w:val="22"/>
        </w:rPr>
        <w:t> </w:t>
      </w:r>
      <w:r>
        <w:rPr>
          <w:spacing w:val="-4"/>
          <w:sz w:val="22"/>
        </w:rPr>
        <w:t>reforms.</w:t>
      </w:r>
    </w:p>
    <w:p>
      <w:pPr>
        <w:pStyle w:val="ListParagraph"/>
        <w:numPr>
          <w:ilvl w:val="0"/>
          <w:numId w:val="21"/>
        </w:numPr>
        <w:tabs>
          <w:tab w:pos="1004" w:val="left" w:leader="none"/>
        </w:tabs>
        <w:spacing w:line="240" w:lineRule="auto" w:before="2" w:after="0"/>
        <w:ind w:left="1003" w:right="0" w:hanging="238"/>
        <w:jc w:val="left"/>
        <w:rPr>
          <w:sz w:val="22"/>
        </w:rPr>
      </w:pPr>
      <w:r>
        <w:rPr>
          <w:spacing w:val="-3"/>
          <w:sz w:val="22"/>
        </w:rPr>
        <w:t>Lease</w:t>
      </w:r>
      <w:r>
        <w:rPr>
          <w:spacing w:val="-9"/>
          <w:sz w:val="22"/>
        </w:rPr>
        <w:t> </w:t>
      </w:r>
      <w:r>
        <w:rPr>
          <w:spacing w:val="-3"/>
          <w:sz w:val="22"/>
        </w:rPr>
        <w:t>incentives</w:t>
      </w:r>
      <w:r>
        <w:rPr>
          <w:spacing w:val="-8"/>
          <w:sz w:val="22"/>
        </w:rPr>
        <w:t> </w:t>
      </w:r>
      <w:r>
        <w:rPr>
          <w:spacing w:val="-3"/>
          <w:sz w:val="22"/>
        </w:rPr>
        <w:t>have</w:t>
      </w:r>
      <w:r>
        <w:rPr>
          <w:spacing w:val="-8"/>
          <w:sz w:val="22"/>
        </w:rPr>
        <w:t> </w:t>
      </w:r>
      <w:r>
        <w:rPr>
          <w:spacing w:val="-4"/>
          <w:sz w:val="22"/>
        </w:rPr>
        <w:t>increased</w:t>
      </w:r>
      <w:r>
        <w:rPr>
          <w:spacing w:val="-8"/>
          <w:sz w:val="22"/>
        </w:rPr>
        <w:t> </w:t>
      </w:r>
      <w:r>
        <w:rPr>
          <w:sz w:val="22"/>
        </w:rPr>
        <w:t>as</w:t>
      </w:r>
      <w:r>
        <w:rPr>
          <w:spacing w:val="-9"/>
          <w:sz w:val="22"/>
        </w:rPr>
        <w:t> </w:t>
      </w:r>
      <w:r>
        <w:rPr>
          <w:sz w:val="22"/>
        </w:rPr>
        <w:t>a</w:t>
      </w:r>
      <w:r>
        <w:rPr>
          <w:spacing w:val="-8"/>
          <w:sz w:val="22"/>
        </w:rPr>
        <w:t> </w:t>
      </w:r>
      <w:r>
        <w:rPr>
          <w:spacing w:val="-4"/>
          <w:sz w:val="22"/>
        </w:rPr>
        <w:t>result</w:t>
      </w:r>
      <w:r>
        <w:rPr>
          <w:spacing w:val="-8"/>
          <w:sz w:val="22"/>
        </w:rPr>
        <w:t> </w:t>
      </w:r>
      <w:r>
        <w:rPr>
          <w:sz w:val="22"/>
        </w:rPr>
        <w:t>of</w:t>
      </w:r>
      <w:r>
        <w:rPr>
          <w:spacing w:val="-8"/>
          <w:sz w:val="22"/>
        </w:rPr>
        <w:t> </w:t>
      </w:r>
      <w:r>
        <w:rPr>
          <w:spacing w:val="-3"/>
          <w:sz w:val="22"/>
        </w:rPr>
        <w:t>favourable</w:t>
      </w:r>
      <w:r>
        <w:rPr>
          <w:spacing w:val="-8"/>
          <w:sz w:val="22"/>
        </w:rPr>
        <w:t> </w:t>
      </w:r>
      <w:r>
        <w:rPr>
          <w:spacing w:val="-3"/>
          <w:sz w:val="22"/>
        </w:rPr>
        <w:t>leasing</w:t>
      </w:r>
      <w:r>
        <w:rPr>
          <w:spacing w:val="-9"/>
          <w:sz w:val="22"/>
        </w:rPr>
        <w:t> </w:t>
      </w:r>
      <w:r>
        <w:rPr>
          <w:spacing w:val="-3"/>
          <w:sz w:val="22"/>
        </w:rPr>
        <w:t>conditions</w:t>
      </w:r>
      <w:r>
        <w:rPr>
          <w:spacing w:val="-8"/>
          <w:sz w:val="22"/>
        </w:rPr>
        <w:t> </w:t>
      </w:r>
      <w:r>
        <w:rPr>
          <w:spacing w:val="-3"/>
          <w:sz w:val="22"/>
        </w:rPr>
        <w:t>negotiated</w:t>
      </w:r>
      <w:r>
        <w:rPr>
          <w:spacing w:val="-8"/>
          <w:sz w:val="22"/>
        </w:rPr>
        <w:t> </w:t>
      </w:r>
      <w:r>
        <w:rPr>
          <w:sz w:val="22"/>
        </w:rPr>
        <w:t>on</w:t>
      </w:r>
      <w:r>
        <w:rPr>
          <w:spacing w:val="-8"/>
          <w:sz w:val="22"/>
        </w:rPr>
        <w:t> </w:t>
      </w:r>
      <w:r>
        <w:rPr>
          <w:spacing w:val="-3"/>
          <w:sz w:val="22"/>
        </w:rPr>
        <w:t>behalf</w:t>
      </w:r>
      <w:r>
        <w:rPr>
          <w:spacing w:val="-9"/>
          <w:sz w:val="22"/>
        </w:rPr>
        <w:t> </w:t>
      </w:r>
      <w:r>
        <w:rPr>
          <w:sz w:val="22"/>
        </w:rPr>
        <w:t>of</w:t>
      </w:r>
      <w:r>
        <w:rPr>
          <w:spacing w:val="-8"/>
          <w:sz w:val="22"/>
        </w:rPr>
        <w:t> </w:t>
      </w:r>
      <w:r>
        <w:rPr>
          <w:spacing w:val="-3"/>
          <w:sz w:val="22"/>
        </w:rPr>
        <w:t>government.</w:t>
      </w:r>
    </w:p>
    <w:p>
      <w:pPr>
        <w:pStyle w:val="BodyText"/>
        <w:spacing w:before="10"/>
        <w:rPr>
          <w:sz w:val="23"/>
        </w:rPr>
      </w:pPr>
    </w:p>
    <w:p>
      <w:pPr>
        <w:spacing w:before="1"/>
        <w:ind w:left="765" w:right="0" w:firstLine="0"/>
        <w:jc w:val="left"/>
        <w:rPr>
          <w:i/>
          <w:sz w:val="22"/>
        </w:rPr>
      </w:pPr>
      <w:r>
        <w:rPr>
          <w:i/>
          <w:color w:val="6F2770"/>
          <w:sz w:val="22"/>
        </w:rPr>
        <w:t>Major Actual (2018) and Comparative (2017) Variance Narratives</w:t>
      </w:r>
    </w:p>
    <w:p>
      <w:pPr>
        <w:pStyle w:val="BodyText"/>
        <w:spacing w:line="249" w:lineRule="auto" w:before="11"/>
        <w:ind w:left="1001" w:hanging="236"/>
      </w:pPr>
      <w:r>
        <w:rPr/>
        <w:t>1.</w:t>
      </w:r>
      <w:r>
        <w:rPr>
          <w:spacing w:val="-21"/>
        </w:rPr>
        <w:t> </w:t>
      </w:r>
      <w:r>
        <w:rPr/>
        <w:t>The</w:t>
      </w:r>
      <w:r>
        <w:rPr>
          <w:spacing w:val="-21"/>
        </w:rPr>
        <w:t> </w:t>
      </w:r>
      <w:r>
        <w:rPr>
          <w:spacing w:val="-3"/>
        </w:rPr>
        <w:t>higher</w:t>
      </w:r>
      <w:r>
        <w:rPr>
          <w:spacing w:val="-20"/>
        </w:rPr>
        <w:t> </w:t>
      </w:r>
      <w:r>
        <w:rPr>
          <w:spacing w:val="-3"/>
        </w:rPr>
        <w:t>2018</w:t>
      </w:r>
      <w:r>
        <w:rPr>
          <w:spacing w:val="-21"/>
        </w:rPr>
        <w:t> </w:t>
      </w:r>
      <w:r>
        <w:rPr>
          <w:spacing w:val="-3"/>
        </w:rPr>
        <w:t>actual</w:t>
      </w:r>
      <w:r>
        <w:rPr>
          <w:spacing w:val="-20"/>
        </w:rPr>
        <w:t> </w:t>
      </w:r>
      <w:r>
        <w:rPr/>
        <w:t>is</w:t>
      </w:r>
      <w:r>
        <w:rPr>
          <w:spacing w:val="-21"/>
        </w:rPr>
        <w:t> </w:t>
      </w:r>
      <w:r>
        <w:rPr>
          <w:spacing w:val="-3"/>
        </w:rPr>
        <w:t>mainly</w:t>
      </w:r>
      <w:r>
        <w:rPr>
          <w:spacing w:val="-21"/>
        </w:rPr>
        <w:t> </w:t>
      </w:r>
      <w:r>
        <w:rPr/>
        <w:t>due</w:t>
      </w:r>
      <w:r>
        <w:rPr>
          <w:spacing w:val="-20"/>
        </w:rPr>
        <w:t> </w:t>
      </w:r>
      <w:r>
        <w:rPr/>
        <w:t>to</w:t>
      </w:r>
      <w:r>
        <w:rPr>
          <w:spacing w:val="-21"/>
        </w:rPr>
        <w:t> </w:t>
      </w:r>
      <w:r>
        <w:rPr/>
        <w:t>the</w:t>
      </w:r>
      <w:r>
        <w:rPr>
          <w:spacing w:val="-20"/>
        </w:rPr>
        <w:t> </w:t>
      </w:r>
      <w:r>
        <w:rPr>
          <w:spacing w:val="-4"/>
        </w:rPr>
        <w:t>increasing</w:t>
      </w:r>
      <w:r>
        <w:rPr>
          <w:spacing w:val="-21"/>
        </w:rPr>
        <w:t> </w:t>
      </w:r>
      <w:r>
        <w:rPr>
          <w:spacing w:val="-4"/>
        </w:rPr>
        <w:t>depreciating</w:t>
      </w:r>
      <w:r>
        <w:rPr>
          <w:spacing w:val="-20"/>
        </w:rPr>
        <w:t> </w:t>
      </w:r>
      <w:r>
        <w:rPr>
          <w:spacing w:val="-4"/>
        </w:rPr>
        <w:t>provisions</w:t>
      </w:r>
      <w:r>
        <w:rPr>
          <w:spacing w:val="-21"/>
        </w:rPr>
        <w:t> </w:t>
      </w:r>
      <w:r>
        <w:rPr/>
        <w:t>for</w:t>
      </w:r>
      <w:r>
        <w:rPr>
          <w:spacing w:val="-21"/>
        </w:rPr>
        <w:t> </w:t>
      </w:r>
      <w:r>
        <w:rPr>
          <w:spacing w:val="-3"/>
        </w:rPr>
        <w:t>additional</w:t>
      </w:r>
      <w:r>
        <w:rPr>
          <w:spacing w:val="-20"/>
        </w:rPr>
        <w:t> </w:t>
      </w:r>
      <w:r>
        <w:rPr>
          <w:spacing w:val="-3"/>
        </w:rPr>
        <w:t>State-owned</w:t>
      </w:r>
      <w:r>
        <w:rPr>
          <w:spacing w:val="-21"/>
        </w:rPr>
        <w:t> </w:t>
      </w:r>
      <w:r>
        <w:rPr>
          <w:spacing w:val="-3"/>
        </w:rPr>
        <w:t>assets</w:t>
      </w:r>
      <w:r>
        <w:rPr>
          <w:spacing w:val="-20"/>
        </w:rPr>
        <w:t> </w:t>
      </w:r>
      <w:r>
        <w:rPr>
          <w:spacing w:val="-4"/>
        </w:rPr>
        <w:t>related</w:t>
      </w:r>
      <w:r>
        <w:rPr>
          <w:spacing w:val="-21"/>
        </w:rPr>
        <w:t> </w:t>
      </w:r>
      <w:r>
        <w:rPr/>
        <w:t>to</w:t>
      </w:r>
      <w:r>
        <w:rPr>
          <w:spacing w:val="-21"/>
        </w:rPr>
        <w:t> </w:t>
      </w:r>
      <w:r>
        <w:rPr>
          <w:spacing w:val="-3"/>
        </w:rPr>
        <w:t>capital</w:t>
      </w:r>
      <w:r>
        <w:rPr>
          <w:spacing w:val="-20"/>
        </w:rPr>
        <w:t> </w:t>
      </w:r>
      <w:r>
        <w:rPr>
          <w:spacing w:val="-3"/>
        </w:rPr>
        <w:t>works</w:t>
      </w:r>
      <w:r>
        <w:rPr>
          <w:spacing w:val="-21"/>
        </w:rPr>
        <w:t> </w:t>
      </w:r>
      <w:r>
        <w:rPr>
          <w:spacing w:val="-4"/>
        </w:rPr>
        <w:t>program</w:t>
      </w:r>
      <w:r>
        <w:rPr>
          <w:spacing w:val="-20"/>
        </w:rPr>
        <w:t> </w:t>
      </w:r>
      <w:r>
        <w:rPr>
          <w:spacing w:val="-3"/>
        </w:rPr>
        <w:t>undertaken</w:t>
      </w:r>
      <w:r>
        <w:rPr>
          <w:spacing w:val="-21"/>
        </w:rPr>
        <w:t> </w:t>
      </w:r>
      <w:r>
        <w:rPr/>
        <w:t>by</w:t>
      </w:r>
      <w:r>
        <w:rPr>
          <w:spacing w:val="-20"/>
        </w:rPr>
        <w:t> </w:t>
      </w:r>
      <w:r>
        <w:rPr>
          <w:spacing w:val="-3"/>
        </w:rPr>
        <w:t>the Department.</w:t>
      </w:r>
    </w:p>
    <w:p>
      <w:pPr>
        <w:pStyle w:val="BodyText"/>
        <w:spacing w:before="1"/>
        <w:ind w:left="765"/>
      </w:pPr>
      <w:r>
        <w:rPr/>
        <w:t>3. Lease incentives in 2018 increased as a result of favourable leasing conditions negotiated on behalf of government.</w:t>
      </w:r>
    </w:p>
    <w:p>
      <w:pPr>
        <w:spacing w:after="0"/>
        <w:sectPr>
          <w:footerReference w:type="default" r:id="rId190"/>
          <w:pgSz w:w="16840" w:h="11910" w:orient="landscape"/>
          <w:pgMar w:footer="774" w:header="0" w:top="0" w:bottom="96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spacing w:before="7"/>
        <w:rPr>
          <w:sz w:val="23"/>
        </w:rPr>
      </w:pPr>
    </w:p>
    <w:p>
      <w:pPr>
        <w:pStyle w:val="Heading1"/>
        <w:ind w:left="785"/>
      </w:pPr>
      <w:r>
        <w:rPr/>
        <w:pict>
          <v:shape style="position:absolute;margin-left:601.348999pt;margin-top:-57.37421pt;width:120.3pt;height:42.55pt;mso-position-horizontal-relative:page;mso-position-vertical-relative:paragraph;z-index:21832"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57.37421pt;width:120.3pt;height:42.55pt;mso-position-horizontal-relative:page;mso-position-vertical-relative:paragraph;z-index:21856"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57.37421pt;width:120.3pt;height:42.55pt;mso-position-horizontal-relative:page;mso-position-vertical-relative:paragraph;z-index:21880"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Notes to the Financial Statements</w:t>
      </w:r>
    </w:p>
    <w:p>
      <w:pPr>
        <w:pStyle w:val="Heading4"/>
        <w:ind w:left="785"/>
      </w:pPr>
      <w:r>
        <w:rPr>
          <w:color w:val="6F2770"/>
        </w:rPr>
        <w:t>For the year ended 30 June 2018</w:t>
      </w:r>
    </w:p>
    <w:p>
      <w:pPr>
        <w:pStyle w:val="Heading5"/>
        <w:spacing w:before="257"/>
        <w:ind w:left="785"/>
      </w:pPr>
      <w:r>
        <w:rPr>
          <w:color w:val="6F2770"/>
        </w:rPr>
        <w:t>Note 44. Explanatory statement (cont.)</w:t>
      </w:r>
    </w:p>
    <w:p>
      <w:pPr>
        <w:pStyle w:val="BodyText"/>
        <w:spacing w:before="6"/>
        <w:rPr>
          <w:sz w:val="15"/>
        </w:rPr>
      </w:pPr>
    </w:p>
    <w:p>
      <w:pPr>
        <w:spacing w:before="108" w:after="45"/>
        <w:ind w:left="805" w:right="0" w:firstLine="0"/>
        <w:jc w:val="left"/>
        <w:rPr>
          <w:b/>
          <w:sz w:val="19"/>
        </w:rPr>
      </w:pPr>
      <w:r>
        <w:rPr/>
        <w:pict>
          <v:group style="position:absolute;margin-left:39.2677pt;margin-top:18.562685pt;width:393.4pt;height:185.85pt;mso-position-horizontal-relative:page;mso-position-vertical-relative:paragraph;z-index:-690712" coordorigin="785,371" coordsize="7868,3717">
            <v:shape style="position:absolute;left:795;top:1132;width:7858;height:982" coordorigin="795,1133" coordsize="7858,982" path="m8653,1787l7502,1787,6351,1787,795,1787,795,2114,6351,2114,7502,2114,8653,2114,8653,1787m8653,1133l7502,1133,6351,1133,795,1133,795,1460,6351,1460,7502,1460,8653,1460,8653,1133e" filled="true" fillcolor="#f4f4f4" stroked="false">
              <v:path arrowok="t"/>
              <v:fill type="solid"/>
            </v:shape>
            <v:shape style="position:absolute;left:795;top:1460;width:7858;height:328" coordorigin="795,1460" coordsize="7858,328" path="m8653,1460l7502,1460,6351,1460,795,1460,795,1787,6351,1787,7502,1787,8653,1787,8653,1460e" filled="true" fillcolor="#faf9f9" stroked="false">
              <v:path arrowok="t"/>
              <v:fill type="solid"/>
            </v:shape>
            <v:shape style="position:absolute;left:795;top:2441;width:7858;height:328" coordorigin="795,2442" coordsize="7858,328" path="m8653,2442l7502,2442,6351,2442,795,2442,795,2769,6351,2769,7502,2769,8653,2769,8653,2442e" filled="true" fillcolor="#f4f4f4" stroked="false">
              <v:path arrowok="t"/>
              <v:fill type="solid"/>
            </v:shape>
            <v:shape style="position:absolute;left:795;top:2114;width:7858;height:328" coordorigin="795,2114" coordsize="7858,328" path="m8653,2114l7502,2114,6351,2114,795,2114,795,2442,6351,2442,7502,2442,8653,2442,8653,2114e" filled="true" fillcolor="#faf9f9" stroked="false">
              <v:path arrowok="t"/>
              <v:fill type="solid"/>
            </v:shape>
            <v:shape style="position:absolute;left:795;top:3095;width:7858;height:328" coordorigin="795,3096" coordsize="7858,328" path="m8653,3096l7502,3096,6351,3096,795,3096,795,3423,6351,3423,7502,3423,8653,3423,8653,3096e" filled="true" fillcolor="#f4f4f4" stroked="false">
              <v:path arrowok="t"/>
              <v:fill type="solid"/>
            </v:shape>
            <v:shape style="position:absolute;left:795;top:2768;width:7858;height:1309" coordorigin="795,2769" coordsize="7858,1309" path="m8653,3423l7502,3423,6351,3423,795,3423,795,4077,6351,4077,7502,4077,8653,4077,8653,3423m8653,2769l7502,2769,6351,2769,795,2769,795,3096,6351,3096,7502,3096,8653,3096,8653,2769e" filled="true" fillcolor="#faf9f9" stroked="false">
              <v:path arrowok="t"/>
              <v:fill type="solid"/>
            </v:shape>
            <v:line style="position:absolute" from="795,1133" to="795,371" stroked="true" strokeweight="1pt" strokecolor="#ffffff">
              <v:stroke dashstyle="solid"/>
            </v:line>
            <v:line style="position:absolute" from="795,1460" to="795,1133" stroked="true" strokeweight="1pt" strokecolor="#ffffff">
              <v:stroke dashstyle="solid"/>
            </v:line>
            <v:line style="position:absolute" from="795,1787" to="795,1460" stroked="true" strokeweight="1pt" strokecolor="#ffffff">
              <v:stroke dashstyle="solid"/>
            </v:line>
            <v:line style="position:absolute" from="795,2114" to="795,1787" stroked="true" strokeweight="1pt" strokecolor="#ffffff">
              <v:stroke dashstyle="solid"/>
            </v:line>
            <v:line style="position:absolute" from="795,2442" to="795,2114" stroked="true" strokeweight="1pt" strokecolor="#ffffff">
              <v:stroke dashstyle="solid"/>
            </v:line>
            <v:line style="position:absolute" from="795,2769" to="795,2442" stroked="true" strokeweight="1pt" strokecolor="#ffffff">
              <v:stroke dashstyle="solid"/>
            </v:line>
            <v:line style="position:absolute" from="795,3096" to="795,2769" stroked="true" strokeweight="1pt" strokecolor="#ffffff">
              <v:stroke dashstyle="solid"/>
            </v:line>
            <v:line style="position:absolute" from="795,3423" to="795,3096" stroked="true" strokeweight="1pt" strokecolor="#ffffff">
              <v:stroke dashstyle="solid"/>
            </v:line>
            <v:line style="position:absolute" from="795,3750" to="795,3423" stroked="true" strokeweight="1pt" strokecolor="#ffffff">
              <v:stroke dashstyle="solid"/>
            </v:line>
            <v:line style="position:absolute" from="795,4067" to="795,3750" stroked="true" strokeweight="1pt" strokecolor="#ffffff">
              <v:stroke dashstyle="solid"/>
            </v:line>
            <v:shape style="position:absolute;left:785;top:1450;width:7868;height:2638" coordorigin="785,1450" coordsize="7868,2638" path="m6341,3740l805,3740,805,3760,6341,3760,6341,3740m6341,3413l805,3413,805,3433,6341,3433,6341,3413m6341,3086l805,3086,805,3106,6341,3106,6341,3086m6341,2759l805,2759,805,2779,6341,2779,6341,2759m6341,2432l805,2432,805,2452,6341,2452,6341,2432m6341,2104l805,2104,805,2124,6341,2124,6341,2104m6341,1777l805,1777,805,1797,6341,1797,6341,1777m6341,1450l805,1450,805,1470,6341,1470,6341,1450m6351,4067l785,4067,785,4087,6351,4087,6351,4067m7492,3740l6361,3740,6361,3760,7492,3760,7492,3740m7492,3413l6361,3413,6361,3433,7492,3433,7492,3413m7492,3086l6361,3086,6361,3106,7492,3106,7492,3086m7492,2759l6361,2759,6361,2779,7492,2779,7492,2759m7492,2432l6361,2432,6361,2452,7492,2452,7492,2432m7492,2104l6361,2104,6361,2124,7492,2124,7492,2104m7492,1777l6361,1777,6361,1797,7492,1797,7492,1777m7492,1450l6361,1450,6361,1470,7492,1470,7492,1450m7502,4067l6351,4067,6351,4087,7502,4087,7502,4067m8653,2759l7512,2759,7512,2779,8653,2779,8653,2759m8653,2432l7512,2432,7512,2452,8653,2452,8653,2432m8653,2104l7512,2104,7512,2124,8653,2124,8653,2104m8653,1777l7512,1777,7512,1797,8653,1797,8653,1777m8653,1450l7512,1450,7512,1470,8653,1470,8653,1450e" filled="true" fillcolor="#ffffff" stroked="false">
              <v:path arrowok="t"/>
              <v:fill type="solid"/>
            </v:shape>
            <v:line style="position:absolute" from="6351,1460" to="6351,1138" stroked="true" strokeweight="1pt" strokecolor="#ffffff">
              <v:stroke dashstyle="solid"/>
            </v:line>
            <v:line style="position:absolute" from="7502,1460" to="7502,1138" stroked="true" strokeweight="1pt" strokecolor="#ffffff">
              <v:stroke dashstyle="solid"/>
            </v:line>
            <v:line style="position:absolute" from="6351,1787" to="6351,1460" stroked="true" strokeweight="1pt" strokecolor="#ffffff">
              <v:stroke dashstyle="solid"/>
            </v:line>
            <v:line style="position:absolute" from="7502,1787" to="7502,1460" stroked="true" strokeweight="1pt" strokecolor="#ffffff">
              <v:stroke dashstyle="solid"/>
            </v:line>
            <v:line style="position:absolute" from="6351,2114" to="6351,1787" stroked="true" strokeweight="1pt" strokecolor="#ffffff">
              <v:stroke dashstyle="solid"/>
            </v:line>
            <v:line style="position:absolute" from="7502,2114" to="7502,1787" stroked="true" strokeweight="1pt" strokecolor="#ffffff">
              <v:stroke dashstyle="solid"/>
            </v:line>
            <v:line style="position:absolute" from="6351,2442" to="6351,2114" stroked="true" strokeweight="1pt" strokecolor="#ffffff">
              <v:stroke dashstyle="solid"/>
            </v:line>
            <v:line style="position:absolute" from="7502,2442" to="7502,2114" stroked="true" strokeweight="1pt" strokecolor="#ffffff">
              <v:stroke dashstyle="solid"/>
            </v:line>
            <v:line style="position:absolute" from="6351,2769" to="6351,2442" stroked="true" strokeweight="1pt" strokecolor="#ffffff">
              <v:stroke dashstyle="solid"/>
            </v:line>
            <v:line style="position:absolute" from="7502,2769" to="7502,2442" stroked="true" strokeweight="1pt" strokecolor="#ffffff">
              <v:stroke dashstyle="solid"/>
            </v:line>
            <v:line style="position:absolute" from="6351,3096" to="6351,2769" stroked="true" strokeweight="1pt" strokecolor="#ffffff">
              <v:stroke dashstyle="solid"/>
            </v:line>
            <v:line style="position:absolute" from="7502,3086" to="7502,2769" stroked="true" strokeweight="1pt" strokecolor="#ffffff">
              <v:stroke dashstyle="solid"/>
            </v:line>
            <v:line style="position:absolute" from="6351,3423" to="6351,3096" stroked="true" strokeweight="1pt" strokecolor="#ffffff">
              <v:stroke dashstyle="solid"/>
            </v:line>
            <v:line style="position:absolute" from="7502,3413" to="7502,3106" stroked="true" strokeweight="1pt" strokecolor="#ffffff">
              <v:stroke dashstyle="solid"/>
            </v:line>
            <v:line style="position:absolute" from="6351,3750" to="6351,3423" stroked="true" strokeweight="1pt" strokecolor="#ffffff">
              <v:stroke dashstyle="solid"/>
            </v:line>
            <v:line style="position:absolute" from="7502,3750" to="7502,3433" stroked="true" strokeweight="1pt" strokecolor="#ffffff">
              <v:stroke dashstyle="solid"/>
            </v:line>
            <v:line style="position:absolute" from="6351,4067" to="6351,3750" stroked="true" strokeweight="1pt" strokecolor="#ffffff">
              <v:stroke dashstyle="solid"/>
            </v:line>
            <v:line style="position:absolute" from="7502,4067" to="7502,3750" stroked="true" strokeweight="1pt" strokecolor="#ffffff">
              <v:stroke dashstyle="solid"/>
            </v:line>
            <v:shape style="position:absolute;left:7492;top:3085;width:1161;height:348" coordorigin="7492,3086" coordsize="1161,348" path="m8653,3413l7492,3413,7492,3433,8653,3433,8653,3413m8653,3086l7492,3086,7492,3106,8653,3106,8653,3086e" filled="true" fillcolor="#ffffff" stroked="false">
              <v:path arrowok="t"/>
              <v:fill type="solid"/>
            </v:shape>
            <w10:wrap type="none"/>
          </v:group>
        </w:pict>
      </w:r>
      <w:r>
        <w:rPr/>
        <w:pict>
          <v:group style="position:absolute;margin-left:490.192902pt;margin-top:56.649487pt;width:314.4pt;height:147.25pt;mso-position-horizontal-relative:page;mso-position-vertical-relative:paragraph;z-index:-690688" coordorigin="9804,1133" coordsize="6288,2945">
            <v:shape style="position:absolute;left:9803;top:1132;width:6288;height:982" coordorigin="9804,1133" coordsize="6288,982" path="m16091,1787l13523,1787,11352,1787,9804,1787,9804,2114,11352,2114,13523,2114,16091,2114,16091,1787m16091,1133l13523,1133,11352,1133,9804,1133,9804,1460,11352,1460,13523,1460,16091,1460,16091,1133e" filled="true" fillcolor="#f4f4f4" stroked="false">
              <v:path arrowok="t"/>
              <v:fill type="solid"/>
            </v:shape>
            <v:shape style="position:absolute;left:9803;top:1460;width:6288;height:328" coordorigin="9804,1460" coordsize="6288,328" path="m16091,1460l13523,1460,11352,1460,9804,1460,9804,1787,11352,1787,13523,1787,16091,1787,16091,1460e" filled="true" fillcolor="#faf9f9" stroked="false">
              <v:path arrowok="t"/>
              <v:fill type="solid"/>
            </v:shape>
            <v:shape style="position:absolute;left:9803;top:2441;width:6288;height:328" coordorigin="9804,2442" coordsize="6288,328" path="m16091,2442l13523,2442,11352,2442,9804,2442,9804,2769,11352,2769,13523,2769,16091,2769,16091,2442e" filled="true" fillcolor="#f4f4f4" stroked="false">
              <v:path arrowok="t"/>
              <v:fill type="solid"/>
            </v:shape>
            <v:shape style="position:absolute;left:9803;top:2114;width:6288;height:328" coordorigin="9804,2114" coordsize="6288,328" path="m16091,2114l13523,2114,11352,2114,9804,2114,9804,2442,11352,2442,13523,2442,16091,2442,16091,2114e" filled="true" fillcolor="#faf9f9" stroked="false">
              <v:path arrowok="t"/>
              <v:fill type="solid"/>
            </v:shape>
            <v:shape style="position:absolute;left:9803;top:3095;width:6288;height:328" coordorigin="9804,3096" coordsize="6288,328" path="m16091,3096l13523,3096,11352,3096,9804,3096,9804,3423,11352,3423,13523,3423,16091,3423,16091,3096e" filled="true" fillcolor="#f4f4f4" stroked="false">
              <v:path arrowok="t"/>
              <v:fill type="solid"/>
            </v:shape>
            <v:shape style="position:absolute;left:9803;top:2768;width:6288;height:1309" coordorigin="9804,2769" coordsize="6288,1309" path="m16091,3423l13523,3423,11352,3423,9804,3423,9804,4077,11352,4077,13523,4077,16091,4077,16091,3423m16091,2769l13523,2769,11352,2769,9804,2769,9804,3096,11352,3096,13523,3096,16091,3096,16091,2769e" filled="true" fillcolor="#faf9f9" stroked="false">
              <v:path arrowok="t"/>
              <v:fill type="solid"/>
            </v:shape>
            <v:shape style="position:absolute;left:9803;top:1450;width:6288;height:1329" coordorigin="9804,1450" coordsize="6288,1329" path="m11342,2759l9804,2759,9804,2779,11342,2779,11342,2759m11342,2432l9804,2432,9804,2452,11342,2452,11342,2432m11342,2104l9804,2104,9804,2124,11342,2124,11342,2104m11342,1777l9804,1777,9804,1797,11342,1797,11342,1777m11342,1450l9804,1450,9804,1470,11342,1470,11342,1450m13513,2759l11362,2759,11362,2779,13513,2779,13513,2759m13513,2432l11362,2432,11362,2452,13513,2452,13513,2432m13513,2104l11362,2104,11362,2124,13513,2124,13513,2104m13513,1777l11362,1777,11362,1797,13513,1797,13513,1777m13513,1450l11362,1450,11362,1470,13513,1470,13513,1450m16091,2759l13533,2759,13533,2779,16091,2779,16091,2759m16091,2432l13533,2432,13533,2452,16091,2452,16091,2432m16091,2104l13533,2104,13533,2124,16091,2124,16091,2104m16091,1777l13533,1777,13533,1797,16091,1797,16091,1777m16091,1450l13533,1450,13533,1470,16091,1470,16091,1450e" filled="true" fillcolor="#ffffff" stroked="false">
              <v:path arrowok="t"/>
              <v:fill type="solid"/>
            </v:shape>
            <v:line style="position:absolute" from="11352,1460" to="11352,1138" stroked="true" strokeweight="1pt" strokecolor="#ffffff">
              <v:stroke dashstyle="solid"/>
            </v:line>
            <v:line style="position:absolute" from="13523,1460" to="13523,1138" stroked="true" strokeweight="1pt" strokecolor="#ffffff">
              <v:stroke dashstyle="solid"/>
            </v:line>
            <v:line style="position:absolute" from="11352,1787" to="11352,1460" stroked="true" strokeweight="1pt" strokecolor="#ffffff">
              <v:stroke dashstyle="solid"/>
            </v:line>
            <v:line style="position:absolute" from="13523,1787" to="13523,1460" stroked="true" strokeweight="1pt" strokecolor="#ffffff">
              <v:stroke dashstyle="solid"/>
            </v:line>
            <v:line style="position:absolute" from="11352,2114" to="11352,1787" stroked="true" strokeweight="1pt" strokecolor="#ffffff">
              <v:stroke dashstyle="solid"/>
            </v:line>
            <v:line style="position:absolute" from="13523,2114" to="13523,1787" stroked="true" strokeweight="1pt" strokecolor="#ffffff">
              <v:stroke dashstyle="solid"/>
            </v:line>
            <v:line style="position:absolute" from="11352,2442" to="11352,2114" stroked="true" strokeweight="1pt" strokecolor="#ffffff">
              <v:stroke dashstyle="solid"/>
            </v:line>
            <v:line style="position:absolute" from="13523,2442" to="13523,2114" stroked="true" strokeweight="1pt" strokecolor="#ffffff">
              <v:stroke dashstyle="solid"/>
            </v:line>
            <v:line style="position:absolute" from="11352,2769" to="11352,2442" stroked="true" strokeweight="1pt" strokecolor="#ffffff">
              <v:stroke dashstyle="solid"/>
            </v:line>
            <v:line style="position:absolute" from="13523,2769" to="13523,2442" stroked="true" strokeweight="1pt" strokecolor="#ffffff">
              <v:stroke dashstyle="solid"/>
            </v:line>
            <v:line style="position:absolute" from="11352,3086" to="11352,2769" stroked="true" strokeweight="1pt" strokecolor="#ffffff">
              <v:stroke dashstyle="solid"/>
            </v:line>
            <v:line style="position:absolute" from="13523,3086" to="13523,2769" stroked="true" strokeweight="1pt" strokecolor="#ffffff">
              <v:stroke dashstyle="solid"/>
            </v:line>
            <v:line style="position:absolute" from="11352,3413" to="11352,3106" stroked="true" strokeweight="1pt" strokecolor="#ffffff">
              <v:stroke dashstyle="solid"/>
            </v:line>
            <v:line style="position:absolute" from="13523,3413" to="13523,3106" stroked="true" strokeweight="1pt" strokecolor="#ffffff">
              <v:stroke dashstyle="solid"/>
            </v:line>
            <v:line style="position:absolute" from="11352,3745" to="11352,3433" stroked="true" strokeweight="1pt" strokecolor="#ffffff">
              <v:stroke dashstyle="solid"/>
            </v:line>
            <v:line style="position:absolute" from="13523,3745" to="13523,3433" stroked="true" strokeweight="1pt" strokecolor="#ffffff">
              <v:stroke dashstyle="solid"/>
            </v:line>
            <v:line style="position:absolute" from="11352,4072" to="11352,3755" stroked="true" strokeweight="1pt" strokecolor="#ffffff">
              <v:stroke dashstyle="solid"/>
            </v:line>
            <v:line style="position:absolute" from="13523,4072" to="13523,3755" stroked="true" strokeweight="1pt" strokecolor="#ffffff">
              <v:stroke dashstyle="solid"/>
            </v:line>
            <v:shape style="position:absolute;left:9803;top:3085;width:6288;height:348" coordorigin="9804,3086" coordsize="6288,348" path="m16091,3413l13523,3413,11352,3413,9804,3413,9804,3433,11352,3433,13523,3433,16091,3433,16091,3413m16091,3086l13523,3086,11352,3086,9804,3086,9804,3106,11352,3106,13523,3106,16091,3106,16091,3086e" filled="true" fillcolor="#ffffff" stroked="false">
              <v:path arrowok="t"/>
              <v:fill type="solid"/>
            </v:shape>
            <w10:wrap type="none"/>
          </v:group>
        </w:pict>
      </w:r>
      <w:r>
        <w:rPr>
          <w:b/>
          <w:sz w:val="19"/>
        </w:rPr>
        <w:t>Statement of Cash Flows (Controlled Operations)</w:t>
      </w: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6"/>
        <w:gridCol w:w="1821"/>
        <w:gridCol w:w="1141"/>
        <w:gridCol w:w="1151"/>
        <w:gridCol w:w="1628"/>
        <w:gridCol w:w="2131"/>
        <w:gridCol w:w="2527"/>
      </w:tblGrid>
      <w:tr>
        <w:trPr>
          <w:trHeight w:val="490" w:hRule="atLeast"/>
        </w:trPr>
        <w:tc>
          <w:tcPr>
            <w:tcW w:w="4896" w:type="dxa"/>
            <w:vMerge w:val="restart"/>
            <w:shd w:val="clear" w:color="auto" w:fill="783A79"/>
          </w:tcPr>
          <w:p>
            <w:pPr>
              <w:pStyle w:val="TableParagraph"/>
              <w:spacing w:before="0"/>
              <w:rPr>
                <w:rFonts w:ascii="Times New Roman"/>
                <w:sz w:val="22"/>
              </w:rPr>
            </w:pPr>
          </w:p>
        </w:tc>
        <w:tc>
          <w:tcPr>
            <w:tcW w:w="1821" w:type="dxa"/>
            <w:shd w:val="clear" w:color="auto" w:fill="783A79"/>
          </w:tcPr>
          <w:p>
            <w:pPr>
              <w:pStyle w:val="TableParagraph"/>
              <w:spacing w:line="220" w:lineRule="atLeast" w:before="41"/>
              <w:ind w:left="1018" w:hanging="175"/>
              <w:rPr>
                <w:b/>
                <w:sz w:val="19"/>
              </w:rPr>
            </w:pPr>
            <w:r>
              <w:rPr>
                <w:b/>
                <w:color w:val="FFFFFF"/>
                <w:sz w:val="19"/>
              </w:rPr>
              <w:t>Variance Note</w:t>
            </w:r>
          </w:p>
        </w:tc>
        <w:tc>
          <w:tcPr>
            <w:tcW w:w="1141" w:type="dxa"/>
            <w:shd w:val="clear" w:color="auto" w:fill="783A79"/>
          </w:tcPr>
          <w:p>
            <w:pPr>
              <w:pStyle w:val="TableParagraph"/>
              <w:spacing w:before="42"/>
              <w:ind w:left="228"/>
              <w:rPr>
                <w:b/>
                <w:sz w:val="19"/>
              </w:rPr>
            </w:pPr>
            <w:r>
              <w:rPr>
                <w:b/>
                <w:color w:val="FFFFFF"/>
                <w:sz w:val="19"/>
              </w:rPr>
              <w:t>Estimate</w:t>
            </w:r>
          </w:p>
          <w:p>
            <w:pPr>
              <w:pStyle w:val="TableParagraph"/>
              <w:spacing w:line="200" w:lineRule="exact" w:before="10"/>
              <w:ind w:left="604"/>
              <w:rPr>
                <w:b/>
                <w:sz w:val="19"/>
              </w:rPr>
            </w:pPr>
            <w:r>
              <w:rPr>
                <w:b/>
                <w:color w:val="FFFFFF"/>
                <w:sz w:val="19"/>
              </w:rPr>
              <w:t>2018</w:t>
            </w:r>
          </w:p>
        </w:tc>
        <w:tc>
          <w:tcPr>
            <w:tcW w:w="1151" w:type="dxa"/>
            <w:shd w:val="clear" w:color="auto" w:fill="783A79"/>
          </w:tcPr>
          <w:p>
            <w:pPr>
              <w:pStyle w:val="TableParagraph"/>
              <w:spacing w:line="220" w:lineRule="atLeast" w:before="41"/>
              <w:ind w:left="614" w:right="94" w:hanging="155"/>
              <w:rPr>
                <w:b/>
                <w:sz w:val="19"/>
              </w:rPr>
            </w:pPr>
            <w:r>
              <w:rPr>
                <w:b/>
                <w:color w:val="FFFFFF"/>
                <w:w w:val="95"/>
                <w:sz w:val="19"/>
              </w:rPr>
              <w:t>Actual </w:t>
            </w:r>
            <w:r>
              <w:rPr>
                <w:b/>
                <w:color w:val="FFFFFF"/>
                <w:sz w:val="19"/>
              </w:rPr>
              <w:t>2018</w:t>
            </w:r>
          </w:p>
        </w:tc>
        <w:tc>
          <w:tcPr>
            <w:tcW w:w="1628" w:type="dxa"/>
            <w:shd w:val="clear" w:color="auto" w:fill="783A79"/>
          </w:tcPr>
          <w:p>
            <w:pPr>
              <w:pStyle w:val="TableParagraph"/>
              <w:spacing w:before="42"/>
              <w:ind w:right="192"/>
              <w:jc w:val="right"/>
              <w:rPr>
                <w:b/>
                <w:sz w:val="19"/>
              </w:rPr>
            </w:pPr>
            <w:r>
              <w:rPr>
                <w:b/>
                <w:color w:val="FFFFFF"/>
                <w:sz w:val="19"/>
              </w:rPr>
              <w:t>Actual 2017</w:t>
            </w:r>
          </w:p>
        </w:tc>
        <w:tc>
          <w:tcPr>
            <w:tcW w:w="2131" w:type="dxa"/>
            <w:shd w:val="clear" w:color="auto" w:fill="783A79"/>
          </w:tcPr>
          <w:p>
            <w:pPr>
              <w:pStyle w:val="TableParagraph"/>
              <w:spacing w:line="220" w:lineRule="atLeast" w:before="41"/>
              <w:ind w:left="193" w:right="141" w:firstLine="171"/>
              <w:rPr>
                <w:b/>
                <w:sz w:val="19"/>
              </w:rPr>
            </w:pPr>
            <w:r>
              <w:rPr>
                <w:b/>
                <w:color w:val="FFFFFF"/>
                <w:sz w:val="19"/>
              </w:rPr>
              <w:t>Variance between estimate and actual</w:t>
            </w:r>
          </w:p>
        </w:tc>
        <w:tc>
          <w:tcPr>
            <w:tcW w:w="2527" w:type="dxa"/>
            <w:shd w:val="clear" w:color="auto" w:fill="783A79"/>
          </w:tcPr>
          <w:p>
            <w:pPr>
              <w:pStyle w:val="TableParagraph"/>
              <w:spacing w:line="220" w:lineRule="atLeast" w:before="41"/>
              <w:ind w:left="154" w:firstLine="39"/>
              <w:rPr>
                <w:b/>
                <w:sz w:val="19"/>
              </w:rPr>
            </w:pPr>
            <w:r>
              <w:rPr>
                <w:b/>
                <w:color w:val="FFFFFF"/>
                <w:sz w:val="19"/>
              </w:rPr>
              <w:t>Variance between actual results for 2018 and 2017</w:t>
            </w:r>
          </w:p>
        </w:tc>
      </w:tr>
      <w:tr>
        <w:trPr>
          <w:trHeight w:val="270" w:hRule="atLeast"/>
        </w:trPr>
        <w:tc>
          <w:tcPr>
            <w:tcW w:w="4896" w:type="dxa"/>
            <w:vMerge/>
            <w:tcBorders>
              <w:top w:val="nil"/>
            </w:tcBorders>
            <w:shd w:val="clear" w:color="auto" w:fill="783A79"/>
          </w:tcPr>
          <w:p>
            <w:pPr>
              <w:rPr>
                <w:sz w:val="2"/>
                <w:szCs w:val="2"/>
              </w:rPr>
            </w:pPr>
          </w:p>
        </w:tc>
        <w:tc>
          <w:tcPr>
            <w:tcW w:w="1821" w:type="dxa"/>
            <w:shd w:val="clear" w:color="auto" w:fill="783A79"/>
          </w:tcPr>
          <w:p>
            <w:pPr>
              <w:pStyle w:val="TableParagraph"/>
              <w:spacing w:before="0"/>
              <w:rPr>
                <w:rFonts w:ascii="Times New Roman"/>
                <w:sz w:val="20"/>
              </w:rPr>
            </w:pPr>
          </w:p>
        </w:tc>
        <w:tc>
          <w:tcPr>
            <w:tcW w:w="1141" w:type="dxa"/>
            <w:shd w:val="clear" w:color="auto" w:fill="783A79"/>
          </w:tcPr>
          <w:p>
            <w:pPr>
              <w:pStyle w:val="TableParagraph"/>
              <w:spacing w:before="7"/>
              <w:ind w:right="111"/>
              <w:jc w:val="right"/>
              <w:rPr>
                <w:b/>
                <w:sz w:val="19"/>
              </w:rPr>
            </w:pPr>
            <w:r>
              <w:rPr>
                <w:b/>
                <w:color w:val="FFFFFF"/>
                <w:w w:val="95"/>
                <w:sz w:val="19"/>
              </w:rPr>
              <w:t>$000</w:t>
            </w:r>
          </w:p>
        </w:tc>
        <w:tc>
          <w:tcPr>
            <w:tcW w:w="1151" w:type="dxa"/>
            <w:shd w:val="clear" w:color="auto" w:fill="783A79"/>
          </w:tcPr>
          <w:p>
            <w:pPr>
              <w:pStyle w:val="TableParagraph"/>
              <w:spacing w:before="7"/>
              <w:ind w:right="112"/>
              <w:jc w:val="right"/>
              <w:rPr>
                <w:b/>
                <w:sz w:val="19"/>
              </w:rPr>
            </w:pPr>
            <w:r>
              <w:rPr>
                <w:b/>
                <w:color w:val="FFFFFF"/>
                <w:w w:val="95"/>
                <w:sz w:val="19"/>
              </w:rPr>
              <w:t>$000</w:t>
            </w:r>
          </w:p>
        </w:tc>
        <w:tc>
          <w:tcPr>
            <w:tcW w:w="1628" w:type="dxa"/>
            <w:shd w:val="clear" w:color="auto" w:fill="783A79"/>
          </w:tcPr>
          <w:p>
            <w:pPr>
              <w:pStyle w:val="TableParagraph"/>
              <w:spacing w:before="7"/>
              <w:ind w:right="192"/>
              <w:jc w:val="right"/>
              <w:rPr>
                <w:b/>
                <w:sz w:val="19"/>
              </w:rPr>
            </w:pPr>
            <w:r>
              <w:rPr>
                <w:b/>
                <w:color w:val="FFFFFF"/>
                <w:w w:val="95"/>
                <w:sz w:val="19"/>
              </w:rPr>
              <w:t>$000</w:t>
            </w:r>
          </w:p>
        </w:tc>
        <w:tc>
          <w:tcPr>
            <w:tcW w:w="2131" w:type="dxa"/>
            <w:shd w:val="clear" w:color="auto" w:fill="783A79"/>
          </w:tcPr>
          <w:p>
            <w:pPr>
              <w:pStyle w:val="TableParagraph"/>
              <w:spacing w:before="7"/>
              <w:ind w:right="151"/>
              <w:jc w:val="right"/>
              <w:rPr>
                <w:b/>
                <w:sz w:val="19"/>
              </w:rPr>
            </w:pPr>
            <w:r>
              <w:rPr>
                <w:b/>
                <w:color w:val="FFFFFF"/>
                <w:w w:val="95"/>
                <w:sz w:val="19"/>
              </w:rPr>
              <w:t>$000</w:t>
            </w:r>
          </w:p>
        </w:tc>
        <w:tc>
          <w:tcPr>
            <w:tcW w:w="2527" w:type="dxa"/>
            <w:shd w:val="clear" w:color="auto" w:fill="783A79"/>
          </w:tcPr>
          <w:p>
            <w:pPr>
              <w:pStyle w:val="TableParagraph"/>
              <w:spacing w:before="7"/>
              <w:ind w:right="110"/>
              <w:jc w:val="right"/>
              <w:rPr>
                <w:b/>
                <w:sz w:val="19"/>
              </w:rPr>
            </w:pPr>
            <w:r>
              <w:rPr>
                <w:b/>
                <w:color w:val="FFFFFF"/>
                <w:w w:val="95"/>
                <w:sz w:val="19"/>
              </w:rPr>
              <w:t>$000</w:t>
            </w:r>
          </w:p>
        </w:tc>
      </w:tr>
      <w:tr>
        <w:trPr>
          <w:trHeight w:val="313" w:hRule="atLeast"/>
        </w:trPr>
        <w:tc>
          <w:tcPr>
            <w:tcW w:w="4896" w:type="dxa"/>
            <w:shd w:val="clear" w:color="auto" w:fill="F4F4F4"/>
          </w:tcPr>
          <w:p>
            <w:pPr>
              <w:pStyle w:val="TableParagraph"/>
              <w:spacing w:before="42"/>
              <w:ind w:left="113"/>
              <w:rPr>
                <w:b/>
                <w:sz w:val="19"/>
              </w:rPr>
            </w:pPr>
            <w:r>
              <w:rPr>
                <w:b/>
                <w:sz w:val="19"/>
              </w:rPr>
              <w:t>CASH FLOWS FROM STATE GOVERNMENT</w:t>
            </w:r>
          </w:p>
        </w:tc>
        <w:tc>
          <w:tcPr>
            <w:tcW w:w="1821" w:type="dxa"/>
            <w:shd w:val="clear" w:color="auto" w:fill="F4F4F4"/>
          </w:tcPr>
          <w:p>
            <w:pPr>
              <w:pStyle w:val="TableParagraph"/>
              <w:spacing w:before="0"/>
              <w:rPr>
                <w:rFonts w:ascii="Times New Roman"/>
                <w:sz w:val="22"/>
              </w:rPr>
            </w:pPr>
          </w:p>
        </w:tc>
        <w:tc>
          <w:tcPr>
            <w:tcW w:w="1141" w:type="dxa"/>
            <w:shd w:val="clear" w:color="auto" w:fill="F4F4F4"/>
          </w:tcPr>
          <w:p>
            <w:pPr>
              <w:pStyle w:val="TableParagraph"/>
              <w:spacing w:before="0"/>
              <w:rPr>
                <w:rFonts w:ascii="Times New Roman"/>
                <w:sz w:val="22"/>
              </w:rPr>
            </w:pPr>
          </w:p>
        </w:tc>
        <w:tc>
          <w:tcPr>
            <w:tcW w:w="1151" w:type="dxa"/>
            <w:shd w:val="clear" w:color="auto" w:fill="DFE1B8"/>
          </w:tcPr>
          <w:p>
            <w:pPr>
              <w:pStyle w:val="TableParagraph"/>
              <w:spacing w:before="0"/>
              <w:rPr>
                <w:rFonts w:ascii="Times New Roman"/>
                <w:sz w:val="22"/>
              </w:rPr>
            </w:pPr>
          </w:p>
        </w:tc>
        <w:tc>
          <w:tcPr>
            <w:tcW w:w="1628" w:type="dxa"/>
            <w:shd w:val="clear" w:color="auto" w:fill="F4F4F4"/>
          </w:tcPr>
          <w:p>
            <w:pPr>
              <w:pStyle w:val="TableParagraph"/>
              <w:spacing w:before="0"/>
              <w:rPr>
                <w:rFonts w:ascii="Times New Roman"/>
                <w:sz w:val="22"/>
              </w:rPr>
            </w:pPr>
          </w:p>
        </w:tc>
        <w:tc>
          <w:tcPr>
            <w:tcW w:w="2131" w:type="dxa"/>
            <w:shd w:val="clear" w:color="auto" w:fill="F4F4F4"/>
          </w:tcPr>
          <w:p>
            <w:pPr>
              <w:pStyle w:val="TableParagraph"/>
              <w:spacing w:before="0"/>
              <w:rPr>
                <w:rFonts w:ascii="Times New Roman"/>
                <w:sz w:val="22"/>
              </w:rPr>
            </w:pPr>
          </w:p>
        </w:tc>
        <w:tc>
          <w:tcPr>
            <w:tcW w:w="2527" w:type="dxa"/>
            <w:shd w:val="clear" w:color="auto" w:fill="F4F4F4"/>
          </w:tcPr>
          <w:p>
            <w:pPr>
              <w:pStyle w:val="TableParagraph"/>
              <w:spacing w:before="0"/>
              <w:rPr>
                <w:rFonts w:ascii="Times New Roman"/>
                <w:sz w:val="22"/>
              </w:rPr>
            </w:pPr>
          </w:p>
        </w:tc>
      </w:tr>
      <w:tr>
        <w:trPr>
          <w:trHeight w:val="326" w:hRule="atLeast"/>
        </w:trPr>
        <w:tc>
          <w:tcPr>
            <w:tcW w:w="4896" w:type="dxa"/>
            <w:shd w:val="clear" w:color="auto" w:fill="FAF9F9"/>
          </w:tcPr>
          <w:p>
            <w:pPr>
              <w:pStyle w:val="TableParagraph"/>
              <w:spacing w:before="56"/>
              <w:ind w:left="113"/>
              <w:rPr>
                <w:sz w:val="19"/>
              </w:rPr>
            </w:pPr>
            <w:r>
              <w:rPr>
                <w:sz w:val="19"/>
              </w:rPr>
              <w:t>Service appropriations</w:t>
            </w:r>
          </w:p>
        </w:tc>
        <w:tc>
          <w:tcPr>
            <w:tcW w:w="1821" w:type="dxa"/>
            <w:shd w:val="clear" w:color="auto" w:fill="FAF9F9"/>
          </w:tcPr>
          <w:p>
            <w:pPr>
              <w:pStyle w:val="TableParagraph"/>
              <w:spacing w:before="0"/>
              <w:rPr>
                <w:rFonts w:ascii="Times New Roman"/>
                <w:sz w:val="22"/>
              </w:rPr>
            </w:pPr>
          </w:p>
        </w:tc>
        <w:tc>
          <w:tcPr>
            <w:tcW w:w="1141" w:type="dxa"/>
            <w:shd w:val="clear" w:color="auto" w:fill="FAF9F9"/>
          </w:tcPr>
          <w:p>
            <w:pPr>
              <w:pStyle w:val="TableParagraph"/>
              <w:spacing w:before="56"/>
              <w:ind w:right="111"/>
              <w:jc w:val="right"/>
              <w:rPr>
                <w:sz w:val="19"/>
              </w:rPr>
            </w:pPr>
            <w:r>
              <w:rPr>
                <w:w w:val="95"/>
                <w:sz w:val="19"/>
              </w:rPr>
              <w:t>91,291</w:t>
            </w:r>
          </w:p>
        </w:tc>
        <w:tc>
          <w:tcPr>
            <w:tcW w:w="1151" w:type="dxa"/>
            <w:shd w:val="clear" w:color="auto" w:fill="E1E4BB"/>
          </w:tcPr>
          <w:p>
            <w:pPr>
              <w:pStyle w:val="TableParagraph"/>
              <w:spacing w:before="56"/>
              <w:ind w:right="112"/>
              <w:jc w:val="right"/>
              <w:rPr>
                <w:sz w:val="19"/>
              </w:rPr>
            </w:pPr>
            <w:r>
              <w:rPr>
                <w:w w:val="95"/>
                <w:sz w:val="19"/>
              </w:rPr>
              <w:t>89,857</w:t>
            </w:r>
          </w:p>
        </w:tc>
        <w:tc>
          <w:tcPr>
            <w:tcW w:w="1628" w:type="dxa"/>
            <w:shd w:val="clear" w:color="auto" w:fill="FAF9F9"/>
          </w:tcPr>
          <w:p>
            <w:pPr>
              <w:pStyle w:val="TableParagraph"/>
              <w:spacing w:before="56"/>
              <w:ind w:right="192"/>
              <w:jc w:val="right"/>
              <w:rPr>
                <w:sz w:val="19"/>
              </w:rPr>
            </w:pPr>
            <w:r>
              <w:rPr>
                <w:w w:val="95"/>
                <w:sz w:val="19"/>
              </w:rPr>
              <w:t>113,948</w:t>
            </w:r>
          </w:p>
        </w:tc>
        <w:tc>
          <w:tcPr>
            <w:tcW w:w="2131" w:type="dxa"/>
            <w:shd w:val="clear" w:color="auto" w:fill="FAF9F9"/>
          </w:tcPr>
          <w:p>
            <w:pPr>
              <w:pStyle w:val="TableParagraph"/>
              <w:spacing w:before="56"/>
              <w:ind w:right="151"/>
              <w:jc w:val="right"/>
              <w:rPr>
                <w:sz w:val="19"/>
              </w:rPr>
            </w:pPr>
            <w:r>
              <w:rPr>
                <w:w w:val="90"/>
                <w:sz w:val="19"/>
              </w:rPr>
              <w:t>(1,434)</w:t>
            </w:r>
          </w:p>
        </w:tc>
        <w:tc>
          <w:tcPr>
            <w:tcW w:w="2527" w:type="dxa"/>
            <w:shd w:val="clear" w:color="auto" w:fill="FAF9F9"/>
          </w:tcPr>
          <w:p>
            <w:pPr>
              <w:pStyle w:val="TableParagraph"/>
              <w:spacing w:before="56"/>
              <w:ind w:right="110"/>
              <w:jc w:val="right"/>
              <w:rPr>
                <w:sz w:val="19"/>
              </w:rPr>
            </w:pPr>
            <w:r>
              <w:rPr>
                <w:w w:val="95"/>
                <w:sz w:val="19"/>
              </w:rPr>
              <w:t>(24,091)</w:t>
            </w:r>
          </w:p>
        </w:tc>
      </w:tr>
      <w:tr>
        <w:trPr>
          <w:trHeight w:val="327" w:hRule="atLeast"/>
        </w:trPr>
        <w:tc>
          <w:tcPr>
            <w:tcW w:w="4896" w:type="dxa"/>
            <w:shd w:val="clear" w:color="auto" w:fill="F4F4F4"/>
          </w:tcPr>
          <w:p>
            <w:pPr>
              <w:pStyle w:val="TableParagraph"/>
              <w:spacing w:before="57"/>
              <w:ind w:left="113"/>
              <w:rPr>
                <w:sz w:val="19"/>
              </w:rPr>
            </w:pPr>
            <w:r>
              <w:rPr>
                <w:sz w:val="19"/>
              </w:rPr>
              <w:t>Capital appropriations</w:t>
            </w:r>
          </w:p>
        </w:tc>
        <w:tc>
          <w:tcPr>
            <w:tcW w:w="1821" w:type="dxa"/>
            <w:shd w:val="clear" w:color="auto" w:fill="F4F4F4"/>
          </w:tcPr>
          <w:p>
            <w:pPr>
              <w:pStyle w:val="TableParagraph"/>
              <w:spacing w:before="0"/>
              <w:rPr>
                <w:rFonts w:ascii="Times New Roman"/>
                <w:sz w:val="22"/>
              </w:rPr>
            </w:pPr>
          </w:p>
        </w:tc>
        <w:tc>
          <w:tcPr>
            <w:tcW w:w="1141" w:type="dxa"/>
            <w:shd w:val="clear" w:color="auto" w:fill="F4F4F4"/>
          </w:tcPr>
          <w:p>
            <w:pPr>
              <w:pStyle w:val="TableParagraph"/>
              <w:spacing w:before="57"/>
              <w:ind w:right="111"/>
              <w:jc w:val="right"/>
              <w:rPr>
                <w:sz w:val="19"/>
              </w:rPr>
            </w:pPr>
            <w:r>
              <w:rPr>
                <w:w w:val="95"/>
                <w:sz w:val="19"/>
              </w:rPr>
              <w:t>15,932</w:t>
            </w:r>
          </w:p>
        </w:tc>
        <w:tc>
          <w:tcPr>
            <w:tcW w:w="1151" w:type="dxa"/>
            <w:shd w:val="clear" w:color="auto" w:fill="DFE1B8"/>
          </w:tcPr>
          <w:p>
            <w:pPr>
              <w:pStyle w:val="TableParagraph"/>
              <w:spacing w:before="57"/>
              <w:ind w:right="112"/>
              <w:jc w:val="right"/>
              <w:rPr>
                <w:sz w:val="19"/>
              </w:rPr>
            </w:pPr>
            <w:r>
              <w:rPr>
                <w:w w:val="95"/>
                <w:sz w:val="19"/>
              </w:rPr>
              <w:t>14,902</w:t>
            </w:r>
          </w:p>
        </w:tc>
        <w:tc>
          <w:tcPr>
            <w:tcW w:w="1628" w:type="dxa"/>
            <w:shd w:val="clear" w:color="auto" w:fill="F4F4F4"/>
          </w:tcPr>
          <w:p>
            <w:pPr>
              <w:pStyle w:val="TableParagraph"/>
              <w:spacing w:before="57"/>
              <w:ind w:right="192"/>
              <w:jc w:val="right"/>
              <w:rPr>
                <w:sz w:val="19"/>
              </w:rPr>
            </w:pPr>
            <w:r>
              <w:rPr>
                <w:w w:val="95"/>
                <w:sz w:val="19"/>
              </w:rPr>
              <w:t>28,763</w:t>
            </w:r>
          </w:p>
        </w:tc>
        <w:tc>
          <w:tcPr>
            <w:tcW w:w="2131" w:type="dxa"/>
            <w:shd w:val="clear" w:color="auto" w:fill="F4F4F4"/>
          </w:tcPr>
          <w:p>
            <w:pPr>
              <w:pStyle w:val="TableParagraph"/>
              <w:spacing w:before="57"/>
              <w:ind w:right="151"/>
              <w:jc w:val="right"/>
              <w:rPr>
                <w:sz w:val="19"/>
              </w:rPr>
            </w:pPr>
            <w:r>
              <w:rPr>
                <w:w w:val="90"/>
                <w:sz w:val="19"/>
              </w:rPr>
              <w:t>(1,030)</w:t>
            </w:r>
          </w:p>
        </w:tc>
        <w:tc>
          <w:tcPr>
            <w:tcW w:w="2527" w:type="dxa"/>
            <w:shd w:val="clear" w:color="auto" w:fill="F4F4F4"/>
          </w:tcPr>
          <w:p>
            <w:pPr>
              <w:pStyle w:val="TableParagraph"/>
              <w:spacing w:before="57"/>
              <w:ind w:right="110"/>
              <w:jc w:val="right"/>
              <w:rPr>
                <w:sz w:val="19"/>
              </w:rPr>
            </w:pPr>
            <w:r>
              <w:rPr>
                <w:w w:val="95"/>
                <w:sz w:val="19"/>
              </w:rPr>
              <w:t>(13,861)</w:t>
            </w:r>
          </w:p>
        </w:tc>
      </w:tr>
      <w:tr>
        <w:trPr>
          <w:trHeight w:val="327" w:hRule="atLeast"/>
        </w:trPr>
        <w:tc>
          <w:tcPr>
            <w:tcW w:w="4896" w:type="dxa"/>
            <w:shd w:val="clear" w:color="auto" w:fill="FAF9F9"/>
          </w:tcPr>
          <w:p>
            <w:pPr>
              <w:pStyle w:val="TableParagraph"/>
              <w:spacing w:before="57"/>
              <w:ind w:left="113"/>
              <w:rPr>
                <w:sz w:val="19"/>
              </w:rPr>
            </w:pPr>
            <w:r>
              <w:rPr>
                <w:sz w:val="19"/>
              </w:rPr>
              <w:t>Funding from Treasury administered</w:t>
            </w:r>
          </w:p>
        </w:tc>
        <w:tc>
          <w:tcPr>
            <w:tcW w:w="1821" w:type="dxa"/>
            <w:shd w:val="clear" w:color="auto" w:fill="FAF9F9"/>
          </w:tcPr>
          <w:p>
            <w:pPr>
              <w:pStyle w:val="TableParagraph"/>
              <w:spacing w:before="0"/>
              <w:rPr>
                <w:rFonts w:ascii="Times New Roman"/>
                <w:sz w:val="22"/>
              </w:rPr>
            </w:pPr>
          </w:p>
        </w:tc>
        <w:tc>
          <w:tcPr>
            <w:tcW w:w="1141" w:type="dxa"/>
            <w:shd w:val="clear" w:color="auto" w:fill="FAF9F9"/>
          </w:tcPr>
          <w:p>
            <w:pPr>
              <w:pStyle w:val="TableParagraph"/>
              <w:spacing w:before="57"/>
              <w:ind w:right="111"/>
              <w:jc w:val="right"/>
              <w:rPr>
                <w:sz w:val="19"/>
              </w:rPr>
            </w:pPr>
            <w:r>
              <w:rPr>
                <w:w w:val="95"/>
                <w:sz w:val="19"/>
              </w:rPr>
              <w:t>1,200</w:t>
            </w:r>
          </w:p>
        </w:tc>
        <w:tc>
          <w:tcPr>
            <w:tcW w:w="1151" w:type="dxa"/>
            <w:shd w:val="clear" w:color="auto" w:fill="E1E4BB"/>
          </w:tcPr>
          <w:p>
            <w:pPr>
              <w:pStyle w:val="TableParagraph"/>
              <w:spacing w:before="57"/>
              <w:ind w:right="112"/>
              <w:jc w:val="right"/>
              <w:rPr>
                <w:sz w:val="19"/>
              </w:rPr>
            </w:pPr>
            <w:r>
              <w:rPr>
                <w:w w:val="95"/>
                <w:sz w:val="19"/>
              </w:rPr>
              <w:t>200</w:t>
            </w:r>
          </w:p>
        </w:tc>
        <w:tc>
          <w:tcPr>
            <w:tcW w:w="1628" w:type="dxa"/>
            <w:shd w:val="clear" w:color="auto" w:fill="FAF9F9"/>
          </w:tcPr>
          <w:p>
            <w:pPr>
              <w:pStyle w:val="TableParagraph"/>
              <w:spacing w:before="57"/>
              <w:ind w:right="192"/>
              <w:jc w:val="right"/>
              <w:rPr>
                <w:sz w:val="19"/>
              </w:rPr>
            </w:pPr>
            <w:r>
              <w:rPr>
                <w:w w:val="111"/>
                <w:sz w:val="19"/>
              </w:rPr>
              <w:t>-</w:t>
            </w:r>
          </w:p>
        </w:tc>
        <w:tc>
          <w:tcPr>
            <w:tcW w:w="2131" w:type="dxa"/>
            <w:shd w:val="clear" w:color="auto" w:fill="FAF9F9"/>
          </w:tcPr>
          <w:p>
            <w:pPr>
              <w:pStyle w:val="TableParagraph"/>
              <w:spacing w:before="57"/>
              <w:ind w:right="151"/>
              <w:jc w:val="right"/>
              <w:rPr>
                <w:sz w:val="19"/>
              </w:rPr>
            </w:pPr>
            <w:r>
              <w:rPr>
                <w:w w:val="90"/>
                <w:sz w:val="19"/>
              </w:rPr>
              <w:t>(1,000)</w:t>
            </w:r>
          </w:p>
        </w:tc>
        <w:tc>
          <w:tcPr>
            <w:tcW w:w="2527" w:type="dxa"/>
            <w:shd w:val="clear" w:color="auto" w:fill="FAF9F9"/>
          </w:tcPr>
          <w:p>
            <w:pPr>
              <w:pStyle w:val="TableParagraph"/>
              <w:spacing w:before="57"/>
              <w:ind w:right="110"/>
              <w:jc w:val="right"/>
              <w:rPr>
                <w:sz w:val="19"/>
              </w:rPr>
            </w:pPr>
            <w:r>
              <w:rPr>
                <w:w w:val="95"/>
                <w:sz w:val="19"/>
              </w:rPr>
              <w:t>200</w:t>
            </w:r>
          </w:p>
        </w:tc>
      </w:tr>
      <w:tr>
        <w:trPr>
          <w:trHeight w:val="327" w:hRule="atLeast"/>
        </w:trPr>
        <w:tc>
          <w:tcPr>
            <w:tcW w:w="4896" w:type="dxa"/>
            <w:shd w:val="clear" w:color="auto" w:fill="F4F4F4"/>
          </w:tcPr>
          <w:p>
            <w:pPr>
              <w:pStyle w:val="TableParagraph"/>
              <w:spacing w:before="57"/>
              <w:ind w:left="113"/>
              <w:rPr>
                <w:sz w:val="19"/>
              </w:rPr>
            </w:pPr>
            <w:r>
              <w:rPr>
                <w:sz w:val="19"/>
              </w:rPr>
              <w:t>Holding account drawdowns</w:t>
            </w:r>
          </w:p>
        </w:tc>
        <w:tc>
          <w:tcPr>
            <w:tcW w:w="1821" w:type="dxa"/>
            <w:shd w:val="clear" w:color="auto" w:fill="F4F4F4"/>
          </w:tcPr>
          <w:p>
            <w:pPr>
              <w:pStyle w:val="TableParagraph"/>
              <w:spacing w:before="0"/>
              <w:rPr>
                <w:rFonts w:ascii="Times New Roman"/>
                <w:sz w:val="22"/>
              </w:rPr>
            </w:pPr>
          </w:p>
        </w:tc>
        <w:tc>
          <w:tcPr>
            <w:tcW w:w="1141" w:type="dxa"/>
            <w:shd w:val="clear" w:color="auto" w:fill="F4F4F4"/>
          </w:tcPr>
          <w:p>
            <w:pPr>
              <w:pStyle w:val="TableParagraph"/>
              <w:spacing w:before="57"/>
              <w:ind w:right="111"/>
              <w:jc w:val="right"/>
              <w:rPr>
                <w:sz w:val="19"/>
              </w:rPr>
            </w:pPr>
            <w:r>
              <w:rPr>
                <w:w w:val="95"/>
                <w:sz w:val="19"/>
              </w:rPr>
              <w:t>2,250</w:t>
            </w:r>
          </w:p>
        </w:tc>
        <w:tc>
          <w:tcPr>
            <w:tcW w:w="1151" w:type="dxa"/>
            <w:shd w:val="clear" w:color="auto" w:fill="DFE1B8"/>
          </w:tcPr>
          <w:p>
            <w:pPr>
              <w:pStyle w:val="TableParagraph"/>
              <w:spacing w:before="57"/>
              <w:ind w:right="112"/>
              <w:jc w:val="right"/>
              <w:rPr>
                <w:sz w:val="19"/>
              </w:rPr>
            </w:pPr>
            <w:r>
              <w:rPr>
                <w:w w:val="95"/>
                <w:sz w:val="19"/>
              </w:rPr>
              <w:t>1,326</w:t>
            </w:r>
          </w:p>
        </w:tc>
        <w:tc>
          <w:tcPr>
            <w:tcW w:w="1628" w:type="dxa"/>
            <w:shd w:val="clear" w:color="auto" w:fill="F4F4F4"/>
          </w:tcPr>
          <w:p>
            <w:pPr>
              <w:pStyle w:val="TableParagraph"/>
              <w:spacing w:before="57"/>
              <w:ind w:right="192"/>
              <w:jc w:val="right"/>
              <w:rPr>
                <w:sz w:val="19"/>
              </w:rPr>
            </w:pPr>
            <w:r>
              <w:rPr>
                <w:w w:val="95"/>
                <w:sz w:val="19"/>
              </w:rPr>
              <w:t>770</w:t>
            </w:r>
          </w:p>
        </w:tc>
        <w:tc>
          <w:tcPr>
            <w:tcW w:w="2131" w:type="dxa"/>
            <w:shd w:val="clear" w:color="auto" w:fill="F4F4F4"/>
          </w:tcPr>
          <w:p>
            <w:pPr>
              <w:pStyle w:val="TableParagraph"/>
              <w:spacing w:before="57"/>
              <w:ind w:right="151"/>
              <w:jc w:val="right"/>
              <w:rPr>
                <w:sz w:val="19"/>
              </w:rPr>
            </w:pPr>
            <w:r>
              <w:rPr>
                <w:w w:val="90"/>
                <w:sz w:val="19"/>
              </w:rPr>
              <w:t>(924)</w:t>
            </w:r>
          </w:p>
        </w:tc>
        <w:tc>
          <w:tcPr>
            <w:tcW w:w="2527" w:type="dxa"/>
            <w:shd w:val="clear" w:color="auto" w:fill="F4F4F4"/>
          </w:tcPr>
          <w:p>
            <w:pPr>
              <w:pStyle w:val="TableParagraph"/>
              <w:spacing w:before="57"/>
              <w:ind w:right="110"/>
              <w:jc w:val="right"/>
              <w:rPr>
                <w:sz w:val="19"/>
              </w:rPr>
            </w:pPr>
            <w:r>
              <w:rPr>
                <w:w w:val="95"/>
                <w:sz w:val="19"/>
              </w:rPr>
              <w:t>556</w:t>
            </w:r>
          </w:p>
        </w:tc>
      </w:tr>
      <w:tr>
        <w:trPr>
          <w:trHeight w:val="327" w:hRule="atLeast"/>
        </w:trPr>
        <w:tc>
          <w:tcPr>
            <w:tcW w:w="4896" w:type="dxa"/>
            <w:shd w:val="clear" w:color="auto" w:fill="FAF9F9"/>
          </w:tcPr>
          <w:p>
            <w:pPr>
              <w:pStyle w:val="TableParagraph"/>
              <w:spacing w:before="57"/>
              <w:ind w:left="113"/>
              <w:rPr>
                <w:sz w:val="19"/>
              </w:rPr>
            </w:pPr>
            <w:r>
              <w:rPr>
                <w:sz w:val="19"/>
              </w:rPr>
              <w:t>Royalties for Regions Fund</w:t>
            </w:r>
          </w:p>
        </w:tc>
        <w:tc>
          <w:tcPr>
            <w:tcW w:w="1821" w:type="dxa"/>
            <w:shd w:val="clear" w:color="auto" w:fill="FAF9F9"/>
          </w:tcPr>
          <w:p>
            <w:pPr>
              <w:pStyle w:val="TableParagraph"/>
              <w:spacing w:before="0"/>
              <w:rPr>
                <w:rFonts w:ascii="Times New Roman"/>
                <w:sz w:val="22"/>
              </w:rPr>
            </w:pPr>
          </w:p>
        </w:tc>
        <w:tc>
          <w:tcPr>
            <w:tcW w:w="1141" w:type="dxa"/>
            <w:shd w:val="clear" w:color="auto" w:fill="FAF9F9"/>
          </w:tcPr>
          <w:p>
            <w:pPr>
              <w:pStyle w:val="TableParagraph"/>
              <w:spacing w:before="57"/>
              <w:ind w:right="111"/>
              <w:jc w:val="right"/>
              <w:rPr>
                <w:sz w:val="19"/>
              </w:rPr>
            </w:pPr>
            <w:r>
              <w:rPr>
                <w:w w:val="95"/>
                <w:sz w:val="19"/>
              </w:rPr>
              <w:t>125</w:t>
            </w:r>
          </w:p>
        </w:tc>
        <w:tc>
          <w:tcPr>
            <w:tcW w:w="1151" w:type="dxa"/>
            <w:shd w:val="clear" w:color="auto" w:fill="E1E4BB"/>
          </w:tcPr>
          <w:p>
            <w:pPr>
              <w:pStyle w:val="TableParagraph"/>
              <w:spacing w:before="57"/>
              <w:ind w:right="112"/>
              <w:jc w:val="right"/>
              <w:rPr>
                <w:sz w:val="19"/>
              </w:rPr>
            </w:pPr>
            <w:r>
              <w:rPr>
                <w:w w:val="95"/>
                <w:sz w:val="19"/>
              </w:rPr>
              <w:t>106</w:t>
            </w:r>
          </w:p>
        </w:tc>
        <w:tc>
          <w:tcPr>
            <w:tcW w:w="1628" w:type="dxa"/>
            <w:shd w:val="clear" w:color="auto" w:fill="FAF9F9"/>
          </w:tcPr>
          <w:p>
            <w:pPr>
              <w:pStyle w:val="TableParagraph"/>
              <w:spacing w:before="57"/>
              <w:ind w:right="192"/>
              <w:jc w:val="right"/>
              <w:rPr>
                <w:sz w:val="19"/>
              </w:rPr>
            </w:pPr>
            <w:r>
              <w:rPr>
                <w:w w:val="95"/>
                <w:sz w:val="19"/>
              </w:rPr>
              <w:t>125</w:t>
            </w:r>
          </w:p>
        </w:tc>
        <w:tc>
          <w:tcPr>
            <w:tcW w:w="2131" w:type="dxa"/>
            <w:shd w:val="clear" w:color="auto" w:fill="FAF9F9"/>
          </w:tcPr>
          <w:p>
            <w:pPr>
              <w:pStyle w:val="TableParagraph"/>
              <w:spacing w:before="57"/>
              <w:ind w:right="151"/>
              <w:jc w:val="right"/>
              <w:rPr>
                <w:sz w:val="19"/>
              </w:rPr>
            </w:pPr>
            <w:r>
              <w:rPr>
                <w:w w:val="85"/>
                <w:sz w:val="19"/>
              </w:rPr>
              <w:t>(19)</w:t>
            </w:r>
          </w:p>
        </w:tc>
        <w:tc>
          <w:tcPr>
            <w:tcW w:w="2527" w:type="dxa"/>
            <w:shd w:val="clear" w:color="auto" w:fill="FAF9F9"/>
          </w:tcPr>
          <w:p>
            <w:pPr>
              <w:pStyle w:val="TableParagraph"/>
              <w:spacing w:before="57"/>
              <w:ind w:right="110"/>
              <w:jc w:val="right"/>
              <w:rPr>
                <w:sz w:val="19"/>
              </w:rPr>
            </w:pPr>
            <w:r>
              <w:rPr>
                <w:w w:val="85"/>
                <w:sz w:val="19"/>
              </w:rPr>
              <w:t>(19)</w:t>
            </w:r>
          </w:p>
        </w:tc>
      </w:tr>
      <w:tr>
        <w:trPr>
          <w:trHeight w:val="327" w:hRule="atLeast"/>
        </w:trPr>
        <w:tc>
          <w:tcPr>
            <w:tcW w:w="4896" w:type="dxa"/>
            <w:shd w:val="clear" w:color="auto" w:fill="F4F4F4"/>
          </w:tcPr>
          <w:p>
            <w:pPr>
              <w:pStyle w:val="TableParagraph"/>
              <w:spacing w:before="57"/>
              <w:ind w:left="113"/>
              <w:rPr>
                <w:sz w:val="19"/>
              </w:rPr>
            </w:pPr>
            <w:r>
              <w:rPr>
                <w:sz w:val="19"/>
              </w:rPr>
              <w:t>Regional Infrastructure and Headworks Fund</w:t>
            </w:r>
          </w:p>
        </w:tc>
        <w:tc>
          <w:tcPr>
            <w:tcW w:w="1821" w:type="dxa"/>
            <w:shd w:val="clear" w:color="auto" w:fill="F4F4F4"/>
          </w:tcPr>
          <w:p>
            <w:pPr>
              <w:pStyle w:val="TableParagraph"/>
              <w:spacing w:before="0"/>
              <w:rPr>
                <w:rFonts w:ascii="Times New Roman"/>
                <w:sz w:val="22"/>
              </w:rPr>
            </w:pPr>
          </w:p>
        </w:tc>
        <w:tc>
          <w:tcPr>
            <w:tcW w:w="1141" w:type="dxa"/>
            <w:shd w:val="clear" w:color="auto" w:fill="F4F4F4"/>
          </w:tcPr>
          <w:p>
            <w:pPr>
              <w:pStyle w:val="TableParagraph"/>
              <w:spacing w:before="57"/>
              <w:ind w:right="111"/>
              <w:jc w:val="right"/>
              <w:rPr>
                <w:sz w:val="19"/>
              </w:rPr>
            </w:pPr>
            <w:r>
              <w:rPr>
                <w:w w:val="111"/>
                <w:sz w:val="19"/>
              </w:rPr>
              <w:t>-</w:t>
            </w:r>
          </w:p>
        </w:tc>
        <w:tc>
          <w:tcPr>
            <w:tcW w:w="1151" w:type="dxa"/>
            <w:shd w:val="clear" w:color="auto" w:fill="DFE1B8"/>
          </w:tcPr>
          <w:p>
            <w:pPr>
              <w:pStyle w:val="TableParagraph"/>
              <w:spacing w:before="57"/>
              <w:ind w:right="112"/>
              <w:jc w:val="right"/>
              <w:rPr>
                <w:sz w:val="19"/>
              </w:rPr>
            </w:pPr>
            <w:r>
              <w:rPr>
                <w:w w:val="90"/>
                <w:sz w:val="19"/>
              </w:rPr>
              <w:t>(421)</w:t>
            </w:r>
          </w:p>
        </w:tc>
        <w:tc>
          <w:tcPr>
            <w:tcW w:w="1628" w:type="dxa"/>
            <w:shd w:val="clear" w:color="auto" w:fill="F4F4F4"/>
          </w:tcPr>
          <w:p>
            <w:pPr>
              <w:pStyle w:val="TableParagraph"/>
              <w:spacing w:before="57"/>
              <w:ind w:right="192"/>
              <w:jc w:val="right"/>
              <w:rPr>
                <w:sz w:val="19"/>
              </w:rPr>
            </w:pPr>
            <w:r>
              <w:rPr>
                <w:w w:val="95"/>
                <w:sz w:val="19"/>
              </w:rPr>
              <w:t>245</w:t>
            </w:r>
          </w:p>
        </w:tc>
        <w:tc>
          <w:tcPr>
            <w:tcW w:w="2131" w:type="dxa"/>
            <w:shd w:val="clear" w:color="auto" w:fill="F4F4F4"/>
          </w:tcPr>
          <w:p>
            <w:pPr>
              <w:pStyle w:val="TableParagraph"/>
              <w:spacing w:before="57"/>
              <w:ind w:right="151"/>
              <w:jc w:val="right"/>
              <w:rPr>
                <w:sz w:val="19"/>
              </w:rPr>
            </w:pPr>
            <w:r>
              <w:rPr>
                <w:w w:val="90"/>
                <w:sz w:val="19"/>
              </w:rPr>
              <w:t>(421)</w:t>
            </w:r>
          </w:p>
        </w:tc>
        <w:tc>
          <w:tcPr>
            <w:tcW w:w="2527" w:type="dxa"/>
            <w:shd w:val="clear" w:color="auto" w:fill="F4F4F4"/>
          </w:tcPr>
          <w:p>
            <w:pPr>
              <w:pStyle w:val="TableParagraph"/>
              <w:spacing w:before="57"/>
              <w:ind w:right="110"/>
              <w:jc w:val="right"/>
              <w:rPr>
                <w:sz w:val="19"/>
              </w:rPr>
            </w:pPr>
            <w:r>
              <w:rPr>
                <w:w w:val="90"/>
                <w:sz w:val="19"/>
              </w:rPr>
              <w:t>(666)</w:t>
            </w:r>
          </w:p>
        </w:tc>
      </w:tr>
      <w:tr>
        <w:trPr>
          <w:trHeight w:val="336" w:hRule="atLeast"/>
        </w:trPr>
        <w:tc>
          <w:tcPr>
            <w:tcW w:w="4896" w:type="dxa"/>
            <w:shd w:val="clear" w:color="auto" w:fill="FAF9F9"/>
          </w:tcPr>
          <w:p>
            <w:pPr>
              <w:pStyle w:val="TableParagraph"/>
              <w:spacing w:before="57"/>
              <w:ind w:left="113"/>
              <w:rPr>
                <w:sz w:val="19"/>
              </w:rPr>
            </w:pPr>
            <w:r>
              <w:rPr>
                <w:sz w:val="19"/>
              </w:rPr>
              <w:t>Non-retained revenue distributed to owner</w:t>
            </w:r>
          </w:p>
        </w:tc>
        <w:tc>
          <w:tcPr>
            <w:tcW w:w="1821" w:type="dxa"/>
            <w:shd w:val="clear" w:color="auto" w:fill="FAF9F9"/>
          </w:tcPr>
          <w:p>
            <w:pPr>
              <w:pStyle w:val="TableParagraph"/>
              <w:spacing w:before="0"/>
              <w:rPr>
                <w:rFonts w:ascii="Times New Roman"/>
                <w:sz w:val="22"/>
              </w:rPr>
            </w:pPr>
          </w:p>
        </w:tc>
        <w:tc>
          <w:tcPr>
            <w:tcW w:w="1141" w:type="dxa"/>
            <w:tcBorders>
              <w:bottom w:val="single" w:sz="4" w:space="0" w:color="000000"/>
            </w:tcBorders>
            <w:shd w:val="clear" w:color="auto" w:fill="FAF9F9"/>
          </w:tcPr>
          <w:p>
            <w:pPr>
              <w:pStyle w:val="TableParagraph"/>
              <w:spacing w:before="57"/>
              <w:ind w:right="111"/>
              <w:jc w:val="right"/>
              <w:rPr>
                <w:sz w:val="19"/>
              </w:rPr>
            </w:pPr>
            <w:r>
              <w:rPr>
                <w:w w:val="111"/>
                <w:sz w:val="19"/>
              </w:rPr>
              <w:t>-</w:t>
            </w:r>
          </w:p>
        </w:tc>
        <w:tc>
          <w:tcPr>
            <w:tcW w:w="1151" w:type="dxa"/>
            <w:tcBorders>
              <w:bottom w:val="single" w:sz="4" w:space="0" w:color="000000"/>
            </w:tcBorders>
            <w:shd w:val="clear" w:color="auto" w:fill="E1E4BB"/>
          </w:tcPr>
          <w:p>
            <w:pPr>
              <w:pStyle w:val="TableParagraph"/>
              <w:spacing w:before="57"/>
              <w:ind w:right="112"/>
              <w:jc w:val="right"/>
              <w:rPr>
                <w:sz w:val="19"/>
              </w:rPr>
            </w:pPr>
            <w:r>
              <w:rPr>
                <w:w w:val="111"/>
                <w:sz w:val="19"/>
              </w:rPr>
              <w:t>-</w:t>
            </w:r>
          </w:p>
        </w:tc>
        <w:tc>
          <w:tcPr>
            <w:tcW w:w="1628" w:type="dxa"/>
            <w:tcBorders>
              <w:bottom w:val="single" w:sz="4" w:space="0" w:color="000000"/>
            </w:tcBorders>
            <w:shd w:val="clear" w:color="auto" w:fill="FAF9F9"/>
          </w:tcPr>
          <w:p>
            <w:pPr>
              <w:pStyle w:val="TableParagraph"/>
              <w:spacing w:before="57"/>
              <w:ind w:right="192"/>
              <w:jc w:val="right"/>
              <w:rPr>
                <w:sz w:val="19"/>
              </w:rPr>
            </w:pPr>
            <w:r>
              <w:rPr>
                <w:w w:val="85"/>
                <w:sz w:val="19"/>
              </w:rPr>
              <w:t>(24)</w:t>
            </w:r>
          </w:p>
        </w:tc>
        <w:tc>
          <w:tcPr>
            <w:tcW w:w="2131" w:type="dxa"/>
            <w:tcBorders>
              <w:bottom w:val="single" w:sz="4" w:space="0" w:color="000000"/>
            </w:tcBorders>
            <w:shd w:val="clear" w:color="auto" w:fill="FAF9F9"/>
          </w:tcPr>
          <w:p>
            <w:pPr>
              <w:pStyle w:val="TableParagraph"/>
              <w:spacing w:before="57"/>
              <w:ind w:right="151"/>
              <w:jc w:val="right"/>
              <w:rPr>
                <w:sz w:val="19"/>
              </w:rPr>
            </w:pPr>
            <w:r>
              <w:rPr>
                <w:w w:val="111"/>
                <w:sz w:val="19"/>
              </w:rPr>
              <w:t>-</w:t>
            </w:r>
          </w:p>
        </w:tc>
        <w:tc>
          <w:tcPr>
            <w:tcW w:w="2527" w:type="dxa"/>
            <w:tcBorders>
              <w:bottom w:val="single" w:sz="4" w:space="0" w:color="000000"/>
            </w:tcBorders>
            <w:shd w:val="clear" w:color="auto" w:fill="FAF9F9"/>
          </w:tcPr>
          <w:p>
            <w:pPr>
              <w:pStyle w:val="TableParagraph"/>
              <w:spacing w:before="57"/>
              <w:ind w:right="110"/>
              <w:jc w:val="right"/>
              <w:rPr>
                <w:sz w:val="19"/>
              </w:rPr>
            </w:pPr>
            <w:r>
              <w:rPr>
                <w:w w:val="95"/>
                <w:sz w:val="19"/>
              </w:rPr>
              <w:t>24</w:t>
            </w:r>
          </w:p>
        </w:tc>
      </w:tr>
      <w:tr>
        <w:trPr>
          <w:trHeight w:val="317" w:hRule="atLeast"/>
        </w:trPr>
        <w:tc>
          <w:tcPr>
            <w:tcW w:w="4896" w:type="dxa"/>
            <w:shd w:val="clear" w:color="auto" w:fill="FAF9F9"/>
          </w:tcPr>
          <w:p>
            <w:pPr>
              <w:pStyle w:val="TableParagraph"/>
              <w:spacing w:before="37"/>
              <w:ind w:left="113"/>
              <w:rPr>
                <w:b/>
                <w:sz w:val="19"/>
              </w:rPr>
            </w:pPr>
            <w:r>
              <w:rPr>
                <w:b/>
                <w:sz w:val="19"/>
              </w:rPr>
              <w:t>Net cash provided by State Government</w:t>
            </w:r>
          </w:p>
        </w:tc>
        <w:tc>
          <w:tcPr>
            <w:tcW w:w="1821" w:type="dxa"/>
            <w:shd w:val="clear" w:color="auto" w:fill="FAF9F9"/>
          </w:tcPr>
          <w:p>
            <w:pPr>
              <w:pStyle w:val="TableParagraph"/>
              <w:spacing w:before="0"/>
              <w:rPr>
                <w:rFonts w:ascii="Times New Roman"/>
                <w:sz w:val="22"/>
              </w:rPr>
            </w:pPr>
          </w:p>
        </w:tc>
        <w:tc>
          <w:tcPr>
            <w:tcW w:w="1141"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110,798</w:t>
            </w:r>
          </w:p>
        </w:tc>
        <w:tc>
          <w:tcPr>
            <w:tcW w:w="1151" w:type="dxa"/>
            <w:tcBorders>
              <w:top w:val="single" w:sz="4" w:space="0" w:color="000000"/>
              <w:bottom w:val="single" w:sz="4" w:space="0" w:color="000000"/>
            </w:tcBorders>
            <w:shd w:val="clear" w:color="auto" w:fill="E1E4BB"/>
          </w:tcPr>
          <w:p>
            <w:pPr>
              <w:pStyle w:val="TableParagraph"/>
              <w:spacing w:before="37"/>
              <w:ind w:right="112"/>
              <w:jc w:val="right"/>
              <w:rPr>
                <w:b/>
                <w:sz w:val="19"/>
              </w:rPr>
            </w:pPr>
            <w:r>
              <w:rPr>
                <w:b/>
                <w:w w:val="95"/>
                <w:sz w:val="19"/>
              </w:rPr>
              <w:t>105,970</w:t>
            </w:r>
          </w:p>
        </w:tc>
        <w:tc>
          <w:tcPr>
            <w:tcW w:w="1628" w:type="dxa"/>
            <w:tcBorders>
              <w:top w:val="single" w:sz="4" w:space="0" w:color="000000"/>
              <w:bottom w:val="single" w:sz="4" w:space="0" w:color="000000"/>
            </w:tcBorders>
            <w:shd w:val="clear" w:color="auto" w:fill="FAF9F9"/>
          </w:tcPr>
          <w:p>
            <w:pPr>
              <w:pStyle w:val="TableParagraph"/>
              <w:spacing w:before="37"/>
              <w:ind w:right="192"/>
              <w:jc w:val="right"/>
              <w:rPr>
                <w:b/>
                <w:sz w:val="19"/>
              </w:rPr>
            </w:pPr>
            <w:r>
              <w:rPr>
                <w:b/>
                <w:w w:val="95"/>
                <w:sz w:val="19"/>
              </w:rPr>
              <w:t>143,827</w:t>
            </w:r>
          </w:p>
        </w:tc>
        <w:tc>
          <w:tcPr>
            <w:tcW w:w="2131" w:type="dxa"/>
            <w:tcBorders>
              <w:top w:val="single" w:sz="4" w:space="0" w:color="000000"/>
              <w:bottom w:val="single" w:sz="4" w:space="0" w:color="000000"/>
            </w:tcBorders>
            <w:shd w:val="clear" w:color="auto" w:fill="FAF9F9"/>
          </w:tcPr>
          <w:p>
            <w:pPr>
              <w:pStyle w:val="TableParagraph"/>
              <w:spacing w:before="37"/>
              <w:ind w:right="151"/>
              <w:jc w:val="right"/>
              <w:rPr>
                <w:b/>
                <w:sz w:val="19"/>
              </w:rPr>
            </w:pPr>
            <w:r>
              <w:rPr>
                <w:b/>
                <w:w w:val="95"/>
                <w:sz w:val="19"/>
              </w:rPr>
              <w:t>(4,828)</w:t>
            </w:r>
          </w:p>
        </w:tc>
        <w:tc>
          <w:tcPr>
            <w:tcW w:w="2527" w:type="dxa"/>
            <w:tcBorders>
              <w:top w:val="single" w:sz="4" w:space="0" w:color="000000"/>
              <w:bottom w:val="single" w:sz="4" w:space="0" w:color="000000"/>
            </w:tcBorders>
            <w:shd w:val="clear" w:color="auto" w:fill="FAF9F9"/>
          </w:tcPr>
          <w:p>
            <w:pPr>
              <w:pStyle w:val="TableParagraph"/>
              <w:spacing w:before="37"/>
              <w:ind w:right="110"/>
              <w:jc w:val="right"/>
              <w:rPr>
                <w:b/>
                <w:sz w:val="19"/>
              </w:rPr>
            </w:pPr>
            <w:r>
              <w:rPr>
                <w:b/>
                <w:w w:val="95"/>
                <w:sz w:val="19"/>
              </w:rPr>
              <w:t>(37,857)</w:t>
            </w:r>
          </w:p>
        </w:tc>
      </w:tr>
    </w:tbl>
    <w:p>
      <w:pPr>
        <w:spacing w:after="0"/>
        <w:jc w:val="right"/>
        <w:rPr>
          <w:sz w:val="19"/>
        </w:rPr>
        <w:sectPr>
          <w:footerReference w:type="default" r:id="rId191"/>
          <w:pgSz w:w="16840" w:h="11910" w:orient="landscape"/>
          <w:pgMar w:footer="774" w:header="0" w:top="0" w:bottom="960" w:left="0" w:right="0"/>
        </w:sectPr>
      </w:pPr>
    </w:p>
    <w:p>
      <w:pPr>
        <w:pStyle w:val="BodyText"/>
        <w:rPr>
          <w:sz w:val="20"/>
        </w:rPr>
      </w:pPr>
      <w:r>
        <w:rPr/>
        <w:pict>
          <v:line style="position:absolute;mso-position-horizontal-relative:page;mso-position-vertical-relative:page;z-index:-690544" from="566.578674pt,326.799711pt" to="566.578674pt,311.441711pt" stroked="true" strokeweight="1pt" strokecolor="#ffffff">
            <v:stroke dashstyle="solid"/>
            <w10:wrap type="none"/>
          </v:line>
        </w:pict>
      </w:r>
      <w:r>
        <w:rPr/>
        <w:pict>
          <v:line style="position:absolute;mso-position-horizontal-relative:page;mso-position-vertical-relative:page;z-index:-690520" from="675.14563pt,326.799711pt" to="675.14563pt,311.441711pt" stroked="true" strokeweight="1pt" strokecolor="#ffffff">
            <v:stroke dashstyle="solid"/>
            <w10:wrap type="none"/>
          </v:line>
        </w:pict>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b/>
          <w:sz w:val="21"/>
        </w:rPr>
      </w:pPr>
    </w:p>
    <w:p>
      <w:pPr>
        <w:pStyle w:val="Heading1"/>
      </w:pPr>
      <w:r>
        <w:rPr/>
        <w:pict>
          <v:group style="position:absolute;margin-left:120.271004pt;margin-top:-57.37421pt;width:721.65pt;height:42.55pt;mso-position-horizontal-relative:page;mso-position-vertical-relative:paragraph;z-index:22144"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1" w:hRule="atLeast"/>
        </w:trPr>
        <w:tc>
          <w:tcPr>
            <w:tcW w:w="6707" w:type="dxa"/>
            <w:gridSpan w:val="2"/>
            <w:tcBorders>
              <w:left w:val="single" w:sz="8" w:space="0" w:color="FFFFFF"/>
            </w:tcBorders>
            <w:shd w:val="clear" w:color="auto" w:fill="783A79"/>
          </w:tcPr>
          <w:p>
            <w:pPr>
              <w:pStyle w:val="TableParagraph"/>
              <w:spacing w:line="249" w:lineRule="auto" w:before="42"/>
              <w:ind w:left="5914" w:hanging="175"/>
              <w:rPr>
                <w:b/>
                <w:sz w:val="19"/>
              </w:rPr>
            </w:pPr>
            <w:r>
              <w:rPr>
                <w:b/>
                <w:color w:val="FFFFFF"/>
                <w:sz w:val="19"/>
              </w:rPr>
              <w:t>Variance Note</w:t>
            </w:r>
          </w:p>
        </w:tc>
        <w:tc>
          <w:tcPr>
            <w:tcW w:w="1151" w:type="dxa"/>
            <w:shd w:val="clear" w:color="auto" w:fill="783A79"/>
          </w:tcPr>
          <w:p>
            <w:pPr>
              <w:pStyle w:val="TableParagraph"/>
              <w:spacing w:before="42"/>
              <w:ind w:left="248"/>
              <w:rPr>
                <w:b/>
                <w:sz w:val="19"/>
              </w:rPr>
            </w:pPr>
            <w:r>
              <w:rPr>
                <w:b/>
                <w:color w:val="FFFFFF"/>
                <w:sz w:val="19"/>
              </w:rPr>
              <w:t>Estimate</w:t>
            </w:r>
          </w:p>
          <w:p>
            <w:pPr>
              <w:pStyle w:val="TableParagraph"/>
              <w:spacing w:before="10"/>
              <w:ind w:left="624"/>
              <w:rPr>
                <w:b/>
                <w:sz w:val="19"/>
              </w:rPr>
            </w:pPr>
            <w:r>
              <w:rPr>
                <w:b/>
                <w:color w:val="FFFFFF"/>
                <w:sz w:val="19"/>
              </w:rPr>
              <w:t>2018</w:t>
            </w:r>
          </w:p>
          <w:p>
            <w:pPr>
              <w:pStyle w:val="TableParagraph"/>
              <w:spacing w:before="9"/>
              <w:ind w:left="624"/>
              <w:rPr>
                <w:b/>
                <w:sz w:val="19"/>
              </w:rPr>
            </w:pPr>
            <w:r>
              <w:rPr>
                <w:b/>
                <w:color w:val="FFFFFF"/>
                <w:sz w:val="19"/>
              </w:rPr>
              <w:t>$000</w:t>
            </w:r>
          </w:p>
        </w:tc>
        <w:tc>
          <w:tcPr>
            <w:tcW w:w="1151" w:type="dxa"/>
            <w:shd w:val="clear" w:color="auto" w:fill="783A79"/>
          </w:tcPr>
          <w:p>
            <w:pPr>
              <w:pStyle w:val="TableParagraph"/>
              <w:spacing w:line="249" w:lineRule="auto" w:before="42"/>
              <w:ind w:left="624" w:right="84" w:hanging="155"/>
              <w:rPr>
                <w:b/>
                <w:sz w:val="19"/>
              </w:rPr>
            </w:pPr>
            <w:r>
              <w:rPr>
                <w:b/>
                <w:color w:val="FFFFFF"/>
                <w:w w:val="95"/>
                <w:sz w:val="19"/>
              </w:rPr>
              <w:t>Actual </w:t>
            </w:r>
            <w:r>
              <w:rPr>
                <w:b/>
                <w:color w:val="FFFFFF"/>
                <w:sz w:val="19"/>
              </w:rPr>
              <w:t>2018</w:t>
            </w:r>
          </w:p>
          <w:p>
            <w:pPr>
              <w:pStyle w:val="TableParagraph"/>
              <w:spacing w:before="2"/>
              <w:ind w:left="624"/>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8"/>
              <w:rPr>
                <w:sz w:val="20"/>
              </w:rPr>
            </w:pPr>
          </w:p>
          <w:p>
            <w:pPr>
              <w:pStyle w:val="TableParagraph"/>
              <w:spacing w:before="0"/>
              <w:ind w:left="1021"/>
              <w:rPr>
                <w:b/>
                <w:sz w:val="19"/>
              </w:rPr>
            </w:pPr>
            <w:r>
              <w:rPr>
                <w:b/>
                <w:color w:val="FFFFFF"/>
                <w:sz w:val="19"/>
              </w:rPr>
              <w:t>$000</w:t>
            </w:r>
          </w:p>
        </w:tc>
        <w:tc>
          <w:tcPr>
            <w:tcW w:w="2172" w:type="dxa"/>
            <w:shd w:val="clear" w:color="auto" w:fill="783A79"/>
          </w:tcPr>
          <w:p>
            <w:pPr>
              <w:pStyle w:val="TableParagraph"/>
              <w:spacing w:line="249" w:lineRule="auto" w:before="42"/>
              <w:ind w:left="283" w:right="102"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02"/>
              <w:jc w:val="right"/>
              <w:rPr>
                <w:b/>
                <w:sz w:val="19"/>
              </w:rPr>
            </w:pPr>
            <w:r>
              <w:rPr>
                <w:b/>
                <w:color w:val="FFFFFF"/>
                <w:w w:val="95"/>
                <w:sz w:val="19"/>
              </w:rPr>
              <w:t>$000</w:t>
            </w:r>
          </w:p>
        </w:tc>
        <w:tc>
          <w:tcPr>
            <w:tcW w:w="2569" w:type="dxa"/>
            <w:shd w:val="clear" w:color="auto" w:fill="783A79"/>
          </w:tcPr>
          <w:p>
            <w:pPr>
              <w:pStyle w:val="TableParagraph"/>
              <w:spacing w:line="249" w:lineRule="auto" w:before="42"/>
              <w:ind w:left="203" w:right="103"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03"/>
              <w:jc w:val="right"/>
              <w:rPr>
                <w:b/>
                <w:sz w:val="19"/>
              </w:rPr>
            </w:pPr>
            <w:r>
              <w:rPr>
                <w:b/>
                <w:color w:val="FFFFFF"/>
                <w:w w:val="95"/>
                <w:sz w:val="19"/>
              </w:rPr>
              <w:t>$000</w:t>
            </w:r>
          </w:p>
        </w:tc>
      </w:tr>
      <w:tr>
        <w:trPr>
          <w:trHeight w:val="649" w:hRule="atLeast"/>
        </w:trPr>
        <w:tc>
          <w:tcPr>
            <w:tcW w:w="5556" w:type="dxa"/>
            <w:shd w:val="clear" w:color="auto" w:fill="FFFFFF"/>
          </w:tcPr>
          <w:p>
            <w:pPr>
              <w:pStyle w:val="TableParagraph"/>
              <w:spacing w:before="42"/>
              <w:ind w:left="123"/>
              <w:rPr>
                <w:b/>
                <w:sz w:val="19"/>
              </w:rPr>
            </w:pPr>
            <w:r>
              <w:rPr>
                <w:b/>
                <w:sz w:val="19"/>
              </w:rPr>
              <w:t>CASH FLOWS FROM OPERATING ACTIVITIES</w:t>
            </w:r>
          </w:p>
          <w:p>
            <w:pPr>
              <w:pStyle w:val="TableParagraph"/>
              <w:spacing w:before="109"/>
              <w:ind w:left="123"/>
              <w:rPr>
                <w:i/>
                <w:sz w:val="19"/>
              </w:rPr>
            </w:pPr>
            <w:r>
              <w:rPr>
                <w:i/>
                <w:color w:val="6F2770"/>
                <w:sz w:val="19"/>
              </w:rPr>
              <w:t>Payments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0"/>
              <w:rPr>
                <w:rFonts w:ascii="Times New Roman"/>
                <w:sz w:val="20"/>
              </w:rPr>
            </w:pPr>
          </w:p>
        </w:tc>
        <w:tc>
          <w:tcPr>
            <w:tcW w:w="1151" w:type="dxa"/>
            <w:vMerge w:val="restart"/>
            <w:tcBorders>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191"/>
              <w:ind w:left="171" w:right="7"/>
              <w:jc w:val="center"/>
              <w:rPr>
                <w:sz w:val="19"/>
              </w:rPr>
            </w:pPr>
            <w:r>
              <w:rPr>
                <w:sz w:val="19"/>
              </w:rPr>
              <w:t>(117,949)</w:t>
            </w:r>
          </w:p>
          <w:p>
            <w:pPr>
              <w:pStyle w:val="TableParagraph"/>
              <w:spacing w:before="108"/>
              <w:ind w:left="79" w:right="59"/>
              <w:jc w:val="center"/>
              <w:rPr>
                <w:sz w:val="19"/>
              </w:rPr>
            </w:pPr>
            <w:r>
              <w:rPr>
                <w:sz w:val="19"/>
              </w:rPr>
              <w:t>(1,136,777)</w:t>
            </w:r>
          </w:p>
          <w:p>
            <w:pPr>
              <w:pStyle w:val="TableParagraph"/>
              <w:spacing w:before="109"/>
              <w:ind w:left="435" w:right="59"/>
              <w:jc w:val="center"/>
              <w:rPr>
                <w:sz w:val="19"/>
              </w:rPr>
            </w:pPr>
            <w:r>
              <w:rPr>
                <w:sz w:val="19"/>
              </w:rPr>
              <w:t>(6,604)</w:t>
            </w:r>
          </w:p>
          <w:p>
            <w:pPr>
              <w:pStyle w:val="TableParagraph"/>
              <w:spacing w:before="109"/>
              <w:ind w:left="329" w:right="59"/>
              <w:jc w:val="center"/>
              <w:rPr>
                <w:sz w:val="19"/>
              </w:rPr>
            </w:pPr>
            <w:r>
              <w:rPr>
                <w:sz w:val="19"/>
              </w:rPr>
              <w:t>(40,438)</w:t>
            </w:r>
          </w:p>
          <w:p>
            <w:pPr>
              <w:pStyle w:val="TableParagraph"/>
              <w:spacing w:before="108"/>
              <w:ind w:left="541" w:right="7"/>
              <w:jc w:val="center"/>
              <w:rPr>
                <w:sz w:val="19"/>
              </w:rPr>
            </w:pPr>
            <w:r>
              <w:rPr>
                <w:sz w:val="19"/>
              </w:rPr>
              <w:t>(574)</w:t>
            </w:r>
          </w:p>
          <w:p>
            <w:pPr>
              <w:pStyle w:val="TableParagraph"/>
              <w:spacing w:before="109"/>
              <w:ind w:left="171" w:right="7"/>
              <w:jc w:val="center"/>
              <w:rPr>
                <w:sz w:val="19"/>
              </w:rPr>
            </w:pPr>
            <w:r>
              <w:rPr>
                <w:sz w:val="19"/>
              </w:rPr>
              <w:t>(134,697)</w:t>
            </w:r>
          </w:p>
          <w:p>
            <w:pPr>
              <w:pStyle w:val="TableParagraph"/>
              <w:spacing w:before="109"/>
              <w:ind w:left="435" w:right="59"/>
              <w:jc w:val="center"/>
              <w:rPr>
                <w:sz w:val="19"/>
              </w:rPr>
            </w:pPr>
            <w:r>
              <w:rPr>
                <w:sz w:val="19"/>
              </w:rPr>
              <w:t>(6,032)</w:t>
            </w:r>
          </w:p>
          <w:p>
            <w:pPr>
              <w:pStyle w:val="TableParagraph"/>
              <w:spacing w:before="108"/>
              <w:ind w:left="435" w:right="59"/>
              <w:jc w:val="center"/>
              <w:rPr>
                <w:sz w:val="19"/>
              </w:rPr>
            </w:pPr>
            <w:r>
              <w:rPr>
                <w:sz w:val="19"/>
              </w:rPr>
              <w:t>(2,632)</w:t>
            </w:r>
          </w:p>
          <w:p>
            <w:pPr>
              <w:pStyle w:val="TableParagraph"/>
              <w:spacing w:before="0"/>
              <w:rPr>
                <w:sz w:val="22"/>
              </w:rPr>
            </w:pPr>
          </w:p>
          <w:p>
            <w:pPr>
              <w:pStyle w:val="TableParagraph"/>
              <w:spacing w:before="183"/>
              <w:ind w:left="157" w:right="59"/>
              <w:jc w:val="center"/>
              <w:rPr>
                <w:sz w:val="19"/>
              </w:rPr>
            </w:pPr>
            <w:r>
              <w:rPr>
                <w:sz w:val="19"/>
              </w:rPr>
              <w:t>1,216,232</w:t>
            </w:r>
          </w:p>
          <w:p>
            <w:pPr>
              <w:pStyle w:val="TableParagraph"/>
              <w:spacing w:before="109"/>
              <w:ind w:left="526" w:right="59"/>
              <w:jc w:val="center"/>
              <w:rPr>
                <w:sz w:val="19"/>
              </w:rPr>
            </w:pPr>
            <w:r>
              <w:rPr>
                <w:sz w:val="19"/>
              </w:rPr>
              <w:t>5,575</w:t>
            </w:r>
          </w:p>
          <w:p>
            <w:pPr>
              <w:pStyle w:val="TableParagraph"/>
              <w:spacing w:before="109"/>
              <w:ind w:left="685" w:right="59"/>
              <w:jc w:val="center"/>
              <w:rPr>
                <w:sz w:val="19"/>
              </w:rPr>
            </w:pPr>
            <w:r>
              <w:rPr>
                <w:sz w:val="19"/>
              </w:rPr>
              <w:t>361</w:t>
            </w:r>
          </w:p>
          <w:p>
            <w:pPr>
              <w:pStyle w:val="TableParagraph"/>
              <w:spacing w:before="108"/>
              <w:ind w:left="315" w:right="59"/>
              <w:jc w:val="center"/>
              <w:rPr>
                <w:sz w:val="19"/>
              </w:rPr>
            </w:pPr>
            <w:r>
              <w:rPr>
                <w:sz w:val="19"/>
              </w:rPr>
              <w:t>132,352</w:t>
            </w:r>
          </w:p>
          <w:p>
            <w:pPr>
              <w:pStyle w:val="TableParagraph"/>
              <w:spacing w:before="109"/>
              <w:ind w:left="526" w:right="59"/>
              <w:jc w:val="center"/>
              <w:rPr>
                <w:sz w:val="19"/>
              </w:rPr>
            </w:pPr>
            <w:r>
              <w:rPr>
                <w:sz w:val="19"/>
              </w:rPr>
              <w:t>7,700</w:t>
            </w:r>
          </w:p>
          <w:p>
            <w:pPr>
              <w:pStyle w:val="TableParagraph"/>
              <w:spacing w:before="109"/>
              <w:ind w:left="421" w:right="59"/>
              <w:jc w:val="center"/>
              <w:rPr>
                <w:sz w:val="19"/>
              </w:rPr>
            </w:pPr>
            <w:r>
              <w:rPr>
                <w:sz w:val="19"/>
              </w:rPr>
              <w:t>15,343</w:t>
            </w:r>
          </w:p>
        </w:tc>
        <w:tc>
          <w:tcPr>
            <w:tcW w:w="1548" w:type="dxa"/>
            <w:shd w:val="clear" w:color="auto" w:fill="FFFFFF"/>
          </w:tcPr>
          <w:p>
            <w:pPr>
              <w:pStyle w:val="TableParagraph"/>
              <w:spacing w:before="0"/>
              <w:rPr>
                <w:rFonts w:ascii="Times New Roman"/>
                <w:sz w:val="20"/>
              </w:rPr>
            </w:pPr>
          </w:p>
        </w:tc>
        <w:tc>
          <w:tcPr>
            <w:tcW w:w="2172" w:type="dxa"/>
            <w:shd w:val="clear" w:color="auto" w:fill="FFFFFF"/>
          </w:tcPr>
          <w:p>
            <w:pPr>
              <w:pStyle w:val="TableParagraph"/>
              <w:spacing w:before="0"/>
              <w:rPr>
                <w:rFonts w:ascii="Times New Roman"/>
                <w:sz w:val="20"/>
              </w:rPr>
            </w:pPr>
          </w:p>
        </w:tc>
        <w:tc>
          <w:tcPr>
            <w:tcW w:w="2569" w:type="dxa"/>
            <w:shd w:val="clear" w:color="auto" w:fill="FFFFFF"/>
          </w:tcPr>
          <w:p>
            <w:pPr>
              <w:pStyle w:val="TableParagraph"/>
              <w:spacing w:before="0"/>
              <w:rPr>
                <w:rFonts w:ascii="Times New Roman"/>
                <w:sz w:val="20"/>
              </w:rPr>
            </w:pPr>
          </w:p>
        </w:tc>
      </w:tr>
      <w:tr>
        <w:trPr>
          <w:trHeight w:val="644" w:hRule="atLeast"/>
        </w:trPr>
        <w:tc>
          <w:tcPr>
            <w:tcW w:w="5556" w:type="dxa"/>
            <w:shd w:val="clear" w:color="auto" w:fill="FFFFFF"/>
          </w:tcPr>
          <w:p>
            <w:pPr>
              <w:pStyle w:val="TableParagraph"/>
              <w:spacing w:before="37"/>
              <w:ind w:left="123"/>
              <w:rPr>
                <w:sz w:val="19"/>
              </w:rPr>
            </w:pPr>
            <w:r>
              <w:rPr>
                <w:sz w:val="19"/>
              </w:rPr>
              <w:t>Employee benefits</w:t>
            </w:r>
          </w:p>
          <w:p>
            <w:pPr>
              <w:pStyle w:val="TableParagraph"/>
              <w:spacing w:before="109"/>
              <w:ind w:left="123"/>
              <w:rPr>
                <w:sz w:val="19"/>
              </w:rPr>
            </w:pPr>
            <w:r>
              <w:rPr>
                <w:sz w:val="19"/>
              </w:rPr>
              <w:t>Supplies and services</w:t>
            </w:r>
          </w:p>
        </w:tc>
        <w:tc>
          <w:tcPr>
            <w:tcW w:w="1151" w:type="dxa"/>
            <w:shd w:val="clear" w:color="auto" w:fill="FFFFFF"/>
          </w:tcPr>
          <w:p>
            <w:pPr>
              <w:pStyle w:val="TableParagraph"/>
              <w:spacing w:before="8"/>
              <w:rPr>
                <w:sz w:val="31"/>
              </w:rPr>
            </w:pPr>
          </w:p>
          <w:p>
            <w:pPr>
              <w:pStyle w:val="TableParagraph"/>
              <w:spacing w:before="0"/>
              <w:ind w:left="19"/>
              <w:jc w:val="center"/>
              <w:rPr>
                <w:sz w:val="19"/>
              </w:rPr>
            </w:pPr>
            <w:hyperlink w:history="true" w:anchor="_bookmark25">
              <w:r>
                <w:rPr>
                  <w:color w:val="6F2770"/>
                  <w:w w:val="99"/>
                  <w:sz w:val="19"/>
                  <w:u w:val="single" w:color="6F2770"/>
                </w:rPr>
                <w:t>1</w:t>
              </w:r>
            </w:hyperlink>
          </w:p>
        </w:tc>
        <w:tc>
          <w:tcPr>
            <w:tcW w:w="1151" w:type="dxa"/>
            <w:shd w:val="clear" w:color="auto" w:fill="FFFFFF"/>
          </w:tcPr>
          <w:p>
            <w:pPr>
              <w:pStyle w:val="TableParagraph"/>
              <w:spacing w:before="37"/>
              <w:ind w:left="171" w:right="6"/>
              <w:jc w:val="center"/>
              <w:rPr>
                <w:sz w:val="19"/>
              </w:rPr>
            </w:pPr>
            <w:r>
              <w:rPr>
                <w:sz w:val="19"/>
              </w:rPr>
              <w:t>(135,346)</w:t>
            </w:r>
          </w:p>
          <w:p>
            <w:pPr>
              <w:pStyle w:val="TableParagraph"/>
              <w:spacing w:before="109"/>
              <w:ind w:left="79" w:right="59"/>
              <w:jc w:val="center"/>
              <w:rPr>
                <w:sz w:val="19"/>
              </w:rPr>
            </w:pPr>
            <w:r>
              <w:rPr>
                <w:sz w:val="19"/>
              </w:rPr>
              <w:t>(1,147,690)</w:t>
            </w:r>
          </w:p>
        </w:tc>
        <w:tc>
          <w:tcPr>
            <w:tcW w:w="1151" w:type="dxa"/>
            <w:vMerge/>
            <w:tcBorders>
              <w:top w:val="nil"/>
              <w:bottom w:val="single" w:sz="4" w:space="0" w:color="000000"/>
            </w:tcBorders>
            <w:shd w:val="clear" w:color="auto" w:fill="DFE1B8"/>
          </w:tcPr>
          <w:p>
            <w:pPr>
              <w:rPr>
                <w:sz w:val="2"/>
                <w:szCs w:val="2"/>
              </w:rPr>
            </w:pPr>
          </w:p>
        </w:tc>
        <w:tc>
          <w:tcPr>
            <w:tcW w:w="1548" w:type="dxa"/>
            <w:shd w:val="clear" w:color="auto" w:fill="FFFFFF"/>
          </w:tcPr>
          <w:p>
            <w:pPr>
              <w:pStyle w:val="TableParagraph"/>
              <w:spacing w:before="37"/>
              <w:ind w:left="665"/>
              <w:rPr>
                <w:sz w:val="19"/>
              </w:rPr>
            </w:pPr>
            <w:r>
              <w:rPr>
                <w:sz w:val="19"/>
              </w:rPr>
              <w:t>(113,736)</w:t>
            </w:r>
          </w:p>
          <w:p>
            <w:pPr>
              <w:pStyle w:val="TableParagraph"/>
              <w:spacing w:before="109"/>
              <w:ind w:left="665"/>
              <w:rPr>
                <w:sz w:val="19"/>
              </w:rPr>
            </w:pPr>
            <w:r>
              <w:rPr>
                <w:sz w:val="19"/>
              </w:rPr>
              <w:t>(944,694)</w:t>
            </w:r>
          </w:p>
        </w:tc>
        <w:tc>
          <w:tcPr>
            <w:tcW w:w="2172" w:type="dxa"/>
            <w:shd w:val="clear" w:color="auto" w:fill="FFFFFF"/>
          </w:tcPr>
          <w:p>
            <w:pPr>
              <w:pStyle w:val="TableParagraph"/>
              <w:spacing w:before="37"/>
              <w:ind w:right="102"/>
              <w:jc w:val="right"/>
              <w:rPr>
                <w:sz w:val="19"/>
              </w:rPr>
            </w:pPr>
            <w:r>
              <w:rPr>
                <w:spacing w:val="-1"/>
                <w:sz w:val="19"/>
              </w:rPr>
              <w:t>17,397</w:t>
            </w:r>
          </w:p>
          <w:p>
            <w:pPr>
              <w:pStyle w:val="TableParagraph"/>
              <w:spacing w:before="109"/>
              <w:ind w:right="102"/>
              <w:jc w:val="right"/>
              <w:rPr>
                <w:sz w:val="19"/>
              </w:rPr>
            </w:pPr>
            <w:r>
              <w:rPr>
                <w:spacing w:val="-1"/>
                <w:sz w:val="19"/>
              </w:rPr>
              <w:t>10,913</w:t>
            </w:r>
          </w:p>
        </w:tc>
        <w:tc>
          <w:tcPr>
            <w:tcW w:w="2569" w:type="dxa"/>
            <w:shd w:val="clear" w:color="auto" w:fill="FFFFFF"/>
          </w:tcPr>
          <w:p>
            <w:pPr>
              <w:pStyle w:val="TableParagraph"/>
              <w:spacing w:before="37"/>
              <w:ind w:right="103"/>
              <w:jc w:val="right"/>
              <w:rPr>
                <w:sz w:val="19"/>
              </w:rPr>
            </w:pPr>
            <w:r>
              <w:rPr>
                <w:w w:val="90"/>
                <w:sz w:val="19"/>
              </w:rPr>
              <w:t>(4,213)</w:t>
            </w:r>
          </w:p>
          <w:p>
            <w:pPr>
              <w:pStyle w:val="TableParagraph"/>
              <w:spacing w:before="109"/>
              <w:ind w:right="103"/>
              <w:jc w:val="right"/>
              <w:rPr>
                <w:sz w:val="19"/>
              </w:rPr>
            </w:pPr>
            <w:r>
              <w:rPr>
                <w:spacing w:val="-1"/>
                <w:w w:val="95"/>
                <w:sz w:val="19"/>
              </w:rPr>
              <w:t>(192,083)</w:t>
            </w:r>
          </w:p>
        </w:tc>
      </w:tr>
      <w:tr>
        <w:trPr>
          <w:trHeight w:val="639" w:hRule="atLeast"/>
        </w:trPr>
        <w:tc>
          <w:tcPr>
            <w:tcW w:w="5556" w:type="dxa"/>
            <w:shd w:val="clear" w:color="auto" w:fill="FFFFFF"/>
          </w:tcPr>
          <w:p>
            <w:pPr>
              <w:pStyle w:val="TableParagraph"/>
              <w:spacing w:before="37"/>
              <w:ind w:left="123"/>
              <w:rPr>
                <w:sz w:val="19"/>
              </w:rPr>
            </w:pPr>
            <w:r>
              <w:rPr>
                <w:sz w:val="19"/>
              </w:rPr>
              <w:t>Finance costs</w:t>
            </w:r>
          </w:p>
          <w:p>
            <w:pPr>
              <w:pStyle w:val="TableParagraph"/>
              <w:spacing w:before="109"/>
              <w:ind w:left="123"/>
              <w:rPr>
                <w:sz w:val="19"/>
              </w:rPr>
            </w:pPr>
            <w:r>
              <w:rPr>
                <w:sz w:val="19"/>
              </w:rPr>
              <w:t>Accommodation</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37"/>
              <w:ind w:left="435" w:right="59"/>
              <w:jc w:val="center"/>
              <w:rPr>
                <w:sz w:val="19"/>
              </w:rPr>
            </w:pPr>
            <w:r>
              <w:rPr>
                <w:sz w:val="19"/>
              </w:rPr>
              <w:t>(7,692)</w:t>
            </w:r>
          </w:p>
          <w:p>
            <w:pPr>
              <w:pStyle w:val="TableParagraph"/>
              <w:spacing w:before="109"/>
              <w:ind w:left="329" w:right="59"/>
              <w:jc w:val="center"/>
              <w:rPr>
                <w:sz w:val="19"/>
              </w:rPr>
            </w:pPr>
            <w:r>
              <w:rPr>
                <w:sz w:val="19"/>
              </w:rPr>
              <w:t>(26,646)</w:t>
            </w:r>
          </w:p>
        </w:tc>
        <w:tc>
          <w:tcPr>
            <w:tcW w:w="1151" w:type="dxa"/>
            <w:vMerge/>
            <w:tcBorders>
              <w:top w:val="nil"/>
              <w:bottom w:val="single" w:sz="4" w:space="0" w:color="000000"/>
            </w:tcBorders>
            <w:shd w:val="clear" w:color="auto" w:fill="DFE1B8"/>
          </w:tcPr>
          <w:p>
            <w:pPr>
              <w:rPr>
                <w:sz w:val="2"/>
                <w:szCs w:val="2"/>
              </w:rPr>
            </w:pPr>
          </w:p>
        </w:tc>
        <w:tc>
          <w:tcPr>
            <w:tcW w:w="1548" w:type="dxa"/>
            <w:shd w:val="clear" w:color="auto" w:fill="FFFFFF"/>
          </w:tcPr>
          <w:p>
            <w:pPr>
              <w:pStyle w:val="TableParagraph"/>
              <w:spacing w:before="37"/>
              <w:ind w:left="838" w:right="66"/>
              <w:jc w:val="center"/>
              <w:rPr>
                <w:sz w:val="19"/>
              </w:rPr>
            </w:pPr>
            <w:r>
              <w:rPr>
                <w:sz w:val="19"/>
              </w:rPr>
              <w:t>(7,359)</w:t>
            </w:r>
          </w:p>
          <w:p>
            <w:pPr>
              <w:pStyle w:val="TableParagraph"/>
              <w:spacing w:before="109"/>
              <w:ind w:left="726" w:right="59"/>
              <w:jc w:val="center"/>
              <w:rPr>
                <w:sz w:val="19"/>
              </w:rPr>
            </w:pPr>
            <w:r>
              <w:rPr>
                <w:sz w:val="19"/>
              </w:rPr>
              <w:t>(40,804)</w:t>
            </w:r>
          </w:p>
        </w:tc>
        <w:tc>
          <w:tcPr>
            <w:tcW w:w="2172" w:type="dxa"/>
            <w:shd w:val="clear" w:color="auto" w:fill="FFFFFF"/>
          </w:tcPr>
          <w:p>
            <w:pPr>
              <w:pStyle w:val="TableParagraph"/>
              <w:spacing w:before="37"/>
              <w:ind w:right="102"/>
              <w:jc w:val="right"/>
              <w:rPr>
                <w:sz w:val="19"/>
              </w:rPr>
            </w:pPr>
            <w:r>
              <w:rPr>
                <w:spacing w:val="-1"/>
                <w:sz w:val="19"/>
              </w:rPr>
              <w:t>1,088</w:t>
            </w:r>
          </w:p>
          <w:p>
            <w:pPr>
              <w:pStyle w:val="TableParagraph"/>
              <w:spacing w:before="109"/>
              <w:ind w:right="102"/>
              <w:jc w:val="right"/>
              <w:rPr>
                <w:sz w:val="19"/>
              </w:rPr>
            </w:pPr>
            <w:r>
              <w:rPr>
                <w:spacing w:val="-1"/>
                <w:w w:val="95"/>
                <w:sz w:val="19"/>
              </w:rPr>
              <w:t>(13,792)</w:t>
            </w:r>
          </w:p>
        </w:tc>
        <w:tc>
          <w:tcPr>
            <w:tcW w:w="2569" w:type="dxa"/>
            <w:shd w:val="clear" w:color="auto" w:fill="FFFFFF"/>
          </w:tcPr>
          <w:p>
            <w:pPr>
              <w:pStyle w:val="TableParagraph"/>
              <w:spacing w:before="37"/>
              <w:ind w:right="103"/>
              <w:jc w:val="right"/>
              <w:rPr>
                <w:sz w:val="19"/>
              </w:rPr>
            </w:pPr>
            <w:r>
              <w:rPr>
                <w:w w:val="95"/>
                <w:sz w:val="19"/>
              </w:rPr>
              <w:t>755</w:t>
            </w:r>
          </w:p>
          <w:p>
            <w:pPr>
              <w:pStyle w:val="TableParagraph"/>
              <w:spacing w:before="109"/>
              <w:ind w:right="103"/>
              <w:jc w:val="right"/>
              <w:rPr>
                <w:sz w:val="19"/>
              </w:rPr>
            </w:pPr>
            <w:r>
              <w:rPr>
                <w:w w:val="95"/>
                <w:sz w:val="19"/>
              </w:rPr>
              <w:t>366</w:t>
            </w:r>
          </w:p>
        </w:tc>
      </w:tr>
      <w:tr>
        <w:trPr>
          <w:trHeight w:val="302" w:hRule="atLeast"/>
        </w:trPr>
        <w:tc>
          <w:tcPr>
            <w:tcW w:w="5556" w:type="dxa"/>
            <w:vMerge w:val="restart"/>
            <w:shd w:val="clear" w:color="auto" w:fill="FFFFFF"/>
          </w:tcPr>
          <w:p>
            <w:pPr>
              <w:pStyle w:val="TableParagraph"/>
              <w:ind w:left="123"/>
              <w:rPr>
                <w:sz w:val="19"/>
              </w:rPr>
            </w:pPr>
            <w:r>
              <w:rPr>
                <w:sz w:val="19"/>
              </w:rPr>
              <w:t>Grants and subsidies</w:t>
            </w:r>
          </w:p>
          <w:p>
            <w:pPr>
              <w:pStyle w:val="TableParagraph"/>
              <w:spacing w:before="109"/>
              <w:ind w:left="123"/>
              <w:rPr>
                <w:sz w:val="19"/>
              </w:rPr>
            </w:pPr>
            <w:r>
              <w:rPr>
                <w:sz w:val="19"/>
              </w:rPr>
              <w:t>GST payments on purchases</w:t>
            </w:r>
          </w:p>
        </w:tc>
        <w:tc>
          <w:tcPr>
            <w:tcW w:w="1151"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4F4F4"/>
          </w:tcPr>
          <w:p>
            <w:pPr>
              <w:pStyle w:val="TableParagraph"/>
              <w:ind w:right="101"/>
              <w:jc w:val="right"/>
              <w:rPr>
                <w:sz w:val="19"/>
              </w:rPr>
            </w:pPr>
            <w:r>
              <w:rPr>
                <w:w w:val="90"/>
                <w:sz w:val="19"/>
              </w:rPr>
              <w:t>(1,073)</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right w:val="single" w:sz="8" w:space="0" w:color="FFFFFF"/>
            </w:tcBorders>
            <w:shd w:val="clear" w:color="auto" w:fill="F4F4F4"/>
          </w:tcPr>
          <w:p>
            <w:pPr>
              <w:pStyle w:val="TableParagraph"/>
              <w:ind w:right="92"/>
              <w:jc w:val="right"/>
              <w:rPr>
                <w:sz w:val="19"/>
              </w:rPr>
            </w:pPr>
            <w:r>
              <w:rPr>
                <w:w w:val="90"/>
                <w:sz w:val="19"/>
              </w:rPr>
              <w:t>(754)</w:t>
            </w:r>
          </w:p>
        </w:tc>
        <w:tc>
          <w:tcPr>
            <w:tcW w:w="2172" w:type="dxa"/>
            <w:tcBorders>
              <w:top w:val="single" w:sz="8" w:space="0" w:color="FFFFFF"/>
              <w:left w:val="single" w:sz="8" w:space="0" w:color="FFFFFF"/>
              <w:right w:val="single" w:sz="8" w:space="0" w:color="FFFFFF"/>
            </w:tcBorders>
            <w:shd w:val="clear" w:color="auto" w:fill="F4F4F4"/>
          </w:tcPr>
          <w:p>
            <w:pPr>
              <w:pStyle w:val="TableParagraph"/>
              <w:ind w:right="92"/>
              <w:jc w:val="right"/>
              <w:rPr>
                <w:sz w:val="19"/>
              </w:rPr>
            </w:pPr>
            <w:r>
              <w:rPr>
                <w:w w:val="95"/>
                <w:sz w:val="19"/>
              </w:rPr>
              <w:t>499</w:t>
            </w:r>
          </w:p>
        </w:tc>
        <w:tc>
          <w:tcPr>
            <w:tcW w:w="2569" w:type="dxa"/>
            <w:tcBorders>
              <w:top w:val="single" w:sz="8" w:space="0" w:color="FFFFFF"/>
              <w:left w:val="single" w:sz="8" w:space="0" w:color="FFFFFF"/>
            </w:tcBorders>
            <w:shd w:val="clear" w:color="auto" w:fill="F4F4F4"/>
          </w:tcPr>
          <w:p>
            <w:pPr>
              <w:pStyle w:val="TableParagraph"/>
              <w:ind w:right="103"/>
              <w:jc w:val="right"/>
              <w:rPr>
                <w:sz w:val="19"/>
              </w:rPr>
            </w:pPr>
            <w:r>
              <w:rPr>
                <w:w w:val="95"/>
                <w:sz w:val="19"/>
              </w:rPr>
              <w:t>180</w:t>
            </w:r>
          </w:p>
        </w:tc>
      </w:tr>
      <w:tr>
        <w:trPr>
          <w:trHeight w:val="322"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47"/>
              <w:ind w:left="1420"/>
              <w:rPr>
                <w:sz w:val="19"/>
              </w:rPr>
            </w:pPr>
            <w:r>
              <w:rPr>
                <w:sz w:val="19"/>
              </w:rPr>
              <w:t>(148,067)</w:t>
            </w:r>
          </w:p>
        </w:tc>
        <w:tc>
          <w:tcPr>
            <w:tcW w:w="1151" w:type="dxa"/>
            <w:vMerge/>
            <w:tcBorders>
              <w:top w:val="nil"/>
              <w:bottom w:val="single" w:sz="4" w:space="0" w:color="000000"/>
            </w:tcBorders>
            <w:shd w:val="clear" w:color="auto" w:fill="DFE1B8"/>
          </w:tcPr>
          <w:p>
            <w:pPr>
              <w:rPr>
                <w:sz w:val="2"/>
                <w:szCs w:val="2"/>
              </w:rPr>
            </w:pPr>
          </w:p>
        </w:tc>
        <w:tc>
          <w:tcPr>
            <w:tcW w:w="1548" w:type="dxa"/>
            <w:vMerge w:val="restart"/>
            <w:tcBorders>
              <w:bottom w:val="single" w:sz="8" w:space="0" w:color="FFFFFF"/>
            </w:tcBorders>
            <w:shd w:val="clear" w:color="auto" w:fill="F4F4F4"/>
          </w:tcPr>
          <w:p>
            <w:pPr>
              <w:pStyle w:val="TableParagraph"/>
              <w:spacing w:before="47"/>
              <w:ind w:left="665"/>
              <w:rPr>
                <w:sz w:val="19"/>
              </w:rPr>
            </w:pPr>
            <w:r>
              <w:rPr>
                <w:sz w:val="19"/>
              </w:rPr>
              <w:t>(112,146)</w:t>
            </w:r>
          </w:p>
          <w:p>
            <w:pPr>
              <w:pStyle w:val="TableParagraph"/>
              <w:spacing w:before="109"/>
              <w:ind w:left="876"/>
              <w:rPr>
                <w:sz w:val="19"/>
              </w:rPr>
            </w:pPr>
            <w:r>
              <w:rPr>
                <w:sz w:val="19"/>
              </w:rPr>
              <w:t>(6,136)</w:t>
            </w:r>
          </w:p>
          <w:p>
            <w:pPr>
              <w:pStyle w:val="TableParagraph"/>
              <w:spacing w:before="109"/>
              <w:ind w:left="876"/>
              <w:rPr>
                <w:sz w:val="19"/>
              </w:rPr>
            </w:pPr>
            <w:r>
              <w:rPr>
                <w:sz w:val="19"/>
              </w:rPr>
              <w:t>(4,945)</w:t>
            </w:r>
          </w:p>
        </w:tc>
        <w:tc>
          <w:tcPr>
            <w:tcW w:w="2172" w:type="dxa"/>
            <w:vMerge w:val="restart"/>
            <w:tcBorders>
              <w:bottom w:val="single" w:sz="8" w:space="0" w:color="FFFFFF"/>
            </w:tcBorders>
            <w:shd w:val="clear" w:color="auto" w:fill="F4F4F4"/>
          </w:tcPr>
          <w:p>
            <w:pPr>
              <w:pStyle w:val="TableParagraph"/>
              <w:spacing w:before="47"/>
              <w:ind w:right="102"/>
              <w:jc w:val="right"/>
              <w:rPr>
                <w:sz w:val="19"/>
              </w:rPr>
            </w:pPr>
            <w:r>
              <w:rPr>
                <w:spacing w:val="-1"/>
                <w:sz w:val="19"/>
              </w:rPr>
              <w:t>13,370</w:t>
            </w:r>
          </w:p>
          <w:p>
            <w:pPr>
              <w:pStyle w:val="TableParagraph"/>
              <w:spacing w:before="109"/>
              <w:ind w:right="102"/>
              <w:jc w:val="right"/>
              <w:rPr>
                <w:sz w:val="19"/>
              </w:rPr>
            </w:pPr>
            <w:r>
              <w:rPr>
                <w:w w:val="90"/>
                <w:sz w:val="19"/>
              </w:rPr>
              <w:t>(2,828)</w:t>
            </w:r>
          </w:p>
          <w:p>
            <w:pPr>
              <w:pStyle w:val="TableParagraph"/>
              <w:spacing w:before="109"/>
              <w:ind w:right="102"/>
              <w:jc w:val="right"/>
              <w:rPr>
                <w:sz w:val="19"/>
              </w:rPr>
            </w:pPr>
            <w:r>
              <w:rPr>
                <w:w w:val="90"/>
                <w:sz w:val="19"/>
              </w:rPr>
              <w:t>(2,295)</w:t>
            </w:r>
          </w:p>
        </w:tc>
        <w:tc>
          <w:tcPr>
            <w:tcW w:w="2569" w:type="dxa"/>
            <w:vMerge w:val="restart"/>
            <w:tcBorders>
              <w:bottom w:val="single" w:sz="8" w:space="0" w:color="FFFFFF"/>
            </w:tcBorders>
            <w:shd w:val="clear" w:color="auto" w:fill="F4F4F4"/>
          </w:tcPr>
          <w:p>
            <w:pPr>
              <w:pStyle w:val="TableParagraph"/>
              <w:spacing w:before="47"/>
              <w:ind w:right="103"/>
              <w:jc w:val="right"/>
              <w:rPr>
                <w:sz w:val="19"/>
              </w:rPr>
            </w:pPr>
            <w:r>
              <w:rPr>
                <w:spacing w:val="-1"/>
                <w:w w:val="95"/>
                <w:sz w:val="19"/>
              </w:rPr>
              <w:t>(22,551)</w:t>
            </w:r>
          </w:p>
          <w:p>
            <w:pPr>
              <w:pStyle w:val="TableParagraph"/>
              <w:spacing w:before="109"/>
              <w:ind w:right="103"/>
              <w:jc w:val="right"/>
              <w:rPr>
                <w:sz w:val="19"/>
              </w:rPr>
            </w:pPr>
            <w:r>
              <w:rPr>
                <w:w w:val="95"/>
                <w:sz w:val="19"/>
              </w:rPr>
              <w:t>104</w:t>
            </w:r>
          </w:p>
          <w:p>
            <w:pPr>
              <w:pStyle w:val="TableParagraph"/>
              <w:spacing w:before="109"/>
              <w:ind w:right="103"/>
              <w:jc w:val="right"/>
              <w:rPr>
                <w:sz w:val="19"/>
              </w:rPr>
            </w:pPr>
            <w:r>
              <w:rPr>
                <w:spacing w:val="-1"/>
                <w:sz w:val="19"/>
              </w:rPr>
              <w:t>2,313</w:t>
            </w:r>
          </w:p>
        </w:tc>
      </w:tr>
      <w:tr>
        <w:trPr>
          <w:trHeight w:val="297" w:hRule="atLeast"/>
        </w:trPr>
        <w:tc>
          <w:tcPr>
            <w:tcW w:w="5556" w:type="dxa"/>
            <w:vMerge w:val="restart"/>
            <w:shd w:val="clear" w:color="auto" w:fill="FFFFFF"/>
          </w:tcPr>
          <w:p>
            <w:pPr>
              <w:pStyle w:val="TableParagraph"/>
              <w:ind w:left="123"/>
              <w:rPr>
                <w:sz w:val="19"/>
              </w:rPr>
            </w:pPr>
            <w:r>
              <w:rPr>
                <w:sz w:val="19"/>
              </w:rPr>
              <w:t>GST payments to taxation authority</w:t>
            </w:r>
          </w:p>
          <w:p>
            <w:pPr>
              <w:pStyle w:val="TableParagraph"/>
              <w:spacing w:before="109"/>
              <w:ind w:left="123"/>
              <w:rPr>
                <w:sz w:val="19"/>
              </w:rPr>
            </w:pPr>
            <w:r>
              <w:rPr>
                <w:sz w:val="19"/>
              </w:rPr>
              <w:t>Other payments</w:t>
            </w:r>
          </w:p>
        </w:tc>
        <w:tc>
          <w:tcPr>
            <w:tcW w:w="1151"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4F4F4"/>
          </w:tcPr>
          <w:p>
            <w:pPr>
              <w:pStyle w:val="TableParagraph"/>
              <w:ind w:right="101"/>
              <w:jc w:val="right"/>
              <w:rPr>
                <w:sz w:val="19"/>
              </w:rPr>
            </w:pPr>
            <w:r>
              <w:rPr>
                <w:w w:val="90"/>
                <w:sz w:val="19"/>
              </w:rPr>
              <w:t>(3,204)</w:t>
            </w:r>
          </w:p>
        </w:tc>
        <w:tc>
          <w:tcPr>
            <w:tcW w:w="1151" w:type="dxa"/>
            <w:vMerge/>
            <w:tcBorders>
              <w:top w:val="nil"/>
              <w:bottom w:val="single" w:sz="4" w:space="0" w:color="000000"/>
            </w:tcBorders>
            <w:shd w:val="clear" w:color="auto" w:fill="DFE1B8"/>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2172" w:type="dxa"/>
            <w:vMerge/>
            <w:tcBorders>
              <w:top w:val="nil"/>
              <w:bottom w:val="single" w:sz="8" w:space="0" w:color="FFFFFF"/>
            </w:tcBorders>
            <w:shd w:val="clear" w:color="auto" w:fill="F4F4F4"/>
          </w:tcPr>
          <w:p>
            <w:pPr>
              <w:rPr>
                <w:sz w:val="2"/>
                <w:szCs w:val="2"/>
              </w:rPr>
            </w:pPr>
          </w:p>
        </w:tc>
        <w:tc>
          <w:tcPr>
            <w:tcW w:w="2569" w:type="dxa"/>
            <w:vMerge/>
            <w:tcBorders>
              <w:top w:val="nil"/>
              <w:bottom w:val="single" w:sz="8" w:space="0" w:color="FFFFFF"/>
            </w:tcBorders>
            <w:shd w:val="clear" w:color="auto" w:fill="F4F4F4"/>
          </w:tcPr>
          <w:p>
            <w:pPr>
              <w:rPr>
                <w:sz w:val="2"/>
                <w:szCs w:val="2"/>
              </w:rPr>
            </w:pPr>
          </w:p>
        </w:tc>
      </w:tr>
      <w:tr>
        <w:trPr>
          <w:trHeight w:val="31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42"/>
              <w:ind w:right="101"/>
              <w:jc w:val="right"/>
              <w:rPr>
                <w:sz w:val="19"/>
              </w:rPr>
            </w:pPr>
            <w:r>
              <w:rPr>
                <w:w w:val="90"/>
                <w:sz w:val="19"/>
              </w:rPr>
              <w:t>(337)</w:t>
            </w:r>
          </w:p>
        </w:tc>
        <w:tc>
          <w:tcPr>
            <w:tcW w:w="1151" w:type="dxa"/>
            <w:vMerge/>
            <w:tcBorders>
              <w:top w:val="nil"/>
              <w:bottom w:val="single" w:sz="4" w:space="0" w:color="000000"/>
            </w:tcBorders>
            <w:shd w:val="clear" w:color="auto" w:fill="DFE1B8"/>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2172" w:type="dxa"/>
            <w:vMerge/>
            <w:tcBorders>
              <w:top w:val="nil"/>
              <w:bottom w:val="single" w:sz="8" w:space="0" w:color="FFFFFF"/>
            </w:tcBorders>
            <w:shd w:val="clear" w:color="auto" w:fill="F4F4F4"/>
          </w:tcPr>
          <w:p>
            <w:pPr>
              <w:rPr>
                <w:sz w:val="2"/>
                <w:szCs w:val="2"/>
              </w:rPr>
            </w:pPr>
          </w:p>
        </w:tc>
        <w:tc>
          <w:tcPr>
            <w:tcW w:w="2569" w:type="dxa"/>
            <w:vMerge/>
            <w:tcBorders>
              <w:top w:val="nil"/>
              <w:bottom w:val="single" w:sz="8" w:space="0" w:color="FFFFFF"/>
            </w:tcBorders>
            <w:shd w:val="clear" w:color="auto" w:fill="F4F4F4"/>
          </w:tcPr>
          <w:p>
            <w:pPr>
              <w:rPr>
                <w:sz w:val="2"/>
                <w:szCs w:val="2"/>
              </w:rPr>
            </w:pPr>
          </w:p>
        </w:tc>
      </w:tr>
      <w:tr>
        <w:trPr>
          <w:trHeight w:val="307" w:hRule="atLeast"/>
        </w:trPr>
        <w:tc>
          <w:tcPr>
            <w:tcW w:w="5556" w:type="dxa"/>
            <w:vMerge w:val="restart"/>
            <w:shd w:val="clear" w:color="auto" w:fill="FFFFFF"/>
          </w:tcPr>
          <w:p>
            <w:pPr>
              <w:pStyle w:val="TableParagraph"/>
              <w:ind w:left="123"/>
              <w:rPr>
                <w:i/>
                <w:sz w:val="19"/>
              </w:rPr>
            </w:pPr>
            <w:r>
              <w:rPr>
                <w:i/>
                <w:color w:val="6F2770"/>
                <w:sz w:val="19"/>
              </w:rPr>
              <w:t>Receipts</w:t>
            </w:r>
          </w:p>
          <w:p>
            <w:pPr>
              <w:pStyle w:val="TableParagraph"/>
              <w:spacing w:before="109"/>
              <w:ind w:left="123"/>
              <w:rPr>
                <w:sz w:val="19"/>
              </w:rPr>
            </w:pPr>
            <w:r>
              <w:rPr>
                <w:sz w:val="19"/>
              </w:rPr>
              <w:t>User charges and fees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2569"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556" w:type="dxa"/>
            <w:vMerge/>
            <w:tcBorders>
              <w:top w:val="nil"/>
            </w:tcBorders>
            <w:shd w:val="clear" w:color="auto" w:fill="FFFFFF"/>
          </w:tcPr>
          <w:p>
            <w:pPr>
              <w:rPr>
                <w:sz w:val="2"/>
                <w:szCs w:val="2"/>
              </w:rPr>
            </w:pPr>
          </w:p>
        </w:tc>
        <w:tc>
          <w:tcPr>
            <w:tcW w:w="1151" w:type="dxa"/>
            <w:shd w:val="clear" w:color="auto" w:fill="FFFFFF"/>
          </w:tcPr>
          <w:p>
            <w:pPr>
              <w:pStyle w:val="TableParagraph"/>
              <w:ind w:left="19"/>
              <w:jc w:val="center"/>
              <w:rPr>
                <w:sz w:val="19"/>
              </w:rPr>
            </w:pPr>
            <w:hyperlink w:history="true" w:anchor="_bookmark25">
              <w:r>
                <w:rPr>
                  <w:color w:val="6F2770"/>
                  <w:w w:val="99"/>
                  <w:sz w:val="19"/>
                  <w:u w:val="single" w:color="6F2770"/>
                </w:rPr>
                <w:t>2</w:t>
              </w:r>
            </w:hyperlink>
          </w:p>
        </w:tc>
        <w:tc>
          <w:tcPr>
            <w:tcW w:w="1151" w:type="dxa"/>
            <w:shd w:val="clear" w:color="auto" w:fill="FFFFFF"/>
          </w:tcPr>
          <w:p>
            <w:pPr>
              <w:pStyle w:val="TableParagraph"/>
              <w:ind w:right="101"/>
              <w:jc w:val="right"/>
              <w:rPr>
                <w:sz w:val="19"/>
              </w:rPr>
            </w:pPr>
            <w:r>
              <w:rPr>
                <w:w w:val="95"/>
                <w:sz w:val="19"/>
              </w:rPr>
              <w:t>1,294,815</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1,011,354</w:t>
            </w:r>
          </w:p>
        </w:tc>
        <w:tc>
          <w:tcPr>
            <w:tcW w:w="2172"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(78,583)</w:t>
            </w:r>
          </w:p>
        </w:tc>
        <w:tc>
          <w:tcPr>
            <w:tcW w:w="2569" w:type="dxa"/>
            <w:tcBorders>
              <w:top w:val="single" w:sz="8" w:space="0" w:color="FFFFFF"/>
              <w:bottom w:val="single" w:sz="8" w:space="0" w:color="FFFFFF"/>
            </w:tcBorders>
            <w:shd w:val="clear" w:color="auto" w:fill="FAF9F9"/>
          </w:tcPr>
          <w:p>
            <w:pPr>
              <w:pStyle w:val="TableParagraph"/>
              <w:ind w:right="103"/>
              <w:jc w:val="right"/>
              <w:rPr>
                <w:sz w:val="19"/>
              </w:rPr>
            </w:pPr>
            <w:r>
              <w:rPr>
                <w:w w:val="95"/>
                <w:sz w:val="19"/>
              </w:rPr>
              <w:t>204,878</w:t>
            </w:r>
          </w:p>
        </w:tc>
      </w:tr>
      <w:tr>
        <w:trPr>
          <w:trHeight w:val="307" w:hRule="atLeast"/>
        </w:trPr>
        <w:tc>
          <w:tcPr>
            <w:tcW w:w="5556" w:type="dxa"/>
            <w:vMerge w:val="restart"/>
            <w:shd w:val="clear" w:color="auto" w:fill="FFFFFF"/>
          </w:tcPr>
          <w:p>
            <w:pPr>
              <w:pStyle w:val="TableParagraph"/>
              <w:ind w:left="123"/>
              <w:rPr>
                <w:sz w:val="19"/>
              </w:rPr>
            </w:pPr>
            <w:r>
              <w:rPr>
                <w:sz w:val="19"/>
              </w:rPr>
              <w:t>Commonwealth grants and contributions</w:t>
            </w:r>
          </w:p>
          <w:p>
            <w:pPr>
              <w:pStyle w:val="TableParagraph"/>
              <w:spacing w:before="109"/>
              <w:ind w:left="123"/>
              <w:rPr>
                <w:sz w:val="19"/>
              </w:rPr>
            </w:pPr>
            <w:r>
              <w:rPr>
                <w:sz w:val="19"/>
              </w:rPr>
              <w:t>Interest received</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1,425</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3,337</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4,150</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03"/>
              <w:jc w:val="right"/>
              <w:rPr>
                <w:sz w:val="19"/>
              </w:rPr>
            </w:pPr>
            <w:r>
              <w:rPr>
                <w:w w:val="95"/>
                <w:sz w:val="19"/>
              </w:rPr>
              <w:t>2,238</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01"/>
              <w:jc w:val="right"/>
              <w:rPr>
                <w:sz w:val="19"/>
              </w:rPr>
            </w:pPr>
            <w:r>
              <w:rPr>
                <w:w w:val="95"/>
                <w:sz w:val="19"/>
              </w:rPr>
              <w:t>152</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382</w:t>
            </w:r>
          </w:p>
        </w:tc>
        <w:tc>
          <w:tcPr>
            <w:tcW w:w="2172"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209</w:t>
            </w:r>
          </w:p>
        </w:tc>
        <w:tc>
          <w:tcPr>
            <w:tcW w:w="2569" w:type="dxa"/>
            <w:tcBorders>
              <w:top w:val="single" w:sz="8" w:space="0" w:color="FFFFFF"/>
              <w:bottom w:val="single" w:sz="8" w:space="0" w:color="FFFFFF"/>
            </w:tcBorders>
            <w:shd w:val="clear" w:color="auto" w:fill="FAF9F9"/>
          </w:tcPr>
          <w:p>
            <w:pPr>
              <w:pStyle w:val="TableParagraph"/>
              <w:ind w:right="103"/>
              <w:jc w:val="right"/>
              <w:rPr>
                <w:sz w:val="19"/>
              </w:rPr>
            </w:pPr>
            <w:r>
              <w:rPr>
                <w:w w:val="85"/>
                <w:sz w:val="19"/>
              </w:rPr>
              <w:t>(21)</w:t>
            </w:r>
          </w:p>
        </w:tc>
      </w:tr>
      <w:tr>
        <w:trPr>
          <w:trHeight w:val="307" w:hRule="atLeast"/>
        </w:trPr>
        <w:tc>
          <w:tcPr>
            <w:tcW w:w="5556" w:type="dxa"/>
            <w:vMerge w:val="restart"/>
            <w:shd w:val="clear" w:color="auto" w:fill="FFFFFF"/>
          </w:tcPr>
          <w:p>
            <w:pPr>
              <w:pStyle w:val="TableParagraph"/>
              <w:ind w:left="123"/>
              <w:rPr>
                <w:sz w:val="19"/>
              </w:rPr>
            </w:pPr>
            <w:r>
              <w:rPr>
                <w:sz w:val="19"/>
              </w:rPr>
              <w:t>GST receipts on sales</w:t>
            </w:r>
          </w:p>
          <w:p>
            <w:pPr>
              <w:pStyle w:val="TableParagraph"/>
              <w:spacing w:before="109"/>
              <w:ind w:left="123"/>
              <w:rPr>
                <w:sz w:val="19"/>
              </w:rPr>
            </w:pPr>
            <w:r>
              <w:rPr>
                <w:sz w:val="19"/>
              </w:rPr>
              <w:t>GST receipts from taxation authority</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139,711</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109,127</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0"/>
                <w:sz w:val="19"/>
              </w:rPr>
              <w:t>(7,359)</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03"/>
              <w:jc w:val="right"/>
              <w:rPr>
                <w:sz w:val="19"/>
              </w:rPr>
            </w:pPr>
            <w:r>
              <w:rPr>
                <w:w w:val="95"/>
                <w:sz w:val="19"/>
              </w:rPr>
              <w:t>23,225</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01"/>
              <w:jc w:val="right"/>
              <w:rPr>
                <w:sz w:val="19"/>
              </w:rPr>
            </w:pPr>
            <w:r>
              <w:rPr>
                <w:w w:val="95"/>
                <w:sz w:val="19"/>
              </w:rPr>
              <w:t>12,310</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7,491</w:t>
            </w:r>
          </w:p>
        </w:tc>
        <w:tc>
          <w:tcPr>
            <w:tcW w:w="2172" w:type="dxa"/>
            <w:tcBorders>
              <w:top w:val="single" w:sz="8" w:space="0" w:color="FFFFFF"/>
              <w:bottom w:val="single" w:sz="8" w:space="0" w:color="FFFFFF"/>
            </w:tcBorders>
            <w:shd w:val="clear" w:color="auto" w:fill="FAF9F9"/>
          </w:tcPr>
          <w:p>
            <w:pPr>
              <w:pStyle w:val="TableParagraph"/>
              <w:ind w:right="102"/>
              <w:jc w:val="right"/>
              <w:rPr>
                <w:sz w:val="19"/>
              </w:rPr>
            </w:pPr>
            <w:r>
              <w:rPr>
                <w:w w:val="90"/>
                <w:sz w:val="19"/>
              </w:rPr>
              <w:t>(4,610)</w:t>
            </w:r>
          </w:p>
        </w:tc>
        <w:tc>
          <w:tcPr>
            <w:tcW w:w="2569" w:type="dxa"/>
            <w:tcBorders>
              <w:top w:val="single" w:sz="8" w:space="0" w:color="FFFFFF"/>
              <w:bottom w:val="single" w:sz="8" w:space="0" w:color="FFFFFF"/>
            </w:tcBorders>
            <w:shd w:val="clear" w:color="auto" w:fill="FAF9F9"/>
          </w:tcPr>
          <w:p>
            <w:pPr>
              <w:pStyle w:val="TableParagraph"/>
              <w:ind w:right="103"/>
              <w:jc w:val="right"/>
              <w:rPr>
                <w:sz w:val="19"/>
              </w:rPr>
            </w:pPr>
            <w:r>
              <w:rPr>
                <w:w w:val="95"/>
                <w:sz w:val="19"/>
              </w:rPr>
              <w:t>209</w:t>
            </w:r>
          </w:p>
        </w:tc>
      </w:tr>
      <w:tr>
        <w:trPr>
          <w:trHeight w:val="312" w:hRule="atLeast"/>
        </w:trPr>
        <w:tc>
          <w:tcPr>
            <w:tcW w:w="5556" w:type="dxa"/>
            <w:vMerge w:val="restart"/>
            <w:shd w:val="clear" w:color="auto" w:fill="FFFFFF"/>
          </w:tcPr>
          <w:p>
            <w:pPr>
              <w:pStyle w:val="TableParagraph"/>
              <w:ind w:left="123"/>
              <w:rPr>
                <w:sz w:val="19"/>
              </w:rPr>
            </w:pPr>
            <w:r>
              <w:rPr>
                <w:sz w:val="19"/>
              </w:rPr>
              <w:t>Other receipts</w:t>
            </w:r>
          </w:p>
          <w:p>
            <w:pPr>
              <w:pStyle w:val="TableParagraph"/>
              <w:spacing w:before="109"/>
              <w:ind w:left="123"/>
              <w:rPr>
                <w:b/>
                <w:sz w:val="19"/>
              </w:rPr>
            </w:pPr>
            <w:r>
              <w:rPr>
                <w:b/>
                <w:sz w:val="19"/>
              </w:rPr>
              <w:t>Net cash provided by/(used in) operating activities</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8" w:space="0" w:color="FFFFFF"/>
              <w:left w:val="single" w:sz="8" w:space="0" w:color="FFFFFF"/>
              <w:bottom w:val="single" w:sz="4" w:space="0" w:color="000000"/>
            </w:tcBorders>
            <w:shd w:val="clear" w:color="auto" w:fill="F4F4F4"/>
          </w:tcPr>
          <w:p>
            <w:pPr>
              <w:pStyle w:val="TableParagraph"/>
              <w:ind w:right="101"/>
              <w:jc w:val="right"/>
              <w:rPr>
                <w:sz w:val="19"/>
              </w:rPr>
            </w:pPr>
            <w:r>
              <w:rPr>
                <w:w w:val="95"/>
                <w:sz w:val="19"/>
              </w:rPr>
              <w:t>17,335</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4" w:space="0" w:color="000000"/>
              <w:right w:val="single" w:sz="8" w:space="0" w:color="FFFFFF"/>
            </w:tcBorders>
            <w:shd w:val="clear" w:color="auto" w:fill="F4F4F4"/>
          </w:tcPr>
          <w:p>
            <w:pPr>
              <w:pStyle w:val="TableParagraph"/>
              <w:ind w:right="92"/>
              <w:jc w:val="right"/>
              <w:rPr>
                <w:sz w:val="19"/>
              </w:rPr>
            </w:pPr>
            <w:r>
              <w:rPr>
                <w:w w:val="95"/>
                <w:sz w:val="19"/>
              </w:rPr>
              <w:t>6,859</w:t>
            </w:r>
          </w:p>
        </w:tc>
        <w:tc>
          <w:tcPr>
            <w:tcW w:w="2172"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92"/>
              <w:jc w:val="right"/>
              <w:rPr>
                <w:sz w:val="19"/>
              </w:rPr>
            </w:pPr>
            <w:r>
              <w:rPr>
                <w:w w:val="90"/>
                <w:sz w:val="19"/>
              </w:rPr>
              <w:t>(1,992)</w:t>
            </w:r>
          </w:p>
        </w:tc>
        <w:tc>
          <w:tcPr>
            <w:tcW w:w="2569" w:type="dxa"/>
            <w:tcBorders>
              <w:top w:val="single" w:sz="8" w:space="0" w:color="FFFFFF"/>
              <w:left w:val="single" w:sz="8" w:space="0" w:color="FFFFFF"/>
              <w:bottom w:val="single" w:sz="4" w:space="0" w:color="000000"/>
            </w:tcBorders>
            <w:shd w:val="clear" w:color="auto" w:fill="F4F4F4"/>
          </w:tcPr>
          <w:p>
            <w:pPr>
              <w:pStyle w:val="TableParagraph"/>
              <w:ind w:right="103"/>
              <w:jc w:val="right"/>
              <w:rPr>
                <w:sz w:val="19"/>
              </w:rPr>
            </w:pPr>
            <w:r>
              <w:rPr>
                <w:w w:val="95"/>
                <w:sz w:val="19"/>
              </w:rPr>
              <w:t>8,484</w:t>
            </w:r>
          </w:p>
        </w:tc>
      </w:tr>
      <w:tr>
        <w:trPr>
          <w:trHeight w:val="317"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single" w:sz="4" w:space="0" w:color="000000"/>
            </w:tcBorders>
            <w:shd w:val="clear" w:color="auto" w:fill="FAF9F9"/>
          </w:tcPr>
          <w:p>
            <w:pPr>
              <w:pStyle w:val="TableParagraph"/>
              <w:spacing w:before="37"/>
              <w:ind w:right="101"/>
              <w:jc w:val="right"/>
              <w:rPr>
                <w:b/>
                <w:sz w:val="19"/>
              </w:rPr>
            </w:pPr>
            <w:r>
              <w:rPr>
                <w:b/>
                <w:w w:val="95"/>
                <w:sz w:val="19"/>
              </w:rPr>
              <w:t>(4,307)</w:t>
            </w:r>
          </w:p>
        </w:tc>
        <w:tc>
          <w:tcPr>
            <w:tcW w:w="1151" w:type="dxa"/>
            <w:tcBorders>
              <w:top w:val="single" w:sz="4" w:space="0" w:color="000000"/>
              <w:bottom w:val="single" w:sz="4" w:space="0" w:color="000000"/>
            </w:tcBorders>
            <w:shd w:val="clear" w:color="auto" w:fill="E1E4BB"/>
          </w:tcPr>
          <w:p>
            <w:pPr>
              <w:pStyle w:val="TableParagraph"/>
              <w:spacing w:before="37"/>
              <w:ind w:left="353"/>
              <w:rPr>
                <w:b/>
                <w:sz w:val="19"/>
              </w:rPr>
            </w:pPr>
            <w:r>
              <w:rPr>
                <w:b/>
                <w:sz w:val="19"/>
              </w:rPr>
              <w:t>(68,140)</w:t>
            </w:r>
          </w:p>
        </w:tc>
        <w:tc>
          <w:tcPr>
            <w:tcW w:w="1548" w:type="dxa"/>
            <w:tcBorders>
              <w:top w:val="single" w:sz="4" w:space="0" w:color="000000"/>
              <w:bottom w:val="single" w:sz="4" w:space="0" w:color="000000"/>
            </w:tcBorders>
            <w:shd w:val="clear" w:color="auto" w:fill="FAF9F9"/>
          </w:tcPr>
          <w:p>
            <w:pPr>
              <w:pStyle w:val="TableParagraph"/>
              <w:spacing w:before="37"/>
              <w:ind w:right="102"/>
              <w:jc w:val="right"/>
              <w:rPr>
                <w:b/>
                <w:sz w:val="19"/>
              </w:rPr>
            </w:pPr>
            <w:r>
              <w:rPr>
                <w:b/>
                <w:w w:val="95"/>
                <w:sz w:val="19"/>
              </w:rPr>
              <w:t>(92,024)</w:t>
            </w:r>
          </w:p>
        </w:tc>
        <w:tc>
          <w:tcPr>
            <w:tcW w:w="2172" w:type="dxa"/>
            <w:tcBorders>
              <w:top w:val="single" w:sz="4" w:space="0" w:color="000000"/>
              <w:bottom w:val="single" w:sz="4" w:space="0" w:color="000000"/>
            </w:tcBorders>
            <w:shd w:val="clear" w:color="auto" w:fill="FAF9F9"/>
          </w:tcPr>
          <w:p>
            <w:pPr>
              <w:pStyle w:val="TableParagraph"/>
              <w:spacing w:before="37"/>
              <w:ind w:right="102"/>
              <w:jc w:val="right"/>
              <w:rPr>
                <w:b/>
                <w:sz w:val="19"/>
              </w:rPr>
            </w:pPr>
            <w:r>
              <w:rPr>
                <w:b/>
                <w:w w:val="95"/>
                <w:sz w:val="19"/>
              </w:rPr>
              <w:t>(63,833)</w:t>
            </w:r>
          </w:p>
        </w:tc>
        <w:tc>
          <w:tcPr>
            <w:tcW w:w="2569" w:type="dxa"/>
            <w:tcBorders>
              <w:top w:val="single" w:sz="4" w:space="0" w:color="000000"/>
              <w:bottom w:val="single" w:sz="4" w:space="0" w:color="000000"/>
            </w:tcBorders>
            <w:shd w:val="clear" w:color="auto" w:fill="FAF9F9"/>
          </w:tcPr>
          <w:p>
            <w:pPr>
              <w:pStyle w:val="TableParagraph"/>
              <w:spacing w:before="37"/>
              <w:ind w:right="103"/>
              <w:jc w:val="right"/>
              <w:rPr>
                <w:b/>
                <w:sz w:val="19"/>
              </w:rPr>
            </w:pPr>
            <w:r>
              <w:rPr>
                <w:b/>
                <w:w w:val="95"/>
                <w:sz w:val="19"/>
              </w:rPr>
              <w:t>23,884</w:t>
            </w:r>
          </w:p>
        </w:tc>
      </w:tr>
    </w:tbl>
    <w:p>
      <w:pPr>
        <w:spacing w:after="0"/>
        <w:jc w:val="right"/>
        <w:rPr>
          <w:sz w:val="19"/>
        </w:rPr>
        <w:sectPr>
          <w:footerReference w:type="default" r:id="rId192"/>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spacing w:before="93"/>
        <w:ind w:left="785" w:right="0" w:firstLine="0"/>
        <w:jc w:val="left"/>
        <w:rPr>
          <w:sz w:val="72"/>
        </w:rPr>
      </w:pPr>
      <w:r>
        <w:rPr/>
        <w:pict>
          <v:group style="position:absolute;margin-left:120.271004pt;margin-top:-57.324211pt;width:721.65pt;height:42.55pt;mso-position-horizontal-relative:page;mso-position-vertical-relative:paragraph;z-index:2240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29"/>
        <w:ind w:left="785" w:right="0" w:firstLine="0"/>
        <w:jc w:val="left"/>
        <w:rPr>
          <w:sz w:val="36"/>
        </w:rPr>
      </w:pPr>
      <w:r>
        <w:rPr>
          <w:color w:val="6F2770"/>
          <w:sz w:val="36"/>
        </w:rPr>
        <w:t>For the year ended 30 June 2018</w:t>
      </w:r>
    </w:p>
    <w:p>
      <w:pPr>
        <w:pStyle w:val="BodyText"/>
        <w:spacing w:before="7"/>
        <w:rPr>
          <w:sz w:val="28"/>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1" w:hRule="atLeast"/>
        </w:trPr>
        <w:tc>
          <w:tcPr>
            <w:tcW w:w="6707" w:type="dxa"/>
            <w:gridSpan w:val="2"/>
            <w:tcBorders>
              <w:left w:val="single" w:sz="8" w:space="0" w:color="FFFFFF"/>
            </w:tcBorders>
            <w:shd w:val="clear" w:color="auto" w:fill="783A79"/>
          </w:tcPr>
          <w:p>
            <w:pPr>
              <w:pStyle w:val="TableParagraph"/>
              <w:spacing w:line="249" w:lineRule="auto" w:before="42"/>
              <w:ind w:left="5914" w:hanging="175"/>
              <w:rPr>
                <w:b/>
                <w:sz w:val="19"/>
              </w:rPr>
            </w:pPr>
            <w:r>
              <w:rPr>
                <w:b/>
                <w:color w:val="FFFFFF"/>
                <w:sz w:val="19"/>
              </w:rPr>
              <w:t>Variance Note</w:t>
            </w:r>
          </w:p>
        </w:tc>
        <w:tc>
          <w:tcPr>
            <w:tcW w:w="1151" w:type="dxa"/>
            <w:shd w:val="clear" w:color="auto" w:fill="783A79"/>
          </w:tcPr>
          <w:p>
            <w:pPr>
              <w:pStyle w:val="TableParagraph"/>
              <w:spacing w:before="42"/>
              <w:ind w:left="248"/>
              <w:rPr>
                <w:b/>
                <w:sz w:val="19"/>
              </w:rPr>
            </w:pPr>
            <w:r>
              <w:rPr>
                <w:b/>
                <w:color w:val="FFFFFF"/>
                <w:sz w:val="19"/>
              </w:rPr>
              <w:t>Estimate</w:t>
            </w:r>
          </w:p>
          <w:p>
            <w:pPr>
              <w:pStyle w:val="TableParagraph"/>
              <w:spacing w:before="10"/>
              <w:ind w:left="624"/>
              <w:rPr>
                <w:b/>
                <w:sz w:val="19"/>
              </w:rPr>
            </w:pPr>
            <w:r>
              <w:rPr>
                <w:b/>
                <w:color w:val="FFFFFF"/>
                <w:sz w:val="19"/>
              </w:rPr>
              <w:t>2018</w:t>
            </w:r>
          </w:p>
          <w:p>
            <w:pPr>
              <w:pStyle w:val="TableParagraph"/>
              <w:spacing w:before="9"/>
              <w:ind w:left="624"/>
              <w:rPr>
                <w:b/>
                <w:sz w:val="19"/>
              </w:rPr>
            </w:pPr>
            <w:r>
              <w:rPr>
                <w:b/>
                <w:color w:val="FFFFFF"/>
                <w:sz w:val="19"/>
              </w:rPr>
              <w:t>$000</w:t>
            </w:r>
          </w:p>
        </w:tc>
        <w:tc>
          <w:tcPr>
            <w:tcW w:w="1151" w:type="dxa"/>
            <w:shd w:val="clear" w:color="auto" w:fill="783A79"/>
          </w:tcPr>
          <w:p>
            <w:pPr>
              <w:pStyle w:val="TableParagraph"/>
              <w:spacing w:line="249" w:lineRule="auto" w:before="42"/>
              <w:ind w:left="624" w:right="84" w:hanging="155"/>
              <w:rPr>
                <w:b/>
                <w:sz w:val="19"/>
              </w:rPr>
            </w:pPr>
            <w:r>
              <w:rPr>
                <w:b/>
                <w:color w:val="FFFFFF"/>
                <w:w w:val="95"/>
                <w:sz w:val="19"/>
              </w:rPr>
              <w:t>Actual </w:t>
            </w:r>
            <w:r>
              <w:rPr>
                <w:b/>
                <w:color w:val="FFFFFF"/>
                <w:sz w:val="19"/>
              </w:rPr>
              <w:t>2018</w:t>
            </w:r>
          </w:p>
          <w:p>
            <w:pPr>
              <w:pStyle w:val="TableParagraph"/>
              <w:spacing w:before="2"/>
              <w:ind w:left="624"/>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8"/>
              <w:rPr>
                <w:sz w:val="20"/>
              </w:rPr>
            </w:pPr>
          </w:p>
          <w:p>
            <w:pPr>
              <w:pStyle w:val="TableParagraph"/>
              <w:spacing w:before="0"/>
              <w:ind w:left="1021"/>
              <w:rPr>
                <w:b/>
                <w:sz w:val="19"/>
              </w:rPr>
            </w:pPr>
            <w:r>
              <w:rPr>
                <w:b/>
                <w:color w:val="FFFFFF"/>
                <w:sz w:val="19"/>
              </w:rPr>
              <w:t>$000</w:t>
            </w:r>
          </w:p>
        </w:tc>
        <w:tc>
          <w:tcPr>
            <w:tcW w:w="2172" w:type="dxa"/>
            <w:shd w:val="clear" w:color="auto" w:fill="783A79"/>
          </w:tcPr>
          <w:p>
            <w:pPr>
              <w:pStyle w:val="TableParagraph"/>
              <w:spacing w:line="249" w:lineRule="auto" w:before="42"/>
              <w:ind w:left="283" w:right="102" w:firstLine="171"/>
              <w:jc w:val="right"/>
              <w:rPr>
                <w:b/>
                <w:sz w:val="19"/>
              </w:rPr>
            </w:pPr>
            <w:r>
              <w:rPr>
                <w:b/>
                <w:color w:val="FFFFFF"/>
                <w:sz w:val="19"/>
              </w:rPr>
              <w:t>Variance</w:t>
            </w:r>
            <w:r>
              <w:rPr>
                <w:b/>
                <w:color w:val="FFFFFF"/>
                <w:spacing w:val="11"/>
                <w:sz w:val="19"/>
              </w:rPr>
              <w:t> </w:t>
            </w:r>
            <w:r>
              <w:rPr>
                <w:b/>
                <w:color w:val="FFFFFF"/>
                <w:spacing w:val="-3"/>
                <w:sz w:val="19"/>
              </w:rPr>
              <w:t>between</w:t>
            </w:r>
            <w:r>
              <w:rPr>
                <w:b/>
                <w:color w:val="FFFFFF"/>
                <w:w w:val="102"/>
                <w:sz w:val="19"/>
              </w:rPr>
              <w:t> </w:t>
            </w:r>
            <w:r>
              <w:rPr>
                <w:b/>
                <w:color w:val="FFFFFF"/>
                <w:sz w:val="19"/>
              </w:rPr>
              <w:t>estimate and</w:t>
            </w:r>
            <w:r>
              <w:rPr>
                <w:b/>
                <w:color w:val="FFFFFF"/>
                <w:spacing w:val="21"/>
                <w:sz w:val="19"/>
              </w:rPr>
              <w:t> </w:t>
            </w:r>
            <w:r>
              <w:rPr>
                <w:b/>
                <w:color w:val="FFFFFF"/>
                <w:spacing w:val="-3"/>
                <w:sz w:val="19"/>
              </w:rPr>
              <w:t>actual</w:t>
            </w:r>
          </w:p>
          <w:p>
            <w:pPr>
              <w:pStyle w:val="TableParagraph"/>
              <w:spacing w:before="2"/>
              <w:ind w:right="102"/>
              <w:jc w:val="right"/>
              <w:rPr>
                <w:b/>
                <w:sz w:val="19"/>
              </w:rPr>
            </w:pPr>
            <w:r>
              <w:rPr>
                <w:b/>
                <w:color w:val="FFFFFF"/>
                <w:w w:val="95"/>
                <w:sz w:val="19"/>
              </w:rPr>
              <w:t>$000</w:t>
            </w:r>
          </w:p>
        </w:tc>
        <w:tc>
          <w:tcPr>
            <w:tcW w:w="2569" w:type="dxa"/>
            <w:shd w:val="clear" w:color="auto" w:fill="783A79"/>
          </w:tcPr>
          <w:p>
            <w:pPr>
              <w:pStyle w:val="TableParagraph"/>
              <w:spacing w:line="249" w:lineRule="auto" w:before="42"/>
              <w:ind w:left="203" w:right="103" w:firstLine="39"/>
              <w:jc w:val="right"/>
              <w:rPr>
                <w:b/>
                <w:sz w:val="19"/>
              </w:rPr>
            </w:pPr>
            <w:r>
              <w:rPr>
                <w:b/>
                <w:color w:val="FFFFFF"/>
                <w:sz w:val="19"/>
              </w:rPr>
              <w:t>Variance</w:t>
            </w:r>
            <w:r>
              <w:rPr>
                <w:b/>
                <w:color w:val="FFFFFF"/>
                <w:spacing w:val="7"/>
                <w:sz w:val="19"/>
              </w:rPr>
              <w:t> </w:t>
            </w:r>
            <w:r>
              <w:rPr>
                <w:b/>
                <w:color w:val="FFFFFF"/>
                <w:sz w:val="19"/>
              </w:rPr>
              <w:t>between</w:t>
            </w:r>
            <w:r>
              <w:rPr>
                <w:b/>
                <w:color w:val="FFFFFF"/>
                <w:spacing w:val="7"/>
                <w:sz w:val="19"/>
              </w:rPr>
              <w:t> </w:t>
            </w:r>
            <w:r>
              <w:rPr>
                <w:b/>
                <w:color w:val="FFFFFF"/>
                <w:spacing w:val="-3"/>
                <w:sz w:val="19"/>
              </w:rPr>
              <w:t>actual</w:t>
            </w:r>
            <w:r>
              <w:rPr>
                <w:b/>
                <w:color w:val="FFFFFF"/>
                <w:w w:val="101"/>
                <w:sz w:val="19"/>
              </w:rPr>
              <w:t> </w:t>
            </w:r>
            <w:r>
              <w:rPr>
                <w:b/>
                <w:color w:val="FFFFFF"/>
                <w:sz w:val="19"/>
              </w:rPr>
              <w:t>results for 2018 and</w:t>
            </w:r>
            <w:r>
              <w:rPr>
                <w:b/>
                <w:color w:val="FFFFFF"/>
                <w:spacing w:val="-12"/>
                <w:sz w:val="19"/>
              </w:rPr>
              <w:t> </w:t>
            </w:r>
            <w:r>
              <w:rPr>
                <w:b/>
                <w:color w:val="FFFFFF"/>
                <w:spacing w:val="-4"/>
                <w:sz w:val="19"/>
              </w:rPr>
              <w:t>2017</w:t>
            </w:r>
          </w:p>
          <w:p>
            <w:pPr>
              <w:pStyle w:val="TableParagraph"/>
              <w:spacing w:before="2"/>
              <w:ind w:right="103"/>
              <w:jc w:val="right"/>
              <w:rPr>
                <w:b/>
                <w:sz w:val="19"/>
              </w:rPr>
            </w:pPr>
            <w:r>
              <w:rPr>
                <w:b/>
                <w:color w:val="FFFFFF"/>
                <w:w w:val="95"/>
                <w:sz w:val="19"/>
              </w:rPr>
              <w:t>$000</w:t>
            </w:r>
          </w:p>
        </w:tc>
      </w:tr>
      <w:tr>
        <w:trPr>
          <w:trHeight w:val="654" w:hRule="atLeast"/>
        </w:trPr>
        <w:tc>
          <w:tcPr>
            <w:tcW w:w="5556" w:type="dxa"/>
            <w:shd w:val="clear" w:color="auto" w:fill="FFFFFF"/>
          </w:tcPr>
          <w:p>
            <w:pPr>
              <w:pStyle w:val="TableParagraph"/>
              <w:spacing w:before="42"/>
              <w:ind w:left="123"/>
              <w:rPr>
                <w:b/>
                <w:sz w:val="19"/>
              </w:rPr>
            </w:pPr>
            <w:r>
              <w:rPr>
                <w:b/>
                <w:sz w:val="19"/>
              </w:rPr>
              <w:t>CASH FLOWS FROM INVESTING ACTIVITIES</w:t>
            </w:r>
          </w:p>
          <w:p>
            <w:pPr>
              <w:pStyle w:val="TableParagraph"/>
              <w:spacing w:before="109"/>
              <w:ind w:left="123"/>
              <w:rPr>
                <w:i/>
                <w:sz w:val="19"/>
              </w:rPr>
            </w:pPr>
            <w:r>
              <w:rPr>
                <w:i/>
                <w:color w:val="6F2770"/>
                <w:sz w:val="19"/>
              </w:rPr>
              <w:t>Payments</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0"/>
              <w:rPr>
                <w:rFonts w:ascii="Times New Roman"/>
                <w:sz w:val="20"/>
              </w:rPr>
            </w:pPr>
          </w:p>
        </w:tc>
        <w:tc>
          <w:tcPr>
            <w:tcW w:w="1151" w:type="dxa"/>
            <w:shd w:val="clear" w:color="auto" w:fill="E1E4BB"/>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2172" w:type="dxa"/>
            <w:shd w:val="clear" w:color="auto" w:fill="FFFFFF"/>
          </w:tcPr>
          <w:p>
            <w:pPr>
              <w:pStyle w:val="TableParagraph"/>
              <w:spacing w:before="0"/>
              <w:rPr>
                <w:rFonts w:ascii="Times New Roman"/>
                <w:sz w:val="20"/>
              </w:rPr>
            </w:pPr>
          </w:p>
        </w:tc>
        <w:tc>
          <w:tcPr>
            <w:tcW w:w="2569" w:type="dxa"/>
            <w:shd w:val="clear" w:color="auto" w:fill="FFFFFF"/>
          </w:tcPr>
          <w:p>
            <w:pPr>
              <w:pStyle w:val="TableParagraph"/>
              <w:spacing w:before="0"/>
              <w:rPr>
                <w:rFonts w:ascii="Times New Roman"/>
                <w:sz w:val="20"/>
              </w:rPr>
            </w:pPr>
          </w:p>
        </w:tc>
      </w:tr>
      <w:tr>
        <w:trPr>
          <w:trHeight w:val="654" w:hRule="atLeast"/>
        </w:trPr>
        <w:tc>
          <w:tcPr>
            <w:tcW w:w="5556" w:type="dxa"/>
            <w:shd w:val="clear" w:color="auto" w:fill="FFFFFF"/>
          </w:tcPr>
          <w:p>
            <w:pPr>
              <w:pStyle w:val="TableParagraph"/>
              <w:spacing w:before="42"/>
              <w:ind w:left="123"/>
              <w:rPr>
                <w:sz w:val="19"/>
              </w:rPr>
            </w:pPr>
            <w:r>
              <w:rPr>
                <w:sz w:val="19"/>
              </w:rPr>
              <w:t>Purchase of non-current physical assets</w:t>
            </w:r>
          </w:p>
          <w:p>
            <w:pPr>
              <w:pStyle w:val="TableParagraph"/>
              <w:spacing w:before="109"/>
              <w:ind w:left="123"/>
              <w:rPr>
                <w:i/>
                <w:sz w:val="19"/>
              </w:rPr>
            </w:pPr>
            <w:r>
              <w:rPr>
                <w:i/>
                <w:color w:val="6F2770"/>
                <w:sz w:val="19"/>
              </w:rPr>
              <w:t>Receipts</w:t>
            </w:r>
          </w:p>
        </w:tc>
        <w:tc>
          <w:tcPr>
            <w:tcW w:w="1151" w:type="dxa"/>
            <w:shd w:val="clear" w:color="auto" w:fill="FFFFFF"/>
          </w:tcPr>
          <w:p>
            <w:pPr>
              <w:pStyle w:val="TableParagraph"/>
              <w:spacing w:before="42"/>
              <w:ind w:left="19"/>
              <w:jc w:val="center"/>
              <w:rPr>
                <w:sz w:val="19"/>
              </w:rPr>
            </w:pPr>
            <w:hyperlink w:history="true" w:anchor="_bookmark26">
              <w:r>
                <w:rPr>
                  <w:color w:val="6F2770"/>
                  <w:w w:val="99"/>
                  <w:sz w:val="19"/>
                  <w:u w:val="single" w:color="6F2770"/>
                </w:rPr>
                <w:t>3</w:t>
              </w:r>
            </w:hyperlink>
          </w:p>
        </w:tc>
        <w:tc>
          <w:tcPr>
            <w:tcW w:w="1151" w:type="dxa"/>
            <w:shd w:val="clear" w:color="auto" w:fill="FFFFFF"/>
          </w:tcPr>
          <w:p>
            <w:pPr>
              <w:pStyle w:val="TableParagraph"/>
              <w:spacing w:before="42"/>
              <w:ind w:right="101"/>
              <w:jc w:val="right"/>
              <w:rPr>
                <w:sz w:val="19"/>
              </w:rPr>
            </w:pPr>
            <w:r>
              <w:rPr>
                <w:w w:val="95"/>
                <w:sz w:val="19"/>
              </w:rPr>
              <w:t>(164,892)</w:t>
            </w:r>
          </w:p>
        </w:tc>
        <w:tc>
          <w:tcPr>
            <w:tcW w:w="1151" w:type="dxa"/>
            <w:shd w:val="clear" w:color="auto" w:fill="E1E4BB"/>
          </w:tcPr>
          <w:p>
            <w:pPr>
              <w:pStyle w:val="TableParagraph"/>
              <w:spacing w:before="42"/>
              <w:ind w:right="101"/>
              <w:jc w:val="right"/>
              <w:rPr>
                <w:sz w:val="19"/>
              </w:rPr>
            </w:pPr>
            <w:r>
              <w:rPr>
                <w:w w:val="95"/>
                <w:sz w:val="19"/>
              </w:rPr>
              <w:t>(122,972)</w:t>
            </w:r>
          </w:p>
        </w:tc>
        <w:tc>
          <w:tcPr>
            <w:tcW w:w="1548" w:type="dxa"/>
            <w:shd w:val="clear" w:color="auto" w:fill="FFFFFF"/>
          </w:tcPr>
          <w:p>
            <w:pPr>
              <w:pStyle w:val="TableParagraph"/>
              <w:spacing w:before="42"/>
              <w:ind w:right="102"/>
              <w:jc w:val="right"/>
              <w:rPr>
                <w:sz w:val="19"/>
              </w:rPr>
            </w:pPr>
            <w:r>
              <w:rPr>
                <w:w w:val="95"/>
                <w:sz w:val="19"/>
              </w:rPr>
              <w:t>(148,153)</w:t>
            </w:r>
          </w:p>
        </w:tc>
        <w:tc>
          <w:tcPr>
            <w:tcW w:w="2172" w:type="dxa"/>
            <w:shd w:val="clear" w:color="auto" w:fill="FFFFFF"/>
          </w:tcPr>
          <w:p>
            <w:pPr>
              <w:pStyle w:val="TableParagraph"/>
              <w:spacing w:before="42"/>
              <w:ind w:right="102"/>
              <w:jc w:val="right"/>
              <w:rPr>
                <w:sz w:val="19"/>
              </w:rPr>
            </w:pPr>
            <w:r>
              <w:rPr>
                <w:w w:val="95"/>
                <w:sz w:val="19"/>
              </w:rPr>
              <w:t>41,920</w:t>
            </w:r>
          </w:p>
        </w:tc>
        <w:tc>
          <w:tcPr>
            <w:tcW w:w="2569" w:type="dxa"/>
            <w:shd w:val="clear" w:color="auto" w:fill="FFFFFF"/>
          </w:tcPr>
          <w:p>
            <w:pPr>
              <w:pStyle w:val="TableParagraph"/>
              <w:spacing w:before="42"/>
              <w:ind w:right="103"/>
              <w:jc w:val="right"/>
              <w:rPr>
                <w:sz w:val="19"/>
              </w:rPr>
            </w:pPr>
            <w:r>
              <w:rPr>
                <w:w w:val="95"/>
                <w:sz w:val="19"/>
              </w:rPr>
              <w:t>25,181</w:t>
            </w:r>
          </w:p>
        </w:tc>
      </w:tr>
      <w:tr>
        <w:trPr>
          <w:trHeight w:val="649" w:hRule="atLeast"/>
        </w:trPr>
        <w:tc>
          <w:tcPr>
            <w:tcW w:w="5556" w:type="dxa"/>
            <w:shd w:val="clear" w:color="auto" w:fill="FFFFFF"/>
          </w:tcPr>
          <w:p>
            <w:pPr>
              <w:pStyle w:val="TableParagraph"/>
              <w:spacing w:before="42"/>
              <w:ind w:left="123"/>
              <w:rPr>
                <w:sz w:val="19"/>
              </w:rPr>
            </w:pPr>
            <w:r>
              <w:rPr>
                <w:sz w:val="19"/>
              </w:rPr>
              <w:t>Proceeds from sale of non-current physical assets</w:t>
            </w:r>
          </w:p>
          <w:p>
            <w:pPr>
              <w:pStyle w:val="TableParagraph"/>
              <w:spacing w:before="109"/>
              <w:ind w:left="123"/>
              <w:rPr>
                <w:sz w:val="19"/>
              </w:rPr>
            </w:pPr>
            <w:r>
              <w:rPr>
                <w:sz w:val="19"/>
              </w:rPr>
              <w:t>Receipts from lease incentives</w:t>
            </w:r>
          </w:p>
        </w:tc>
        <w:tc>
          <w:tcPr>
            <w:tcW w:w="1151" w:type="dxa"/>
            <w:shd w:val="clear" w:color="auto" w:fill="FFFFFF"/>
          </w:tcPr>
          <w:p>
            <w:pPr>
              <w:pStyle w:val="TableParagraph"/>
              <w:spacing w:before="42"/>
              <w:ind w:left="19"/>
              <w:jc w:val="center"/>
              <w:rPr>
                <w:sz w:val="19"/>
              </w:rPr>
            </w:pPr>
            <w:hyperlink w:history="true" w:anchor="_bookmark27">
              <w:r>
                <w:rPr>
                  <w:color w:val="6F2770"/>
                  <w:w w:val="99"/>
                  <w:sz w:val="19"/>
                  <w:u w:val="single" w:color="6F2770"/>
                </w:rPr>
                <w:t>4</w:t>
              </w:r>
            </w:hyperlink>
          </w:p>
        </w:tc>
        <w:tc>
          <w:tcPr>
            <w:tcW w:w="1151" w:type="dxa"/>
            <w:tcBorders>
              <w:bottom w:val="single" w:sz="4" w:space="0" w:color="000000"/>
            </w:tcBorders>
            <w:shd w:val="clear" w:color="auto" w:fill="FFFFFF"/>
          </w:tcPr>
          <w:p>
            <w:pPr>
              <w:pStyle w:val="TableParagraph"/>
              <w:spacing w:before="42"/>
              <w:ind w:left="466"/>
              <w:rPr>
                <w:sz w:val="19"/>
              </w:rPr>
            </w:pPr>
            <w:r>
              <w:rPr>
                <w:sz w:val="19"/>
              </w:rPr>
              <w:t>53,911</w:t>
            </w:r>
          </w:p>
          <w:p>
            <w:pPr>
              <w:pStyle w:val="TableParagraph"/>
              <w:spacing w:before="109"/>
              <w:ind w:left="466"/>
              <w:rPr>
                <w:sz w:val="19"/>
              </w:rPr>
            </w:pPr>
            <w:r>
              <w:rPr>
                <w:sz w:val="19"/>
              </w:rPr>
              <w:t>40,695</w:t>
            </w:r>
          </w:p>
        </w:tc>
        <w:tc>
          <w:tcPr>
            <w:tcW w:w="1151" w:type="dxa"/>
            <w:tcBorders>
              <w:bottom w:val="single" w:sz="4" w:space="0" w:color="000000"/>
            </w:tcBorders>
            <w:shd w:val="clear" w:color="auto" w:fill="E1E4BB"/>
          </w:tcPr>
          <w:p>
            <w:pPr>
              <w:pStyle w:val="TableParagraph"/>
              <w:spacing w:before="42"/>
              <w:ind w:left="466"/>
              <w:rPr>
                <w:sz w:val="19"/>
              </w:rPr>
            </w:pPr>
            <w:r>
              <w:rPr>
                <w:sz w:val="19"/>
              </w:rPr>
              <w:t>39,016</w:t>
            </w:r>
          </w:p>
          <w:p>
            <w:pPr>
              <w:pStyle w:val="TableParagraph"/>
              <w:spacing w:before="109"/>
              <w:ind w:left="466"/>
              <w:rPr>
                <w:sz w:val="19"/>
              </w:rPr>
            </w:pPr>
            <w:r>
              <w:rPr>
                <w:sz w:val="19"/>
              </w:rPr>
              <w:t>41,544</w:t>
            </w:r>
          </w:p>
        </w:tc>
        <w:tc>
          <w:tcPr>
            <w:tcW w:w="1548" w:type="dxa"/>
            <w:tcBorders>
              <w:bottom w:val="single" w:sz="4" w:space="0" w:color="000000"/>
            </w:tcBorders>
            <w:shd w:val="clear" w:color="auto" w:fill="FFFFFF"/>
          </w:tcPr>
          <w:p>
            <w:pPr>
              <w:pStyle w:val="TableParagraph"/>
              <w:spacing w:before="42"/>
              <w:ind w:left="862"/>
              <w:rPr>
                <w:sz w:val="19"/>
              </w:rPr>
            </w:pPr>
            <w:r>
              <w:rPr>
                <w:sz w:val="19"/>
              </w:rPr>
              <w:t>71,559</w:t>
            </w:r>
          </w:p>
          <w:p>
            <w:pPr>
              <w:pStyle w:val="TableParagraph"/>
              <w:spacing w:before="109"/>
              <w:ind w:left="862"/>
              <w:rPr>
                <w:sz w:val="19"/>
              </w:rPr>
            </w:pPr>
            <w:r>
              <w:rPr>
                <w:sz w:val="19"/>
              </w:rPr>
              <w:t>27,762</w:t>
            </w:r>
          </w:p>
        </w:tc>
        <w:tc>
          <w:tcPr>
            <w:tcW w:w="2172" w:type="dxa"/>
            <w:tcBorders>
              <w:bottom w:val="single" w:sz="4" w:space="0" w:color="000000"/>
            </w:tcBorders>
            <w:shd w:val="clear" w:color="auto" w:fill="FFFFFF"/>
          </w:tcPr>
          <w:p>
            <w:pPr>
              <w:pStyle w:val="TableParagraph"/>
              <w:spacing w:before="42"/>
              <w:ind w:right="102"/>
              <w:jc w:val="right"/>
              <w:rPr>
                <w:sz w:val="19"/>
              </w:rPr>
            </w:pPr>
            <w:r>
              <w:rPr>
                <w:spacing w:val="-1"/>
                <w:w w:val="95"/>
                <w:sz w:val="19"/>
              </w:rPr>
              <w:t>(14,895)</w:t>
            </w:r>
          </w:p>
          <w:p>
            <w:pPr>
              <w:pStyle w:val="TableParagraph"/>
              <w:spacing w:before="109"/>
              <w:ind w:right="102"/>
              <w:jc w:val="right"/>
              <w:rPr>
                <w:sz w:val="19"/>
              </w:rPr>
            </w:pPr>
            <w:r>
              <w:rPr>
                <w:w w:val="95"/>
                <w:sz w:val="19"/>
              </w:rPr>
              <w:t>849</w:t>
            </w:r>
          </w:p>
        </w:tc>
        <w:tc>
          <w:tcPr>
            <w:tcW w:w="2569" w:type="dxa"/>
            <w:tcBorders>
              <w:bottom w:val="single" w:sz="4" w:space="0" w:color="000000"/>
            </w:tcBorders>
            <w:shd w:val="clear" w:color="auto" w:fill="FFFFFF"/>
          </w:tcPr>
          <w:p>
            <w:pPr>
              <w:pStyle w:val="TableParagraph"/>
              <w:spacing w:before="42"/>
              <w:ind w:right="103"/>
              <w:jc w:val="right"/>
              <w:rPr>
                <w:sz w:val="19"/>
              </w:rPr>
            </w:pPr>
            <w:r>
              <w:rPr>
                <w:spacing w:val="-1"/>
                <w:w w:val="95"/>
                <w:sz w:val="19"/>
              </w:rPr>
              <w:t>(32,543)</w:t>
            </w:r>
          </w:p>
          <w:p>
            <w:pPr>
              <w:pStyle w:val="TableParagraph"/>
              <w:spacing w:before="109"/>
              <w:ind w:right="103"/>
              <w:jc w:val="right"/>
              <w:rPr>
                <w:sz w:val="19"/>
              </w:rPr>
            </w:pPr>
            <w:r>
              <w:rPr>
                <w:spacing w:val="-1"/>
                <w:sz w:val="19"/>
              </w:rPr>
              <w:t>13,782</w:t>
            </w:r>
          </w:p>
        </w:tc>
      </w:tr>
      <w:tr>
        <w:trPr>
          <w:trHeight w:val="317" w:hRule="atLeast"/>
        </w:trPr>
        <w:tc>
          <w:tcPr>
            <w:tcW w:w="5556" w:type="dxa"/>
            <w:vMerge w:val="restart"/>
            <w:shd w:val="clear" w:color="auto" w:fill="FFFFFF"/>
          </w:tcPr>
          <w:p>
            <w:pPr>
              <w:pStyle w:val="TableParagraph"/>
              <w:spacing w:before="37"/>
              <w:ind w:left="123"/>
              <w:rPr>
                <w:b/>
                <w:sz w:val="19"/>
              </w:rPr>
            </w:pPr>
            <w:r>
              <w:rPr>
                <w:b/>
                <w:sz w:val="19"/>
              </w:rPr>
              <w:t>Net cash provided by/(used in) investing activities</w:t>
            </w:r>
          </w:p>
        </w:tc>
        <w:tc>
          <w:tcPr>
            <w:tcW w:w="1151" w:type="dxa"/>
            <w:vMerge w:val="restart"/>
            <w:shd w:val="clear" w:color="auto" w:fill="FFFFFF"/>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spacing w:before="37"/>
              <w:ind w:right="101"/>
              <w:jc w:val="right"/>
              <w:rPr>
                <w:b/>
                <w:sz w:val="19"/>
              </w:rPr>
            </w:pPr>
            <w:r>
              <w:rPr>
                <w:b/>
                <w:w w:val="95"/>
                <w:sz w:val="19"/>
              </w:rPr>
              <w:t>(70,286)</w:t>
            </w:r>
          </w:p>
        </w:tc>
        <w:tc>
          <w:tcPr>
            <w:tcW w:w="1151" w:type="dxa"/>
            <w:tcBorders>
              <w:top w:val="single" w:sz="4" w:space="0" w:color="000000"/>
              <w:bottom w:val="single" w:sz="4" w:space="0" w:color="000000"/>
            </w:tcBorders>
            <w:shd w:val="clear" w:color="auto" w:fill="DFE1B8"/>
          </w:tcPr>
          <w:p>
            <w:pPr>
              <w:pStyle w:val="TableParagraph"/>
              <w:spacing w:before="37"/>
              <w:ind w:right="101"/>
              <w:jc w:val="right"/>
              <w:rPr>
                <w:b/>
                <w:sz w:val="19"/>
              </w:rPr>
            </w:pPr>
            <w:r>
              <w:rPr>
                <w:b/>
                <w:w w:val="95"/>
                <w:sz w:val="19"/>
              </w:rPr>
              <w:t>(42,412)</w:t>
            </w:r>
          </w:p>
        </w:tc>
        <w:tc>
          <w:tcPr>
            <w:tcW w:w="1548" w:type="dxa"/>
            <w:tcBorders>
              <w:top w:val="single" w:sz="4" w:space="0" w:color="000000"/>
              <w:bottom w:val="single" w:sz="4" w:space="0" w:color="000000"/>
              <w:right w:val="single" w:sz="8" w:space="0" w:color="FFFFFF"/>
            </w:tcBorders>
            <w:shd w:val="clear" w:color="auto" w:fill="F4F4F4"/>
          </w:tcPr>
          <w:p>
            <w:pPr>
              <w:pStyle w:val="TableParagraph"/>
              <w:spacing w:before="37"/>
              <w:ind w:right="92"/>
              <w:jc w:val="right"/>
              <w:rPr>
                <w:b/>
                <w:sz w:val="19"/>
              </w:rPr>
            </w:pPr>
            <w:r>
              <w:rPr>
                <w:b/>
                <w:w w:val="95"/>
                <w:sz w:val="19"/>
              </w:rPr>
              <w:t>(48,832)</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7"/>
              <w:ind w:right="92"/>
              <w:jc w:val="right"/>
              <w:rPr>
                <w:b/>
                <w:sz w:val="19"/>
              </w:rPr>
            </w:pPr>
            <w:r>
              <w:rPr>
                <w:b/>
                <w:w w:val="95"/>
                <w:sz w:val="19"/>
              </w:rPr>
              <w:t>27,874</w:t>
            </w:r>
          </w:p>
        </w:tc>
        <w:tc>
          <w:tcPr>
            <w:tcW w:w="2569" w:type="dxa"/>
            <w:tcBorders>
              <w:top w:val="single" w:sz="4" w:space="0" w:color="000000"/>
              <w:left w:val="single" w:sz="8" w:space="0" w:color="FFFFFF"/>
              <w:bottom w:val="single" w:sz="4" w:space="0" w:color="000000"/>
            </w:tcBorders>
            <w:shd w:val="clear" w:color="auto" w:fill="F4F4F4"/>
          </w:tcPr>
          <w:p>
            <w:pPr>
              <w:pStyle w:val="TableParagraph"/>
              <w:spacing w:before="37"/>
              <w:ind w:right="103"/>
              <w:jc w:val="right"/>
              <w:rPr>
                <w:b/>
                <w:sz w:val="19"/>
              </w:rPr>
            </w:pPr>
            <w:r>
              <w:rPr>
                <w:b/>
                <w:w w:val="95"/>
                <w:sz w:val="19"/>
              </w:rPr>
              <w:t>6,420</w:t>
            </w:r>
          </w:p>
        </w:tc>
      </w:tr>
      <w:tr>
        <w:trPr>
          <w:trHeight w:val="312" w:hRule="atLeast"/>
        </w:trPr>
        <w:tc>
          <w:tcPr>
            <w:tcW w:w="5556"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151" w:type="dxa"/>
            <w:vMerge w:val="restart"/>
            <w:tcBorders>
              <w:top w:val="single" w:sz="4" w:space="0" w:color="000000"/>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7"/>
              <w:rPr>
                <w:sz w:val="22"/>
              </w:rPr>
            </w:pPr>
          </w:p>
          <w:p>
            <w:pPr>
              <w:pStyle w:val="TableParagraph"/>
              <w:spacing w:before="0"/>
              <w:ind w:left="374"/>
              <w:rPr>
                <w:sz w:val="19"/>
              </w:rPr>
            </w:pPr>
            <w:r>
              <w:rPr>
                <w:sz w:val="19"/>
              </w:rPr>
              <w:t>(23,115)</w:t>
            </w:r>
          </w:p>
          <w:p>
            <w:pPr>
              <w:pStyle w:val="TableParagraph"/>
              <w:spacing w:before="1"/>
              <w:rPr>
                <w:sz w:val="29"/>
              </w:rPr>
            </w:pPr>
          </w:p>
          <w:p>
            <w:pPr>
              <w:pStyle w:val="TableParagraph"/>
              <w:spacing w:line="320" w:lineRule="atLeast" w:before="0"/>
              <w:ind w:left="730" w:right="84" w:firstLine="246"/>
              <w:rPr>
                <w:sz w:val="19"/>
              </w:rPr>
            </w:pPr>
            <w:r>
              <w:rPr>
                <w:w w:val="105"/>
                <w:sz w:val="19"/>
              </w:rPr>
              <w:t>- </w:t>
            </w:r>
            <w:r>
              <w:rPr>
                <w:sz w:val="19"/>
              </w:rPr>
              <w:t>500</w:t>
            </w:r>
          </w:p>
        </w:tc>
        <w:tc>
          <w:tcPr>
            <w:tcW w:w="6289" w:type="dxa"/>
            <w:gridSpan w:val="3"/>
            <w:vMerge w:val="restart"/>
            <w:tcBorders>
              <w:top w:val="single" w:sz="4" w:space="0" w:color="000000"/>
              <w:bottom w:val="single" w:sz="8" w:space="0" w:color="FFFFFF"/>
            </w:tcBorders>
            <w:shd w:val="clear" w:color="auto" w:fill="F4F4F4"/>
          </w:tcPr>
          <w:p>
            <w:pPr>
              <w:pStyle w:val="TableParagraph"/>
              <w:spacing w:before="0"/>
              <w:rPr>
                <w:sz w:val="28"/>
              </w:rPr>
            </w:pPr>
          </w:p>
          <w:p>
            <w:pPr>
              <w:pStyle w:val="TableParagraph"/>
              <w:tabs>
                <w:tab w:pos="3718" w:val="left" w:leader="none"/>
              </w:tabs>
              <w:spacing w:before="0"/>
              <w:ind w:left="1547"/>
              <w:rPr>
                <w:sz w:val="20"/>
              </w:rPr>
            </w:pP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r>
              <w:rPr>
                <w:sz w:val="20"/>
              </w:rPr>
              <w:tab/>
            </w: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p>
        </w:tc>
      </w:tr>
      <w:tr>
        <w:trPr>
          <w:trHeight w:val="297" w:hRule="atLeast"/>
        </w:trPr>
        <w:tc>
          <w:tcPr>
            <w:tcW w:w="5556" w:type="dxa"/>
            <w:vMerge w:val="restart"/>
            <w:shd w:val="clear" w:color="auto" w:fill="FFFFFF"/>
          </w:tcPr>
          <w:p>
            <w:pPr>
              <w:pStyle w:val="TableParagraph"/>
              <w:ind w:left="123"/>
              <w:rPr>
                <w:b/>
                <w:sz w:val="19"/>
              </w:rPr>
            </w:pPr>
            <w:r>
              <w:rPr>
                <w:b/>
                <w:sz w:val="19"/>
              </w:rPr>
              <w:t>CASH FLOWS FROM FINANCING ACTIVITIES</w:t>
            </w:r>
          </w:p>
          <w:p>
            <w:pPr>
              <w:pStyle w:val="TableParagraph"/>
              <w:spacing w:before="109"/>
              <w:ind w:left="123"/>
              <w:rPr>
                <w:i/>
                <w:sz w:val="19"/>
              </w:rPr>
            </w:pPr>
            <w:r>
              <w:rPr>
                <w:i/>
                <w:color w:val="6F2770"/>
                <w:sz w:val="19"/>
              </w:rPr>
              <w:t>Payments</w:t>
            </w:r>
          </w:p>
        </w:tc>
        <w:tc>
          <w:tcPr>
            <w:tcW w:w="1151"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4F4F4"/>
          </w:tcPr>
          <w:p>
            <w:pPr>
              <w:pStyle w:val="TableParagraph"/>
              <w:spacing w:before="0"/>
              <w:rPr>
                <w:rFonts w:ascii="Times New Roman"/>
                <w:sz w:val="20"/>
              </w:rPr>
            </w:pPr>
          </w:p>
        </w:tc>
        <w:tc>
          <w:tcPr>
            <w:tcW w:w="1151" w:type="dxa"/>
            <w:vMerge/>
            <w:tcBorders>
              <w:top w:val="nil"/>
              <w:bottom w:val="single" w:sz="4" w:space="0" w:color="000000"/>
            </w:tcBorders>
            <w:shd w:val="clear" w:color="auto" w:fill="DFE1B8"/>
          </w:tcPr>
          <w:p>
            <w:pPr>
              <w:rPr>
                <w:sz w:val="2"/>
                <w:szCs w:val="2"/>
              </w:rPr>
            </w:pPr>
          </w:p>
        </w:tc>
        <w:tc>
          <w:tcPr>
            <w:tcW w:w="6289" w:type="dxa"/>
            <w:gridSpan w:val="3"/>
            <w:vMerge/>
            <w:tcBorders>
              <w:top w:val="nil"/>
              <w:bottom w:val="single" w:sz="8" w:space="0" w:color="FFFFFF"/>
            </w:tcBorders>
            <w:shd w:val="clear" w:color="auto" w:fill="F4F4F4"/>
          </w:tcPr>
          <w:p>
            <w:pPr>
              <w:rPr>
                <w:sz w:val="2"/>
                <w:szCs w:val="2"/>
              </w:rPr>
            </w:pPr>
          </w:p>
        </w:tc>
      </w:tr>
      <w:tr>
        <w:trPr>
          <w:trHeight w:val="31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0"/>
              <w:rPr>
                <w:rFonts w:ascii="Times New Roman"/>
                <w:sz w:val="20"/>
              </w:rPr>
            </w:pPr>
          </w:p>
        </w:tc>
        <w:tc>
          <w:tcPr>
            <w:tcW w:w="1151" w:type="dxa"/>
            <w:vMerge/>
            <w:tcBorders>
              <w:top w:val="nil"/>
              <w:bottom w:val="single" w:sz="4" w:space="0" w:color="000000"/>
            </w:tcBorders>
            <w:shd w:val="clear" w:color="auto" w:fill="DFE1B8"/>
          </w:tcPr>
          <w:p>
            <w:pPr>
              <w:rPr>
                <w:sz w:val="2"/>
                <w:szCs w:val="2"/>
              </w:rPr>
            </w:pPr>
          </w:p>
        </w:tc>
        <w:tc>
          <w:tcPr>
            <w:tcW w:w="6289" w:type="dxa"/>
            <w:gridSpan w:val="3"/>
            <w:vMerge/>
            <w:tcBorders>
              <w:top w:val="nil"/>
              <w:bottom w:val="single" w:sz="8" w:space="0" w:color="FFFFFF"/>
            </w:tcBorders>
            <w:shd w:val="clear" w:color="auto" w:fill="F4F4F4"/>
          </w:tcPr>
          <w:p>
            <w:pPr>
              <w:rPr>
                <w:sz w:val="2"/>
                <w:szCs w:val="2"/>
              </w:rPr>
            </w:pPr>
          </w:p>
        </w:tc>
      </w:tr>
      <w:tr>
        <w:trPr>
          <w:trHeight w:val="307" w:hRule="atLeast"/>
        </w:trPr>
        <w:tc>
          <w:tcPr>
            <w:tcW w:w="5556" w:type="dxa"/>
            <w:vMerge w:val="restart"/>
            <w:shd w:val="clear" w:color="auto" w:fill="FFFFFF"/>
          </w:tcPr>
          <w:p>
            <w:pPr>
              <w:pStyle w:val="TableParagraph"/>
              <w:ind w:left="123"/>
              <w:rPr>
                <w:sz w:val="19"/>
              </w:rPr>
            </w:pPr>
            <w:r>
              <w:rPr>
                <w:sz w:val="19"/>
              </w:rPr>
              <w:t>Repayment of borrowings</w:t>
            </w:r>
          </w:p>
          <w:p>
            <w:pPr>
              <w:pStyle w:val="TableParagraph"/>
              <w:spacing w:before="109"/>
              <w:ind w:left="123"/>
              <w:rPr>
                <w:i/>
                <w:sz w:val="19"/>
              </w:rPr>
            </w:pPr>
            <w:r>
              <w:rPr>
                <w:i/>
                <w:color w:val="6F2770"/>
                <w:sz w:val="19"/>
              </w:rPr>
              <w:t>Receipts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(17,983)</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(30,689)</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0"/>
                <w:sz w:val="19"/>
              </w:rPr>
              <w:t>(5,132)</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03"/>
              <w:jc w:val="right"/>
              <w:rPr>
                <w:sz w:val="19"/>
              </w:rPr>
            </w:pPr>
            <w:r>
              <w:rPr>
                <w:w w:val="95"/>
                <w:sz w:val="19"/>
              </w:rPr>
              <w:t>7,574</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0"/>
              <w:rPr>
                <w:rFonts w:ascii="Times New Roman"/>
                <w:sz w:val="20"/>
              </w:rPr>
            </w:pPr>
          </w:p>
        </w:tc>
        <w:tc>
          <w:tcPr>
            <w:tcW w:w="1151" w:type="dxa"/>
            <w:vMerge/>
            <w:tcBorders>
              <w:top w:val="nil"/>
              <w:bottom w:val="single" w:sz="4" w:space="0" w:color="000000"/>
            </w:tcBorders>
            <w:shd w:val="clear" w:color="auto" w:fill="DFE1B8"/>
          </w:tcPr>
          <w:p>
            <w:pPr>
              <w:rPr>
                <w:sz w:val="2"/>
                <w:szCs w:val="2"/>
              </w:rPr>
            </w:pPr>
          </w:p>
        </w:tc>
        <w:tc>
          <w:tcPr>
            <w:tcW w:w="6289" w:type="dxa"/>
            <w:gridSpan w:val="3"/>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5556" w:type="dxa"/>
            <w:vMerge w:val="restart"/>
            <w:shd w:val="clear" w:color="auto" w:fill="FFFFFF"/>
          </w:tcPr>
          <w:p>
            <w:pPr>
              <w:pStyle w:val="TableParagraph"/>
              <w:ind w:left="123"/>
              <w:rPr>
                <w:sz w:val="19"/>
              </w:rPr>
            </w:pPr>
            <w:r>
              <w:rPr>
                <w:sz w:val="19"/>
              </w:rPr>
              <w:t>Proceeds from borrowings</w:t>
            </w:r>
          </w:p>
          <w:p>
            <w:pPr>
              <w:pStyle w:val="TableParagraph"/>
              <w:spacing w:before="109"/>
              <w:ind w:left="123"/>
              <w:rPr>
                <w:sz w:val="19"/>
              </w:rPr>
            </w:pPr>
            <w:r>
              <w:rPr>
                <w:sz w:val="19"/>
              </w:rPr>
              <w:t>Finance leases receipts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6,000</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2,923</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0"/>
                <w:sz w:val="19"/>
              </w:rPr>
              <w:t>(6,000)</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03"/>
              <w:jc w:val="right"/>
              <w:rPr>
                <w:sz w:val="19"/>
              </w:rPr>
            </w:pPr>
            <w:r>
              <w:rPr>
                <w:w w:val="90"/>
                <w:sz w:val="19"/>
              </w:rPr>
              <w:t>(2,923)</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01"/>
              <w:jc w:val="right"/>
              <w:rPr>
                <w:sz w:val="19"/>
              </w:rPr>
            </w:pPr>
            <w:r>
              <w:rPr>
                <w:w w:val="95"/>
                <w:sz w:val="19"/>
              </w:rPr>
              <w:t>5,143</w:t>
            </w:r>
          </w:p>
        </w:tc>
        <w:tc>
          <w:tcPr>
            <w:tcW w:w="1151"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4" w:space="0" w:color="000000"/>
            </w:tcBorders>
            <w:shd w:val="clear" w:color="auto" w:fill="FAF9F9"/>
          </w:tcPr>
          <w:p>
            <w:pPr>
              <w:pStyle w:val="TableParagraph"/>
              <w:ind w:right="102"/>
              <w:jc w:val="right"/>
              <w:rPr>
                <w:sz w:val="19"/>
              </w:rPr>
            </w:pPr>
            <w:r>
              <w:rPr>
                <w:w w:val="95"/>
                <w:sz w:val="19"/>
              </w:rPr>
              <w:t>753</w:t>
            </w:r>
          </w:p>
        </w:tc>
        <w:tc>
          <w:tcPr>
            <w:tcW w:w="2172" w:type="dxa"/>
            <w:tcBorders>
              <w:top w:val="single" w:sz="8" w:space="0" w:color="FFFFFF"/>
              <w:bottom w:val="single" w:sz="4" w:space="0" w:color="000000"/>
            </w:tcBorders>
            <w:shd w:val="clear" w:color="auto" w:fill="FAF9F9"/>
          </w:tcPr>
          <w:p>
            <w:pPr>
              <w:pStyle w:val="TableParagraph"/>
              <w:ind w:right="102"/>
              <w:jc w:val="right"/>
              <w:rPr>
                <w:sz w:val="19"/>
              </w:rPr>
            </w:pPr>
            <w:r>
              <w:rPr>
                <w:w w:val="90"/>
                <w:sz w:val="19"/>
              </w:rPr>
              <w:t>(4,643)</w:t>
            </w:r>
          </w:p>
        </w:tc>
        <w:tc>
          <w:tcPr>
            <w:tcW w:w="2569" w:type="dxa"/>
            <w:tcBorders>
              <w:top w:val="single" w:sz="8" w:space="0" w:color="FFFFFF"/>
              <w:bottom w:val="single" w:sz="4" w:space="0" w:color="000000"/>
            </w:tcBorders>
            <w:shd w:val="clear" w:color="auto" w:fill="FAF9F9"/>
          </w:tcPr>
          <w:p>
            <w:pPr>
              <w:pStyle w:val="TableParagraph"/>
              <w:ind w:right="103"/>
              <w:jc w:val="right"/>
              <w:rPr>
                <w:sz w:val="19"/>
              </w:rPr>
            </w:pPr>
            <w:r>
              <w:rPr>
                <w:w w:val="90"/>
                <w:sz w:val="19"/>
              </w:rPr>
              <w:t>(253)</w:t>
            </w:r>
          </w:p>
        </w:tc>
      </w:tr>
      <w:tr>
        <w:trPr>
          <w:trHeight w:val="307" w:hRule="atLeast"/>
        </w:trPr>
        <w:tc>
          <w:tcPr>
            <w:tcW w:w="5556"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Net cash provided by/(used in) financing activities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4" w:space="0" w:color="000000"/>
            </w:tcBorders>
            <w:shd w:val="clear" w:color="auto" w:fill="F4F4F4"/>
          </w:tcPr>
          <w:p>
            <w:pPr>
              <w:pStyle w:val="TableParagraph"/>
              <w:ind w:right="101"/>
              <w:jc w:val="right"/>
              <w:rPr>
                <w:b/>
                <w:sz w:val="19"/>
              </w:rPr>
            </w:pPr>
            <w:r>
              <w:rPr>
                <w:b/>
                <w:w w:val="95"/>
                <w:sz w:val="19"/>
              </w:rPr>
              <w:t>(6,840)</w:t>
            </w:r>
          </w:p>
        </w:tc>
        <w:tc>
          <w:tcPr>
            <w:tcW w:w="1151" w:type="dxa"/>
            <w:tcBorders>
              <w:top w:val="single" w:sz="4" w:space="0" w:color="000000"/>
              <w:bottom w:val="single" w:sz="4" w:space="0" w:color="000000"/>
            </w:tcBorders>
            <w:shd w:val="clear" w:color="auto" w:fill="DFE1B8"/>
          </w:tcPr>
          <w:p>
            <w:pPr>
              <w:pStyle w:val="TableParagraph"/>
              <w:ind w:right="101"/>
              <w:jc w:val="right"/>
              <w:rPr>
                <w:b/>
                <w:sz w:val="19"/>
              </w:rPr>
            </w:pPr>
            <w:r>
              <w:rPr>
                <w:b/>
                <w:w w:val="95"/>
                <w:sz w:val="19"/>
              </w:rPr>
              <w:t>(22,615)</w:t>
            </w:r>
          </w:p>
        </w:tc>
        <w:tc>
          <w:tcPr>
            <w:tcW w:w="1548" w:type="dxa"/>
            <w:tcBorders>
              <w:top w:val="single" w:sz="4" w:space="0" w:color="000000"/>
              <w:bottom w:val="single" w:sz="4" w:space="0" w:color="000000"/>
              <w:right w:val="single" w:sz="8" w:space="0" w:color="FFFFFF"/>
            </w:tcBorders>
            <w:shd w:val="clear" w:color="auto" w:fill="F4F4F4"/>
          </w:tcPr>
          <w:p>
            <w:pPr>
              <w:pStyle w:val="TableParagraph"/>
              <w:ind w:right="92"/>
              <w:jc w:val="right"/>
              <w:rPr>
                <w:b/>
                <w:sz w:val="19"/>
              </w:rPr>
            </w:pPr>
            <w:r>
              <w:rPr>
                <w:b/>
                <w:w w:val="95"/>
                <w:sz w:val="19"/>
              </w:rPr>
              <w:t>(27,014)</w:t>
            </w:r>
          </w:p>
        </w:tc>
        <w:tc>
          <w:tcPr>
            <w:tcW w:w="2172"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ind w:right="92"/>
              <w:jc w:val="right"/>
              <w:rPr>
                <w:b/>
                <w:sz w:val="19"/>
              </w:rPr>
            </w:pPr>
            <w:r>
              <w:rPr>
                <w:b/>
                <w:w w:val="95"/>
                <w:sz w:val="19"/>
              </w:rPr>
              <w:t>(15,775)</w:t>
            </w:r>
          </w:p>
        </w:tc>
        <w:tc>
          <w:tcPr>
            <w:tcW w:w="2569" w:type="dxa"/>
            <w:tcBorders>
              <w:top w:val="single" w:sz="4" w:space="0" w:color="000000"/>
              <w:left w:val="single" w:sz="8" w:space="0" w:color="FFFFFF"/>
              <w:bottom w:val="single" w:sz="4" w:space="0" w:color="000000"/>
            </w:tcBorders>
            <w:shd w:val="clear" w:color="auto" w:fill="F4F4F4"/>
          </w:tcPr>
          <w:p>
            <w:pPr>
              <w:pStyle w:val="TableParagraph"/>
              <w:ind w:right="103"/>
              <w:jc w:val="right"/>
              <w:rPr>
                <w:b/>
                <w:sz w:val="19"/>
              </w:rPr>
            </w:pPr>
            <w:r>
              <w:rPr>
                <w:b/>
                <w:w w:val="95"/>
                <w:sz w:val="19"/>
              </w:rPr>
              <w:t>4,399</w:t>
            </w:r>
          </w:p>
        </w:tc>
      </w:tr>
    </w:tbl>
    <w:p>
      <w:pPr>
        <w:spacing w:after="0"/>
        <w:jc w:val="right"/>
        <w:rPr>
          <w:sz w:val="19"/>
        </w:rPr>
        <w:sectPr>
          <w:footerReference w:type="default" r:id="rId193"/>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spacing w:before="92"/>
        <w:ind w:left="765" w:right="0" w:firstLine="0"/>
        <w:jc w:val="left"/>
        <w:rPr>
          <w:sz w:val="72"/>
        </w:rPr>
      </w:pPr>
      <w:r>
        <w:rPr/>
        <w:pict>
          <v:group style="position:absolute;margin-left:120.271004pt;margin-top:-57.37421pt;width:721.65pt;height:42.55pt;mso-position-horizontal-relative:page;mso-position-vertical-relative:paragraph;z-index:2264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30"/>
        <w:ind w:left="765" w:right="0" w:firstLine="0"/>
        <w:jc w:val="left"/>
        <w:rPr>
          <w:sz w:val="36"/>
        </w:rPr>
      </w:pPr>
      <w:r>
        <w:rPr>
          <w:color w:val="6F2770"/>
          <w:sz w:val="36"/>
        </w:rPr>
        <w:t>For the year ended 30 June 2018</w:t>
      </w:r>
    </w:p>
    <w:p>
      <w:pPr>
        <w:pStyle w:val="BodyText"/>
        <w:spacing w:before="6" w:after="1"/>
        <w:rPr>
          <w:sz w:val="28"/>
        </w:rPr>
      </w:pP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820"/>
        <w:gridCol w:w="1058"/>
        <w:gridCol w:w="1151"/>
        <w:gridCol w:w="1151"/>
        <w:gridCol w:w="1548"/>
        <w:gridCol w:w="2172"/>
        <w:gridCol w:w="2569"/>
      </w:tblGrid>
      <w:tr>
        <w:trPr>
          <w:trHeight w:val="746" w:hRule="atLeast"/>
        </w:trPr>
        <w:tc>
          <w:tcPr>
            <w:tcW w:w="15469" w:type="dxa"/>
            <w:gridSpan w:val="7"/>
            <w:tcBorders>
              <w:bottom w:val="single" w:sz="4" w:space="0" w:color="6F2770"/>
              <w:right w:val="nil"/>
            </w:tcBorders>
            <w:shd w:val="clear" w:color="auto" w:fill="783A79"/>
          </w:tcPr>
          <w:p>
            <w:pPr>
              <w:pStyle w:val="TableParagraph"/>
              <w:tabs>
                <w:tab w:pos="7117" w:val="left" w:leader="none"/>
                <w:tab w:pos="7492" w:val="left" w:leader="none"/>
                <w:tab w:pos="8489" w:val="left" w:leader="none"/>
                <w:tab w:pos="8643" w:val="left" w:leader="none"/>
                <w:tab w:pos="9561" w:val="left" w:leader="none"/>
                <w:tab w:pos="11001" w:val="left" w:leader="none"/>
                <w:tab w:pos="11173" w:val="left" w:leader="none"/>
                <w:tab w:pos="13093" w:val="left" w:leader="none"/>
                <w:tab w:pos="13133" w:val="left" w:leader="none"/>
              </w:tabs>
              <w:spacing w:line="249" w:lineRule="auto"/>
              <w:ind w:left="6132" w:right="103" w:hanging="175"/>
              <w:rPr>
                <w:b/>
                <w:sz w:val="19"/>
              </w:rPr>
            </w:pPr>
            <w:r>
              <w:rPr>
                <w:b/>
                <w:color w:val="FFFFFF"/>
                <w:sz w:val="19"/>
              </w:rPr>
              <w:t>Variance</w:t>
              <w:tab/>
              <w:t>Estimate</w:t>
              <w:tab/>
              <w:t>Actual</w:t>
              <w:tab/>
              <w:t>Actual</w:t>
            </w:r>
            <w:r>
              <w:rPr>
                <w:b/>
                <w:color w:val="FFFFFF"/>
                <w:spacing w:val="-2"/>
                <w:sz w:val="19"/>
              </w:rPr>
              <w:t> </w:t>
            </w:r>
            <w:r>
              <w:rPr>
                <w:b/>
                <w:color w:val="FFFFFF"/>
                <w:sz w:val="19"/>
              </w:rPr>
              <w:t>2017</w:t>
              <w:tab/>
              <w:tab/>
              <w:t>Variance</w:t>
            </w:r>
            <w:r>
              <w:rPr>
                <w:b/>
                <w:color w:val="FFFFFF"/>
                <w:spacing w:val="2"/>
                <w:sz w:val="19"/>
              </w:rPr>
              <w:t> </w:t>
            </w:r>
            <w:r>
              <w:rPr>
                <w:b/>
                <w:color w:val="FFFFFF"/>
                <w:sz w:val="19"/>
              </w:rPr>
              <w:t>between</w:t>
              <w:tab/>
              <w:tab/>
              <w:t>Variance between </w:t>
            </w:r>
            <w:r>
              <w:rPr>
                <w:b/>
                <w:color w:val="FFFFFF"/>
                <w:spacing w:val="-3"/>
                <w:sz w:val="19"/>
              </w:rPr>
              <w:t>actual </w:t>
            </w:r>
            <w:r>
              <w:rPr>
                <w:b/>
                <w:color w:val="FFFFFF"/>
                <w:sz w:val="19"/>
              </w:rPr>
              <w:t>Note</w:t>
              <w:tab/>
              <w:tab/>
              <w:t>2018</w:t>
              <w:tab/>
              <w:tab/>
              <w:t>2018</w:t>
              <w:tab/>
              <w:tab/>
              <w:t>estimate</w:t>
            </w:r>
            <w:r>
              <w:rPr>
                <w:b/>
                <w:color w:val="FFFFFF"/>
                <w:spacing w:val="9"/>
                <w:sz w:val="19"/>
              </w:rPr>
              <w:t> </w:t>
            </w:r>
            <w:r>
              <w:rPr>
                <w:b/>
                <w:color w:val="FFFFFF"/>
                <w:sz w:val="19"/>
              </w:rPr>
              <w:t>and</w:t>
            </w:r>
            <w:r>
              <w:rPr>
                <w:b/>
                <w:color w:val="FFFFFF"/>
                <w:spacing w:val="10"/>
                <w:sz w:val="19"/>
              </w:rPr>
              <w:t> </w:t>
            </w:r>
            <w:r>
              <w:rPr>
                <w:b/>
                <w:color w:val="FFFFFF"/>
                <w:sz w:val="19"/>
              </w:rPr>
              <w:t>actual</w:t>
              <w:tab/>
              <w:t>results for 2018 and</w:t>
            </w:r>
            <w:r>
              <w:rPr>
                <w:b/>
                <w:color w:val="FFFFFF"/>
                <w:spacing w:val="-11"/>
                <w:sz w:val="19"/>
              </w:rPr>
              <w:t> </w:t>
            </w:r>
            <w:r>
              <w:rPr>
                <w:b/>
                <w:color w:val="FFFFFF"/>
                <w:spacing w:val="-4"/>
                <w:sz w:val="19"/>
              </w:rPr>
              <w:t>2017</w:t>
            </w:r>
          </w:p>
          <w:p>
            <w:pPr>
              <w:pStyle w:val="TableParagraph"/>
              <w:tabs>
                <w:tab w:pos="8643" w:val="left" w:leader="none"/>
                <w:tab w:pos="10191" w:val="left" w:leader="none"/>
                <w:tab w:pos="12362" w:val="left" w:leader="none"/>
                <w:tab w:pos="14930" w:val="left" w:leader="none"/>
              </w:tabs>
              <w:spacing w:before="2"/>
              <w:ind w:left="7492"/>
              <w:rPr>
                <w:b/>
                <w:sz w:val="19"/>
              </w:rPr>
            </w:pPr>
            <w:r>
              <w:rPr>
                <w:b/>
                <w:color w:val="FFFFFF"/>
                <w:sz w:val="19"/>
              </w:rPr>
              <w:t>$000</w:t>
              <w:tab/>
              <w:t>$000</w:t>
              <w:tab/>
              <w:t>$000</w:t>
              <w:tab/>
              <w:t>$000</w:t>
              <w:tab/>
              <w:t>$000</w:t>
            </w:r>
          </w:p>
        </w:tc>
      </w:tr>
      <w:tr>
        <w:trPr>
          <w:trHeight w:val="302" w:hRule="atLeast"/>
        </w:trPr>
        <w:tc>
          <w:tcPr>
            <w:tcW w:w="5820" w:type="dxa"/>
            <w:vMerge w:val="restart"/>
            <w:tcBorders>
              <w:top w:val="single" w:sz="4" w:space="0" w:color="834D83"/>
              <w:left w:val="nil"/>
              <w:bottom w:val="nil"/>
              <w:right w:val="nil"/>
            </w:tcBorders>
            <w:shd w:val="clear" w:color="auto" w:fill="FFFFFF"/>
          </w:tcPr>
          <w:p>
            <w:pPr>
              <w:pStyle w:val="TableParagraph"/>
              <w:spacing w:before="37"/>
              <w:ind w:left="123"/>
              <w:rPr>
                <w:sz w:val="19"/>
              </w:rPr>
            </w:pPr>
            <w:r>
              <w:rPr>
                <w:sz w:val="19"/>
              </w:rPr>
              <w:t>Net increase/(decrease) in cash and cash equivalents</w:t>
            </w:r>
          </w:p>
          <w:p>
            <w:pPr>
              <w:pStyle w:val="TableParagraph"/>
              <w:spacing w:before="109"/>
              <w:ind w:left="123"/>
              <w:rPr>
                <w:sz w:val="19"/>
              </w:rPr>
            </w:pPr>
            <w:r>
              <w:rPr>
                <w:sz w:val="19"/>
              </w:rPr>
              <w:t>Cash balance transferred to the Department of Treasury</w:t>
            </w:r>
          </w:p>
        </w:tc>
        <w:tc>
          <w:tcPr>
            <w:tcW w:w="1058" w:type="dxa"/>
            <w:tcBorders>
              <w:top w:val="single" w:sz="4" w:space="0" w:color="834D83"/>
              <w:bottom w:val="nil"/>
            </w:tcBorders>
            <w:shd w:val="clear" w:color="auto" w:fill="F4F4F4"/>
          </w:tcPr>
          <w:p>
            <w:pPr>
              <w:pStyle w:val="TableParagraph"/>
              <w:spacing w:before="0"/>
              <w:rPr>
                <w:rFonts w:ascii="Times New Roman"/>
                <w:sz w:val="20"/>
              </w:rPr>
            </w:pPr>
          </w:p>
        </w:tc>
        <w:tc>
          <w:tcPr>
            <w:tcW w:w="1151" w:type="dxa"/>
            <w:tcBorders>
              <w:top w:val="single" w:sz="4" w:space="0" w:color="6F2770"/>
              <w:bottom w:val="nil"/>
              <w:right w:val="nil"/>
            </w:tcBorders>
            <w:shd w:val="clear" w:color="auto" w:fill="F4F4F4"/>
          </w:tcPr>
          <w:p>
            <w:pPr>
              <w:pStyle w:val="TableParagraph"/>
              <w:spacing w:before="37"/>
              <w:ind w:right="101"/>
              <w:jc w:val="right"/>
              <w:rPr>
                <w:sz w:val="19"/>
              </w:rPr>
            </w:pPr>
            <w:r>
              <w:rPr>
                <w:w w:val="95"/>
                <w:sz w:val="19"/>
              </w:rPr>
              <w:t>29,365</w:t>
            </w:r>
          </w:p>
        </w:tc>
        <w:tc>
          <w:tcPr>
            <w:tcW w:w="1151" w:type="dxa"/>
            <w:vMerge w:val="restart"/>
            <w:tcBorders>
              <w:top w:val="single" w:sz="4" w:space="0" w:color="6F2770"/>
              <w:left w:val="nil"/>
              <w:bottom w:val="single" w:sz="4" w:space="0" w:color="000000"/>
              <w:right w:val="nil"/>
            </w:tcBorders>
            <w:shd w:val="clear" w:color="auto" w:fill="DFE1B8"/>
          </w:tcPr>
          <w:p>
            <w:pPr>
              <w:pStyle w:val="TableParagraph"/>
              <w:spacing w:before="37"/>
              <w:ind w:left="330" w:right="59"/>
              <w:jc w:val="center"/>
              <w:rPr>
                <w:sz w:val="19"/>
              </w:rPr>
            </w:pPr>
            <w:r>
              <w:rPr>
                <w:sz w:val="19"/>
              </w:rPr>
              <w:t>(27,197)</w:t>
            </w:r>
          </w:p>
          <w:p>
            <w:pPr>
              <w:pStyle w:val="TableParagraph"/>
              <w:spacing w:before="109"/>
              <w:ind w:left="744"/>
              <w:rPr>
                <w:sz w:val="19"/>
              </w:rPr>
            </w:pPr>
            <w:r>
              <w:rPr>
                <w:sz w:val="19"/>
              </w:rPr>
              <w:t>(28)</w:t>
            </w:r>
          </w:p>
          <w:p>
            <w:pPr>
              <w:pStyle w:val="TableParagraph"/>
              <w:spacing w:before="109"/>
              <w:ind w:left="466"/>
              <w:rPr>
                <w:sz w:val="19"/>
              </w:rPr>
            </w:pPr>
            <w:r>
              <w:rPr>
                <w:sz w:val="19"/>
              </w:rPr>
              <w:t>32,705</w:t>
            </w:r>
          </w:p>
          <w:p>
            <w:pPr>
              <w:pStyle w:val="TableParagraph"/>
              <w:spacing w:before="108"/>
              <w:ind w:left="435" w:right="59"/>
              <w:jc w:val="center"/>
              <w:rPr>
                <w:sz w:val="19"/>
              </w:rPr>
            </w:pPr>
            <w:r>
              <w:rPr>
                <w:sz w:val="19"/>
              </w:rPr>
              <w:t>(2,042)</w:t>
            </w:r>
          </w:p>
          <w:p>
            <w:pPr>
              <w:pStyle w:val="TableParagraph"/>
              <w:spacing w:before="5"/>
              <w:rPr>
                <w:sz w:val="27"/>
              </w:rPr>
            </w:pPr>
          </w:p>
          <w:p>
            <w:pPr>
              <w:pStyle w:val="TableParagraph"/>
              <w:spacing w:before="0"/>
              <w:ind w:left="466"/>
              <w:rPr>
                <w:sz w:val="19"/>
              </w:rPr>
            </w:pPr>
            <w:r>
              <w:rPr>
                <w:sz w:val="19"/>
              </w:rPr>
              <w:t>74,187</w:t>
            </w:r>
          </w:p>
        </w:tc>
        <w:tc>
          <w:tcPr>
            <w:tcW w:w="1548" w:type="dxa"/>
            <w:tcBorders>
              <w:top w:val="single" w:sz="4" w:space="0" w:color="6F2770"/>
              <w:left w:val="nil"/>
            </w:tcBorders>
            <w:shd w:val="clear" w:color="auto" w:fill="F4F4F4"/>
          </w:tcPr>
          <w:p>
            <w:pPr>
              <w:pStyle w:val="TableParagraph"/>
              <w:spacing w:before="37"/>
              <w:ind w:right="91"/>
              <w:jc w:val="right"/>
              <w:rPr>
                <w:sz w:val="19"/>
              </w:rPr>
            </w:pPr>
            <w:r>
              <w:rPr>
                <w:w w:val="95"/>
                <w:sz w:val="19"/>
              </w:rPr>
              <w:t>(24,043)</w:t>
            </w:r>
          </w:p>
        </w:tc>
        <w:tc>
          <w:tcPr>
            <w:tcW w:w="2172" w:type="dxa"/>
            <w:tcBorders>
              <w:top w:val="single" w:sz="4" w:space="0" w:color="6F2770"/>
            </w:tcBorders>
            <w:shd w:val="clear" w:color="auto" w:fill="F4F4F4"/>
          </w:tcPr>
          <w:p>
            <w:pPr>
              <w:pStyle w:val="TableParagraph"/>
              <w:spacing w:before="37"/>
              <w:ind w:right="92"/>
              <w:jc w:val="right"/>
              <w:rPr>
                <w:sz w:val="19"/>
              </w:rPr>
            </w:pPr>
            <w:r>
              <w:rPr>
                <w:w w:val="95"/>
                <w:sz w:val="19"/>
              </w:rPr>
              <w:t>(56,562)</w:t>
            </w:r>
          </w:p>
        </w:tc>
        <w:tc>
          <w:tcPr>
            <w:tcW w:w="2569" w:type="dxa"/>
            <w:tcBorders>
              <w:top w:val="single" w:sz="4" w:space="0" w:color="6F2770"/>
              <w:right w:val="nil"/>
            </w:tcBorders>
            <w:shd w:val="clear" w:color="auto" w:fill="F4F4F4"/>
          </w:tcPr>
          <w:p>
            <w:pPr>
              <w:pStyle w:val="TableParagraph"/>
              <w:spacing w:before="37"/>
              <w:ind w:right="103"/>
              <w:jc w:val="right"/>
              <w:rPr>
                <w:sz w:val="19"/>
              </w:rPr>
            </w:pPr>
            <w:r>
              <w:rPr>
                <w:w w:val="90"/>
                <w:sz w:val="19"/>
              </w:rPr>
              <w:t>(3,154)</w:t>
            </w:r>
          </w:p>
        </w:tc>
      </w:tr>
      <w:tr>
        <w:trPr>
          <w:trHeight w:val="307" w:hRule="atLeast"/>
        </w:trPr>
        <w:tc>
          <w:tcPr>
            <w:tcW w:w="5820" w:type="dxa"/>
            <w:vMerge/>
            <w:tcBorders>
              <w:top w:val="nil"/>
              <w:left w:val="nil"/>
              <w:bottom w:val="nil"/>
              <w:right w:val="nil"/>
            </w:tcBorders>
            <w:shd w:val="clear" w:color="auto" w:fill="FFFFFF"/>
          </w:tcPr>
          <w:p>
            <w:pPr>
              <w:rPr>
                <w:sz w:val="2"/>
                <w:szCs w:val="2"/>
              </w:rPr>
            </w:pPr>
          </w:p>
        </w:tc>
        <w:tc>
          <w:tcPr>
            <w:tcW w:w="2209" w:type="dxa"/>
            <w:gridSpan w:val="2"/>
            <w:tcBorders>
              <w:top w:val="nil"/>
              <w:left w:val="nil"/>
              <w:bottom w:val="nil"/>
              <w:right w:val="nil"/>
            </w:tcBorders>
            <w:shd w:val="clear" w:color="auto" w:fill="FFFFFF"/>
          </w:tcPr>
          <w:p>
            <w:pPr>
              <w:pStyle w:val="TableParagraph"/>
              <w:spacing w:before="42"/>
              <w:ind w:right="101"/>
              <w:jc w:val="right"/>
              <w:rPr>
                <w:sz w:val="19"/>
              </w:rPr>
            </w:pPr>
            <w:r>
              <w:rPr>
                <w:w w:val="95"/>
                <w:sz w:val="19"/>
              </w:rPr>
              <w:t>868</w:t>
            </w:r>
          </w:p>
        </w:tc>
        <w:tc>
          <w:tcPr>
            <w:tcW w:w="1151" w:type="dxa"/>
            <w:vMerge/>
            <w:tcBorders>
              <w:top w:val="nil"/>
              <w:left w:val="nil"/>
              <w:bottom w:val="single" w:sz="4" w:space="0" w:color="000000"/>
              <w:right w:val="nil"/>
            </w:tcBorders>
            <w:shd w:val="clear" w:color="auto" w:fill="DFE1B8"/>
          </w:tcPr>
          <w:p>
            <w:pPr>
              <w:rPr>
                <w:sz w:val="2"/>
                <w:szCs w:val="2"/>
              </w:rPr>
            </w:pPr>
          </w:p>
        </w:tc>
        <w:tc>
          <w:tcPr>
            <w:tcW w:w="6289" w:type="dxa"/>
            <w:gridSpan w:val="3"/>
            <w:tcBorders>
              <w:left w:val="nil"/>
              <w:right w:val="nil"/>
            </w:tcBorders>
            <w:shd w:val="clear" w:color="auto" w:fill="FAF9F9"/>
          </w:tcPr>
          <w:p>
            <w:pPr>
              <w:pStyle w:val="TableParagraph"/>
              <w:tabs>
                <w:tab w:pos="3207" w:val="left" w:leader="none"/>
                <w:tab w:pos="5880" w:val="left" w:leader="none"/>
              </w:tabs>
              <w:ind w:left="1373"/>
              <w:rPr>
                <w:sz w:val="19"/>
              </w:rPr>
            </w:pPr>
            <w:r>
              <w:rPr>
                <w:sz w:val="19"/>
              </w:rPr>
              <w:t>-</w:t>
              <w:tab/>
              <w:t>(896)</w:t>
              <w:tab/>
              <w:t>(28)</w:t>
            </w:r>
          </w:p>
        </w:tc>
      </w:tr>
      <w:tr>
        <w:trPr>
          <w:trHeight w:val="297" w:hRule="atLeast"/>
        </w:trPr>
        <w:tc>
          <w:tcPr>
            <w:tcW w:w="5820" w:type="dxa"/>
            <w:vMerge w:val="restart"/>
            <w:shd w:val="clear" w:color="auto" w:fill="FAF9F9"/>
          </w:tcPr>
          <w:p>
            <w:pPr>
              <w:pStyle w:val="TableParagraph"/>
              <w:ind w:left="113"/>
              <w:rPr>
                <w:sz w:val="19"/>
              </w:rPr>
            </w:pPr>
            <w:r>
              <w:rPr>
                <w:sz w:val="19"/>
              </w:rPr>
              <w:t>Cash balance transferred from the Department of Treasury</w:t>
            </w:r>
          </w:p>
          <w:p>
            <w:pPr>
              <w:pStyle w:val="TableParagraph"/>
              <w:spacing w:line="249" w:lineRule="auto" w:before="109"/>
              <w:ind w:left="113" w:right="260"/>
              <w:rPr>
                <w:sz w:val="19"/>
              </w:rPr>
            </w:pPr>
            <w:r>
              <w:rPr>
                <w:sz w:val="19"/>
              </w:rPr>
              <w:t>Cash</w:t>
            </w:r>
            <w:r>
              <w:rPr>
                <w:spacing w:val="-22"/>
                <w:sz w:val="19"/>
              </w:rPr>
              <w:t> </w:t>
            </w:r>
            <w:r>
              <w:rPr>
                <w:sz w:val="19"/>
              </w:rPr>
              <w:t>balance</w:t>
            </w:r>
            <w:r>
              <w:rPr>
                <w:spacing w:val="-21"/>
                <w:sz w:val="19"/>
              </w:rPr>
              <w:t> </w:t>
            </w:r>
            <w:r>
              <w:rPr>
                <w:sz w:val="19"/>
              </w:rPr>
              <w:t>transferred</w:t>
            </w:r>
            <w:r>
              <w:rPr>
                <w:spacing w:val="-21"/>
                <w:sz w:val="19"/>
              </w:rPr>
              <w:t> </w:t>
            </w:r>
            <w:r>
              <w:rPr>
                <w:sz w:val="19"/>
              </w:rPr>
              <w:t>to</w:t>
            </w:r>
            <w:r>
              <w:rPr>
                <w:spacing w:val="-21"/>
                <w:sz w:val="19"/>
              </w:rPr>
              <w:t> </w:t>
            </w:r>
            <w:r>
              <w:rPr>
                <w:sz w:val="19"/>
              </w:rPr>
              <w:t>the</w:t>
            </w:r>
            <w:r>
              <w:rPr>
                <w:spacing w:val="-21"/>
                <w:sz w:val="19"/>
              </w:rPr>
              <w:t> </w:t>
            </w:r>
            <w:r>
              <w:rPr>
                <w:sz w:val="19"/>
              </w:rPr>
              <w:t>Department</w:t>
            </w:r>
            <w:r>
              <w:rPr>
                <w:spacing w:val="-21"/>
                <w:sz w:val="19"/>
              </w:rPr>
              <w:t> </w:t>
            </w:r>
            <w:r>
              <w:rPr>
                <w:sz w:val="19"/>
              </w:rPr>
              <w:t>of</w:t>
            </w:r>
            <w:r>
              <w:rPr>
                <w:spacing w:val="-22"/>
                <w:sz w:val="19"/>
              </w:rPr>
              <w:t> </w:t>
            </w:r>
            <w:r>
              <w:rPr>
                <w:sz w:val="19"/>
              </w:rPr>
              <w:t>Local</w:t>
            </w:r>
            <w:r>
              <w:rPr>
                <w:spacing w:val="-21"/>
                <w:sz w:val="19"/>
              </w:rPr>
              <w:t> </w:t>
            </w:r>
            <w:r>
              <w:rPr>
                <w:sz w:val="19"/>
              </w:rPr>
              <w:t>Government, Sport and Cultural</w:t>
            </w:r>
            <w:r>
              <w:rPr>
                <w:spacing w:val="-4"/>
                <w:sz w:val="19"/>
              </w:rPr>
              <w:t> </w:t>
            </w:r>
            <w:r>
              <w:rPr>
                <w:sz w:val="19"/>
              </w:rPr>
              <w:t>Industries</w:t>
            </w:r>
          </w:p>
        </w:tc>
        <w:tc>
          <w:tcPr>
            <w:tcW w:w="1058" w:type="dxa"/>
            <w:tcBorders>
              <w:bottom w:val="nil"/>
            </w:tcBorders>
            <w:shd w:val="clear" w:color="auto" w:fill="F4F4F4"/>
          </w:tcPr>
          <w:p>
            <w:pPr>
              <w:pStyle w:val="TableParagraph"/>
              <w:ind w:left="20"/>
              <w:jc w:val="center"/>
              <w:rPr>
                <w:sz w:val="19"/>
              </w:rPr>
            </w:pPr>
            <w:r>
              <w:rPr>
                <w:color w:val="6F2770"/>
                <w:w w:val="99"/>
                <w:sz w:val="19"/>
                <w:u w:val="single" w:color="6F2770"/>
              </w:rPr>
              <w:t>5</w:t>
            </w:r>
          </w:p>
        </w:tc>
        <w:tc>
          <w:tcPr>
            <w:tcW w:w="1151" w:type="dxa"/>
            <w:tcBorders>
              <w:bottom w:val="nil"/>
              <w:right w:val="nil"/>
            </w:tcBorders>
            <w:shd w:val="clear" w:color="auto" w:fill="F4F4F4"/>
          </w:tcPr>
          <w:p>
            <w:pPr>
              <w:pStyle w:val="TableParagraph"/>
              <w:ind w:right="101"/>
              <w:jc w:val="right"/>
              <w:rPr>
                <w:sz w:val="19"/>
              </w:rPr>
            </w:pPr>
            <w:r>
              <w:rPr>
                <w:w w:val="111"/>
                <w:sz w:val="19"/>
              </w:rPr>
              <w:t>-</w:t>
            </w:r>
          </w:p>
        </w:tc>
        <w:tc>
          <w:tcPr>
            <w:tcW w:w="1151" w:type="dxa"/>
            <w:vMerge/>
            <w:tcBorders>
              <w:top w:val="nil"/>
              <w:left w:val="nil"/>
              <w:bottom w:val="single" w:sz="4" w:space="0" w:color="000000"/>
              <w:right w:val="nil"/>
            </w:tcBorders>
            <w:shd w:val="clear" w:color="auto" w:fill="DFE1B8"/>
          </w:tcPr>
          <w:p>
            <w:pPr>
              <w:rPr>
                <w:sz w:val="2"/>
                <w:szCs w:val="2"/>
              </w:rPr>
            </w:pPr>
          </w:p>
        </w:tc>
        <w:tc>
          <w:tcPr>
            <w:tcW w:w="1548" w:type="dxa"/>
            <w:tcBorders>
              <w:left w:val="nil"/>
            </w:tcBorders>
            <w:shd w:val="clear" w:color="auto" w:fill="F4F4F4"/>
          </w:tcPr>
          <w:p>
            <w:pPr>
              <w:pStyle w:val="TableParagraph"/>
              <w:ind w:right="91"/>
              <w:jc w:val="right"/>
              <w:rPr>
                <w:sz w:val="19"/>
              </w:rPr>
            </w:pPr>
            <w:r>
              <w:rPr>
                <w:w w:val="111"/>
                <w:sz w:val="19"/>
              </w:rPr>
              <w:t>-</w:t>
            </w:r>
          </w:p>
        </w:tc>
        <w:tc>
          <w:tcPr>
            <w:tcW w:w="2172" w:type="dxa"/>
            <w:shd w:val="clear" w:color="auto" w:fill="F4F4F4"/>
          </w:tcPr>
          <w:p>
            <w:pPr>
              <w:pStyle w:val="TableParagraph"/>
              <w:ind w:right="92"/>
              <w:jc w:val="right"/>
              <w:rPr>
                <w:sz w:val="19"/>
              </w:rPr>
            </w:pPr>
            <w:r>
              <w:rPr>
                <w:w w:val="95"/>
                <w:sz w:val="19"/>
              </w:rPr>
              <w:t>32,705</w:t>
            </w:r>
          </w:p>
        </w:tc>
        <w:tc>
          <w:tcPr>
            <w:tcW w:w="2569" w:type="dxa"/>
            <w:tcBorders>
              <w:right w:val="nil"/>
            </w:tcBorders>
            <w:shd w:val="clear" w:color="auto" w:fill="F4F4F4"/>
          </w:tcPr>
          <w:p>
            <w:pPr>
              <w:pStyle w:val="TableParagraph"/>
              <w:ind w:right="103"/>
              <w:jc w:val="right"/>
              <w:rPr>
                <w:sz w:val="19"/>
              </w:rPr>
            </w:pPr>
            <w:r>
              <w:rPr>
                <w:w w:val="95"/>
                <w:sz w:val="19"/>
              </w:rPr>
              <w:t>32,705</w:t>
            </w:r>
          </w:p>
        </w:tc>
      </w:tr>
      <w:tr>
        <w:trPr>
          <w:trHeight w:val="513" w:hRule="atLeast"/>
        </w:trPr>
        <w:tc>
          <w:tcPr>
            <w:tcW w:w="5820" w:type="dxa"/>
            <w:vMerge/>
            <w:tcBorders>
              <w:top w:val="nil"/>
            </w:tcBorders>
            <w:shd w:val="clear" w:color="auto" w:fill="FAF9F9"/>
          </w:tcPr>
          <w:p>
            <w:pPr>
              <w:rPr>
                <w:sz w:val="2"/>
                <w:szCs w:val="2"/>
              </w:rPr>
            </w:pPr>
          </w:p>
        </w:tc>
        <w:tc>
          <w:tcPr>
            <w:tcW w:w="2209" w:type="dxa"/>
            <w:gridSpan w:val="2"/>
            <w:tcBorders>
              <w:top w:val="nil"/>
              <w:left w:val="nil"/>
              <w:bottom w:val="nil"/>
              <w:right w:val="nil"/>
            </w:tcBorders>
            <w:shd w:val="clear" w:color="auto" w:fill="FFFFFF"/>
          </w:tcPr>
          <w:p>
            <w:pPr>
              <w:pStyle w:val="TableParagraph"/>
              <w:spacing w:before="42"/>
              <w:ind w:right="101"/>
              <w:jc w:val="right"/>
              <w:rPr>
                <w:sz w:val="19"/>
              </w:rPr>
            </w:pPr>
            <w:r>
              <w:rPr>
                <w:w w:val="111"/>
                <w:sz w:val="19"/>
              </w:rPr>
              <w:t>-</w:t>
            </w:r>
          </w:p>
        </w:tc>
        <w:tc>
          <w:tcPr>
            <w:tcW w:w="1151" w:type="dxa"/>
            <w:vMerge/>
            <w:tcBorders>
              <w:top w:val="nil"/>
              <w:left w:val="nil"/>
              <w:bottom w:val="single" w:sz="4" w:space="0" w:color="000000"/>
              <w:right w:val="nil"/>
            </w:tcBorders>
            <w:shd w:val="clear" w:color="auto" w:fill="DFE1B8"/>
          </w:tcPr>
          <w:p>
            <w:pPr>
              <w:rPr>
                <w:sz w:val="2"/>
                <w:szCs w:val="2"/>
              </w:rPr>
            </w:pPr>
          </w:p>
        </w:tc>
        <w:tc>
          <w:tcPr>
            <w:tcW w:w="6289" w:type="dxa"/>
            <w:gridSpan w:val="3"/>
            <w:tcBorders>
              <w:left w:val="nil"/>
              <w:right w:val="nil"/>
            </w:tcBorders>
            <w:shd w:val="clear" w:color="auto" w:fill="FAF9F9"/>
          </w:tcPr>
          <w:p>
            <w:pPr>
              <w:pStyle w:val="TableParagraph"/>
              <w:tabs>
                <w:tab w:pos="3048" w:val="left" w:leader="none"/>
                <w:tab w:pos="5616" w:val="left" w:leader="none"/>
              </w:tabs>
              <w:ind w:left="1373"/>
              <w:rPr>
                <w:sz w:val="19"/>
              </w:rPr>
            </w:pPr>
            <w:r>
              <w:rPr>
                <w:sz w:val="19"/>
              </w:rPr>
              <w:t>-</w:t>
              <w:tab/>
              <w:t>(2,042)</w:t>
              <w:tab/>
              <w:t>(2,042)</w:t>
            </w:r>
          </w:p>
        </w:tc>
      </w:tr>
      <w:tr>
        <w:trPr>
          <w:trHeight w:val="312" w:hRule="atLeast"/>
        </w:trPr>
        <w:tc>
          <w:tcPr>
            <w:tcW w:w="5820" w:type="dxa"/>
            <w:vMerge w:val="restart"/>
            <w:tcBorders>
              <w:top w:val="nil"/>
              <w:left w:val="nil"/>
              <w:bottom w:val="nil"/>
              <w:right w:val="nil"/>
            </w:tcBorders>
            <w:shd w:val="clear" w:color="auto" w:fill="FFFFFF"/>
          </w:tcPr>
          <w:p>
            <w:pPr>
              <w:pStyle w:val="TableParagraph"/>
              <w:ind w:left="123"/>
              <w:rPr>
                <w:sz w:val="19"/>
              </w:rPr>
            </w:pPr>
            <w:r>
              <w:rPr>
                <w:sz w:val="19"/>
              </w:rPr>
              <w:t>Cash and cash equivalents at the beginning of the period</w:t>
            </w:r>
          </w:p>
          <w:p>
            <w:pPr>
              <w:pStyle w:val="TableParagraph"/>
              <w:spacing w:before="109"/>
              <w:ind w:left="123"/>
              <w:rPr>
                <w:b/>
                <w:sz w:val="19"/>
              </w:rPr>
            </w:pPr>
            <w:r>
              <w:rPr>
                <w:b/>
                <w:sz w:val="19"/>
              </w:rPr>
              <w:t>CASH AND CASH EQUIVALENTS </w:t>
            </w:r>
            <w:r>
              <w:rPr>
                <w:b/>
                <w:spacing w:val="-8"/>
                <w:sz w:val="19"/>
              </w:rPr>
              <w:t>AT </w:t>
            </w:r>
            <w:r>
              <w:rPr>
                <w:b/>
                <w:sz w:val="19"/>
              </w:rPr>
              <w:t>THE END OF THE</w:t>
            </w:r>
            <w:r>
              <w:rPr>
                <w:b/>
                <w:spacing w:val="-26"/>
                <w:sz w:val="19"/>
              </w:rPr>
              <w:t> </w:t>
            </w:r>
            <w:r>
              <w:rPr>
                <w:b/>
                <w:sz w:val="19"/>
              </w:rPr>
              <w:t>PERIOD</w:t>
            </w:r>
          </w:p>
        </w:tc>
        <w:tc>
          <w:tcPr>
            <w:tcW w:w="1058" w:type="dxa"/>
            <w:vMerge w:val="restart"/>
            <w:tcBorders>
              <w:top w:val="nil"/>
              <w:left w:val="nil"/>
              <w:bottom w:val="nil"/>
              <w:right w:val="nil"/>
            </w:tcBorders>
            <w:shd w:val="clear" w:color="auto" w:fill="FFFFFF"/>
          </w:tcPr>
          <w:p>
            <w:pPr>
              <w:pStyle w:val="TableParagraph"/>
              <w:spacing w:before="0"/>
              <w:rPr>
                <w:rFonts w:ascii="Times New Roman"/>
                <w:sz w:val="20"/>
              </w:rPr>
            </w:pPr>
          </w:p>
        </w:tc>
        <w:tc>
          <w:tcPr>
            <w:tcW w:w="1151" w:type="dxa"/>
            <w:tcBorders>
              <w:bottom w:val="single" w:sz="4" w:space="0" w:color="000000"/>
              <w:right w:val="nil"/>
            </w:tcBorders>
            <w:shd w:val="clear" w:color="auto" w:fill="F4F4F4"/>
          </w:tcPr>
          <w:p>
            <w:pPr>
              <w:pStyle w:val="TableParagraph"/>
              <w:ind w:right="101"/>
              <w:jc w:val="right"/>
              <w:rPr>
                <w:sz w:val="19"/>
              </w:rPr>
            </w:pPr>
            <w:r>
              <w:rPr>
                <w:w w:val="95"/>
                <w:sz w:val="19"/>
              </w:rPr>
              <w:t>103,666</w:t>
            </w:r>
          </w:p>
        </w:tc>
        <w:tc>
          <w:tcPr>
            <w:tcW w:w="1151" w:type="dxa"/>
            <w:vMerge/>
            <w:tcBorders>
              <w:top w:val="nil"/>
              <w:left w:val="nil"/>
              <w:bottom w:val="single" w:sz="4" w:space="0" w:color="000000"/>
              <w:right w:val="nil"/>
            </w:tcBorders>
            <w:shd w:val="clear" w:color="auto" w:fill="DFE1B8"/>
          </w:tcPr>
          <w:p>
            <w:pPr>
              <w:rPr>
                <w:sz w:val="2"/>
                <w:szCs w:val="2"/>
              </w:rPr>
            </w:pPr>
          </w:p>
        </w:tc>
        <w:tc>
          <w:tcPr>
            <w:tcW w:w="1548" w:type="dxa"/>
            <w:tcBorders>
              <w:left w:val="nil"/>
              <w:bottom w:val="single" w:sz="4" w:space="0" w:color="000000"/>
            </w:tcBorders>
            <w:shd w:val="clear" w:color="auto" w:fill="F4F4F4"/>
          </w:tcPr>
          <w:p>
            <w:pPr>
              <w:pStyle w:val="TableParagraph"/>
              <w:ind w:right="91"/>
              <w:jc w:val="right"/>
              <w:rPr>
                <w:sz w:val="19"/>
              </w:rPr>
            </w:pPr>
            <w:r>
              <w:rPr>
                <w:w w:val="95"/>
                <w:sz w:val="19"/>
              </w:rPr>
              <w:t>98,230</w:t>
            </w:r>
          </w:p>
        </w:tc>
        <w:tc>
          <w:tcPr>
            <w:tcW w:w="2172" w:type="dxa"/>
            <w:tcBorders>
              <w:bottom w:val="single" w:sz="4" w:space="0" w:color="000000"/>
            </w:tcBorders>
            <w:shd w:val="clear" w:color="auto" w:fill="F4F4F4"/>
          </w:tcPr>
          <w:p>
            <w:pPr>
              <w:pStyle w:val="TableParagraph"/>
              <w:ind w:right="92"/>
              <w:jc w:val="right"/>
              <w:rPr>
                <w:sz w:val="19"/>
              </w:rPr>
            </w:pPr>
            <w:r>
              <w:rPr>
                <w:w w:val="95"/>
                <w:sz w:val="19"/>
              </w:rPr>
              <w:t>(29,479)</w:t>
            </w:r>
          </w:p>
        </w:tc>
        <w:tc>
          <w:tcPr>
            <w:tcW w:w="2569" w:type="dxa"/>
            <w:tcBorders>
              <w:bottom w:val="single" w:sz="4" w:space="0" w:color="000000"/>
              <w:right w:val="nil"/>
            </w:tcBorders>
            <w:shd w:val="clear" w:color="auto" w:fill="F4F4F4"/>
          </w:tcPr>
          <w:p>
            <w:pPr>
              <w:pStyle w:val="TableParagraph"/>
              <w:ind w:right="103"/>
              <w:jc w:val="right"/>
              <w:rPr>
                <w:sz w:val="19"/>
              </w:rPr>
            </w:pPr>
            <w:r>
              <w:rPr>
                <w:w w:val="95"/>
                <w:sz w:val="19"/>
              </w:rPr>
              <w:t>(24,043)</w:t>
            </w:r>
          </w:p>
        </w:tc>
      </w:tr>
      <w:tr>
        <w:trPr>
          <w:trHeight w:val="292" w:hRule="atLeast"/>
        </w:trPr>
        <w:tc>
          <w:tcPr>
            <w:tcW w:w="5820" w:type="dxa"/>
            <w:vMerge/>
            <w:tcBorders>
              <w:top w:val="nil"/>
              <w:left w:val="nil"/>
              <w:bottom w:val="nil"/>
              <w:right w:val="nil"/>
            </w:tcBorders>
            <w:shd w:val="clear" w:color="auto" w:fill="FFFFFF"/>
          </w:tcPr>
          <w:p>
            <w:pPr>
              <w:rPr>
                <w:sz w:val="2"/>
                <w:szCs w:val="2"/>
              </w:rPr>
            </w:pPr>
          </w:p>
        </w:tc>
        <w:tc>
          <w:tcPr>
            <w:tcW w:w="1058" w:type="dxa"/>
            <w:vMerge/>
            <w:tcBorders>
              <w:top w:val="nil"/>
              <w:left w:val="nil"/>
              <w:bottom w:val="nil"/>
              <w:right w:val="nil"/>
            </w:tcBorders>
            <w:shd w:val="clear" w:color="auto" w:fill="FFFFFF"/>
          </w:tcPr>
          <w:p>
            <w:pPr>
              <w:rPr>
                <w:sz w:val="2"/>
                <w:szCs w:val="2"/>
              </w:rPr>
            </w:pPr>
          </w:p>
        </w:tc>
        <w:tc>
          <w:tcPr>
            <w:tcW w:w="1151" w:type="dxa"/>
            <w:tcBorders>
              <w:top w:val="single" w:sz="4" w:space="0" w:color="000000"/>
              <w:bottom w:val="single" w:sz="24" w:space="0" w:color="FFFFFF"/>
              <w:right w:val="nil"/>
            </w:tcBorders>
            <w:shd w:val="clear" w:color="auto" w:fill="FAF9F9"/>
          </w:tcPr>
          <w:p>
            <w:pPr>
              <w:pStyle w:val="TableParagraph"/>
              <w:spacing w:before="37"/>
              <w:ind w:right="101"/>
              <w:jc w:val="right"/>
              <w:rPr>
                <w:b/>
                <w:sz w:val="19"/>
              </w:rPr>
            </w:pPr>
            <w:r>
              <w:rPr>
                <w:b/>
                <w:w w:val="95"/>
                <w:sz w:val="19"/>
              </w:rPr>
              <w:t>133,899</w:t>
            </w:r>
          </w:p>
        </w:tc>
        <w:tc>
          <w:tcPr>
            <w:tcW w:w="1151" w:type="dxa"/>
            <w:tcBorders>
              <w:top w:val="single" w:sz="4" w:space="0" w:color="000000"/>
              <w:left w:val="nil"/>
              <w:bottom w:val="single" w:sz="24" w:space="0" w:color="FFFFFF"/>
              <w:right w:val="nil"/>
            </w:tcBorders>
            <w:shd w:val="clear" w:color="auto" w:fill="E1E4BB"/>
          </w:tcPr>
          <w:p>
            <w:pPr>
              <w:pStyle w:val="TableParagraph"/>
              <w:spacing w:before="37"/>
              <w:ind w:left="466"/>
              <w:rPr>
                <w:b/>
                <w:sz w:val="19"/>
              </w:rPr>
            </w:pPr>
            <w:r>
              <w:rPr>
                <w:b/>
                <w:sz w:val="19"/>
              </w:rPr>
              <w:t>77,625</w:t>
            </w:r>
          </w:p>
        </w:tc>
        <w:tc>
          <w:tcPr>
            <w:tcW w:w="6289" w:type="dxa"/>
            <w:gridSpan w:val="3"/>
            <w:tcBorders>
              <w:top w:val="single" w:sz="4" w:space="0" w:color="000000"/>
              <w:left w:val="nil"/>
              <w:bottom w:val="single" w:sz="24" w:space="0" w:color="FFFFFF"/>
              <w:right w:val="nil"/>
            </w:tcBorders>
            <w:shd w:val="clear" w:color="auto" w:fill="FAF9F9"/>
          </w:tcPr>
          <w:p>
            <w:pPr>
              <w:pStyle w:val="TableParagraph"/>
              <w:tabs>
                <w:tab w:pos="2921" w:val="left" w:leader="none"/>
                <w:tab w:pos="5708" w:val="left" w:leader="none"/>
              </w:tabs>
              <w:spacing w:before="37"/>
              <w:ind w:left="863"/>
              <w:rPr>
                <w:b/>
                <w:sz w:val="19"/>
              </w:rPr>
            </w:pPr>
            <w:r>
              <w:rPr>
                <w:b/>
                <w:sz w:val="19"/>
              </w:rPr>
              <w:t>74,187</w:t>
              <w:tab/>
              <w:t>(56,274)</w:t>
              <w:tab/>
              <w:t>3,438</w:t>
            </w:r>
          </w:p>
        </w:tc>
      </w:tr>
    </w:tbl>
    <w:p>
      <w:pPr>
        <w:pStyle w:val="BodyText"/>
        <w:spacing w:line="20" w:lineRule="exact"/>
        <w:ind w:left="9950"/>
        <w:rPr>
          <w:sz w:val="2"/>
        </w:rPr>
      </w:pPr>
      <w:r>
        <w:rPr>
          <w:sz w:val="2"/>
        </w:rPr>
        <w:pict>
          <v:group style="width:314.4pt;height:.550pt;mso-position-horizontal-relative:char;mso-position-vertical-relative:line" coordorigin="0,0" coordsize="6288,11">
            <v:line style="position:absolute" from="0,5" to="1548,5" stroked="true" strokeweight=".501pt" strokecolor="#000000">
              <v:stroke dashstyle="solid"/>
            </v:line>
            <v:line style="position:absolute" from="1548,5" to="3719,5" stroked="true" strokeweight=".501pt" strokecolor="#000000">
              <v:stroke dashstyle="solid"/>
            </v:line>
            <v:line style="position:absolute" from="3719,5" to="6287,5" stroked="true" strokeweight=".501pt" strokecolor="#000000">
              <v:stroke dashstyle="solid"/>
            </v:line>
          </v:group>
        </w:pict>
      </w:r>
      <w:r>
        <w:rPr>
          <w:sz w:val="2"/>
        </w:rPr>
      </w:r>
    </w:p>
    <w:p>
      <w:pPr>
        <w:spacing w:before="239"/>
        <w:ind w:left="765" w:right="0" w:firstLine="0"/>
        <w:jc w:val="left"/>
        <w:rPr>
          <w:i/>
          <w:sz w:val="22"/>
        </w:rPr>
      </w:pPr>
      <w:r>
        <w:rPr>
          <w:i/>
          <w:color w:val="6F2770"/>
          <w:sz w:val="22"/>
        </w:rPr>
        <w:t>Major Estimate and Actual (2018) Variance Narratives</w:t>
      </w:r>
    </w:p>
    <w:p>
      <w:pPr>
        <w:pStyle w:val="ListParagraph"/>
        <w:numPr>
          <w:ilvl w:val="0"/>
          <w:numId w:val="22"/>
        </w:numPr>
        <w:tabs>
          <w:tab w:pos="1010" w:val="left" w:leader="none"/>
        </w:tabs>
        <w:spacing w:line="240" w:lineRule="auto" w:before="11" w:after="0"/>
        <w:ind w:left="1010" w:right="0" w:hanging="245"/>
        <w:jc w:val="left"/>
        <w:rPr>
          <w:sz w:val="22"/>
        </w:rPr>
      </w:pPr>
      <w:r>
        <w:rPr>
          <w:sz w:val="22"/>
        </w:rPr>
        <w:t>A</w:t>
      </w:r>
      <w:r>
        <w:rPr>
          <w:spacing w:val="-5"/>
          <w:sz w:val="22"/>
        </w:rPr>
        <w:t> </w:t>
      </w:r>
      <w:r>
        <w:rPr>
          <w:sz w:val="22"/>
        </w:rPr>
        <w:t>reduction</w:t>
      </w:r>
      <w:r>
        <w:rPr>
          <w:spacing w:val="-4"/>
          <w:sz w:val="22"/>
        </w:rPr>
        <w:t> </w:t>
      </w:r>
      <w:r>
        <w:rPr>
          <w:sz w:val="22"/>
        </w:rPr>
        <w:t>in</w:t>
      </w:r>
      <w:r>
        <w:rPr>
          <w:spacing w:val="-5"/>
          <w:sz w:val="22"/>
        </w:rPr>
        <w:t> </w:t>
      </w:r>
      <w:r>
        <w:rPr>
          <w:sz w:val="22"/>
        </w:rPr>
        <w:t>Capital</w:t>
      </w:r>
      <w:r>
        <w:rPr>
          <w:spacing w:val="-4"/>
          <w:sz w:val="22"/>
        </w:rPr>
        <w:t> </w:t>
      </w:r>
      <w:r>
        <w:rPr>
          <w:sz w:val="22"/>
        </w:rPr>
        <w:t>Works</w:t>
      </w:r>
      <w:r>
        <w:rPr>
          <w:spacing w:val="-5"/>
          <w:sz w:val="22"/>
        </w:rPr>
        <w:t> </w:t>
      </w:r>
      <w:r>
        <w:rPr>
          <w:sz w:val="22"/>
        </w:rPr>
        <w:t>expenditure</w:t>
      </w:r>
      <w:r>
        <w:rPr>
          <w:spacing w:val="-4"/>
          <w:sz w:val="22"/>
        </w:rPr>
        <w:t> </w:t>
      </w:r>
      <w:r>
        <w:rPr>
          <w:sz w:val="22"/>
        </w:rPr>
        <w:t>managed</w:t>
      </w:r>
      <w:r>
        <w:rPr>
          <w:spacing w:val="-5"/>
          <w:sz w:val="22"/>
        </w:rPr>
        <w:t> </w:t>
      </w:r>
      <w:r>
        <w:rPr>
          <w:sz w:val="22"/>
        </w:rPr>
        <w:t>on</w:t>
      </w:r>
      <w:r>
        <w:rPr>
          <w:spacing w:val="-4"/>
          <w:sz w:val="22"/>
        </w:rPr>
        <w:t> </w:t>
      </w:r>
      <w:r>
        <w:rPr>
          <w:sz w:val="22"/>
        </w:rPr>
        <w:t>behalf</w:t>
      </w:r>
      <w:r>
        <w:rPr>
          <w:spacing w:val="-4"/>
          <w:sz w:val="22"/>
        </w:rPr>
        <w:t> </w:t>
      </w:r>
      <w:r>
        <w:rPr>
          <w:sz w:val="22"/>
        </w:rPr>
        <w:t>of</w:t>
      </w:r>
      <w:r>
        <w:rPr>
          <w:spacing w:val="-5"/>
          <w:sz w:val="22"/>
        </w:rPr>
        <w:t> </w:t>
      </w:r>
      <w:r>
        <w:rPr>
          <w:sz w:val="22"/>
        </w:rPr>
        <w:t>government</w:t>
      </w:r>
      <w:r>
        <w:rPr>
          <w:spacing w:val="-4"/>
          <w:sz w:val="22"/>
        </w:rPr>
        <w:t> </w:t>
      </w:r>
      <w:r>
        <w:rPr>
          <w:sz w:val="22"/>
        </w:rPr>
        <w:t>agencies</w:t>
      </w:r>
      <w:r>
        <w:rPr>
          <w:spacing w:val="-5"/>
          <w:sz w:val="22"/>
        </w:rPr>
        <w:t> </w:t>
      </w:r>
      <w:r>
        <w:rPr>
          <w:sz w:val="22"/>
        </w:rPr>
        <w:t>resulted</w:t>
      </w:r>
      <w:r>
        <w:rPr>
          <w:spacing w:val="-4"/>
          <w:sz w:val="22"/>
        </w:rPr>
        <w:t> </w:t>
      </w:r>
      <w:r>
        <w:rPr>
          <w:sz w:val="22"/>
        </w:rPr>
        <w:t>in</w:t>
      </w:r>
      <w:r>
        <w:rPr>
          <w:spacing w:val="-5"/>
          <w:sz w:val="22"/>
        </w:rPr>
        <w:t> </w:t>
      </w:r>
      <w:r>
        <w:rPr>
          <w:sz w:val="22"/>
        </w:rPr>
        <w:t>lower</w:t>
      </w:r>
      <w:r>
        <w:rPr>
          <w:spacing w:val="-4"/>
          <w:sz w:val="22"/>
        </w:rPr>
        <w:t> </w:t>
      </w:r>
      <w:r>
        <w:rPr>
          <w:sz w:val="22"/>
        </w:rPr>
        <w:t>recoveries</w:t>
      </w:r>
      <w:r>
        <w:rPr>
          <w:spacing w:val="-5"/>
          <w:sz w:val="22"/>
        </w:rPr>
        <w:t> </w:t>
      </w:r>
      <w:r>
        <w:rPr>
          <w:sz w:val="22"/>
        </w:rPr>
        <w:t>in</w:t>
      </w:r>
      <w:r>
        <w:rPr>
          <w:spacing w:val="-4"/>
          <w:sz w:val="22"/>
        </w:rPr>
        <w:t> </w:t>
      </w:r>
      <w:r>
        <w:rPr>
          <w:sz w:val="22"/>
        </w:rPr>
        <w:t>2018.</w:t>
      </w:r>
    </w:p>
    <w:p>
      <w:pPr>
        <w:pStyle w:val="ListParagraph"/>
        <w:numPr>
          <w:ilvl w:val="0"/>
          <w:numId w:val="22"/>
        </w:numPr>
        <w:tabs>
          <w:tab w:pos="1010" w:val="left" w:leader="none"/>
        </w:tabs>
        <w:spacing w:line="249" w:lineRule="auto" w:before="11" w:after="0"/>
        <w:ind w:left="1010" w:right="1167" w:hanging="245"/>
        <w:jc w:val="left"/>
        <w:rPr>
          <w:sz w:val="22"/>
        </w:rPr>
      </w:pPr>
      <w:r>
        <w:rPr>
          <w:sz w:val="22"/>
        </w:rPr>
        <w:t>Lower</w:t>
      </w:r>
      <w:r>
        <w:rPr>
          <w:spacing w:val="-22"/>
          <w:sz w:val="22"/>
        </w:rPr>
        <w:t> </w:t>
      </w:r>
      <w:r>
        <w:rPr>
          <w:sz w:val="22"/>
        </w:rPr>
        <w:t>expenditure</w:t>
      </w:r>
      <w:r>
        <w:rPr>
          <w:spacing w:val="-21"/>
          <w:sz w:val="22"/>
        </w:rPr>
        <w:t> </w:t>
      </w:r>
      <w:r>
        <w:rPr>
          <w:sz w:val="22"/>
        </w:rPr>
        <w:t>than</w:t>
      </w:r>
      <w:r>
        <w:rPr>
          <w:spacing w:val="-22"/>
          <w:sz w:val="22"/>
        </w:rPr>
        <w:t> </w:t>
      </w:r>
      <w:r>
        <w:rPr>
          <w:sz w:val="22"/>
        </w:rPr>
        <w:t>budget</w:t>
      </w:r>
      <w:r>
        <w:rPr>
          <w:spacing w:val="-21"/>
          <w:sz w:val="22"/>
        </w:rPr>
        <w:t> </w:t>
      </w:r>
      <w:r>
        <w:rPr>
          <w:sz w:val="22"/>
        </w:rPr>
        <w:t>is</w:t>
      </w:r>
      <w:r>
        <w:rPr>
          <w:spacing w:val="-21"/>
          <w:sz w:val="22"/>
        </w:rPr>
        <w:t> </w:t>
      </w:r>
      <w:r>
        <w:rPr>
          <w:sz w:val="22"/>
        </w:rPr>
        <w:t>the</w:t>
      </w:r>
      <w:r>
        <w:rPr>
          <w:spacing w:val="-22"/>
          <w:sz w:val="22"/>
        </w:rPr>
        <w:t> </w:t>
      </w:r>
      <w:r>
        <w:rPr>
          <w:sz w:val="22"/>
        </w:rPr>
        <w:t>result</w:t>
      </w:r>
      <w:r>
        <w:rPr>
          <w:spacing w:val="-21"/>
          <w:sz w:val="22"/>
        </w:rPr>
        <w:t> </w:t>
      </w:r>
      <w:r>
        <w:rPr>
          <w:sz w:val="22"/>
        </w:rPr>
        <w:t>of</w:t>
      </w:r>
      <w:r>
        <w:rPr>
          <w:spacing w:val="-21"/>
          <w:sz w:val="22"/>
        </w:rPr>
        <w:t> </w:t>
      </w:r>
      <w:r>
        <w:rPr>
          <w:sz w:val="22"/>
        </w:rPr>
        <w:t>lower</w:t>
      </w:r>
      <w:r>
        <w:rPr>
          <w:spacing w:val="-22"/>
          <w:sz w:val="22"/>
        </w:rPr>
        <w:t> </w:t>
      </w:r>
      <w:r>
        <w:rPr>
          <w:sz w:val="22"/>
        </w:rPr>
        <w:t>vehicle</w:t>
      </w:r>
      <w:r>
        <w:rPr>
          <w:spacing w:val="-21"/>
          <w:sz w:val="22"/>
        </w:rPr>
        <w:t> </w:t>
      </w:r>
      <w:r>
        <w:rPr>
          <w:sz w:val="22"/>
        </w:rPr>
        <w:t>purchases</w:t>
      </w:r>
      <w:r>
        <w:rPr>
          <w:spacing w:val="-21"/>
          <w:sz w:val="22"/>
        </w:rPr>
        <w:t> </w:t>
      </w:r>
      <w:r>
        <w:rPr>
          <w:sz w:val="22"/>
        </w:rPr>
        <w:t>due</w:t>
      </w:r>
      <w:r>
        <w:rPr>
          <w:spacing w:val="-22"/>
          <w:sz w:val="22"/>
        </w:rPr>
        <w:t> </w:t>
      </w:r>
      <w:r>
        <w:rPr>
          <w:sz w:val="22"/>
        </w:rPr>
        <w:t>to</w:t>
      </w:r>
      <w:r>
        <w:rPr>
          <w:spacing w:val="-21"/>
          <w:sz w:val="22"/>
        </w:rPr>
        <w:t> </w:t>
      </w:r>
      <w:r>
        <w:rPr>
          <w:sz w:val="22"/>
        </w:rPr>
        <w:t>State</w:t>
      </w:r>
      <w:r>
        <w:rPr>
          <w:spacing w:val="-21"/>
          <w:sz w:val="22"/>
        </w:rPr>
        <w:t> </w:t>
      </w:r>
      <w:r>
        <w:rPr>
          <w:sz w:val="22"/>
        </w:rPr>
        <w:t>Fleet</w:t>
      </w:r>
      <w:r>
        <w:rPr>
          <w:spacing w:val="-22"/>
          <w:sz w:val="22"/>
        </w:rPr>
        <w:t> </w:t>
      </w:r>
      <w:r>
        <w:rPr>
          <w:sz w:val="22"/>
        </w:rPr>
        <w:t>reforms</w:t>
      </w:r>
      <w:r>
        <w:rPr>
          <w:spacing w:val="-21"/>
          <w:sz w:val="22"/>
        </w:rPr>
        <w:t> </w:t>
      </w:r>
      <w:r>
        <w:rPr>
          <w:sz w:val="22"/>
        </w:rPr>
        <w:t>and</w:t>
      </w:r>
      <w:r>
        <w:rPr>
          <w:spacing w:val="-21"/>
          <w:sz w:val="22"/>
        </w:rPr>
        <w:t> </w:t>
      </w:r>
      <w:r>
        <w:rPr>
          <w:sz w:val="22"/>
        </w:rPr>
        <w:t>lower</w:t>
      </w:r>
      <w:r>
        <w:rPr>
          <w:spacing w:val="-22"/>
          <w:sz w:val="22"/>
        </w:rPr>
        <w:t> </w:t>
      </w:r>
      <w:r>
        <w:rPr>
          <w:sz w:val="22"/>
        </w:rPr>
        <w:t>than</w:t>
      </w:r>
      <w:r>
        <w:rPr>
          <w:spacing w:val="-21"/>
          <w:sz w:val="22"/>
        </w:rPr>
        <w:t> </w:t>
      </w:r>
      <w:r>
        <w:rPr>
          <w:sz w:val="22"/>
        </w:rPr>
        <w:t>anticipated</w:t>
      </w:r>
      <w:r>
        <w:rPr>
          <w:spacing w:val="-21"/>
          <w:sz w:val="22"/>
        </w:rPr>
        <w:t> </w:t>
      </w:r>
      <w:r>
        <w:rPr>
          <w:sz w:val="22"/>
        </w:rPr>
        <w:t>expenditure</w:t>
      </w:r>
      <w:r>
        <w:rPr>
          <w:spacing w:val="-22"/>
          <w:sz w:val="22"/>
        </w:rPr>
        <w:t> </w:t>
      </w:r>
      <w:r>
        <w:rPr>
          <w:sz w:val="22"/>
        </w:rPr>
        <w:t>on</w:t>
      </w:r>
      <w:r>
        <w:rPr>
          <w:spacing w:val="-21"/>
          <w:sz w:val="22"/>
        </w:rPr>
        <w:t> </w:t>
      </w:r>
      <w:r>
        <w:rPr>
          <w:sz w:val="22"/>
        </w:rPr>
        <w:t>lease</w:t>
      </w:r>
      <w:r>
        <w:rPr>
          <w:spacing w:val="-21"/>
          <w:sz w:val="22"/>
        </w:rPr>
        <w:t> </w:t>
      </w:r>
      <w:r>
        <w:rPr>
          <w:sz w:val="22"/>
        </w:rPr>
        <w:t>incentive funded</w:t>
      </w:r>
      <w:r>
        <w:rPr>
          <w:spacing w:val="-1"/>
          <w:sz w:val="22"/>
        </w:rPr>
        <w:t> </w:t>
      </w:r>
      <w:r>
        <w:rPr>
          <w:sz w:val="22"/>
        </w:rPr>
        <w:t>assets.</w:t>
      </w:r>
    </w:p>
    <w:p>
      <w:pPr>
        <w:pStyle w:val="BodyText"/>
        <w:spacing w:before="2"/>
        <w:ind w:left="765"/>
      </w:pPr>
      <w:r>
        <w:rPr/>
        <w:t>5. Monies transferred as a result of Machinery of Government changes.</w:t>
      </w:r>
    </w:p>
    <w:p>
      <w:pPr>
        <w:pStyle w:val="BodyText"/>
        <w:spacing w:before="10"/>
        <w:rPr>
          <w:sz w:val="23"/>
        </w:rPr>
      </w:pPr>
    </w:p>
    <w:p>
      <w:pPr>
        <w:spacing w:before="0"/>
        <w:ind w:left="765" w:right="0" w:firstLine="0"/>
        <w:jc w:val="left"/>
        <w:rPr>
          <w:i/>
          <w:sz w:val="22"/>
        </w:rPr>
      </w:pPr>
      <w:r>
        <w:rPr>
          <w:i/>
          <w:color w:val="6F2770"/>
          <w:sz w:val="22"/>
        </w:rPr>
        <w:t>Major Actual (2018) and Comparative (2017) Variance Narratives</w:t>
      </w:r>
    </w:p>
    <w:p>
      <w:pPr>
        <w:pStyle w:val="ListParagraph"/>
        <w:numPr>
          <w:ilvl w:val="0"/>
          <w:numId w:val="23"/>
        </w:numPr>
        <w:tabs>
          <w:tab w:pos="1010" w:val="left" w:leader="none"/>
        </w:tabs>
        <w:spacing w:line="240" w:lineRule="auto" w:before="11" w:after="0"/>
        <w:ind w:left="1010" w:right="0" w:hanging="245"/>
        <w:jc w:val="left"/>
        <w:rPr>
          <w:sz w:val="22"/>
        </w:rPr>
      </w:pPr>
      <w:r>
        <w:rPr>
          <w:sz w:val="22"/>
        </w:rPr>
        <w:t>The</w:t>
      </w:r>
      <w:r>
        <w:rPr>
          <w:spacing w:val="-13"/>
          <w:sz w:val="22"/>
        </w:rPr>
        <w:t> </w:t>
      </w:r>
      <w:r>
        <w:rPr>
          <w:sz w:val="22"/>
        </w:rPr>
        <w:t>higher</w:t>
      </w:r>
      <w:r>
        <w:rPr>
          <w:spacing w:val="-13"/>
          <w:sz w:val="22"/>
        </w:rPr>
        <w:t> </w:t>
      </w:r>
      <w:r>
        <w:rPr>
          <w:sz w:val="22"/>
        </w:rPr>
        <w:t>expenditure</w:t>
      </w:r>
      <w:r>
        <w:rPr>
          <w:spacing w:val="-13"/>
          <w:sz w:val="22"/>
        </w:rPr>
        <w:t> </w:t>
      </w:r>
      <w:r>
        <w:rPr>
          <w:sz w:val="22"/>
        </w:rPr>
        <w:t>in</w:t>
      </w:r>
      <w:r>
        <w:rPr>
          <w:spacing w:val="-12"/>
          <w:sz w:val="22"/>
        </w:rPr>
        <w:t> </w:t>
      </w:r>
      <w:r>
        <w:rPr>
          <w:sz w:val="22"/>
        </w:rPr>
        <w:t>2018</w:t>
      </w:r>
      <w:r>
        <w:rPr>
          <w:spacing w:val="-13"/>
          <w:sz w:val="22"/>
        </w:rPr>
        <w:t> </w:t>
      </w:r>
      <w:r>
        <w:rPr>
          <w:sz w:val="22"/>
        </w:rPr>
        <w:t>reflects</w:t>
      </w:r>
      <w:r>
        <w:rPr>
          <w:spacing w:val="-13"/>
          <w:sz w:val="22"/>
        </w:rPr>
        <w:t> </w:t>
      </w:r>
      <w:r>
        <w:rPr>
          <w:sz w:val="22"/>
        </w:rPr>
        <w:t>an</w:t>
      </w:r>
      <w:r>
        <w:rPr>
          <w:spacing w:val="-12"/>
          <w:sz w:val="22"/>
        </w:rPr>
        <w:t> </w:t>
      </w:r>
      <w:r>
        <w:rPr>
          <w:sz w:val="22"/>
        </w:rPr>
        <w:t>increased</w:t>
      </w:r>
      <w:r>
        <w:rPr>
          <w:spacing w:val="-13"/>
          <w:sz w:val="22"/>
        </w:rPr>
        <w:t> </w:t>
      </w:r>
      <w:r>
        <w:rPr>
          <w:sz w:val="22"/>
        </w:rPr>
        <w:t>demand</w:t>
      </w:r>
      <w:r>
        <w:rPr>
          <w:spacing w:val="-13"/>
          <w:sz w:val="22"/>
        </w:rPr>
        <w:t> </w:t>
      </w:r>
      <w:r>
        <w:rPr>
          <w:sz w:val="22"/>
        </w:rPr>
        <w:t>for</w:t>
      </w:r>
      <w:r>
        <w:rPr>
          <w:spacing w:val="-13"/>
          <w:sz w:val="22"/>
        </w:rPr>
        <w:t> </w:t>
      </w:r>
      <w:r>
        <w:rPr>
          <w:sz w:val="22"/>
        </w:rPr>
        <w:t>agency</w:t>
      </w:r>
      <w:r>
        <w:rPr>
          <w:spacing w:val="-12"/>
          <w:sz w:val="22"/>
        </w:rPr>
        <w:t> </w:t>
      </w:r>
      <w:r>
        <w:rPr>
          <w:sz w:val="22"/>
        </w:rPr>
        <w:t>services</w:t>
      </w:r>
      <w:r>
        <w:rPr>
          <w:spacing w:val="-13"/>
          <w:sz w:val="22"/>
        </w:rPr>
        <w:t> </w:t>
      </w:r>
      <w:r>
        <w:rPr>
          <w:sz w:val="22"/>
        </w:rPr>
        <w:t>primarily</w:t>
      </w:r>
      <w:r>
        <w:rPr>
          <w:spacing w:val="-13"/>
          <w:sz w:val="22"/>
        </w:rPr>
        <w:t> </w:t>
      </w:r>
      <w:r>
        <w:rPr>
          <w:sz w:val="22"/>
        </w:rPr>
        <w:t>relating</w:t>
      </w:r>
      <w:r>
        <w:rPr>
          <w:spacing w:val="-12"/>
          <w:sz w:val="22"/>
        </w:rPr>
        <w:t> </w:t>
      </w:r>
      <w:r>
        <w:rPr>
          <w:sz w:val="22"/>
        </w:rPr>
        <w:t>to</w:t>
      </w:r>
      <w:r>
        <w:rPr>
          <w:spacing w:val="-13"/>
          <w:sz w:val="22"/>
        </w:rPr>
        <w:t> </w:t>
      </w:r>
      <w:r>
        <w:rPr>
          <w:sz w:val="22"/>
        </w:rPr>
        <w:t>Capital</w:t>
      </w:r>
      <w:r>
        <w:rPr>
          <w:spacing w:val="-13"/>
          <w:sz w:val="22"/>
        </w:rPr>
        <w:t> </w:t>
      </w:r>
      <w:r>
        <w:rPr>
          <w:sz w:val="22"/>
        </w:rPr>
        <w:t>projects</w:t>
      </w:r>
      <w:r>
        <w:rPr>
          <w:spacing w:val="-12"/>
          <w:sz w:val="22"/>
        </w:rPr>
        <w:t> </w:t>
      </w:r>
      <w:r>
        <w:rPr>
          <w:sz w:val="22"/>
        </w:rPr>
        <w:t>managed</w:t>
      </w:r>
      <w:r>
        <w:rPr>
          <w:spacing w:val="-13"/>
          <w:sz w:val="22"/>
        </w:rPr>
        <w:t> </w:t>
      </w:r>
      <w:r>
        <w:rPr>
          <w:sz w:val="22"/>
        </w:rPr>
        <w:t>on</w:t>
      </w:r>
      <w:r>
        <w:rPr>
          <w:spacing w:val="-13"/>
          <w:sz w:val="22"/>
        </w:rPr>
        <w:t> </w:t>
      </w:r>
      <w:r>
        <w:rPr>
          <w:sz w:val="22"/>
        </w:rPr>
        <w:t>behalf</w:t>
      </w:r>
      <w:r>
        <w:rPr>
          <w:spacing w:val="-13"/>
          <w:sz w:val="22"/>
        </w:rPr>
        <w:t> </w:t>
      </w:r>
      <w:r>
        <w:rPr>
          <w:sz w:val="22"/>
        </w:rPr>
        <w:t>of</w:t>
      </w:r>
      <w:r>
        <w:rPr>
          <w:spacing w:val="-12"/>
          <w:sz w:val="22"/>
        </w:rPr>
        <w:t> </w:t>
      </w:r>
      <w:r>
        <w:rPr>
          <w:sz w:val="22"/>
        </w:rPr>
        <w:t>other</w:t>
      </w:r>
      <w:r>
        <w:rPr>
          <w:spacing w:val="-13"/>
          <w:sz w:val="22"/>
        </w:rPr>
        <w:t> </w:t>
      </w:r>
      <w:r>
        <w:rPr>
          <w:sz w:val="22"/>
        </w:rPr>
        <w:t>agencies.</w:t>
      </w:r>
    </w:p>
    <w:p>
      <w:pPr>
        <w:pStyle w:val="ListParagraph"/>
        <w:numPr>
          <w:ilvl w:val="0"/>
          <w:numId w:val="23"/>
        </w:numPr>
        <w:tabs>
          <w:tab w:pos="1010" w:val="left" w:leader="none"/>
        </w:tabs>
        <w:spacing w:line="249" w:lineRule="auto" w:before="11" w:after="0"/>
        <w:ind w:left="1010" w:right="1081" w:hanging="245"/>
        <w:jc w:val="left"/>
        <w:rPr>
          <w:sz w:val="22"/>
        </w:rPr>
      </w:pPr>
      <w:r>
        <w:rPr>
          <w:sz w:val="22"/>
        </w:rPr>
        <w:t>The</w:t>
      </w:r>
      <w:r>
        <w:rPr>
          <w:spacing w:val="-20"/>
          <w:sz w:val="22"/>
        </w:rPr>
        <w:t> </w:t>
      </w:r>
      <w:r>
        <w:rPr>
          <w:sz w:val="22"/>
        </w:rPr>
        <w:t>increase</w:t>
      </w:r>
      <w:r>
        <w:rPr>
          <w:spacing w:val="-20"/>
          <w:sz w:val="22"/>
        </w:rPr>
        <w:t> </w:t>
      </w:r>
      <w:r>
        <w:rPr>
          <w:sz w:val="22"/>
        </w:rPr>
        <w:t>in</w:t>
      </w:r>
      <w:r>
        <w:rPr>
          <w:spacing w:val="-19"/>
          <w:sz w:val="22"/>
        </w:rPr>
        <w:t> </w:t>
      </w:r>
      <w:r>
        <w:rPr>
          <w:sz w:val="22"/>
        </w:rPr>
        <w:t>2018</w:t>
      </w:r>
      <w:r>
        <w:rPr>
          <w:spacing w:val="-20"/>
          <w:sz w:val="22"/>
        </w:rPr>
        <w:t> </w:t>
      </w:r>
      <w:r>
        <w:rPr>
          <w:sz w:val="22"/>
        </w:rPr>
        <w:t>is</w:t>
      </w:r>
      <w:r>
        <w:rPr>
          <w:spacing w:val="-19"/>
          <w:sz w:val="22"/>
        </w:rPr>
        <w:t> </w:t>
      </w:r>
      <w:r>
        <w:rPr>
          <w:sz w:val="22"/>
        </w:rPr>
        <w:t>as</w:t>
      </w:r>
      <w:r>
        <w:rPr>
          <w:spacing w:val="-20"/>
          <w:sz w:val="22"/>
        </w:rPr>
        <w:t> </w:t>
      </w:r>
      <w:r>
        <w:rPr>
          <w:sz w:val="22"/>
        </w:rPr>
        <w:t>a</w:t>
      </w:r>
      <w:r>
        <w:rPr>
          <w:spacing w:val="-19"/>
          <w:sz w:val="22"/>
        </w:rPr>
        <w:t> </w:t>
      </w:r>
      <w:r>
        <w:rPr>
          <w:sz w:val="22"/>
        </w:rPr>
        <w:t>result</w:t>
      </w:r>
      <w:r>
        <w:rPr>
          <w:spacing w:val="-20"/>
          <w:sz w:val="22"/>
        </w:rPr>
        <w:t> </w:t>
      </w:r>
      <w:r>
        <w:rPr>
          <w:sz w:val="22"/>
        </w:rPr>
        <w:t>of</w:t>
      </w:r>
      <w:r>
        <w:rPr>
          <w:spacing w:val="-19"/>
          <w:sz w:val="22"/>
        </w:rPr>
        <w:t> </w:t>
      </w:r>
      <w:r>
        <w:rPr>
          <w:sz w:val="22"/>
        </w:rPr>
        <w:t>a</w:t>
      </w:r>
      <w:r>
        <w:rPr>
          <w:spacing w:val="-20"/>
          <w:sz w:val="22"/>
        </w:rPr>
        <w:t> </w:t>
      </w:r>
      <w:r>
        <w:rPr>
          <w:sz w:val="22"/>
        </w:rPr>
        <w:t>higher</w:t>
      </w:r>
      <w:r>
        <w:rPr>
          <w:spacing w:val="-19"/>
          <w:sz w:val="22"/>
        </w:rPr>
        <w:t> </w:t>
      </w:r>
      <w:r>
        <w:rPr>
          <w:sz w:val="22"/>
        </w:rPr>
        <w:t>recovery</w:t>
      </w:r>
      <w:r>
        <w:rPr>
          <w:spacing w:val="-20"/>
          <w:sz w:val="22"/>
        </w:rPr>
        <w:t> </w:t>
      </w:r>
      <w:r>
        <w:rPr>
          <w:sz w:val="22"/>
        </w:rPr>
        <w:t>of</w:t>
      </w:r>
      <w:r>
        <w:rPr>
          <w:spacing w:val="-19"/>
          <w:sz w:val="22"/>
        </w:rPr>
        <w:t> </w:t>
      </w:r>
      <w:r>
        <w:rPr>
          <w:sz w:val="22"/>
        </w:rPr>
        <w:t>costs</w:t>
      </w:r>
      <w:r>
        <w:rPr>
          <w:spacing w:val="-20"/>
          <w:sz w:val="22"/>
        </w:rPr>
        <w:t> </w:t>
      </w:r>
      <w:r>
        <w:rPr>
          <w:sz w:val="22"/>
        </w:rPr>
        <w:t>in</w:t>
      </w:r>
      <w:r>
        <w:rPr>
          <w:spacing w:val="-19"/>
          <w:sz w:val="22"/>
        </w:rPr>
        <w:t> </w:t>
      </w:r>
      <w:r>
        <w:rPr>
          <w:sz w:val="22"/>
        </w:rPr>
        <w:t>line</w:t>
      </w:r>
      <w:r>
        <w:rPr>
          <w:spacing w:val="-20"/>
          <w:sz w:val="22"/>
        </w:rPr>
        <w:t> </w:t>
      </w:r>
      <w:r>
        <w:rPr>
          <w:sz w:val="22"/>
        </w:rPr>
        <w:t>with</w:t>
      </w:r>
      <w:r>
        <w:rPr>
          <w:spacing w:val="-19"/>
          <w:sz w:val="22"/>
        </w:rPr>
        <w:t> </w:t>
      </w:r>
      <w:r>
        <w:rPr>
          <w:sz w:val="22"/>
        </w:rPr>
        <w:t>the</w:t>
      </w:r>
      <w:r>
        <w:rPr>
          <w:spacing w:val="-20"/>
          <w:sz w:val="22"/>
        </w:rPr>
        <w:t> </w:t>
      </w:r>
      <w:r>
        <w:rPr>
          <w:sz w:val="22"/>
        </w:rPr>
        <w:t>increased</w:t>
      </w:r>
      <w:r>
        <w:rPr>
          <w:spacing w:val="-19"/>
          <w:sz w:val="22"/>
        </w:rPr>
        <w:t> </w:t>
      </w:r>
      <w:r>
        <w:rPr>
          <w:sz w:val="22"/>
        </w:rPr>
        <w:t>Capital</w:t>
      </w:r>
      <w:r>
        <w:rPr>
          <w:spacing w:val="-20"/>
          <w:sz w:val="22"/>
        </w:rPr>
        <w:t> </w:t>
      </w:r>
      <w:r>
        <w:rPr>
          <w:sz w:val="22"/>
        </w:rPr>
        <w:t>Works</w:t>
      </w:r>
      <w:r>
        <w:rPr>
          <w:spacing w:val="-19"/>
          <w:sz w:val="22"/>
        </w:rPr>
        <w:t> </w:t>
      </w:r>
      <w:r>
        <w:rPr>
          <w:sz w:val="22"/>
        </w:rPr>
        <w:t>expenditure</w:t>
      </w:r>
      <w:r>
        <w:rPr>
          <w:spacing w:val="-20"/>
          <w:sz w:val="22"/>
        </w:rPr>
        <w:t> </w:t>
      </w:r>
      <w:r>
        <w:rPr>
          <w:sz w:val="22"/>
        </w:rPr>
        <w:t>managed</w:t>
      </w:r>
      <w:r>
        <w:rPr>
          <w:spacing w:val="-19"/>
          <w:sz w:val="22"/>
        </w:rPr>
        <w:t> </w:t>
      </w:r>
      <w:r>
        <w:rPr>
          <w:sz w:val="22"/>
        </w:rPr>
        <w:t>on</w:t>
      </w:r>
      <w:r>
        <w:rPr>
          <w:spacing w:val="-20"/>
          <w:sz w:val="22"/>
        </w:rPr>
        <w:t> </w:t>
      </w:r>
      <w:r>
        <w:rPr>
          <w:sz w:val="22"/>
        </w:rPr>
        <w:t>behalf</w:t>
      </w:r>
      <w:r>
        <w:rPr>
          <w:spacing w:val="-19"/>
          <w:sz w:val="22"/>
        </w:rPr>
        <w:t> </w:t>
      </w:r>
      <w:r>
        <w:rPr>
          <w:sz w:val="22"/>
        </w:rPr>
        <w:t>of</w:t>
      </w:r>
      <w:r>
        <w:rPr>
          <w:spacing w:val="-20"/>
          <w:sz w:val="22"/>
        </w:rPr>
        <w:t> </w:t>
      </w:r>
      <w:r>
        <w:rPr>
          <w:sz w:val="22"/>
        </w:rPr>
        <w:t>other</w:t>
      </w:r>
      <w:r>
        <w:rPr>
          <w:spacing w:val="-19"/>
          <w:sz w:val="22"/>
        </w:rPr>
        <w:t> </w:t>
      </w:r>
      <w:r>
        <w:rPr>
          <w:sz w:val="22"/>
        </w:rPr>
        <w:t>government agencies.</w:t>
      </w:r>
    </w:p>
    <w:p>
      <w:pPr>
        <w:pStyle w:val="ListParagraph"/>
        <w:numPr>
          <w:ilvl w:val="0"/>
          <w:numId w:val="23"/>
        </w:numPr>
        <w:tabs>
          <w:tab w:pos="1010" w:val="left" w:leader="none"/>
        </w:tabs>
        <w:spacing w:line="249" w:lineRule="auto" w:before="2" w:after="0"/>
        <w:ind w:left="1010" w:right="1656" w:hanging="245"/>
        <w:jc w:val="left"/>
        <w:rPr>
          <w:sz w:val="22"/>
        </w:rPr>
      </w:pPr>
      <w:r>
        <w:rPr>
          <w:sz w:val="22"/>
        </w:rPr>
        <w:t>Lower</w:t>
      </w:r>
      <w:r>
        <w:rPr>
          <w:spacing w:val="-22"/>
          <w:sz w:val="22"/>
        </w:rPr>
        <w:t> </w:t>
      </w:r>
      <w:r>
        <w:rPr>
          <w:sz w:val="22"/>
        </w:rPr>
        <w:t>expenditure</w:t>
      </w:r>
      <w:r>
        <w:rPr>
          <w:spacing w:val="-21"/>
          <w:sz w:val="22"/>
        </w:rPr>
        <w:t> </w:t>
      </w:r>
      <w:r>
        <w:rPr>
          <w:sz w:val="22"/>
        </w:rPr>
        <w:t>is</w:t>
      </w:r>
      <w:r>
        <w:rPr>
          <w:spacing w:val="-22"/>
          <w:sz w:val="22"/>
        </w:rPr>
        <w:t> </w:t>
      </w:r>
      <w:r>
        <w:rPr>
          <w:sz w:val="22"/>
        </w:rPr>
        <w:t>the</w:t>
      </w:r>
      <w:r>
        <w:rPr>
          <w:spacing w:val="-21"/>
          <w:sz w:val="22"/>
        </w:rPr>
        <w:t> </w:t>
      </w:r>
      <w:r>
        <w:rPr>
          <w:sz w:val="22"/>
        </w:rPr>
        <w:t>result</w:t>
      </w:r>
      <w:r>
        <w:rPr>
          <w:spacing w:val="-22"/>
          <w:sz w:val="22"/>
        </w:rPr>
        <w:t> </w:t>
      </w:r>
      <w:r>
        <w:rPr>
          <w:sz w:val="22"/>
        </w:rPr>
        <w:t>of</w:t>
      </w:r>
      <w:r>
        <w:rPr>
          <w:spacing w:val="-21"/>
          <w:sz w:val="22"/>
        </w:rPr>
        <w:t> </w:t>
      </w:r>
      <w:r>
        <w:rPr>
          <w:sz w:val="22"/>
        </w:rPr>
        <w:t>lower</w:t>
      </w:r>
      <w:r>
        <w:rPr>
          <w:spacing w:val="-22"/>
          <w:sz w:val="22"/>
        </w:rPr>
        <w:t> </w:t>
      </w:r>
      <w:r>
        <w:rPr>
          <w:sz w:val="22"/>
        </w:rPr>
        <w:t>vehicle</w:t>
      </w:r>
      <w:r>
        <w:rPr>
          <w:spacing w:val="-21"/>
          <w:sz w:val="22"/>
        </w:rPr>
        <w:t> </w:t>
      </w:r>
      <w:r>
        <w:rPr>
          <w:sz w:val="22"/>
        </w:rPr>
        <w:t>purchases</w:t>
      </w:r>
      <w:r>
        <w:rPr>
          <w:spacing w:val="-22"/>
          <w:sz w:val="22"/>
        </w:rPr>
        <w:t> </w:t>
      </w:r>
      <w:r>
        <w:rPr>
          <w:sz w:val="22"/>
        </w:rPr>
        <w:t>due</w:t>
      </w:r>
      <w:r>
        <w:rPr>
          <w:spacing w:val="-21"/>
          <w:sz w:val="22"/>
        </w:rPr>
        <w:t> </w:t>
      </w:r>
      <w:r>
        <w:rPr>
          <w:sz w:val="22"/>
        </w:rPr>
        <w:t>to</w:t>
      </w:r>
      <w:r>
        <w:rPr>
          <w:spacing w:val="-22"/>
          <w:sz w:val="22"/>
        </w:rPr>
        <w:t> </w:t>
      </w:r>
      <w:r>
        <w:rPr>
          <w:sz w:val="22"/>
        </w:rPr>
        <w:t>State</w:t>
      </w:r>
      <w:r>
        <w:rPr>
          <w:spacing w:val="-21"/>
          <w:sz w:val="22"/>
        </w:rPr>
        <w:t> </w:t>
      </w:r>
      <w:r>
        <w:rPr>
          <w:sz w:val="22"/>
        </w:rPr>
        <w:t>Fleet</w:t>
      </w:r>
      <w:r>
        <w:rPr>
          <w:spacing w:val="-22"/>
          <w:sz w:val="22"/>
        </w:rPr>
        <w:t> </w:t>
      </w:r>
      <w:r>
        <w:rPr>
          <w:sz w:val="22"/>
        </w:rPr>
        <w:t>reforms</w:t>
      </w:r>
      <w:r>
        <w:rPr>
          <w:spacing w:val="-21"/>
          <w:sz w:val="22"/>
        </w:rPr>
        <w:t> </w:t>
      </w:r>
      <w:r>
        <w:rPr>
          <w:sz w:val="22"/>
        </w:rPr>
        <w:t>and</w:t>
      </w:r>
      <w:r>
        <w:rPr>
          <w:spacing w:val="-22"/>
          <w:sz w:val="22"/>
        </w:rPr>
        <w:t> </w:t>
      </w:r>
      <w:r>
        <w:rPr>
          <w:sz w:val="22"/>
        </w:rPr>
        <w:t>lower</w:t>
      </w:r>
      <w:r>
        <w:rPr>
          <w:spacing w:val="-21"/>
          <w:sz w:val="22"/>
        </w:rPr>
        <w:t> </w:t>
      </w:r>
      <w:r>
        <w:rPr>
          <w:sz w:val="22"/>
        </w:rPr>
        <w:t>than</w:t>
      </w:r>
      <w:r>
        <w:rPr>
          <w:spacing w:val="-22"/>
          <w:sz w:val="22"/>
        </w:rPr>
        <w:t> </w:t>
      </w:r>
      <w:r>
        <w:rPr>
          <w:sz w:val="22"/>
        </w:rPr>
        <w:t>anticipated</w:t>
      </w:r>
      <w:r>
        <w:rPr>
          <w:spacing w:val="-21"/>
          <w:sz w:val="22"/>
        </w:rPr>
        <w:t> </w:t>
      </w:r>
      <w:r>
        <w:rPr>
          <w:sz w:val="22"/>
        </w:rPr>
        <w:t>expenditure</w:t>
      </w:r>
      <w:r>
        <w:rPr>
          <w:spacing w:val="-22"/>
          <w:sz w:val="22"/>
        </w:rPr>
        <w:t> </w:t>
      </w:r>
      <w:r>
        <w:rPr>
          <w:sz w:val="22"/>
        </w:rPr>
        <w:t>on</w:t>
      </w:r>
      <w:r>
        <w:rPr>
          <w:spacing w:val="-21"/>
          <w:sz w:val="22"/>
        </w:rPr>
        <w:t> </w:t>
      </w:r>
      <w:r>
        <w:rPr>
          <w:sz w:val="22"/>
        </w:rPr>
        <w:t>lease</w:t>
      </w:r>
      <w:r>
        <w:rPr>
          <w:spacing w:val="-21"/>
          <w:sz w:val="22"/>
        </w:rPr>
        <w:t> </w:t>
      </w:r>
      <w:r>
        <w:rPr>
          <w:sz w:val="22"/>
        </w:rPr>
        <w:t>incentive</w:t>
      </w:r>
      <w:r>
        <w:rPr>
          <w:spacing w:val="-22"/>
          <w:sz w:val="22"/>
        </w:rPr>
        <w:t> </w:t>
      </w:r>
      <w:r>
        <w:rPr>
          <w:spacing w:val="-3"/>
          <w:sz w:val="22"/>
        </w:rPr>
        <w:t>funded </w:t>
      </w:r>
      <w:r>
        <w:rPr>
          <w:sz w:val="22"/>
        </w:rPr>
        <w:t>assets.</w:t>
      </w:r>
    </w:p>
    <w:p>
      <w:pPr>
        <w:pStyle w:val="ListParagraph"/>
        <w:numPr>
          <w:ilvl w:val="0"/>
          <w:numId w:val="23"/>
        </w:numPr>
        <w:tabs>
          <w:tab w:pos="1010" w:val="left" w:leader="none"/>
        </w:tabs>
        <w:spacing w:line="249" w:lineRule="auto" w:before="2" w:after="0"/>
        <w:ind w:left="1010" w:right="869" w:hanging="245"/>
        <w:jc w:val="left"/>
        <w:rPr>
          <w:sz w:val="22"/>
        </w:rPr>
      </w:pPr>
      <w:r>
        <w:rPr>
          <w:sz w:val="22"/>
        </w:rPr>
        <w:t>The</w:t>
      </w:r>
      <w:r>
        <w:rPr>
          <w:spacing w:val="-18"/>
          <w:sz w:val="22"/>
        </w:rPr>
        <w:t> </w:t>
      </w:r>
      <w:r>
        <w:rPr>
          <w:sz w:val="22"/>
        </w:rPr>
        <w:t>higher</w:t>
      </w:r>
      <w:r>
        <w:rPr>
          <w:spacing w:val="-18"/>
          <w:sz w:val="22"/>
        </w:rPr>
        <w:t> </w:t>
      </w:r>
      <w:r>
        <w:rPr>
          <w:sz w:val="22"/>
        </w:rPr>
        <w:t>actual</w:t>
      </w:r>
      <w:r>
        <w:rPr>
          <w:spacing w:val="-17"/>
          <w:sz w:val="22"/>
        </w:rPr>
        <w:t> </w:t>
      </w:r>
      <w:r>
        <w:rPr>
          <w:sz w:val="22"/>
        </w:rPr>
        <w:t>in</w:t>
      </w:r>
      <w:r>
        <w:rPr>
          <w:spacing w:val="-18"/>
          <w:sz w:val="22"/>
        </w:rPr>
        <w:t> </w:t>
      </w:r>
      <w:r>
        <w:rPr>
          <w:sz w:val="22"/>
        </w:rPr>
        <w:t>2017</w:t>
      </w:r>
      <w:r>
        <w:rPr>
          <w:spacing w:val="-17"/>
          <w:sz w:val="22"/>
        </w:rPr>
        <w:t> </w:t>
      </w:r>
      <w:r>
        <w:rPr>
          <w:sz w:val="22"/>
        </w:rPr>
        <w:t>compared</w:t>
      </w:r>
      <w:r>
        <w:rPr>
          <w:spacing w:val="-18"/>
          <w:sz w:val="22"/>
        </w:rPr>
        <w:t> </w:t>
      </w:r>
      <w:r>
        <w:rPr>
          <w:sz w:val="22"/>
        </w:rPr>
        <w:t>to</w:t>
      </w:r>
      <w:r>
        <w:rPr>
          <w:spacing w:val="-17"/>
          <w:sz w:val="22"/>
        </w:rPr>
        <w:t> </w:t>
      </w:r>
      <w:r>
        <w:rPr>
          <w:sz w:val="22"/>
        </w:rPr>
        <w:t>2018</w:t>
      </w:r>
      <w:r>
        <w:rPr>
          <w:spacing w:val="-18"/>
          <w:sz w:val="22"/>
        </w:rPr>
        <w:t> </w:t>
      </w:r>
      <w:r>
        <w:rPr>
          <w:sz w:val="22"/>
        </w:rPr>
        <w:t>is</w:t>
      </w:r>
      <w:r>
        <w:rPr>
          <w:spacing w:val="-17"/>
          <w:sz w:val="22"/>
        </w:rPr>
        <w:t> </w:t>
      </w:r>
      <w:r>
        <w:rPr>
          <w:sz w:val="22"/>
        </w:rPr>
        <w:t>as</w:t>
      </w:r>
      <w:r>
        <w:rPr>
          <w:spacing w:val="-18"/>
          <w:sz w:val="22"/>
        </w:rPr>
        <w:t> </w:t>
      </w:r>
      <w:r>
        <w:rPr>
          <w:sz w:val="22"/>
        </w:rPr>
        <w:t>a</w:t>
      </w:r>
      <w:r>
        <w:rPr>
          <w:spacing w:val="-17"/>
          <w:sz w:val="22"/>
        </w:rPr>
        <w:t> </w:t>
      </w:r>
      <w:r>
        <w:rPr>
          <w:sz w:val="22"/>
        </w:rPr>
        <w:t>result</w:t>
      </w:r>
      <w:r>
        <w:rPr>
          <w:spacing w:val="-18"/>
          <w:sz w:val="22"/>
        </w:rPr>
        <w:t> </w:t>
      </w:r>
      <w:r>
        <w:rPr>
          <w:sz w:val="22"/>
        </w:rPr>
        <w:t>of</w:t>
      </w:r>
      <w:r>
        <w:rPr>
          <w:spacing w:val="-17"/>
          <w:sz w:val="22"/>
        </w:rPr>
        <w:t> </w:t>
      </w:r>
      <w:r>
        <w:rPr>
          <w:sz w:val="22"/>
        </w:rPr>
        <w:t>the</w:t>
      </w:r>
      <w:r>
        <w:rPr>
          <w:spacing w:val="-18"/>
          <w:sz w:val="22"/>
        </w:rPr>
        <w:t> </w:t>
      </w:r>
      <w:r>
        <w:rPr>
          <w:sz w:val="22"/>
        </w:rPr>
        <w:t>exit</w:t>
      </w:r>
      <w:r>
        <w:rPr>
          <w:spacing w:val="-18"/>
          <w:sz w:val="22"/>
        </w:rPr>
        <w:t> </w:t>
      </w:r>
      <w:r>
        <w:rPr>
          <w:sz w:val="22"/>
        </w:rPr>
        <w:t>of</w:t>
      </w:r>
      <w:r>
        <w:rPr>
          <w:spacing w:val="-17"/>
          <w:sz w:val="22"/>
        </w:rPr>
        <w:t> </w:t>
      </w:r>
      <w:r>
        <w:rPr>
          <w:sz w:val="22"/>
        </w:rPr>
        <w:t>Water</w:t>
      </w:r>
      <w:r>
        <w:rPr>
          <w:spacing w:val="-18"/>
          <w:sz w:val="22"/>
        </w:rPr>
        <w:t> </w:t>
      </w:r>
      <w:r>
        <w:rPr>
          <w:sz w:val="22"/>
        </w:rPr>
        <w:t>Corporation</w:t>
      </w:r>
      <w:r>
        <w:rPr>
          <w:spacing w:val="-17"/>
          <w:sz w:val="22"/>
        </w:rPr>
        <w:t> </w:t>
      </w:r>
      <w:r>
        <w:rPr>
          <w:sz w:val="22"/>
        </w:rPr>
        <w:t>from</w:t>
      </w:r>
      <w:r>
        <w:rPr>
          <w:spacing w:val="-18"/>
          <w:sz w:val="22"/>
        </w:rPr>
        <w:t> </w:t>
      </w:r>
      <w:r>
        <w:rPr>
          <w:sz w:val="22"/>
        </w:rPr>
        <w:t>the</w:t>
      </w:r>
      <w:r>
        <w:rPr>
          <w:spacing w:val="-17"/>
          <w:sz w:val="22"/>
        </w:rPr>
        <w:t> </w:t>
      </w:r>
      <w:r>
        <w:rPr>
          <w:sz w:val="22"/>
        </w:rPr>
        <w:t>State</w:t>
      </w:r>
      <w:r>
        <w:rPr>
          <w:spacing w:val="-18"/>
          <w:sz w:val="22"/>
        </w:rPr>
        <w:t> </w:t>
      </w:r>
      <w:r>
        <w:rPr>
          <w:sz w:val="22"/>
        </w:rPr>
        <w:t>Fleet</w:t>
      </w:r>
      <w:r>
        <w:rPr>
          <w:spacing w:val="-17"/>
          <w:sz w:val="22"/>
        </w:rPr>
        <w:t> </w:t>
      </w:r>
      <w:r>
        <w:rPr>
          <w:sz w:val="22"/>
        </w:rPr>
        <w:t>leasing</w:t>
      </w:r>
      <w:r>
        <w:rPr>
          <w:spacing w:val="-18"/>
          <w:sz w:val="22"/>
        </w:rPr>
        <w:t> </w:t>
      </w:r>
      <w:r>
        <w:rPr>
          <w:sz w:val="22"/>
        </w:rPr>
        <w:t>arrangements</w:t>
      </w:r>
      <w:r>
        <w:rPr>
          <w:spacing w:val="-17"/>
          <w:sz w:val="22"/>
        </w:rPr>
        <w:t> </w:t>
      </w:r>
      <w:r>
        <w:rPr>
          <w:sz w:val="22"/>
        </w:rPr>
        <w:t>resulting</w:t>
      </w:r>
      <w:r>
        <w:rPr>
          <w:spacing w:val="-18"/>
          <w:sz w:val="22"/>
        </w:rPr>
        <w:t> </w:t>
      </w:r>
      <w:r>
        <w:rPr>
          <w:sz w:val="22"/>
        </w:rPr>
        <w:t>in</w:t>
      </w:r>
      <w:r>
        <w:rPr>
          <w:spacing w:val="-17"/>
          <w:sz w:val="22"/>
        </w:rPr>
        <w:t> </w:t>
      </w:r>
      <w:r>
        <w:rPr>
          <w:sz w:val="22"/>
        </w:rPr>
        <w:t>the</w:t>
      </w:r>
      <w:r>
        <w:rPr>
          <w:spacing w:val="-18"/>
          <w:sz w:val="22"/>
        </w:rPr>
        <w:t> </w:t>
      </w:r>
      <w:r>
        <w:rPr>
          <w:sz w:val="22"/>
        </w:rPr>
        <w:t>sale</w:t>
      </w:r>
      <w:r>
        <w:rPr>
          <w:spacing w:val="-18"/>
          <w:sz w:val="22"/>
        </w:rPr>
        <w:t> </w:t>
      </w:r>
      <w:r>
        <w:rPr>
          <w:sz w:val="22"/>
        </w:rPr>
        <w:t>of</w:t>
      </w:r>
      <w:r>
        <w:rPr>
          <w:spacing w:val="-17"/>
          <w:sz w:val="22"/>
        </w:rPr>
        <w:t> </w:t>
      </w:r>
      <w:r>
        <w:rPr>
          <w:spacing w:val="-5"/>
          <w:sz w:val="22"/>
        </w:rPr>
        <w:t>the </w:t>
      </w:r>
      <w:r>
        <w:rPr>
          <w:sz w:val="22"/>
        </w:rPr>
        <w:t>vehicles to the Water</w:t>
      </w:r>
      <w:r>
        <w:rPr>
          <w:spacing w:val="-3"/>
          <w:sz w:val="22"/>
        </w:rPr>
        <w:t> </w:t>
      </w:r>
      <w:r>
        <w:rPr>
          <w:sz w:val="22"/>
        </w:rPr>
        <w:t>Corporation.</w:t>
      </w:r>
    </w:p>
    <w:p>
      <w:pPr>
        <w:pStyle w:val="ListParagraph"/>
        <w:numPr>
          <w:ilvl w:val="0"/>
          <w:numId w:val="23"/>
        </w:numPr>
        <w:tabs>
          <w:tab w:pos="1010" w:val="left" w:leader="none"/>
        </w:tabs>
        <w:spacing w:line="240" w:lineRule="auto" w:before="2" w:after="0"/>
        <w:ind w:left="1010" w:right="0" w:hanging="245"/>
        <w:jc w:val="left"/>
        <w:rPr>
          <w:sz w:val="22"/>
        </w:rPr>
      </w:pPr>
      <w:r>
        <w:rPr>
          <w:sz w:val="22"/>
        </w:rPr>
        <w:t>Monies transferred as a result of Machinery of Government</w:t>
      </w:r>
      <w:r>
        <w:rPr>
          <w:spacing w:val="-13"/>
          <w:sz w:val="22"/>
        </w:rPr>
        <w:t> </w:t>
      </w:r>
      <w:r>
        <w:rPr>
          <w:sz w:val="22"/>
        </w:rPr>
        <w:t>changes.</w:t>
      </w:r>
    </w:p>
    <w:p>
      <w:pPr>
        <w:spacing w:after="0" w:line="240" w:lineRule="auto"/>
        <w:jc w:val="left"/>
        <w:rPr>
          <w:sz w:val="22"/>
        </w:rPr>
        <w:sectPr>
          <w:footerReference w:type="default" r:id="rId194"/>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2288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Heading5"/>
        <w:spacing w:before="257"/>
        <w:ind w:left="785"/>
      </w:pPr>
      <w:r>
        <w:rPr>
          <w:color w:val="6F2770"/>
        </w:rPr>
        <w:t>Note 45. Special purpose accounts - controlled</w:t>
      </w:r>
    </w:p>
    <w:p>
      <w:pPr>
        <w:pStyle w:val="BodyText"/>
        <w:rPr>
          <w:sz w:val="20"/>
        </w:rPr>
      </w:pPr>
    </w:p>
    <w:p>
      <w:pPr>
        <w:pStyle w:val="BodyText"/>
        <w:spacing w:before="8"/>
        <w:rPr>
          <w:sz w:val="11"/>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72"/>
        <w:gridCol w:w="1417"/>
        <w:gridCol w:w="1417"/>
      </w:tblGrid>
      <w:tr>
        <w:trPr>
          <w:trHeight w:val="533" w:hRule="atLeast"/>
        </w:trPr>
        <w:tc>
          <w:tcPr>
            <w:tcW w:w="13889" w:type="dxa"/>
            <w:gridSpan w:val="2"/>
            <w:tcBorders>
              <w:left w:val="single" w:sz="8" w:space="0" w:color="FFFFFF"/>
            </w:tcBorders>
            <w:shd w:val="clear" w:color="auto" w:fill="783A79"/>
          </w:tcPr>
          <w:p>
            <w:pPr>
              <w:pStyle w:val="TableParagraph"/>
              <w:spacing w:before="42"/>
              <w:ind w:right="100"/>
              <w:jc w:val="right"/>
              <w:rPr>
                <w:b/>
                <w:sz w:val="19"/>
              </w:rPr>
            </w:pPr>
            <w:r>
              <w:rPr>
                <w:b/>
                <w:color w:val="FFFFFF"/>
                <w:spacing w:val="-1"/>
                <w:sz w:val="19"/>
              </w:rPr>
              <w:t>2018</w:t>
            </w:r>
          </w:p>
          <w:p>
            <w:pPr>
              <w:pStyle w:val="TableParagraph"/>
              <w:spacing w:before="10"/>
              <w:ind w:right="100"/>
              <w:jc w:val="right"/>
              <w:rPr>
                <w:b/>
                <w:sz w:val="19"/>
              </w:rPr>
            </w:pPr>
            <w:r>
              <w:rPr>
                <w:b/>
                <w:color w:val="FFFFFF"/>
                <w:spacing w:val="-1"/>
                <w:sz w:val="19"/>
              </w:rPr>
              <w:t>$000</w:t>
            </w:r>
          </w:p>
        </w:tc>
        <w:tc>
          <w:tcPr>
            <w:tcW w:w="1417" w:type="dxa"/>
            <w:shd w:val="clear" w:color="auto" w:fill="783A79"/>
          </w:tcPr>
          <w:p>
            <w:pPr>
              <w:pStyle w:val="TableParagraph"/>
              <w:spacing w:before="42"/>
              <w:ind w:left="892"/>
              <w:rPr>
                <w:b/>
                <w:sz w:val="19"/>
              </w:rPr>
            </w:pPr>
            <w:r>
              <w:rPr>
                <w:b/>
                <w:color w:val="FFFFFF"/>
                <w:sz w:val="19"/>
              </w:rPr>
              <w:t>2017</w:t>
            </w:r>
          </w:p>
          <w:p>
            <w:pPr>
              <w:pStyle w:val="TableParagraph"/>
              <w:spacing w:before="10"/>
              <w:ind w:left="892"/>
              <w:rPr>
                <w:b/>
                <w:sz w:val="19"/>
              </w:rPr>
            </w:pPr>
            <w:r>
              <w:rPr>
                <w:b/>
                <w:color w:val="FFFFFF"/>
                <w:sz w:val="19"/>
              </w:rPr>
              <w:t>$000</w:t>
            </w:r>
          </w:p>
        </w:tc>
      </w:tr>
      <w:tr>
        <w:trPr>
          <w:trHeight w:val="253" w:hRule="atLeast"/>
        </w:trPr>
        <w:tc>
          <w:tcPr>
            <w:tcW w:w="12472" w:type="dxa"/>
            <w:tcBorders>
              <w:left w:val="single" w:sz="8" w:space="0" w:color="FFFFFF"/>
            </w:tcBorders>
            <w:shd w:val="clear" w:color="auto" w:fill="F4F4F4"/>
          </w:tcPr>
          <w:p>
            <w:pPr>
              <w:pStyle w:val="TableParagraph"/>
              <w:spacing w:line="191" w:lineRule="exact" w:before="42"/>
              <w:ind w:left="113"/>
              <w:rPr>
                <w:i/>
                <w:sz w:val="19"/>
              </w:rPr>
            </w:pPr>
            <w:r>
              <w:rPr>
                <w:i/>
                <w:sz w:val="19"/>
              </w:rPr>
              <w:t>Sunset Reserve Account</w:t>
            </w:r>
          </w:p>
        </w:tc>
        <w:tc>
          <w:tcPr>
            <w:tcW w:w="1417" w:type="dxa"/>
            <w:shd w:val="clear" w:color="auto" w:fill="E1E4BB"/>
          </w:tcPr>
          <w:p>
            <w:pPr>
              <w:pStyle w:val="TableParagraph"/>
              <w:spacing w:before="0"/>
              <w:rPr>
                <w:rFonts w:ascii="Times New Roman"/>
                <w:sz w:val="18"/>
              </w:rPr>
            </w:pPr>
          </w:p>
        </w:tc>
        <w:tc>
          <w:tcPr>
            <w:tcW w:w="1417" w:type="dxa"/>
            <w:vMerge w:val="restart"/>
            <w:tcBorders>
              <w:bottom w:val="single" w:sz="8" w:space="0" w:color="FFFFFF"/>
              <w:right w:val="single" w:sz="8" w:space="0" w:color="FFFFFF"/>
            </w:tcBorders>
            <w:shd w:val="clear" w:color="auto" w:fill="F4F4F4"/>
          </w:tcPr>
          <w:p>
            <w:pPr>
              <w:pStyle w:val="TableParagraph"/>
              <w:spacing w:before="0"/>
              <w:rPr>
                <w:rFonts w:ascii="Times New Roman"/>
                <w:sz w:val="22"/>
              </w:rPr>
            </w:pPr>
          </w:p>
        </w:tc>
      </w:tr>
      <w:tr>
        <w:trPr>
          <w:trHeight w:val="207" w:hRule="atLeast"/>
        </w:trPr>
        <w:tc>
          <w:tcPr>
            <w:tcW w:w="12472" w:type="dxa"/>
            <w:tcBorders>
              <w:left w:val="single" w:sz="8" w:space="0" w:color="FFFFFF"/>
            </w:tcBorders>
            <w:shd w:val="clear" w:color="auto" w:fill="F4F4F4"/>
          </w:tcPr>
          <w:p>
            <w:pPr>
              <w:pStyle w:val="TableParagraph"/>
              <w:spacing w:line="188" w:lineRule="exact" w:before="0"/>
              <w:ind w:left="113"/>
              <w:rPr>
                <w:sz w:val="19"/>
              </w:rPr>
            </w:pPr>
            <w:r>
              <w:rPr>
                <w:sz w:val="19"/>
              </w:rPr>
              <w:t>The purpose of the account is to record receipts in respect of leasings, proceeds from the disposal of the excised land, amounts appropriated by</w:t>
            </w:r>
          </w:p>
        </w:tc>
        <w:tc>
          <w:tcPr>
            <w:tcW w:w="1417" w:type="dxa"/>
            <w:shd w:val="clear" w:color="auto" w:fill="E1E4BB"/>
          </w:tcPr>
          <w:p>
            <w:pPr>
              <w:pStyle w:val="TableParagraph"/>
              <w:spacing w:before="0"/>
              <w:rPr>
                <w:rFonts w:ascii="Times New Roman"/>
                <w:sz w:val="14"/>
              </w:rPr>
            </w:pPr>
          </w:p>
        </w:tc>
        <w:tc>
          <w:tcPr>
            <w:tcW w:w="1417" w:type="dxa"/>
            <w:vMerge/>
            <w:tcBorders>
              <w:top w:val="nil"/>
              <w:bottom w:val="single" w:sz="8" w:space="0" w:color="FFFFFF"/>
              <w:right w:val="single" w:sz="8" w:space="0" w:color="FFFFFF"/>
            </w:tcBorders>
            <w:shd w:val="clear" w:color="auto" w:fill="F4F4F4"/>
          </w:tcPr>
          <w:p>
            <w:pPr>
              <w:rPr>
                <w:sz w:val="2"/>
                <w:szCs w:val="2"/>
              </w:rPr>
            </w:pPr>
          </w:p>
        </w:tc>
      </w:tr>
      <w:tr>
        <w:trPr>
          <w:trHeight w:val="250" w:hRule="atLeast"/>
        </w:trPr>
        <w:tc>
          <w:tcPr>
            <w:tcW w:w="12472" w:type="dxa"/>
            <w:tcBorders>
              <w:left w:val="single" w:sz="8" w:space="0" w:color="FFFFFF"/>
              <w:bottom w:val="single" w:sz="8" w:space="0" w:color="FFFFFF"/>
            </w:tcBorders>
            <w:shd w:val="clear" w:color="auto" w:fill="F4F4F4"/>
          </w:tcPr>
          <w:p>
            <w:pPr>
              <w:pStyle w:val="TableParagraph"/>
              <w:spacing w:line="216" w:lineRule="exact" w:before="0"/>
              <w:ind w:left="113"/>
              <w:rPr>
                <w:sz w:val="19"/>
              </w:rPr>
            </w:pPr>
            <w:r>
              <w:rPr>
                <w:sz w:val="19"/>
              </w:rPr>
              <w:t>Parliament, and payments incurred in the conservation and management of Sunset Reserve.</w:t>
            </w:r>
          </w:p>
        </w:tc>
        <w:tc>
          <w:tcPr>
            <w:tcW w:w="1417" w:type="dxa"/>
            <w:shd w:val="clear" w:color="auto" w:fill="E1E4BB"/>
          </w:tcPr>
          <w:p>
            <w:pPr>
              <w:pStyle w:val="TableParagraph"/>
              <w:spacing w:before="0"/>
              <w:rPr>
                <w:rFonts w:ascii="Times New Roman"/>
                <w:sz w:val="18"/>
              </w:rPr>
            </w:pPr>
          </w:p>
        </w:tc>
        <w:tc>
          <w:tcPr>
            <w:tcW w:w="1417" w:type="dxa"/>
            <w:vMerge/>
            <w:tcBorders>
              <w:top w:val="nil"/>
              <w:bottom w:val="single" w:sz="8" w:space="0" w:color="FFFFFF"/>
              <w:right w:val="single" w:sz="8" w:space="0" w:color="FFFFFF"/>
            </w:tcBorders>
            <w:shd w:val="clear" w:color="auto" w:fill="F4F4F4"/>
          </w:tcPr>
          <w:p>
            <w:pPr>
              <w:rPr>
                <w:sz w:val="2"/>
                <w:szCs w:val="2"/>
              </w:rPr>
            </w:pPr>
          </w:p>
        </w:tc>
      </w:tr>
      <w:tr>
        <w:trPr>
          <w:trHeight w:val="307" w:hRule="atLeast"/>
        </w:trPr>
        <w:tc>
          <w:tcPr>
            <w:tcW w:w="12472"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Balance at the start of period</w:t>
            </w:r>
          </w:p>
        </w:tc>
        <w:tc>
          <w:tcPr>
            <w:tcW w:w="1417" w:type="dxa"/>
            <w:shd w:val="clear" w:color="auto" w:fill="E1E4BB"/>
          </w:tcPr>
          <w:p>
            <w:pPr>
              <w:pStyle w:val="TableParagraph"/>
              <w:ind w:right="100"/>
              <w:jc w:val="right"/>
              <w:rPr>
                <w:sz w:val="19"/>
              </w:rPr>
            </w:pPr>
            <w:r>
              <w:rPr>
                <w:w w:val="95"/>
                <w:sz w:val="19"/>
              </w:rPr>
              <w:t>2,076</w:t>
            </w:r>
          </w:p>
        </w:tc>
        <w:tc>
          <w:tcPr>
            <w:tcW w:w="1417" w:type="dxa"/>
            <w:tcBorders>
              <w:top w:val="single" w:sz="8" w:space="0" w:color="FFFFFF"/>
              <w:bottom w:val="single" w:sz="8" w:space="0" w:color="FFFFFF"/>
              <w:right w:val="single" w:sz="8" w:space="0" w:color="FFFFFF"/>
            </w:tcBorders>
            <w:shd w:val="clear" w:color="auto" w:fill="FAF9F9"/>
          </w:tcPr>
          <w:p>
            <w:pPr>
              <w:pStyle w:val="TableParagraph"/>
              <w:ind w:right="90"/>
              <w:jc w:val="right"/>
              <w:rPr>
                <w:sz w:val="19"/>
              </w:rPr>
            </w:pPr>
            <w:r>
              <w:rPr>
                <w:w w:val="95"/>
                <w:sz w:val="19"/>
              </w:rPr>
              <w:t>7,270</w:t>
            </w:r>
          </w:p>
        </w:tc>
      </w:tr>
      <w:tr>
        <w:trPr>
          <w:trHeight w:val="307" w:hRule="atLeast"/>
        </w:trPr>
        <w:tc>
          <w:tcPr>
            <w:tcW w:w="12472"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Receipts</w:t>
            </w:r>
          </w:p>
        </w:tc>
        <w:tc>
          <w:tcPr>
            <w:tcW w:w="1417" w:type="dxa"/>
            <w:shd w:val="clear" w:color="auto" w:fill="E1E4BB"/>
          </w:tcPr>
          <w:p>
            <w:pPr>
              <w:pStyle w:val="TableParagraph"/>
              <w:ind w:right="100"/>
              <w:jc w:val="right"/>
              <w:rPr>
                <w:sz w:val="19"/>
              </w:rPr>
            </w:pPr>
            <w:r>
              <w:rPr>
                <w:w w:val="95"/>
                <w:sz w:val="19"/>
              </w:rPr>
              <w:t>308</w:t>
            </w:r>
          </w:p>
        </w:tc>
        <w:tc>
          <w:tcPr>
            <w:tcW w:w="1417" w:type="dxa"/>
            <w:tcBorders>
              <w:top w:val="single" w:sz="8" w:space="0" w:color="FFFFFF"/>
              <w:bottom w:val="single" w:sz="8" w:space="0" w:color="FFFFFF"/>
              <w:right w:val="single" w:sz="8" w:space="0" w:color="FFFFFF"/>
            </w:tcBorders>
            <w:shd w:val="clear" w:color="auto" w:fill="F4F4F4"/>
          </w:tcPr>
          <w:p>
            <w:pPr>
              <w:pStyle w:val="TableParagraph"/>
              <w:ind w:right="90"/>
              <w:jc w:val="right"/>
              <w:rPr>
                <w:sz w:val="19"/>
              </w:rPr>
            </w:pPr>
            <w:r>
              <w:rPr>
                <w:w w:val="95"/>
                <w:sz w:val="19"/>
              </w:rPr>
              <w:t>274</w:t>
            </w:r>
          </w:p>
        </w:tc>
      </w:tr>
      <w:tr>
        <w:trPr>
          <w:trHeight w:val="307" w:hRule="atLeast"/>
        </w:trPr>
        <w:tc>
          <w:tcPr>
            <w:tcW w:w="12472"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Payments</w:t>
            </w:r>
          </w:p>
        </w:tc>
        <w:tc>
          <w:tcPr>
            <w:tcW w:w="1417" w:type="dxa"/>
            <w:tcBorders>
              <w:bottom w:val="single" w:sz="4" w:space="0" w:color="000000"/>
            </w:tcBorders>
            <w:shd w:val="clear" w:color="auto" w:fill="E1E4BB"/>
          </w:tcPr>
          <w:p>
            <w:pPr>
              <w:pStyle w:val="TableParagraph"/>
              <w:ind w:right="100"/>
              <w:jc w:val="right"/>
              <w:rPr>
                <w:sz w:val="19"/>
              </w:rPr>
            </w:pPr>
            <w:r>
              <w:rPr>
                <w:w w:val="90"/>
                <w:sz w:val="19"/>
              </w:rPr>
              <w:t>(2,384)</w:t>
            </w:r>
          </w:p>
        </w:tc>
        <w:tc>
          <w:tcPr>
            <w:tcW w:w="1417" w:type="dxa"/>
            <w:tcBorders>
              <w:top w:val="single" w:sz="8" w:space="0" w:color="FFFFFF"/>
              <w:bottom w:val="single" w:sz="4" w:space="0" w:color="000000"/>
              <w:right w:val="single" w:sz="8" w:space="0" w:color="FFFFFF"/>
            </w:tcBorders>
            <w:shd w:val="clear" w:color="auto" w:fill="FAF9F9"/>
          </w:tcPr>
          <w:p>
            <w:pPr>
              <w:pStyle w:val="TableParagraph"/>
              <w:ind w:right="90"/>
              <w:jc w:val="right"/>
              <w:rPr>
                <w:sz w:val="19"/>
              </w:rPr>
            </w:pPr>
            <w:r>
              <w:rPr>
                <w:w w:val="90"/>
                <w:sz w:val="19"/>
              </w:rPr>
              <w:t>(5,468)</w:t>
            </w:r>
          </w:p>
        </w:tc>
      </w:tr>
      <w:tr>
        <w:trPr>
          <w:trHeight w:val="287" w:hRule="atLeast"/>
        </w:trPr>
        <w:tc>
          <w:tcPr>
            <w:tcW w:w="12472" w:type="dxa"/>
            <w:tcBorders>
              <w:top w:val="single" w:sz="8" w:space="0" w:color="FFFFFF"/>
              <w:left w:val="single" w:sz="8" w:space="0" w:color="FFFFFF"/>
              <w:bottom w:val="single" w:sz="8" w:space="0" w:color="FFFFFF"/>
            </w:tcBorders>
            <w:shd w:val="clear" w:color="auto" w:fill="F4F4F4"/>
          </w:tcPr>
          <w:p>
            <w:pPr>
              <w:pStyle w:val="TableParagraph"/>
              <w:ind w:left="113"/>
              <w:rPr>
                <w:b/>
                <w:sz w:val="19"/>
              </w:rPr>
            </w:pPr>
            <w:r>
              <w:rPr>
                <w:b/>
                <w:sz w:val="19"/>
              </w:rPr>
              <w:t>Balance at the end of period</w:t>
            </w:r>
          </w:p>
        </w:tc>
        <w:tc>
          <w:tcPr>
            <w:tcW w:w="1417" w:type="dxa"/>
            <w:tcBorders>
              <w:top w:val="single" w:sz="4" w:space="0" w:color="000000"/>
              <w:bottom w:val="single" w:sz="24" w:space="0" w:color="FFFFFF"/>
            </w:tcBorders>
            <w:shd w:val="clear" w:color="auto" w:fill="DFE1B8"/>
          </w:tcPr>
          <w:p>
            <w:pPr>
              <w:pStyle w:val="TableParagraph"/>
              <w:ind w:right="100"/>
              <w:jc w:val="right"/>
              <w:rPr>
                <w:b/>
                <w:sz w:val="19"/>
              </w:rPr>
            </w:pPr>
            <w:r>
              <w:rPr>
                <w:b/>
                <w:w w:val="122"/>
                <w:sz w:val="19"/>
              </w:rPr>
              <w:t>-</w:t>
            </w:r>
          </w:p>
        </w:tc>
        <w:tc>
          <w:tcPr>
            <w:tcW w:w="1417" w:type="dxa"/>
            <w:tcBorders>
              <w:top w:val="single" w:sz="4" w:space="0" w:color="000000"/>
              <w:bottom w:val="single" w:sz="24" w:space="0" w:color="FFFFFF"/>
              <w:right w:val="single" w:sz="8" w:space="0" w:color="FFFFFF"/>
            </w:tcBorders>
            <w:shd w:val="clear" w:color="auto" w:fill="F4F4F4"/>
          </w:tcPr>
          <w:p>
            <w:pPr>
              <w:pStyle w:val="TableParagraph"/>
              <w:ind w:right="90"/>
              <w:jc w:val="right"/>
              <w:rPr>
                <w:b/>
                <w:sz w:val="19"/>
              </w:rPr>
            </w:pPr>
            <w:r>
              <w:rPr>
                <w:b/>
                <w:w w:val="95"/>
                <w:sz w:val="19"/>
              </w:rPr>
              <w:t>2,076</w:t>
            </w:r>
          </w:p>
        </w:tc>
      </w:tr>
    </w:tbl>
    <w:p>
      <w:pPr>
        <w:pStyle w:val="BodyText"/>
        <w:spacing w:line="20" w:lineRule="exact"/>
        <w:ind w:left="13262"/>
        <w:rPr>
          <w:sz w:val="2"/>
        </w:rPr>
      </w:pPr>
      <w:r>
        <w:rPr>
          <w:sz w:val="2"/>
        </w:rPr>
        <w:pict>
          <v:group style="width:142.25pt;height:.550pt;mso-position-horizontal-relative:char;mso-position-vertical-relative:line" coordorigin="0,0" coordsize="2845,11">
            <v:line style="position:absolute" from="0,5" to="1417,5" stroked="true" strokeweight=".501pt" strokecolor="#000000">
              <v:stroke dashstyle="solid"/>
            </v:line>
            <v:line style="position:absolute" from="1417,5" to="2845,5" stroked="true" strokeweight=".501pt" strokecolor="#000000">
              <v:stroke dashstyle="solid"/>
            </v:line>
          </v:group>
        </w:pict>
      </w:r>
      <w:r>
        <w:rPr>
          <w:sz w:val="2"/>
        </w:rPr>
      </w:r>
    </w:p>
    <w:p>
      <w:pPr>
        <w:pStyle w:val="BodyText"/>
        <w:spacing w:before="270"/>
        <w:ind w:left="785"/>
      </w:pPr>
      <w:r>
        <w:rPr/>
        <w:t>Refer also to Note 19 ‘Restricted cash’ and Note 20 ‘Receivables’.</w:t>
      </w:r>
    </w:p>
    <w:p>
      <w:pPr>
        <w:spacing w:after="0"/>
        <w:sectPr>
          <w:footerReference w:type="default" r:id="rId195"/>
          <w:pgSz w:w="16840" w:h="11910" w:orient="landscape"/>
          <w:pgMar w:footer="774" w:header="0" w:top="0" w:bottom="960" w:left="0" w:right="0"/>
        </w:sectPr>
      </w:pPr>
    </w:p>
    <w:p>
      <w:pPr>
        <w:pStyle w:val="BodyText"/>
        <w:rPr>
          <w:sz w:val="20"/>
        </w:rPr>
      </w:pPr>
      <w:r>
        <w:rPr/>
        <w:pict>
          <v:group style="position:absolute;margin-left:488.692902pt;margin-top:501.053497pt;width:314.4pt;height:.550pt;mso-position-horizontal-relative:page;mso-position-vertical-relative:page;z-index:22960" coordorigin="9774,10021" coordsize="6288,11">
            <v:line style="position:absolute" from="9774,10026" to="11322,10026" stroked="true" strokeweight=".501pt" strokecolor="#000000">
              <v:stroke dashstyle="solid"/>
            </v:line>
            <v:line style="position:absolute" from="11322,10026" to="13493,10026" stroked="true" strokeweight=".501pt" strokecolor="#000000">
              <v:stroke dashstyle="solid"/>
            </v:line>
            <v:line style="position:absolute" from="13493,10026" to="16061,10026" stroked="true" strokeweight=".501pt" strokecolor="#000000">
              <v:stroke dashstyle="solid"/>
            </v:line>
            <w10:wrap type="none"/>
          </v:group>
        </w:pict>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23128"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Heading5"/>
        <w:spacing w:before="257"/>
      </w:pPr>
      <w:r>
        <w:rPr>
          <w:color w:val="6F2770"/>
        </w:rPr>
        <w:t>Note 46. Explanatory statement for Administered Items - Income and Expenses</w:t>
      </w:r>
    </w:p>
    <w:p>
      <w:pPr>
        <w:pStyle w:val="BodyText"/>
        <w:spacing w:line="249" w:lineRule="auto" w:before="254"/>
        <w:ind w:left="765" w:right="961"/>
      </w:pPr>
      <w:r>
        <w:rPr/>
        <w:t>All</w:t>
      </w:r>
      <w:r>
        <w:rPr>
          <w:spacing w:val="-20"/>
        </w:rPr>
        <w:t> </w:t>
      </w:r>
      <w:r>
        <w:rPr/>
        <w:t>variances</w:t>
      </w:r>
      <w:r>
        <w:rPr>
          <w:spacing w:val="-20"/>
        </w:rPr>
        <w:t> </w:t>
      </w:r>
      <w:r>
        <w:rPr/>
        <w:t>between</w:t>
      </w:r>
      <w:r>
        <w:rPr>
          <w:spacing w:val="-20"/>
        </w:rPr>
        <w:t> </w:t>
      </w:r>
      <w:r>
        <w:rPr/>
        <w:t>estimates</w:t>
      </w:r>
      <w:r>
        <w:rPr>
          <w:spacing w:val="-20"/>
        </w:rPr>
        <w:t> </w:t>
      </w:r>
      <w:r>
        <w:rPr/>
        <w:t>(original</w:t>
      </w:r>
      <w:r>
        <w:rPr>
          <w:spacing w:val="-20"/>
        </w:rPr>
        <w:t> </w:t>
      </w:r>
      <w:r>
        <w:rPr/>
        <w:t>budget)</w:t>
      </w:r>
      <w:r>
        <w:rPr>
          <w:spacing w:val="-20"/>
        </w:rPr>
        <w:t> </w:t>
      </w:r>
      <w:r>
        <w:rPr/>
        <w:t>and</w:t>
      </w:r>
      <w:r>
        <w:rPr>
          <w:spacing w:val="-20"/>
        </w:rPr>
        <w:t> </w:t>
      </w:r>
      <w:r>
        <w:rPr/>
        <w:t>actual</w:t>
      </w:r>
      <w:r>
        <w:rPr>
          <w:spacing w:val="-20"/>
        </w:rPr>
        <w:t> </w:t>
      </w:r>
      <w:r>
        <w:rPr/>
        <w:t>results</w:t>
      </w:r>
      <w:r>
        <w:rPr>
          <w:spacing w:val="-19"/>
        </w:rPr>
        <w:t> </w:t>
      </w:r>
      <w:r>
        <w:rPr/>
        <w:t>for</w:t>
      </w:r>
      <w:r>
        <w:rPr>
          <w:spacing w:val="-20"/>
        </w:rPr>
        <w:t> </w:t>
      </w:r>
      <w:r>
        <w:rPr/>
        <w:t>2018,</w:t>
      </w:r>
      <w:r>
        <w:rPr>
          <w:spacing w:val="-20"/>
        </w:rPr>
        <w:t> </w:t>
      </w:r>
      <w:r>
        <w:rPr/>
        <w:t>and</w:t>
      </w:r>
      <w:r>
        <w:rPr>
          <w:spacing w:val="-20"/>
        </w:rPr>
        <w:t> </w:t>
      </w:r>
      <w:r>
        <w:rPr/>
        <w:t>between</w:t>
      </w:r>
      <w:r>
        <w:rPr>
          <w:spacing w:val="-20"/>
        </w:rPr>
        <w:t> </w:t>
      </w:r>
      <w:r>
        <w:rPr/>
        <w:t>the</w:t>
      </w:r>
      <w:r>
        <w:rPr>
          <w:spacing w:val="-20"/>
        </w:rPr>
        <w:t> </w:t>
      </w:r>
      <w:r>
        <w:rPr/>
        <w:t>actual</w:t>
      </w:r>
      <w:r>
        <w:rPr>
          <w:spacing w:val="-20"/>
        </w:rPr>
        <w:t> </w:t>
      </w:r>
      <w:r>
        <w:rPr/>
        <w:t>results</w:t>
      </w:r>
      <w:r>
        <w:rPr>
          <w:spacing w:val="-20"/>
        </w:rPr>
        <w:t> </w:t>
      </w:r>
      <w:r>
        <w:rPr/>
        <w:t>for</w:t>
      </w:r>
      <w:r>
        <w:rPr>
          <w:spacing w:val="-20"/>
        </w:rPr>
        <w:t> </w:t>
      </w:r>
      <w:r>
        <w:rPr/>
        <w:t>2018</w:t>
      </w:r>
      <w:r>
        <w:rPr>
          <w:spacing w:val="-20"/>
        </w:rPr>
        <w:t> </w:t>
      </w:r>
      <w:r>
        <w:rPr/>
        <w:t>and</w:t>
      </w:r>
      <w:r>
        <w:rPr>
          <w:spacing w:val="-19"/>
        </w:rPr>
        <w:t> </w:t>
      </w:r>
      <w:r>
        <w:rPr/>
        <w:t>2017</w:t>
      </w:r>
      <w:r>
        <w:rPr>
          <w:spacing w:val="-20"/>
        </w:rPr>
        <w:t> </w:t>
      </w:r>
      <w:r>
        <w:rPr/>
        <w:t>are</w:t>
      </w:r>
      <w:r>
        <w:rPr>
          <w:spacing w:val="-20"/>
        </w:rPr>
        <w:t> </w:t>
      </w:r>
      <w:r>
        <w:rPr/>
        <w:t>shown</w:t>
      </w:r>
      <w:r>
        <w:rPr>
          <w:spacing w:val="-20"/>
        </w:rPr>
        <w:t> </w:t>
      </w:r>
      <w:r>
        <w:rPr>
          <w:spacing w:val="-3"/>
        </w:rPr>
        <w:t>below.</w:t>
      </w:r>
      <w:r>
        <w:rPr>
          <w:spacing w:val="-20"/>
        </w:rPr>
        <w:t> </w:t>
      </w:r>
      <w:r>
        <w:rPr/>
        <w:t>Narratives</w:t>
      </w:r>
      <w:r>
        <w:rPr>
          <w:spacing w:val="-20"/>
        </w:rPr>
        <w:t> </w:t>
      </w:r>
      <w:r>
        <w:rPr>
          <w:spacing w:val="-9"/>
        </w:rPr>
        <w:t>are </w:t>
      </w:r>
      <w:r>
        <w:rPr/>
        <w:t>provided for key major variances, which are generally greater than 5% and $25</w:t>
      </w:r>
      <w:r>
        <w:rPr>
          <w:spacing w:val="-31"/>
        </w:rPr>
        <w:t> </w:t>
      </w:r>
      <w:r>
        <w:rPr/>
        <w:t>million.</w:t>
      </w:r>
    </w:p>
    <w:p>
      <w:pPr>
        <w:pStyle w:val="BodyText"/>
        <w:spacing w:before="3"/>
        <w:rPr>
          <w:sz w:val="7"/>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6" w:hRule="atLeast"/>
        </w:trPr>
        <w:tc>
          <w:tcPr>
            <w:tcW w:w="15298" w:type="dxa"/>
            <w:gridSpan w:val="7"/>
            <w:shd w:val="clear" w:color="auto" w:fill="783A79"/>
          </w:tcPr>
          <w:p>
            <w:pPr>
              <w:pStyle w:val="TableParagraph"/>
              <w:tabs>
                <w:tab w:pos="6945" w:val="left" w:leader="none"/>
                <w:tab w:pos="7321" w:val="left" w:leader="none"/>
                <w:tab w:pos="8318" w:val="left" w:leader="none"/>
                <w:tab w:pos="8472" w:val="left" w:leader="none"/>
                <w:tab w:pos="9390" w:val="left" w:leader="none"/>
                <w:tab w:pos="10830" w:val="left" w:leader="none"/>
                <w:tab w:pos="11002" w:val="left" w:leader="none"/>
                <w:tab w:pos="12922" w:val="left" w:leader="none"/>
                <w:tab w:pos="12962" w:val="left" w:leader="none"/>
              </w:tabs>
              <w:spacing w:line="249" w:lineRule="auto" w:before="47"/>
              <w:ind w:left="5914" w:right="113" w:hanging="175"/>
              <w:rPr>
                <w:b/>
                <w:sz w:val="19"/>
              </w:rPr>
            </w:pPr>
            <w:r>
              <w:rPr>
                <w:b/>
                <w:color w:val="FFFFFF"/>
                <w:sz w:val="19"/>
              </w:rPr>
              <w:t>Variance</w:t>
              <w:tab/>
              <w:t>Estimate</w:t>
              <w:tab/>
              <w:t>Actual</w:t>
              <w:tab/>
              <w:t>Actual</w:t>
            </w:r>
            <w:r>
              <w:rPr>
                <w:b/>
                <w:color w:val="FFFFFF"/>
                <w:spacing w:val="-2"/>
                <w:sz w:val="19"/>
              </w:rPr>
              <w:t> </w:t>
            </w:r>
            <w:r>
              <w:rPr>
                <w:b/>
                <w:color w:val="FFFFFF"/>
                <w:sz w:val="19"/>
              </w:rPr>
              <w:t>2017</w:t>
              <w:tab/>
              <w:tab/>
              <w:t>Variance</w:t>
            </w:r>
            <w:r>
              <w:rPr>
                <w:b/>
                <w:color w:val="FFFFFF"/>
                <w:spacing w:val="2"/>
                <w:sz w:val="19"/>
              </w:rPr>
              <w:t> </w:t>
            </w:r>
            <w:r>
              <w:rPr>
                <w:b/>
                <w:color w:val="FFFFFF"/>
                <w:sz w:val="19"/>
              </w:rPr>
              <w:t>between</w:t>
              <w:tab/>
              <w:tab/>
              <w:t>Variance between </w:t>
            </w:r>
            <w:r>
              <w:rPr>
                <w:b/>
                <w:color w:val="FFFFFF"/>
                <w:spacing w:val="-3"/>
                <w:sz w:val="19"/>
              </w:rPr>
              <w:t>actual </w:t>
            </w:r>
            <w:r>
              <w:rPr>
                <w:b/>
                <w:color w:val="FFFFFF"/>
                <w:sz w:val="19"/>
              </w:rPr>
              <w:t>Note</w:t>
              <w:tab/>
              <w:tab/>
              <w:t>2018</w:t>
              <w:tab/>
              <w:tab/>
              <w:t>2018</w:t>
              <w:tab/>
              <w:tab/>
              <w:t>estimate</w:t>
            </w:r>
            <w:r>
              <w:rPr>
                <w:b/>
                <w:color w:val="FFFFFF"/>
                <w:spacing w:val="9"/>
                <w:sz w:val="19"/>
              </w:rPr>
              <w:t> </w:t>
            </w:r>
            <w:r>
              <w:rPr>
                <w:b/>
                <w:color w:val="FFFFFF"/>
                <w:sz w:val="19"/>
              </w:rPr>
              <w:t>and</w:t>
            </w:r>
            <w:r>
              <w:rPr>
                <w:b/>
                <w:color w:val="FFFFFF"/>
                <w:spacing w:val="10"/>
                <w:sz w:val="19"/>
              </w:rPr>
              <w:t> </w:t>
            </w:r>
            <w:r>
              <w:rPr>
                <w:b/>
                <w:color w:val="FFFFFF"/>
                <w:sz w:val="19"/>
              </w:rPr>
              <w:t>actual</w:t>
              <w:tab/>
              <w:t>results for 2018 and</w:t>
            </w:r>
            <w:r>
              <w:rPr>
                <w:b/>
                <w:color w:val="FFFFFF"/>
                <w:spacing w:val="-11"/>
                <w:sz w:val="19"/>
              </w:rPr>
              <w:t> </w:t>
            </w:r>
            <w:r>
              <w:rPr>
                <w:b/>
                <w:color w:val="FFFFFF"/>
                <w:spacing w:val="-4"/>
                <w:sz w:val="19"/>
              </w:rPr>
              <w:t>2017</w:t>
            </w:r>
          </w:p>
          <w:p>
            <w:pPr>
              <w:pStyle w:val="TableParagraph"/>
              <w:tabs>
                <w:tab w:pos="8472" w:val="left" w:leader="none"/>
                <w:tab w:pos="10020" w:val="left" w:leader="none"/>
                <w:tab w:pos="12191" w:val="left" w:leader="none"/>
                <w:tab w:pos="14759" w:val="left" w:leader="none"/>
              </w:tabs>
              <w:spacing w:before="2"/>
              <w:ind w:left="7321"/>
              <w:rPr>
                <w:b/>
                <w:sz w:val="19"/>
              </w:rPr>
            </w:pPr>
            <w:r>
              <w:rPr>
                <w:b/>
                <w:color w:val="FFFFFF"/>
                <w:sz w:val="19"/>
              </w:rPr>
              <w:t>$000</w:t>
              <w:tab/>
              <w:t>$000</w:t>
              <w:tab/>
              <w:t>$000</w:t>
              <w:tab/>
              <w:t>$000</w:t>
              <w:tab/>
              <w:t>$000</w:t>
            </w:r>
          </w:p>
        </w:tc>
      </w:tr>
      <w:tr>
        <w:trPr>
          <w:trHeight w:val="649" w:hRule="atLeast"/>
        </w:trPr>
        <w:tc>
          <w:tcPr>
            <w:tcW w:w="5556" w:type="dxa"/>
            <w:shd w:val="clear" w:color="auto" w:fill="FFFFFF"/>
          </w:tcPr>
          <w:p>
            <w:pPr>
              <w:pStyle w:val="TableParagraph"/>
              <w:spacing w:before="42"/>
              <w:ind w:left="113"/>
              <w:rPr>
                <w:b/>
                <w:sz w:val="19"/>
              </w:rPr>
            </w:pPr>
            <w:r>
              <w:rPr>
                <w:b/>
                <w:sz w:val="19"/>
              </w:rPr>
              <w:t>INCOME FROM ADMINISTERED ITEMS</w:t>
            </w:r>
          </w:p>
          <w:p>
            <w:pPr>
              <w:pStyle w:val="TableParagraph"/>
              <w:spacing w:before="109"/>
              <w:ind w:left="113"/>
              <w:rPr>
                <w:b/>
                <w:sz w:val="19"/>
              </w:rPr>
            </w:pPr>
            <w:r>
              <w:rPr>
                <w:b/>
                <w:w w:val="105"/>
                <w:sz w:val="19"/>
              </w:rPr>
              <w:t>INCOME</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0"/>
              <w:rPr>
                <w:rFonts w:ascii="Times New Roman"/>
                <w:sz w:val="20"/>
              </w:rPr>
            </w:pPr>
          </w:p>
        </w:tc>
        <w:tc>
          <w:tcPr>
            <w:tcW w:w="1151"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3"/>
              </w:rPr>
            </w:pPr>
          </w:p>
          <w:p>
            <w:pPr>
              <w:pStyle w:val="TableParagraph"/>
              <w:spacing w:before="0"/>
              <w:ind w:left="295" w:right="59"/>
              <w:jc w:val="center"/>
              <w:rPr>
                <w:sz w:val="19"/>
              </w:rPr>
            </w:pPr>
            <w:r>
              <w:rPr>
                <w:sz w:val="19"/>
              </w:rPr>
              <w:t>625,564</w:t>
            </w:r>
          </w:p>
          <w:p>
            <w:pPr>
              <w:pStyle w:val="TableParagraph"/>
              <w:spacing w:before="109"/>
              <w:ind w:left="295" w:right="59"/>
              <w:jc w:val="center"/>
              <w:rPr>
                <w:sz w:val="19"/>
              </w:rPr>
            </w:pPr>
            <w:r>
              <w:rPr>
                <w:sz w:val="19"/>
              </w:rPr>
              <w:t>842,502</w:t>
            </w:r>
          </w:p>
          <w:p>
            <w:pPr>
              <w:pStyle w:val="TableParagraph"/>
              <w:spacing w:before="109"/>
              <w:ind w:left="136" w:right="59"/>
              <w:jc w:val="center"/>
              <w:rPr>
                <w:sz w:val="19"/>
              </w:rPr>
            </w:pPr>
            <w:r>
              <w:rPr>
                <w:sz w:val="19"/>
              </w:rPr>
              <w:t>3,284,154</w:t>
            </w:r>
          </w:p>
          <w:p>
            <w:pPr>
              <w:pStyle w:val="TableParagraph"/>
              <w:spacing w:before="108"/>
              <w:ind w:left="137" w:right="59"/>
              <w:jc w:val="center"/>
              <w:rPr>
                <w:sz w:val="19"/>
              </w:rPr>
            </w:pPr>
            <w:r>
              <w:rPr>
                <w:sz w:val="19"/>
              </w:rPr>
              <w:t>1,226,205</w:t>
            </w:r>
          </w:p>
          <w:p>
            <w:pPr>
              <w:pStyle w:val="TableParagraph"/>
              <w:spacing w:before="109"/>
              <w:ind w:left="295" w:right="59"/>
              <w:jc w:val="center"/>
              <w:rPr>
                <w:sz w:val="19"/>
              </w:rPr>
            </w:pPr>
            <w:r>
              <w:rPr>
                <w:sz w:val="19"/>
              </w:rPr>
              <w:t>354,663</w:t>
            </w:r>
          </w:p>
          <w:p>
            <w:pPr>
              <w:pStyle w:val="TableParagraph"/>
              <w:spacing w:before="109"/>
              <w:ind w:left="295" w:right="59"/>
              <w:jc w:val="center"/>
              <w:rPr>
                <w:sz w:val="19"/>
              </w:rPr>
            </w:pPr>
            <w:r>
              <w:rPr>
                <w:sz w:val="19"/>
              </w:rPr>
              <w:t>409,924</w:t>
            </w:r>
          </w:p>
          <w:p>
            <w:pPr>
              <w:pStyle w:val="TableParagraph"/>
              <w:spacing w:before="0"/>
              <w:rPr>
                <w:sz w:val="22"/>
              </w:rPr>
            </w:pPr>
          </w:p>
          <w:p>
            <w:pPr>
              <w:pStyle w:val="TableParagraph"/>
              <w:spacing w:before="183"/>
              <w:ind w:left="401" w:right="59"/>
              <w:jc w:val="center"/>
              <w:rPr>
                <w:sz w:val="19"/>
              </w:rPr>
            </w:pPr>
            <w:r>
              <w:rPr>
                <w:sz w:val="19"/>
              </w:rPr>
              <w:t>41,448</w:t>
            </w:r>
          </w:p>
          <w:p>
            <w:pPr>
              <w:pStyle w:val="TableParagraph"/>
              <w:spacing w:before="0"/>
              <w:rPr>
                <w:sz w:val="22"/>
              </w:rPr>
            </w:pPr>
          </w:p>
          <w:p>
            <w:pPr>
              <w:pStyle w:val="TableParagraph"/>
              <w:spacing w:before="182"/>
              <w:ind w:left="401" w:right="59"/>
              <w:jc w:val="center"/>
              <w:rPr>
                <w:sz w:val="19"/>
              </w:rPr>
            </w:pPr>
            <w:r>
              <w:rPr>
                <w:sz w:val="19"/>
              </w:rPr>
              <w:t>91,171</w:t>
            </w:r>
          </w:p>
          <w:p>
            <w:pPr>
              <w:pStyle w:val="TableParagraph"/>
              <w:spacing w:before="109"/>
              <w:ind w:left="295" w:right="59"/>
              <w:jc w:val="center"/>
              <w:rPr>
                <w:sz w:val="19"/>
              </w:rPr>
            </w:pPr>
            <w:r>
              <w:rPr>
                <w:sz w:val="19"/>
              </w:rPr>
              <w:t>160,994</w:t>
            </w:r>
          </w:p>
          <w:p>
            <w:pPr>
              <w:pStyle w:val="TableParagraph"/>
              <w:spacing w:before="109"/>
              <w:ind w:left="401" w:right="59"/>
              <w:jc w:val="center"/>
              <w:rPr>
                <w:sz w:val="19"/>
              </w:rPr>
            </w:pPr>
            <w:r>
              <w:rPr>
                <w:sz w:val="19"/>
              </w:rPr>
              <w:t>64,035</w:t>
            </w:r>
          </w:p>
        </w:tc>
        <w:tc>
          <w:tcPr>
            <w:tcW w:w="1548" w:type="dxa"/>
            <w:shd w:val="clear" w:color="auto" w:fill="FFFFFF"/>
          </w:tcPr>
          <w:p>
            <w:pPr>
              <w:pStyle w:val="TableParagraph"/>
              <w:spacing w:before="0"/>
              <w:rPr>
                <w:rFonts w:ascii="Times New Roman"/>
                <w:sz w:val="20"/>
              </w:rPr>
            </w:pPr>
          </w:p>
        </w:tc>
        <w:tc>
          <w:tcPr>
            <w:tcW w:w="2172" w:type="dxa"/>
            <w:shd w:val="clear" w:color="auto" w:fill="FFFFFF"/>
          </w:tcPr>
          <w:p>
            <w:pPr>
              <w:pStyle w:val="TableParagraph"/>
              <w:spacing w:before="0"/>
              <w:rPr>
                <w:rFonts w:ascii="Times New Roman"/>
                <w:sz w:val="20"/>
              </w:rPr>
            </w:pPr>
          </w:p>
        </w:tc>
        <w:tc>
          <w:tcPr>
            <w:tcW w:w="2569" w:type="dxa"/>
            <w:shd w:val="clear" w:color="auto" w:fill="FFFFFF"/>
          </w:tcPr>
          <w:p>
            <w:pPr>
              <w:pStyle w:val="TableParagraph"/>
              <w:spacing w:before="0"/>
              <w:rPr>
                <w:rFonts w:ascii="Times New Roman"/>
                <w:sz w:val="20"/>
              </w:rPr>
            </w:pPr>
          </w:p>
        </w:tc>
      </w:tr>
      <w:tr>
        <w:trPr>
          <w:trHeight w:val="644" w:hRule="atLeast"/>
        </w:trPr>
        <w:tc>
          <w:tcPr>
            <w:tcW w:w="5556" w:type="dxa"/>
            <w:shd w:val="clear" w:color="auto" w:fill="FFFFFF"/>
          </w:tcPr>
          <w:p>
            <w:pPr>
              <w:pStyle w:val="TableParagraph"/>
              <w:spacing w:before="37"/>
              <w:ind w:left="113"/>
              <w:rPr>
                <w:sz w:val="19"/>
              </w:rPr>
            </w:pPr>
            <w:r>
              <w:rPr>
                <w:sz w:val="19"/>
              </w:rPr>
              <w:t>Taxation</w:t>
            </w:r>
          </w:p>
          <w:p>
            <w:pPr>
              <w:pStyle w:val="TableParagraph"/>
              <w:spacing w:before="109"/>
              <w:ind w:left="271"/>
              <w:rPr>
                <w:sz w:val="19"/>
              </w:rPr>
            </w:pPr>
            <w:r>
              <w:rPr>
                <w:sz w:val="19"/>
              </w:rPr>
              <w:t>Insurance Duty</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8"/>
              <w:rPr>
                <w:sz w:val="31"/>
              </w:rPr>
            </w:pPr>
          </w:p>
          <w:p>
            <w:pPr>
              <w:pStyle w:val="TableParagraph"/>
              <w:spacing w:before="0"/>
              <w:ind w:right="111"/>
              <w:jc w:val="right"/>
              <w:rPr>
                <w:sz w:val="19"/>
              </w:rPr>
            </w:pPr>
            <w:r>
              <w:rPr>
                <w:w w:val="95"/>
                <w:sz w:val="19"/>
              </w:rPr>
              <w:t>644,951</w:t>
            </w:r>
          </w:p>
        </w:tc>
        <w:tc>
          <w:tcPr>
            <w:tcW w:w="1151" w:type="dxa"/>
            <w:vMerge/>
            <w:tcBorders>
              <w:top w:val="nil"/>
              <w:bottom w:val="single" w:sz="4" w:space="0" w:color="000000"/>
            </w:tcBorders>
            <w:shd w:val="clear" w:color="auto" w:fill="E1E4BB"/>
          </w:tcPr>
          <w:p>
            <w:pPr>
              <w:rPr>
                <w:sz w:val="2"/>
                <w:szCs w:val="2"/>
              </w:rPr>
            </w:pPr>
          </w:p>
        </w:tc>
        <w:tc>
          <w:tcPr>
            <w:tcW w:w="1548" w:type="dxa"/>
            <w:shd w:val="clear" w:color="auto" w:fill="FFFFFF"/>
          </w:tcPr>
          <w:p>
            <w:pPr>
              <w:pStyle w:val="TableParagraph"/>
              <w:spacing w:before="8"/>
              <w:rPr>
                <w:sz w:val="31"/>
              </w:rPr>
            </w:pPr>
          </w:p>
          <w:p>
            <w:pPr>
              <w:pStyle w:val="TableParagraph"/>
              <w:spacing w:before="0"/>
              <w:ind w:right="112"/>
              <w:jc w:val="right"/>
              <w:rPr>
                <w:sz w:val="19"/>
              </w:rPr>
            </w:pPr>
            <w:r>
              <w:rPr>
                <w:w w:val="95"/>
                <w:sz w:val="19"/>
              </w:rPr>
              <w:t>641,372</w:t>
            </w:r>
          </w:p>
        </w:tc>
        <w:tc>
          <w:tcPr>
            <w:tcW w:w="2172" w:type="dxa"/>
            <w:shd w:val="clear" w:color="auto" w:fill="FFFFFF"/>
          </w:tcPr>
          <w:p>
            <w:pPr>
              <w:pStyle w:val="TableParagraph"/>
              <w:spacing w:before="8"/>
              <w:rPr>
                <w:sz w:val="31"/>
              </w:rPr>
            </w:pPr>
          </w:p>
          <w:p>
            <w:pPr>
              <w:pStyle w:val="TableParagraph"/>
              <w:spacing w:before="0"/>
              <w:ind w:right="112"/>
              <w:jc w:val="right"/>
              <w:rPr>
                <w:sz w:val="19"/>
              </w:rPr>
            </w:pPr>
            <w:r>
              <w:rPr>
                <w:w w:val="95"/>
                <w:sz w:val="19"/>
              </w:rPr>
              <w:t>(19,387)</w:t>
            </w:r>
          </w:p>
        </w:tc>
        <w:tc>
          <w:tcPr>
            <w:tcW w:w="2569" w:type="dxa"/>
            <w:shd w:val="clear" w:color="auto" w:fill="FFFFFF"/>
          </w:tcPr>
          <w:p>
            <w:pPr>
              <w:pStyle w:val="TableParagraph"/>
              <w:spacing w:before="8"/>
              <w:rPr>
                <w:sz w:val="31"/>
              </w:rPr>
            </w:pPr>
          </w:p>
          <w:p>
            <w:pPr>
              <w:pStyle w:val="TableParagraph"/>
              <w:spacing w:before="0"/>
              <w:ind w:right="113"/>
              <w:jc w:val="right"/>
              <w:rPr>
                <w:sz w:val="19"/>
              </w:rPr>
            </w:pPr>
            <w:r>
              <w:rPr>
                <w:w w:val="95"/>
                <w:sz w:val="19"/>
              </w:rPr>
              <w:t>(15,808)</w:t>
            </w:r>
          </w:p>
        </w:tc>
      </w:tr>
      <w:tr>
        <w:trPr>
          <w:trHeight w:val="639" w:hRule="atLeast"/>
        </w:trPr>
        <w:tc>
          <w:tcPr>
            <w:tcW w:w="5556" w:type="dxa"/>
            <w:shd w:val="clear" w:color="auto" w:fill="FFFFFF"/>
          </w:tcPr>
          <w:p>
            <w:pPr>
              <w:pStyle w:val="TableParagraph"/>
              <w:spacing w:before="37"/>
              <w:ind w:left="271"/>
              <w:rPr>
                <w:sz w:val="19"/>
              </w:rPr>
            </w:pPr>
            <w:r>
              <w:rPr>
                <w:sz w:val="19"/>
              </w:rPr>
              <w:t>Land Tax</w:t>
            </w:r>
          </w:p>
          <w:p>
            <w:pPr>
              <w:pStyle w:val="TableParagraph"/>
              <w:spacing w:before="109"/>
              <w:ind w:left="271"/>
              <w:rPr>
                <w:sz w:val="19"/>
              </w:rPr>
            </w:pPr>
            <w:r>
              <w:rPr>
                <w:sz w:val="19"/>
              </w:rPr>
              <w:t>Payroll Tax</w:t>
            </w:r>
          </w:p>
        </w:tc>
        <w:tc>
          <w:tcPr>
            <w:tcW w:w="1151" w:type="dxa"/>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37"/>
              <w:ind w:left="295" w:right="59"/>
              <w:jc w:val="center"/>
              <w:rPr>
                <w:sz w:val="19"/>
              </w:rPr>
            </w:pPr>
            <w:r>
              <w:rPr>
                <w:sz w:val="19"/>
              </w:rPr>
              <w:t>843,916</w:t>
            </w:r>
          </w:p>
          <w:p>
            <w:pPr>
              <w:pStyle w:val="TableParagraph"/>
              <w:spacing w:before="109"/>
              <w:ind w:left="137" w:right="59"/>
              <w:jc w:val="center"/>
              <w:rPr>
                <w:sz w:val="19"/>
              </w:rPr>
            </w:pPr>
            <w:r>
              <w:rPr>
                <w:sz w:val="19"/>
              </w:rPr>
              <w:t>3,223,117</w:t>
            </w:r>
          </w:p>
        </w:tc>
        <w:tc>
          <w:tcPr>
            <w:tcW w:w="1151" w:type="dxa"/>
            <w:vMerge/>
            <w:tcBorders>
              <w:top w:val="nil"/>
              <w:bottom w:val="single" w:sz="4" w:space="0" w:color="000000"/>
            </w:tcBorders>
            <w:shd w:val="clear" w:color="auto" w:fill="E1E4BB"/>
          </w:tcPr>
          <w:p>
            <w:pPr>
              <w:rPr>
                <w:sz w:val="2"/>
                <w:szCs w:val="2"/>
              </w:rPr>
            </w:pPr>
          </w:p>
        </w:tc>
        <w:tc>
          <w:tcPr>
            <w:tcW w:w="1548" w:type="dxa"/>
            <w:shd w:val="clear" w:color="auto" w:fill="FFFFFF"/>
          </w:tcPr>
          <w:p>
            <w:pPr>
              <w:pStyle w:val="TableParagraph"/>
              <w:spacing w:before="37"/>
              <w:ind w:left="698" w:right="66"/>
              <w:jc w:val="center"/>
              <w:rPr>
                <w:sz w:val="19"/>
              </w:rPr>
            </w:pPr>
            <w:r>
              <w:rPr>
                <w:sz w:val="19"/>
              </w:rPr>
              <w:t>873,746</w:t>
            </w:r>
          </w:p>
          <w:p>
            <w:pPr>
              <w:pStyle w:val="TableParagraph"/>
              <w:spacing w:before="109"/>
              <w:ind w:left="540" w:right="66"/>
              <w:jc w:val="center"/>
              <w:rPr>
                <w:sz w:val="19"/>
              </w:rPr>
            </w:pPr>
            <w:r>
              <w:rPr>
                <w:sz w:val="19"/>
              </w:rPr>
              <w:t>3,255,594</w:t>
            </w:r>
          </w:p>
        </w:tc>
        <w:tc>
          <w:tcPr>
            <w:tcW w:w="2172" w:type="dxa"/>
            <w:shd w:val="clear" w:color="auto" w:fill="FFFFFF"/>
          </w:tcPr>
          <w:p>
            <w:pPr>
              <w:pStyle w:val="TableParagraph"/>
              <w:spacing w:before="37"/>
              <w:ind w:right="112"/>
              <w:jc w:val="right"/>
              <w:rPr>
                <w:sz w:val="19"/>
              </w:rPr>
            </w:pPr>
            <w:r>
              <w:rPr>
                <w:w w:val="90"/>
                <w:sz w:val="19"/>
              </w:rPr>
              <w:t>(1,414)</w:t>
            </w:r>
          </w:p>
          <w:p>
            <w:pPr>
              <w:pStyle w:val="TableParagraph"/>
              <w:spacing w:before="109"/>
              <w:ind w:right="112"/>
              <w:jc w:val="right"/>
              <w:rPr>
                <w:sz w:val="19"/>
              </w:rPr>
            </w:pPr>
            <w:r>
              <w:rPr>
                <w:spacing w:val="-1"/>
                <w:sz w:val="19"/>
              </w:rPr>
              <w:t>61,037</w:t>
            </w:r>
          </w:p>
        </w:tc>
        <w:tc>
          <w:tcPr>
            <w:tcW w:w="2569" w:type="dxa"/>
            <w:shd w:val="clear" w:color="auto" w:fill="FFFFFF"/>
          </w:tcPr>
          <w:p>
            <w:pPr>
              <w:pStyle w:val="TableParagraph"/>
              <w:spacing w:before="37"/>
              <w:ind w:right="113"/>
              <w:jc w:val="right"/>
              <w:rPr>
                <w:sz w:val="19"/>
              </w:rPr>
            </w:pPr>
            <w:r>
              <w:rPr>
                <w:spacing w:val="-1"/>
                <w:w w:val="95"/>
                <w:sz w:val="19"/>
              </w:rPr>
              <w:t>(31,244)</w:t>
            </w:r>
          </w:p>
          <w:p>
            <w:pPr>
              <w:pStyle w:val="TableParagraph"/>
              <w:spacing w:before="109"/>
              <w:ind w:right="113"/>
              <w:jc w:val="right"/>
              <w:rPr>
                <w:sz w:val="19"/>
              </w:rPr>
            </w:pPr>
            <w:r>
              <w:rPr>
                <w:spacing w:val="-1"/>
                <w:sz w:val="19"/>
              </w:rPr>
              <w:t>28,560</w:t>
            </w:r>
          </w:p>
        </w:tc>
      </w:tr>
      <w:tr>
        <w:trPr>
          <w:trHeight w:val="302" w:hRule="atLeast"/>
        </w:trPr>
        <w:tc>
          <w:tcPr>
            <w:tcW w:w="5556" w:type="dxa"/>
            <w:vMerge w:val="restart"/>
            <w:shd w:val="clear" w:color="auto" w:fill="FFFFFF"/>
          </w:tcPr>
          <w:p>
            <w:pPr>
              <w:pStyle w:val="TableParagraph"/>
              <w:ind w:left="271"/>
              <w:rPr>
                <w:sz w:val="19"/>
              </w:rPr>
            </w:pPr>
            <w:r>
              <w:rPr>
                <w:sz w:val="19"/>
              </w:rPr>
              <w:t>Transfer Duty</w:t>
            </w:r>
          </w:p>
          <w:p>
            <w:pPr>
              <w:pStyle w:val="TableParagraph"/>
              <w:spacing w:before="109"/>
              <w:ind w:left="271"/>
              <w:rPr>
                <w:sz w:val="19"/>
              </w:rPr>
            </w:pPr>
            <w:r>
              <w:rPr>
                <w:sz w:val="19"/>
              </w:rPr>
              <w:t>Vehicle Licence Duty</w:t>
            </w:r>
          </w:p>
        </w:tc>
        <w:tc>
          <w:tcPr>
            <w:tcW w:w="1151" w:type="dxa"/>
            <w:tcBorders>
              <w:top w:val="single" w:sz="8" w:space="0" w:color="FFFFFF"/>
              <w:left w:val="single" w:sz="8" w:space="0" w:color="FFFFFF"/>
              <w:right w:val="single" w:sz="8" w:space="0" w:color="FFFFFF"/>
            </w:tcBorders>
            <w:shd w:val="clear" w:color="auto" w:fill="F4F4F4"/>
          </w:tcPr>
          <w:p>
            <w:pPr>
              <w:pStyle w:val="TableParagraph"/>
              <w:ind w:right="510"/>
              <w:jc w:val="right"/>
              <w:rPr>
                <w:sz w:val="19"/>
              </w:rPr>
            </w:pPr>
            <w:hyperlink w:history="true" w:anchor="_bookmark25">
              <w:r>
                <w:rPr>
                  <w:color w:val="6F2770"/>
                  <w:w w:val="99"/>
                  <w:sz w:val="19"/>
                  <w:u w:val="single" w:color="6F2770"/>
                </w:rPr>
                <w:t>1</w:t>
              </w:r>
            </w:hyperlink>
          </w:p>
        </w:tc>
        <w:tc>
          <w:tcPr>
            <w:tcW w:w="1151" w:type="dxa"/>
            <w:tcBorders>
              <w:top w:val="single" w:sz="8" w:space="0" w:color="FFFFFF"/>
              <w:left w:val="single" w:sz="8" w:space="0" w:color="FFFFFF"/>
            </w:tcBorders>
            <w:shd w:val="clear" w:color="auto" w:fill="F4F4F4"/>
          </w:tcPr>
          <w:p>
            <w:pPr>
              <w:pStyle w:val="TableParagraph"/>
              <w:ind w:right="111"/>
              <w:jc w:val="right"/>
              <w:rPr>
                <w:sz w:val="19"/>
              </w:rPr>
            </w:pPr>
            <w:r>
              <w:rPr>
                <w:w w:val="95"/>
                <w:sz w:val="19"/>
              </w:rPr>
              <w:t>1,296,689</w:t>
            </w: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right w:val="single" w:sz="8" w:space="0" w:color="FFFFFF"/>
            </w:tcBorders>
            <w:shd w:val="clear" w:color="auto" w:fill="F4F4F4"/>
          </w:tcPr>
          <w:p>
            <w:pPr>
              <w:pStyle w:val="TableParagraph"/>
              <w:ind w:right="102"/>
              <w:jc w:val="right"/>
              <w:rPr>
                <w:sz w:val="19"/>
              </w:rPr>
            </w:pPr>
            <w:r>
              <w:rPr>
                <w:w w:val="95"/>
                <w:sz w:val="19"/>
              </w:rPr>
              <w:t>1,356,805</w:t>
            </w:r>
          </w:p>
        </w:tc>
        <w:tc>
          <w:tcPr>
            <w:tcW w:w="2172" w:type="dxa"/>
            <w:tcBorders>
              <w:top w:val="single" w:sz="8" w:space="0" w:color="FFFFFF"/>
              <w:left w:val="single" w:sz="8" w:space="0" w:color="FFFFFF"/>
              <w:right w:val="single" w:sz="8" w:space="0" w:color="FFFFFF"/>
            </w:tcBorders>
            <w:shd w:val="clear" w:color="auto" w:fill="F4F4F4"/>
          </w:tcPr>
          <w:p>
            <w:pPr>
              <w:pStyle w:val="TableParagraph"/>
              <w:ind w:right="102"/>
              <w:jc w:val="right"/>
              <w:rPr>
                <w:sz w:val="19"/>
              </w:rPr>
            </w:pPr>
            <w:r>
              <w:rPr>
                <w:w w:val="95"/>
                <w:sz w:val="19"/>
              </w:rPr>
              <w:t>(70,484)</w:t>
            </w:r>
          </w:p>
        </w:tc>
        <w:tc>
          <w:tcPr>
            <w:tcW w:w="2569" w:type="dxa"/>
            <w:tcBorders>
              <w:top w:val="single" w:sz="8" w:space="0" w:color="FFFFFF"/>
              <w:left w:val="single" w:sz="8" w:space="0" w:color="FFFFFF"/>
            </w:tcBorders>
            <w:shd w:val="clear" w:color="auto" w:fill="F4F4F4"/>
          </w:tcPr>
          <w:p>
            <w:pPr>
              <w:pStyle w:val="TableParagraph"/>
              <w:ind w:right="113"/>
              <w:jc w:val="right"/>
              <w:rPr>
                <w:sz w:val="19"/>
              </w:rPr>
            </w:pPr>
            <w:r>
              <w:rPr>
                <w:w w:val="95"/>
                <w:sz w:val="19"/>
              </w:rPr>
              <w:t>(130,600)</w:t>
            </w:r>
          </w:p>
        </w:tc>
      </w:tr>
      <w:tr>
        <w:trPr>
          <w:trHeight w:val="322"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47"/>
              <w:ind w:left="1501"/>
              <w:rPr>
                <w:sz w:val="19"/>
              </w:rPr>
            </w:pPr>
            <w:r>
              <w:rPr>
                <w:sz w:val="19"/>
              </w:rPr>
              <w:t>347,572</w:t>
            </w:r>
          </w:p>
        </w:tc>
        <w:tc>
          <w:tcPr>
            <w:tcW w:w="1151" w:type="dxa"/>
            <w:vMerge/>
            <w:tcBorders>
              <w:top w:val="nil"/>
              <w:bottom w:val="single" w:sz="4" w:space="0" w:color="000000"/>
            </w:tcBorders>
            <w:shd w:val="clear" w:color="auto" w:fill="E1E4BB"/>
          </w:tcPr>
          <w:p>
            <w:pPr>
              <w:rPr>
                <w:sz w:val="2"/>
                <w:szCs w:val="2"/>
              </w:rPr>
            </w:pPr>
          </w:p>
        </w:tc>
        <w:tc>
          <w:tcPr>
            <w:tcW w:w="6289" w:type="dxa"/>
            <w:gridSpan w:val="3"/>
            <w:shd w:val="clear" w:color="auto" w:fill="FAF9F9"/>
          </w:tcPr>
          <w:p>
            <w:pPr>
              <w:pStyle w:val="TableParagraph"/>
              <w:tabs>
                <w:tab w:pos="3129" w:val="left" w:leader="none"/>
                <w:tab w:pos="5592" w:val="left" w:leader="none"/>
              </w:tabs>
              <w:spacing w:before="47"/>
              <w:ind w:left="747"/>
              <w:rPr>
                <w:sz w:val="19"/>
              </w:rPr>
            </w:pPr>
            <w:r>
              <w:rPr>
                <w:sz w:val="19"/>
              </w:rPr>
              <w:t>344,133</w:t>
              <w:tab/>
              <w:t>7,091</w:t>
              <w:tab/>
              <w:t>10,530</w:t>
            </w:r>
          </w:p>
        </w:tc>
      </w:tr>
      <w:tr>
        <w:trPr>
          <w:trHeight w:val="297"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ind w:left="271"/>
              <w:rPr>
                <w:sz w:val="10"/>
              </w:rPr>
            </w:pPr>
            <w:r>
              <w:rPr>
                <w:sz w:val="19"/>
              </w:rPr>
              <w:t>Other income</w:t>
            </w:r>
            <w:r>
              <w:rPr>
                <w:position w:val="6"/>
                <w:sz w:val="10"/>
              </w:rPr>
              <w:t>(a)</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510"/>
              <w:jc w:val="right"/>
              <w:rPr>
                <w:sz w:val="19"/>
              </w:rPr>
            </w:pPr>
            <w:hyperlink w:history="true" w:anchor="_bookmark25">
              <w:r>
                <w:rPr>
                  <w:color w:val="6F2770"/>
                  <w:w w:val="99"/>
                  <w:sz w:val="19"/>
                  <w:u w:val="single" w:color="6F2770"/>
                </w:rPr>
                <w:t>2</w:t>
              </w:r>
            </w:hyperlink>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11"/>
              <w:jc w:val="right"/>
              <w:rPr>
                <w:sz w:val="19"/>
              </w:rPr>
            </w:pPr>
            <w:r>
              <w:rPr>
                <w:w w:val="95"/>
                <w:sz w:val="19"/>
              </w:rPr>
              <w:t>383,313</w:t>
            </w:r>
          </w:p>
        </w:tc>
        <w:tc>
          <w:tcPr>
            <w:tcW w:w="1151" w:type="dxa"/>
            <w:vMerge/>
            <w:tcBorders>
              <w:top w:val="nil"/>
              <w:bottom w:val="single" w:sz="4" w:space="0" w:color="000000"/>
            </w:tcBorders>
            <w:shd w:val="clear" w:color="auto" w:fill="E1E4BB"/>
          </w:tcPr>
          <w:p>
            <w:pPr>
              <w:rPr>
                <w:sz w:val="2"/>
                <w:szCs w:val="2"/>
              </w:rPr>
            </w:pPr>
          </w:p>
        </w:tc>
        <w:tc>
          <w:tcPr>
            <w:tcW w:w="1548" w:type="dxa"/>
            <w:tcBorders>
              <w:bottom w:val="single" w:sz="8" w:space="0" w:color="FFFFFF"/>
              <w:right w:val="single" w:sz="8" w:space="0" w:color="FFFFFF"/>
            </w:tcBorders>
            <w:shd w:val="clear" w:color="auto" w:fill="F4F4F4"/>
          </w:tcPr>
          <w:p>
            <w:pPr>
              <w:pStyle w:val="TableParagraph"/>
              <w:spacing w:before="22"/>
              <w:ind w:right="102"/>
              <w:jc w:val="right"/>
              <w:rPr>
                <w:sz w:val="19"/>
              </w:rPr>
            </w:pPr>
            <w:r>
              <w:rPr>
                <w:w w:val="95"/>
                <w:sz w:val="19"/>
              </w:rPr>
              <w:t>327,695</w:t>
            </w:r>
          </w:p>
        </w:tc>
        <w:tc>
          <w:tcPr>
            <w:tcW w:w="2172" w:type="dxa"/>
            <w:tcBorders>
              <w:left w:val="single" w:sz="8" w:space="0" w:color="FFFFFF"/>
              <w:bottom w:val="single" w:sz="8" w:space="0" w:color="FFFFFF"/>
              <w:right w:val="single" w:sz="8" w:space="0" w:color="FFFFFF"/>
            </w:tcBorders>
            <w:shd w:val="clear" w:color="auto" w:fill="F4F4F4"/>
          </w:tcPr>
          <w:p>
            <w:pPr>
              <w:pStyle w:val="TableParagraph"/>
              <w:spacing w:before="22"/>
              <w:ind w:right="102"/>
              <w:jc w:val="right"/>
              <w:rPr>
                <w:sz w:val="19"/>
              </w:rPr>
            </w:pPr>
            <w:r>
              <w:rPr>
                <w:w w:val="95"/>
                <w:sz w:val="19"/>
              </w:rPr>
              <w:t>26,611</w:t>
            </w:r>
          </w:p>
        </w:tc>
        <w:tc>
          <w:tcPr>
            <w:tcW w:w="2569" w:type="dxa"/>
            <w:tcBorders>
              <w:left w:val="single" w:sz="8" w:space="0" w:color="FFFFFF"/>
              <w:bottom w:val="single" w:sz="8" w:space="0" w:color="FFFFFF"/>
            </w:tcBorders>
            <w:shd w:val="clear" w:color="auto" w:fill="F4F4F4"/>
          </w:tcPr>
          <w:p>
            <w:pPr>
              <w:pStyle w:val="TableParagraph"/>
              <w:spacing w:before="22"/>
              <w:ind w:right="113"/>
              <w:jc w:val="right"/>
              <w:rPr>
                <w:sz w:val="19"/>
              </w:rPr>
            </w:pPr>
            <w:r>
              <w:rPr>
                <w:w w:val="95"/>
                <w:sz w:val="19"/>
              </w:rPr>
              <w:t>82,229</w:t>
            </w:r>
          </w:p>
        </w:tc>
      </w:tr>
      <w:tr>
        <w:trPr>
          <w:trHeight w:val="302" w:hRule="atLeast"/>
        </w:trPr>
        <w:tc>
          <w:tcPr>
            <w:tcW w:w="5556" w:type="dxa"/>
            <w:vMerge w:val="restart"/>
            <w:shd w:val="clear" w:color="auto" w:fill="FFFFFF"/>
          </w:tcPr>
          <w:p>
            <w:pPr>
              <w:pStyle w:val="TableParagraph"/>
              <w:ind w:left="113"/>
              <w:rPr>
                <w:sz w:val="19"/>
              </w:rPr>
            </w:pPr>
            <w:r>
              <w:rPr>
                <w:sz w:val="19"/>
              </w:rPr>
              <w:t>Other revenue</w:t>
            </w:r>
          </w:p>
          <w:p>
            <w:pPr>
              <w:pStyle w:val="TableParagraph"/>
              <w:spacing w:before="109"/>
              <w:ind w:left="271"/>
              <w:rPr>
                <w:sz w:val="19"/>
              </w:rPr>
            </w:pPr>
            <w:r>
              <w:rPr>
                <w:sz w:val="19"/>
              </w:rPr>
              <w:t>Other revenue</w:t>
            </w:r>
          </w:p>
        </w:tc>
        <w:tc>
          <w:tcPr>
            <w:tcW w:w="1151"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tcBorders>
            <w:shd w:val="clear" w:color="auto" w:fill="F4F4F4"/>
          </w:tcPr>
          <w:p>
            <w:pPr>
              <w:pStyle w:val="TableParagraph"/>
              <w:spacing w:before="0"/>
              <w:rPr>
                <w:rFonts w:ascii="Times New Roman"/>
                <w:sz w:val="20"/>
              </w:rPr>
            </w:pP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right w:val="single" w:sz="8" w:space="0" w:color="FFFFFF"/>
            </w:tcBorders>
            <w:shd w:val="clear" w:color="auto" w:fill="F4F4F4"/>
          </w:tcPr>
          <w:p>
            <w:pPr>
              <w:pStyle w:val="TableParagraph"/>
              <w:spacing w:before="0"/>
              <w:rPr>
                <w:rFonts w:ascii="Times New Roman"/>
                <w:sz w:val="20"/>
              </w:rPr>
            </w:pPr>
          </w:p>
        </w:tc>
        <w:tc>
          <w:tcPr>
            <w:tcW w:w="2172"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2569" w:type="dxa"/>
            <w:tcBorders>
              <w:top w:val="single" w:sz="8" w:space="0" w:color="FFFFFF"/>
              <w:left w:val="single" w:sz="8" w:space="0" w:color="FFFFFF"/>
            </w:tcBorders>
            <w:shd w:val="clear" w:color="auto" w:fill="F4F4F4"/>
          </w:tcPr>
          <w:p>
            <w:pPr>
              <w:pStyle w:val="TableParagraph"/>
              <w:spacing w:before="0"/>
              <w:rPr>
                <w:rFonts w:ascii="Times New Roman"/>
                <w:sz w:val="20"/>
              </w:rPr>
            </w:pPr>
          </w:p>
        </w:tc>
      </w:tr>
      <w:tr>
        <w:trPr>
          <w:trHeight w:val="322"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spacing w:before="47"/>
              <w:ind w:right="111"/>
              <w:jc w:val="right"/>
              <w:rPr>
                <w:sz w:val="19"/>
              </w:rPr>
            </w:pPr>
            <w:r>
              <w:rPr>
                <w:w w:val="95"/>
                <w:sz w:val="19"/>
              </w:rPr>
              <w:t>41,240</w:t>
            </w:r>
          </w:p>
        </w:tc>
        <w:tc>
          <w:tcPr>
            <w:tcW w:w="1151" w:type="dxa"/>
            <w:vMerge/>
            <w:tcBorders>
              <w:top w:val="nil"/>
              <w:bottom w:val="single" w:sz="4" w:space="0" w:color="000000"/>
            </w:tcBorders>
            <w:shd w:val="clear" w:color="auto" w:fill="E1E4BB"/>
          </w:tcPr>
          <w:p>
            <w:pPr>
              <w:rPr>
                <w:sz w:val="2"/>
                <w:szCs w:val="2"/>
              </w:rPr>
            </w:pPr>
          </w:p>
        </w:tc>
        <w:tc>
          <w:tcPr>
            <w:tcW w:w="6289" w:type="dxa"/>
            <w:gridSpan w:val="3"/>
            <w:tcBorders>
              <w:bottom w:val="single" w:sz="8" w:space="0" w:color="FFFFFF"/>
            </w:tcBorders>
            <w:shd w:val="clear" w:color="auto" w:fill="FAF9F9"/>
          </w:tcPr>
          <w:p>
            <w:pPr>
              <w:pStyle w:val="TableParagraph"/>
              <w:tabs>
                <w:tab w:pos="3288" w:val="left" w:leader="none"/>
                <w:tab w:pos="5697" w:val="left" w:leader="none"/>
              </w:tabs>
              <w:spacing w:before="47"/>
              <w:ind w:left="852"/>
              <w:rPr>
                <w:sz w:val="19"/>
              </w:rPr>
            </w:pPr>
            <w:r>
              <w:rPr>
                <w:sz w:val="19"/>
              </w:rPr>
              <w:t>40,086</w:t>
              <w:tab/>
              <w:t>208</w:t>
              <w:tab/>
              <w:t>1,362</w:t>
            </w:r>
          </w:p>
        </w:tc>
      </w:tr>
      <w:tr>
        <w:trPr>
          <w:trHeight w:val="307" w:hRule="atLeast"/>
        </w:trPr>
        <w:tc>
          <w:tcPr>
            <w:tcW w:w="5556" w:type="dxa"/>
            <w:vMerge w:val="restart"/>
            <w:shd w:val="clear" w:color="auto" w:fill="FFFFFF"/>
          </w:tcPr>
          <w:p>
            <w:pPr>
              <w:pStyle w:val="TableParagraph"/>
              <w:ind w:left="113"/>
              <w:rPr>
                <w:sz w:val="19"/>
              </w:rPr>
            </w:pPr>
            <w:r>
              <w:rPr>
                <w:sz w:val="19"/>
              </w:rPr>
              <w:t>Appropriations</w:t>
            </w:r>
          </w:p>
          <w:p>
            <w:pPr>
              <w:pStyle w:val="TableParagraph"/>
              <w:spacing w:before="109"/>
              <w:ind w:left="271"/>
              <w:rPr>
                <w:i/>
                <w:sz w:val="19"/>
              </w:rPr>
            </w:pPr>
            <w:r>
              <w:rPr>
                <w:i/>
                <w:sz w:val="19"/>
              </w:rPr>
              <w:t>First Home Owners Grant Act 2000</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2569"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11"/>
              <w:jc w:val="right"/>
              <w:rPr>
                <w:sz w:val="19"/>
              </w:rPr>
            </w:pPr>
            <w:r>
              <w:rPr>
                <w:w w:val="95"/>
                <w:sz w:val="19"/>
              </w:rPr>
              <w:t>74,612</w:t>
            </w:r>
          </w:p>
        </w:tc>
        <w:tc>
          <w:tcPr>
            <w:tcW w:w="1151" w:type="dxa"/>
            <w:vMerge/>
            <w:tcBorders>
              <w:top w:val="nil"/>
              <w:bottom w:val="single" w:sz="4" w:space="0" w:color="000000"/>
            </w:tcBorders>
            <w:shd w:val="clear" w:color="auto" w:fill="E1E4BB"/>
          </w:tcPr>
          <w:p>
            <w:pPr>
              <w:rPr>
                <w:sz w:val="2"/>
                <w:szCs w:val="2"/>
              </w:rPr>
            </w:pPr>
          </w:p>
        </w:tc>
        <w:tc>
          <w:tcPr>
            <w:tcW w:w="6289" w:type="dxa"/>
            <w:gridSpan w:val="3"/>
            <w:tcBorders>
              <w:top w:val="single" w:sz="8" w:space="0" w:color="FFFFFF"/>
              <w:bottom w:val="single" w:sz="8" w:space="0" w:color="FFFFFF"/>
            </w:tcBorders>
            <w:shd w:val="clear" w:color="auto" w:fill="FAF9F9"/>
          </w:tcPr>
          <w:p>
            <w:pPr>
              <w:pStyle w:val="TableParagraph"/>
              <w:tabs>
                <w:tab w:pos="3024" w:val="left" w:leader="none"/>
                <w:tab w:pos="5592" w:val="left" w:leader="none"/>
              </w:tabs>
              <w:ind w:left="852"/>
              <w:rPr>
                <w:sz w:val="19"/>
              </w:rPr>
            </w:pPr>
            <w:r>
              <w:rPr>
                <w:sz w:val="19"/>
              </w:rPr>
              <w:t>72,765</w:t>
              <w:tab/>
              <w:t>16,559</w:t>
              <w:tab/>
              <w:t>18,406</w:t>
            </w:r>
          </w:p>
        </w:tc>
      </w:tr>
      <w:tr>
        <w:trPr>
          <w:trHeight w:val="307" w:hRule="atLeast"/>
        </w:trPr>
        <w:tc>
          <w:tcPr>
            <w:tcW w:w="5556" w:type="dxa"/>
            <w:vMerge w:val="restart"/>
            <w:shd w:val="clear" w:color="auto" w:fill="FFFFFF"/>
          </w:tcPr>
          <w:p>
            <w:pPr>
              <w:pStyle w:val="TableParagraph"/>
              <w:ind w:left="271"/>
              <w:rPr>
                <w:sz w:val="10"/>
              </w:rPr>
            </w:pPr>
            <w:r>
              <w:rPr>
                <w:sz w:val="19"/>
              </w:rPr>
              <w:t>Administered Grants and Transfer Payments</w:t>
            </w:r>
            <w:r>
              <w:rPr>
                <w:position w:val="6"/>
                <w:sz w:val="10"/>
              </w:rPr>
              <w:t>(b)</w:t>
            </w:r>
          </w:p>
          <w:p>
            <w:pPr>
              <w:pStyle w:val="TableParagraph"/>
              <w:spacing w:before="109"/>
              <w:ind w:left="113"/>
              <w:rPr>
                <w:sz w:val="19"/>
              </w:rPr>
            </w:pPr>
            <w:r>
              <w:rPr>
                <w:sz w:val="19"/>
              </w:rPr>
              <w:t>Collections raised on behalf of other agencies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8" w:space="0" w:color="FFFFFF"/>
              <w:left w:val="single" w:sz="8" w:space="0" w:color="FFFFFF"/>
              <w:bottom w:val="single" w:sz="8" w:space="0" w:color="FFFFFF"/>
            </w:tcBorders>
            <w:shd w:val="clear" w:color="auto" w:fill="F4F4F4"/>
          </w:tcPr>
          <w:p>
            <w:pPr>
              <w:pStyle w:val="TableParagraph"/>
              <w:ind w:right="111"/>
              <w:jc w:val="right"/>
              <w:rPr>
                <w:sz w:val="19"/>
              </w:rPr>
            </w:pPr>
            <w:r>
              <w:rPr>
                <w:w w:val="95"/>
                <w:sz w:val="19"/>
              </w:rPr>
              <w:t>185,070</w:t>
            </w:r>
          </w:p>
        </w:tc>
        <w:tc>
          <w:tcPr>
            <w:tcW w:w="1151"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95"/>
                <w:sz w:val="19"/>
              </w:rPr>
              <w:t>164,281</w:t>
            </w:r>
          </w:p>
        </w:tc>
        <w:tc>
          <w:tcPr>
            <w:tcW w:w="217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95"/>
                <w:sz w:val="19"/>
              </w:rPr>
              <w:t>(24,076)</w:t>
            </w:r>
          </w:p>
        </w:tc>
        <w:tc>
          <w:tcPr>
            <w:tcW w:w="2569" w:type="dxa"/>
            <w:tcBorders>
              <w:top w:val="single" w:sz="8" w:space="0" w:color="FFFFFF"/>
              <w:left w:val="single" w:sz="8" w:space="0" w:color="FFFFFF"/>
              <w:bottom w:val="single" w:sz="8" w:space="0" w:color="FFFFFF"/>
            </w:tcBorders>
            <w:shd w:val="clear" w:color="auto" w:fill="F4F4F4"/>
          </w:tcPr>
          <w:p>
            <w:pPr>
              <w:pStyle w:val="TableParagraph"/>
              <w:ind w:right="113"/>
              <w:jc w:val="right"/>
              <w:rPr>
                <w:sz w:val="19"/>
              </w:rPr>
            </w:pPr>
            <w:r>
              <w:rPr>
                <w:w w:val="90"/>
                <w:sz w:val="19"/>
              </w:rPr>
              <w:t>(3,287)</w:t>
            </w:r>
          </w:p>
        </w:tc>
      </w:tr>
      <w:tr>
        <w:trPr>
          <w:trHeight w:val="307" w:hRule="atLeast"/>
        </w:trPr>
        <w:tc>
          <w:tcPr>
            <w:tcW w:w="5556" w:type="dxa"/>
            <w:vMerge/>
            <w:tcBorders>
              <w:top w:val="nil"/>
            </w:tcBorders>
            <w:shd w:val="clear" w:color="auto" w:fill="FFFFFF"/>
          </w:tcPr>
          <w:p>
            <w:pPr>
              <w:rPr>
                <w:sz w:val="2"/>
                <w:szCs w:val="2"/>
              </w:rPr>
            </w:pPr>
          </w:p>
        </w:tc>
        <w:tc>
          <w:tcPr>
            <w:tcW w:w="2302" w:type="dxa"/>
            <w:gridSpan w:val="2"/>
            <w:shd w:val="clear" w:color="auto" w:fill="FFFFFF"/>
          </w:tcPr>
          <w:p>
            <w:pPr>
              <w:pStyle w:val="TableParagraph"/>
              <w:ind w:right="111"/>
              <w:jc w:val="right"/>
              <w:rPr>
                <w:sz w:val="19"/>
              </w:rPr>
            </w:pPr>
            <w:r>
              <w:rPr>
                <w:w w:val="95"/>
                <w:sz w:val="19"/>
              </w:rPr>
              <w:t>64,136</w:t>
            </w:r>
          </w:p>
        </w:tc>
        <w:tc>
          <w:tcPr>
            <w:tcW w:w="1151" w:type="dxa"/>
            <w:vMerge/>
            <w:tcBorders>
              <w:top w:val="nil"/>
              <w:bottom w:val="single" w:sz="4" w:space="0" w:color="000000"/>
            </w:tcBorders>
            <w:shd w:val="clear" w:color="auto" w:fill="E1E4BB"/>
          </w:tcPr>
          <w:p>
            <w:pPr>
              <w:rPr>
                <w:sz w:val="2"/>
                <w:szCs w:val="2"/>
              </w:rPr>
            </w:pPr>
          </w:p>
        </w:tc>
        <w:tc>
          <w:tcPr>
            <w:tcW w:w="6289" w:type="dxa"/>
            <w:gridSpan w:val="3"/>
            <w:tcBorders>
              <w:top w:val="single" w:sz="8" w:space="0" w:color="FFFFFF"/>
              <w:bottom w:val="single" w:sz="4" w:space="0" w:color="000000"/>
            </w:tcBorders>
            <w:shd w:val="clear" w:color="auto" w:fill="FAF9F9"/>
          </w:tcPr>
          <w:p>
            <w:pPr>
              <w:pStyle w:val="TableParagraph"/>
              <w:tabs>
                <w:tab w:pos="3196" w:val="left" w:leader="none"/>
                <w:tab w:pos="5856" w:val="left" w:leader="none"/>
              </w:tabs>
              <w:ind w:left="852"/>
              <w:rPr>
                <w:sz w:val="19"/>
              </w:rPr>
            </w:pPr>
            <w:r>
              <w:rPr>
                <w:sz w:val="19"/>
              </w:rPr>
              <w:t>63,549</w:t>
              <w:tab/>
              <w:t>(101)</w:t>
              <w:tab/>
              <w:t>486</w:t>
            </w:r>
          </w:p>
        </w:tc>
      </w:tr>
      <w:tr>
        <w:trPr>
          <w:trHeight w:val="274"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Administered Income</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34" w:space="0" w:color="FFFFFF"/>
            </w:tcBorders>
            <w:shd w:val="clear" w:color="auto" w:fill="F4F4F4"/>
          </w:tcPr>
          <w:p>
            <w:pPr>
              <w:pStyle w:val="TableParagraph"/>
              <w:ind w:right="111"/>
              <w:jc w:val="right"/>
              <w:rPr>
                <w:b/>
                <w:sz w:val="19"/>
              </w:rPr>
            </w:pPr>
            <w:r>
              <w:rPr>
                <w:b/>
                <w:w w:val="95"/>
                <w:sz w:val="19"/>
              </w:rPr>
              <w:t>7,104,616</w:t>
            </w:r>
          </w:p>
        </w:tc>
        <w:tc>
          <w:tcPr>
            <w:tcW w:w="1151" w:type="dxa"/>
            <w:tcBorders>
              <w:top w:val="single" w:sz="4" w:space="0" w:color="000000"/>
              <w:bottom w:val="single" w:sz="34" w:space="0" w:color="FFFFFF"/>
            </w:tcBorders>
            <w:shd w:val="clear" w:color="auto" w:fill="DFE1B8"/>
          </w:tcPr>
          <w:p>
            <w:pPr>
              <w:pStyle w:val="TableParagraph"/>
              <w:ind w:left="191"/>
              <w:rPr>
                <w:b/>
                <w:sz w:val="19"/>
              </w:rPr>
            </w:pPr>
            <w:r>
              <w:rPr>
                <w:b/>
                <w:sz w:val="19"/>
              </w:rPr>
              <w:t>7,100,660</w:t>
            </w:r>
          </w:p>
        </w:tc>
        <w:tc>
          <w:tcPr>
            <w:tcW w:w="1548" w:type="dxa"/>
            <w:tcBorders>
              <w:top w:val="single" w:sz="4" w:space="0" w:color="000000"/>
              <w:bottom w:val="single" w:sz="24" w:space="0" w:color="FFFFFF"/>
              <w:right w:val="single" w:sz="8" w:space="0" w:color="FFFFFF"/>
            </w:tcBorders>
            <w:shd w:val="clear" w:color="auto" w:fill="F4F4F4"/>
          </w:tcPr>
          <w:p>
            <w:pPr>
              <w:pStyle w:val="TableParagraph"/>
              <w:ind w:right="102"/>
              <w:jc w:val="right"/>
              <w:rPr>
                <w:b/>
                <w:sz w:val="19"/>
              </w:rPr>
            </w:pPr>
            <w:r>
              <w:rPr>
                <w:b/>
                <w:w w:val="95"/>
                <w:sz w:val="19"/>
              </w:rPr>
              <w:t>7,140,026</w:t>
            </w:r>
          </w:p>
        </w:tc>
        <w:tc>
          <w:tcPr>
            <w:tcW w:w="2172"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ind w:right="102"/>
              <w:jc w:val="right"/>
              <w:rPr>
                <w:b/>
                <w:sz w:val="19"/>
              </w:rPr>
            </w:pPr>
            <w:r>
              <w:rPr>
                <w:b/>
                <w:w w:val="95"/>
                <w:sz w:val="19"/>
              </w:rPr>
              <w:t>(3,956)</w:t>
            </w:r>
          </w:p>
        </w:tc>
        <w:tc>
          <w:tcPr>
            <w:tcW w:w="2569" w:type="dxa"/>
            <w:tcBorders>
              <w:top w:val="single" w:sz="4" w:space="0" w:color="000000"/>
              <w:left w:val="single" w:sz="8" w:space="0" w:color="FFFFFF"/>
              <w:bottom w:val="single" w:sz="24" w:space="0" w:color="FFFFFF"/>
            </w:tcBorders>
            <w:shd w:val="clear" w:color="auto" w:fill="F4F4F4"/>
          </w:tcPr>
          <w:p>
            <w:pPr>
              <w:pStyle w:val="TableParagraph"/>
              <w:ind w:right="113"/>
              <w:jc w:val="right"/>
              <w:rPr>
                <w:b/>
                <w:sz w:val="19"/>
              </w:rPr>
            </w:pPr>
            <w:r>
              <w:rPr>
                <w:b/>
                <w:w w:val="95"/>
                <w:sz w:val="19"/>
              </w:rPr>
              <w:t>(39,366)</w:t>
            </w:r>
          </w:p>
        </w:tc>
      </w:tr>
    </w:tbl>
    <w:p>
      <w:pPr>
        <w:spacing w:after="0"/>
        <w:jc w:val="right"/>
        <w:rPr>
          <w:sz w:val="19"/>
        </w:rPr>
        <w:sectPr>
          <w:footerReference w:type="default" r:id="rId196"/>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pStyle w:val="Heading1"/>
        <w:spacing w:before="93"/>
        <w:ind w:left="785"/>
      </w:pPr>
      <w:r>
        <w:rPr/>
        <w:pict>
          <v:group style="position:absolute;margin-left:120.271004pt;margin-top:-57.324211pt;width:721.65pt;height:42.55pt;mso-position-horizontal-relative:page;mso-position-vertical-relative:paragraph;z-index:23368"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spacing w:before="29"/>
        <w:ind w:left="785"/>
      </w:pPr>
      <w:r>
        <w:rPr>
          <w:color w:val="6F2770"/>
        </w:rPr>
        <w:t>For the year ended 30 June 2018</w:t>
      </w:r>
    </w:p>
    <w:p>
      <w:pPr>
        <w:pStyle w:val="BodyText"/>
        <w:spacing w:before="7"/>
        <w:rPr>
          <w:sz w:val="2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6"/>
        <w:gridCol w:w="1151"/>
        <w:gridCol w:w="1151"/>
        <w:gridCol w:w="1151"/>
        <w:gridCol w:w="1548"/>
        <w:gridCol w:w="2172"/>
        <w:gridCol w:w="2569"/>
      </w:tblGrid>
      <w:tr>
        <w:trPr>
          <w:trHeight w:val="766" w:hRule="atLeast"/>
        </w:trPr>
        <w:tc>
          <w:tcPr>
            <w:tcW w:w="15298" w:type="dxa"/>
            <w:gridSpan w:val="7"/>
            <w:shd w:val="clear" w:color="auto" w:fill="783A79"/>
          </w:tcPr>
          <w:p>
            <w:pPr>
              <w:pStyle w:val="TableParagraph"/>
              <w:tabs>
                <w:tab w:pos="6945" w:val="left" w:leader="none"/>
                <w:tab w:pos="7321" w:val="left" w:leader="none"/>
                <w:tab w:pos="8318" w:val="left" w:leader="none"/>
                <w:tab w:pos="8472" w:val="left" w:leader="none"/>
                <w:tab w:pos="9390" w:val="left" w:leader="none"/>
                <w:tab w:pos="10830" w:val="left" w:leader="none"/>
                <w:tab w:pos="11002" w:val="left" w:leader="none"/>
                <w:tab w:pos="12922" w:val="left" w:leader="none"/>
                <w:tab w:pos="12962" w:val="left" w:leader="none"/>
              </w:tabs>
              <w:spacing w:line="249" w:lineRule="auto" w:before="47"/>
              <w:ind w:left="5914" w:right="113" w:hanging="175"/>
              <w:rPr>
                <w:b/>
                <w:sz w:val="19"/>
              </w:rPr>
            </w:pPr>
            <w:r>
              <w:rPr>
                <w:b/>
                <w:color w:val="FFFFFF"/>
                <w:sz w:val="19"/>
              </w:rPr>
              <w:t>Variance</w:t>
              <w:tab/>
              <w:t>Estimate</w:t>
              <w:tab/>
              <w:t>Actual</w:t>
              <w:tab/>
              <w:t>Actual</w:t>
            </w:r>
            <w:r>
              <w:rPr>
                <w:b/>
                <w:color w:val="FFFFFF"/>
                <w:spacing w:val="-2"/>
                <w:sz w:val="19"/>
              </w:rPr>
              <w:t> </w:t>
            </w:r>
            <w:r>
              <w:rPr>
                <w:b/>
                <w:color w:val="FFFFFF"/>
                <w:sz w:val="19"/>
              </w:rPr>
              <w:t>2017</w:t>
              <w:tab/>
              <w:tab/>
              <w:t>Variance</w:t>
            </w:r>
            <w:r>
              <w:rPr>
                <w:b/>
                <w:color w:val="FFFFFF"/>
                <w:spacing w:val="2"/>
                <w:sz w:val="19"/>
              </w:rPr>
              <w:t> </w:t>
            </w:r>
            <w:r>
              <w:rPr>
                <w:b/>
                <w:color w:val="FFFFFF"/>
                <w:sz w:val="19"/>
              </w:rPr>
              <w:t>between</w:t>
              <w:tab/>
              <w:tab/>
              <w:t>Variance between </w:t>
            </w:r>
            <w:r>
              <w:rPr>
                <w:b/>
                <w:color w:val="FFFFFF"/>
                <w:spacing w:val="-3"/>
                <w:sz w:val="19"/>
              </w:rPr>
              <w:t>actual </w:t>
            </w:r>
            <w:r>
              <w:rPr>
                <w:b/>
                <w:color w:val="FFFFFF"/>
                <w:sz w:val="19"/>
              </w:rPr>
              <w:t>Note</w:t>
              <w:tab/>
              <w:tab/>
              <w:t>2018</w:t>
              <w:tab/>
              <w:tab/>
              <w:t>2018</w:t>
              <w:tab/>
              <w:tab/>
              <w:t>estimate</w:t>
            </w:r>
            <w:r>
              <w:rPr>
                <w:b/>
                <w:color w:val="FFFFFF"/>
                <w:spacing w:val="9"/>
                <w:sz w:val="19"/>
              </w:rPr>
              <w:t> </w:t>
            </w:r>
            <w:r>
              <w:rPr>
                <w:b/>
                <w:color w:val="FFFFFF"/>
                <w:sz w:val="19"/>
              </w:rPr>
              <w:t>and</w:t>
            </w:r>
            <w:r>
              <w:rPr>
                <w:b/>
                <w:color w:val="FFFFFF"/>
                <w:spacing w:val="10"/>
                <w:sz w:val="19"/>
              </w:rPr>
              <w:t> </w:t>
            </w:r>
            <w:r>
              <w:rPr>
                <w:b/>
                <w:color w:val="FFFFFF"/>
                <w:sz w:val="19"/>
              </w:rPr>
              <w:t>actual</w:t>
              <w:tab/>
              <w:t>results for 2018 and</w:t>
            </w:r>
            <w:r>
              <w:rPr>
                <w:b/>
                <w:color w:val="FFFFFF"/>
                <w:spacing w:val="-11"/>
                <w:sz w:val="19"/>
              </w:rPr>
              <w:t> </w:t>
            </w:r>
            <w:r>
              <w:rPr>
                <w:b/>
                <w:color w:val="FFFFFF"/>
                <w:spacing w:val="-4"/>
                <w:sz w:val="19"/>
              </w:rPr>
              <w:t>2017</w:t>
            </w:r>
          </w:p>
          <w:p>
            <w:pPr>
              <w:pStyle w:val="TableParagraph"/>
              <w:tabs>
                <w:tab w:pos="8472" w:val="left" w:leader="none"/>
                <w:tab w:pos="10020" w:val="left" w:leader="none"/>
                <w:tab w:pos="12191" w:val="left" w:leader="none"/>
                <w:tab w:pos="14759" w:val="left" w:leader="none"/>
              </w:tabs>
              <w:spacing w:before="2"/>
              <w:ind w:left="7321"/>
              <w:rPr>
                <w:b/>
                <w:sz w:val="19"/>
              </w:rPr>
            </w:pPr>
            <w:r>
              <w:rPr>
                <w:b/>
                <w:color w:val="FFFFFF"/>
                <w:sz w:val="19"/>
              </w:rPr>
              <w:t>$000</w:t>
              <w:tab/>
              <w:t>$000</w:t>
              <w:tab/>
              <w:t>$000</w:t>
              <w:tab/>
              <w:t>$000</w:t>
              <w:tab/>
              <w:t>$000</w:t>
            </w:r>
          </w:p>
        </w:tc>
      </w:tr>
      <w:tr>
        <w:trPr>
          <w:trHeight w:val="313" w:hRule="atLeast"/>
        </w:trPr>
        <w:tc>
          <w:tcPr>
            <w:tcW w:w="5556" w:type="dxa"/>
            <w:shd w:val="clear" w:color="auto" w:fill="FFFFFF"/>
          </w:tcPr>
          <w:p>
            <w:pPr>
              <w:pStyle w:val="TableParagraph"/>
              <w:spacing w:before="42"/>
              <w:ind w:left="113"/>
              <w:rPr>
                <w:b/>
                <w:sz w:val="19"/>
              </w:rPr>
            </w:pPr>
            <w:r>
              <w:rPr>
                <w:b/>
                <w:sz w:val="19"/>
              </w:rPr>
              <w:t>EXPENSES</w:t>
            </w:r>
          </w:p>
        </w:tc>
        <w:tc>
          <w:tcPr>
            <w:tcW w:w="1151" w:type="dxa"/>
            <w:vMerge w:val="restart"/>
            <w:shd w:val="clear" w:color="auto" w:fill="FFFFFF"/>
          </w:tcPr>
          <w:p>
            <w:pPr>
              <w:pStyle w:val="TableParagraph"/>
              <w:spacing w:before="0"/>
              <w:rPr>
                <w:rFonts w:ascii="Times New Roman"/>
                <w:sz w:val="20"/>
              </w:rPr>
            </w:pPr>
          </w:p>
        </w:tc>
        <w:tc>
          <w:tcPr>
            <w:tcW w:w="1151" w:type="dxa"/>
            <w:vMerge w:val="restart"/>
            <w:shd w:val="clear" w:color="auto" w:fill="FFFFFF"/>
          </w:tcPr>
          <w:p>
            <w:pPr>
              <w:pStyle w:val="TableParagraph"/>
              <w:spacing w:before="0"/>
              <w:rPr>
                <w:rFonts w:ascii="Times New Roman"/>
                <w:sz w:val="20"/>
              </w:rPr>
            </w:pPr>
          </w:p>
        </w:tc>
        <w:tc>
          <w:tcPr>
            <w:tcW w:w="1151" w:type="dxa"/>
            <w:shd w:val="clear" w:color="auto" w:fill="E1E4BB"/>
          </w:tcPr>
          <w:p>
            <w:pPr>
              <w:pStyle w:val="TableParagraph"/>
              <w:spacing w:before="0"/>
              <w:rPr>
                <w:rFonts w:ascii="Times New Roman"/>
                <w:sz w:val="20"/>
              </w:rPr>
            </w:pPr>
          </w:p>
        </w:tc>
        <w:tc>
          <w:tcPr>
            <w:tcW w:w="1548" w:type="dxa"/>
            <w:vMerge w:val="restart"/>
            <w:shd w:val="clear" w:color="auto" w:fill="FFFFFF"/>
          </w:tcPr>
          <w:p>
            <w:pPr>
              <w:pStyle w:val="TableParagraph"/>
              <w:spacing w:before="0"/>
              <w:rPr>
                <w:rFonts w:ascii="Times New Roman"/>
                <w:sz w:val="20"/>
              </w:rPr>
            </w:pPr>
          </w:p>
        </w:tc>
        <w:tc>
          <w:tcPr>
            <w:tcW w:w="2172" w:type="dxa"/>
            <w:vMerge w:val="restart"/>
            <w:shd w:val="clear" w:color="auto" w:fill="FFFFFF"/>
          </w:tcPr>
          <w:p>
            <w:pPr>
              <w:pStyle w:val="TableParagraph"/>
              <w:spacing w:before="0"/>
              <w:rPr>
                <w:rFonts w:ascii="Times New Roman"/>
                <w:sz w:val="20"/>
              </w:rPr>
            </w:pPr>
          </w:p>
        </w:tc>
        <w:tc>
          <w:tcPr>
            <w:tcW w:w="2569" w:type="dxa"/>
            <w:vMerge w:val="restart"/>
            <w:shd w:val="clear" w:color="auto" w:fill="FFFFFF"/>
          </w:tcPr>
          <w:p>
            <w:pPr>
              <w:pStyle w:val="TableParagraph"/>
              <w:spacing w:before="0"/>
              <w:rPr>
                <w:rFonts w:ascii="Times New Roman"/>
                <w:sz w:val="20"/>
              </w:rPr>
            </w:pPr>
          </w:p>
        </w:tc>
      </w:tr>
      <w:tr>
        <w:trPr>
          <w:trHeight w:val="341" w:hRule="atLeast"/>
        </w:trPr>
        <w:tc>
          <w:tcPr>
            <w:tcW w:w="5556" w:type="dxa"/>
            <w:shd w:val="clear" w:color="auto" w:fill="FFFFFF"/>
          </w:tcPr>
          <w:p>
            <w:pPr>
              <w:pStyle w:val="TableParagraph"/>
              <w:spacing w:before="56"/>
              <w:ind w:left="113"/>
              <w:rPr>
                <w:sz w:val="19"/>
              </w:rPr>
            </w:pPr>
            <w:r>
              <w:rPr>
                <w:sz w:val="19"/>
              </w:rPr>
              <w:t>Grants and subsidies</w:t>
            </w:r>
          </w:p>
        </w:tc>
        <w:tc>
          <w:tcPr>
            <w:tcW w:w="1151" w:type="dxa"/>
            <w:vMerge/>
            <w:tcBorders>
              <w:top w:val="nil"/>
            </w:tcBorders>
            <w:shd w:val="clear" w:color="auto" w:fill="FFFFFF"/>
          </w:tcPr>
          <w:p>
            <w:pPr>
              <w:rPr>
                <w:sz w:val="2"/>
                <w:szCs w:val="2"/>
              </w:rPr>
            </w:pPr>
          </w:p>
        </w:tc>
        <w:tc>
          <w:tcPr>
            <w:tcW w:w="1151" w:type="dxa"/>
            <w:vMerge/>
            <w:tcBorders>
              <w:top w:val="nil"/>
            </w:tcBorders>
            <w:shd w:val="clear" w:color="auto" w:fill="FFFFFF"/>
          </w:tcPr>
          <w:p>
            <w:pPr>
              <w:rPr>
                <w:sz w:val="2"/>
                <w:szCs w:val="2"/>
              </w:rPr>
            </w:pPr>
          </w:p>
        </w:tc>
        <w:tc>
          <w:tcPr>
            <w:tcW w:w="1151" w:type="dxa"/>
            <w:shd w:val="clear" w:color="auto" w:fill="E1E4BB"/>
          </w:tcPr>
          <w:p>
            <w:pPr>
              <w:pStyle w:val="TableParagraph"/>
              <w:spacing w:before="0"/>
              <w:rPr>
                <w:rFonts w:ascii="Times New Roman"/>
                <w:sz w:val="20"/>
              </w:rPr>
            </w:pPr>
          </w:p>
        </w:tc>
        <w:tc>
          <w:tcPr>
            <w:tcW w:w="1548" w:type="dxa"/>
            <w:vMerge/>
            <w:tcBorders>
              <w:top w:val="nil"/>
            </w:tcBorders>
            <w:shd w:val="clear" w:color="auto" w:fill="FFFFFF"/>
          </w:tcPr>
          <w:p>
            <w:pPr>
              <w:rPr>
                <w:sz w:val="2"/>
                <w:szCs w:val="2"/>
              </w:rPr>
            </w:pPr>
          </w:p>
        </w:tc>
        <w:tc>
          <w:tcPr>
            <w:tcW w:w="2172" w:type="dxa"/>
            <w:vMerge/>
            <w:tcBorders>
              <w:top w:val="nil"/>
            </w:tcBorders>
            <w:shd w:val="clear" w:color="auto" w:fill="FFFFFF"/>
          </w:tcPr>
          <w:p>
            <w:pPr>
              <w:rPr>
                <w:sz w:val="2"/>
                <w:szCs w:val="2"/>
              </w:rPr>
            </w:pPr>
          </w:p>
        </w:tc>
        <w:tc>
          <w:tcPr>
            <w:tcW w:w="2569" w:type="dxa"/>
            <w:vMerge/>
            <w:tcBorders>
              <w:top w:val="nil"/>
            </w:tcBorders>
            <w:shd w:val="clear" w:color="auto" w:fill="FFFFFF"/>
          </w:tcPr>
          <w:p>
            <w:pPr>
              <w:rPr>
                <w:sz w:val="2"/>
                <w:szCs w:val="2"/>
              </w:rPr>
            </w:pPr>
          </w:p>
        </w:tc>
      </w:tr>
      <w:tr>
        <w:trPr>
          <w:trHeight w:val="312" w:hRule="atLeast"/>
        </w:trPr>
        <w:tc>
          <w:tcPr>
            <w:tcW w:w="5556" w:type="dxa"/>
            <w:shd w:val="clear" w:color="auto" w:fill="FFFFFF"/>
          </w:tcPr>
          <w:p>
            <w:pPr>
              <w:pStyle w:val="TableParagraph"/>
              <w:spacing w:before="42"/>
              <w:ind w:left="271"/>
              <w:rPr>
                <w:sz w:val="10"/>
              </w:rPr>
            </w:pPr>
            <w:r>
              <w:rPr>
                <w:sz w:val="19"/>
              </w:rPr>
              <w:t>Administered</w:t>
            </w:r>
            <w:r>
              <w:rPr>
                <w:spacing w:val="-22"/>
                <w:sz w:val="19"/>
              </w:rPr>
              <w:t> </w:t>
            </w:r>
            <w:r>
              <w:rPr>
                <w:sz w:val="19"/>
              </w:rPr>
              <w:t>Grants,</w:t>
            </w:r>
            <w:r>
              <w:rPr>
                <w:spacing w:val="-22"/>
                <w:sz w:val="19"/>
              </w:rPr>
              <w:t> </w:t>
            </w:r>
            <w:r>
              <w:rPr>
                <w:sz w:val="19"/>
              </w:rPr>
              <w:t>Subsidies</w:t>
            </w:r>
            <w:r>
              <w:rPr>
                <w:spacing w:val="-22"/>
                <w:sz w:val="19"/>
              </w:rPr>
              <w:t> </w:t>
            </w:r>
            <w:r>
              <w:rPr>
                <w:sz w:val="19"/>
              </w:rPr>
              <w:t>and</w:t>
            </w:r>
            <w:r>
              <w:rPr>
                <w:spacing w:val="-22"/>
                <w:sz w:val="19"/>
              </w:rPr>
              <w:t> </w:t>
            </w:r>
            <w:r>
              <w:rPr>
                <w:sz w:val="19"/>
              </w:rPr>
              <w:t>Other</w:t>
            </w:r>
            <w:r>
              <w:rPr>
                <w:spacing w:val="-22"/>
                <w:sz w:val="19"/>
              </w:rPr>
              <w:t> </w:t>
            </w:r>
            <w:r>
              <w:rPr>
                <w:spacing w:val="-3"/>
                <w:sz w:val="19"/>
              </w:rPr>
              <w:t>Transfer</w:t>
            </w:r>
            <w:r>
              <w:rPr>
                <w:spacing w:val="-22"/>
                <w:sz w:val="19"/>
              </w:rPr>
              <w:t> </w:t>
            </w:r>
            <w:r>
              <w:rPr>
                <w:sz w:val="19"/>
              </w:rPr>
              <w:t>Payments</w:t>
            </w:r>
            <w:r>
              <w:rPr>
                <w:position w:val="6"/>
                <w:sz w:val="10"/>
              </w:rPr>
              <w:t>(b)</w:t>
            </w:r>
          </w:p>
        </w:tc>
        <w:tc>
          <w:tcPr>
            <w:tcW w:w="1151" w:type="dxa"/>
            <w:vMerge w:val="restart"/>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42"/>
              <w:ind w:right="111"/>
              <w:jc w:val="right"/>
              <w:rPr>
                <w:sz w:val="19"/>
              </w:rPr>
            </w:pPr>
            <w:r>
              <w:rPr>
                <w:w w:val="95"/>
                <w:sz w:val="19"/>
              </w:rPr>
              <w:t>185,070</w:t>
            </w:r>
          </w:p>
        </w:tc>
        <w:tc>
          <w:tcPr>
            <w:tcW w:w="1151" w:type="dxa"/>
            <w:shd w:val="clear" w:color="auto" w:fill="E1E4BB"/>
          </w:tcPr>
          <w:p>
            <w:pPr>
              <w:pStyle w:val="TableParagraph"/>
              <w:spacing w:before="42"/>
              <w:ind w:right="111"/>
              <w:jc w:val="right"/>
              <w:rPr>
                <w:sz w:val="19"/>
              </w:rPr>
            </w:pPr>
            <w:r>
              <w:rPr>
                <w:w w:val="95"/>
                <w:sz w:val="19"/>
              </w:rPr>
              <w:t>160,994</w:t>
            </w:r>
          </w:p>
        </w:tc>
        <w:tc>
          <w:tcPr>
            <w:tcW w:w="1548" w:type="dxa"/>
            <w:shd w:val="clear" w:color="auto" w:fill="FFFFFF"/>
          </w:tcPr>
          <w:p>
            <w:pPr>
              <w:pStyle w:val="TableParagraph"/>
              <w:spacing w:before="42"/>
              <w:ind w:right="112"/>
              <w:jc w:val="right"/>
              <w:rPr>
                <w:sz w:val="19"/>
              </w:rPr>
            </w:pPr>
            <w:r>
              <w:rPr>
                <w:w w:val="95"/>
                <w:sz w:val="19"/>
              </w:rPr>
              <w:t>164,281</w:t>
            </w:r>
          </w:p>
        </w:tc>
        <w:tc>
          <w:tcPr>
            <w:tcW w:w="2172" w:type="dxa"/>
            <w:shd w:val="clear" w:color="auto" w:fill="FFFFFF"/>
          </w:tcPr>
          <w:p>
            <w:pPr>
              <w:pStyle w:val="TableParagraph"/>
              <w:spacing w:before="42"/>
              <w:ind w:right="112"/>
              <w:jc w:val="right"/>
              <w:rPr>
                <w:sz w:val="19"/>
              </w:rPr>
            </w:pPr>
            <w:r>
              <w:rPr>
                <w:w w:val="95"/>
                <w:sz w:val="19"/>
              </w:rPr>
              <w:t>(24,076)</w:t>
            </w:r>
          </w:p>
        </w:tc>
        <w:tc>
          <w:tcPr>
            <w:tcW w:w="2569" w:type="dxa"/>
            <w:shd w:val="clear" w:color="auto" w:fill="FFFFFF"/>
          </w:tcPr>
          <w:p>
            <w:pPr>
              <w:pStyle w:val="TableParagraph"/>
              <w:spacing w:before="42"/>
              <w:ind w:right="113"/>
              <w:jc w:val="right"/>
              <w:rPr>
                <w:sz w:val="19"/>
              </w:rPr>
            </w:pPr>
            <w:r>
              <w:rPr>
                <w:w w:val="90"/>
                <w:sz w:val="19"/>
              </w:rPr>
              <w:t>(3,287)</w:t>
            </w:r>
          </w:p>
        </w:tc>
      </w:tr>
      <w:tr>
        <w:trPr>
          <w:trHeight w:val="341" w:hRule="atLeast"/>
        </w:trPr>
        <w:tc>
          <w:tcPr>
            <w:tcW w:w="5556" w:type="dxa"/>
            <w:shd w:val="clear" w:color="auto" w:fill="FFFFFF"/>
          </w:tcPr>
          <w:p>
            <w:pPr>
              <w:pStyle w:val="TableParagraph"/>
              <w:spacing w:before="57"/>
              <w:ind w:left="271"/>
              <w:rPr>
                <w:sz w:val="19"/>
              </w:rPr>
            </w:pPr>
            <w:r>
              <w:rPr>
                <w:sz w:val="19"/>
              </w:rPr>
              <w:t>First Home Owners Scheme</w:t>
            </w:r>
          </w:p>
        </w:tc>
        <w:tc>
          <w:tcPr>
            <w:tcW w:w="1151" w:type="dxa"/>
            <w:vMerge/>
            <w:tcBorders>
              <w:top w:val="nil"/>
            </w:tcBorders>
            <w:shd w:val="clear" w:color="auto" w:fill="FFFFFF"/>
          </w:tcPr>
          <w:p>
            <w:pPr>
              <w:rPr>
                <w:sz w:val="2"/>
                <w:szCs w:val="2"/>
              </w:rPr>
            </w:pPr>
          </w:p>
        </w:tc>
        <w:tc>
          <w:tcPr>
            <w:tcW w:w="1151" w:type="dxa"/>
            <w:shd w:val="clear" w:color="auto" w:fill="FFFFFF"/>
          </w:tcPr>
          <w:p>
            <w:pPr>
              <w:pStyle w:val="TableParagraph"/>
              <w:spacing w:before="57"/>
              <w:ind w:right="111"/>
              <w:jc w:val="right"/>
              <w:rPr>
                <w:sz w:val="19"/>
              </w:rPr>
            </w:pPr>
            <w:r>
              <w:rPr>
                <w:w w:val="95"/>
                <w:sz w:val="19"/>
              </w:rPr>
              <w:t>74,612</w:t>
            </w:r>
          </w:p>
        </w:tc>
        <w:tc>
          <w:tcPr>
            <w:tcW w:w="1151" w:type="dxa"/>
            <w:shd w:val="clear" w:color="auto" w:fill="E1E4BB"/>
          </w:tcPr>
          <w:p>
            <w:pPr>
              <w:pStyle w:val="TableParagraph"/>
              <w:spacing w:before="57"/>
              <w:ind w:right="111"/>
              <w:jc w:val="right"/>
              <w:rPr>
                <w:sz w:val="19"/>
              </w:rPr>
            </w:pPr>
            <w:r>
              <w:rPr>
                <w:w w:val="95"/>
                <w:sz w:val="19"/>
              </w:rPr>
              <w:t>91,171</w:t>
            </w:r>
          </w:p>
        </w:tc>
        <w:tc>
          <w:tcPr>
            <w:tcW w:w="1548" w:type="dxa"/>
            <w:shd w:val="clear" w:color="auto" w:fill="FFFFFF"/>
          </w:tcPr>
          <w:p>
            <w:pPr>
              <w:pStyle w:val="TableParagraph"/>
              <w:spacing w:before="57"/>
              <w:ind w:right="112"/>
              <w:jc w:val="right"/>
              <w:rPr>
                <w:sz w:val="19"/>
              </w:rPr>
            </w:pPr>
            <w:r>
              <w:rPr>
                <w:w w:val="95"/>
                <w:sz w:val="19"/>
              </w:rPr>
              <w:t>72,765</w:t>
            </w:r>
          </w:p>
        </w:tc>
        <w:tc>
          <w:tcPr>
            <w:tcW w:w="2172" w:type="dxa"/>
            <w:shd w:val="clear" w:color="auto" w:fill="FFFFFF"/>
          </w:tcPr>
          <w:p>
            <w:pPr>
              <w:pStyle w:val="TableParagraph"/>
              <w:spacing w:before="57"/>
              <w:ind w:right="112"/>
              <w:jc w:val="right"/>
              <w:rPr>
                <w:sz w:val="19"/>
              </w:rPr>
            </w:pPr>
            <w:r>
              <w:rPr>
                <w:w w:val="95"/>
                <w:sz w:val="19"/>
              </w:rPr>
              <w:t>16,559</w:t>
            </w:r>
          </w:p>
        </w:tc>
        <w:tc>
          <w:tcPr>
            <w:tcW w:w="2569" w:type="dxa"/>
            <w:shd w:val="clear" w:color="auto" w:fill="FFFFFF"/>
          </w:tcPr>
          <w:p>
            <w:pPr>
              <w:pStyle w:val="TableParagraph"/>
              <w:spacing w:before="57"/>
              <w:ind w:right="113"/>
              <w:jc w:val="right"/>
              <w:rPr>
                <w:sz w:val="19"/>
              </w:rPr>
            </w:pPr>
            <w:r>
              <w:rPr>
                <w:w w:val="95"/>
                <w:sz w:val="19"/>
              </w:rPr>
              <w:t>18,406</w:t>
            </w:r>
          </w:p>
        </w:tc>
      </w:tr>
      <w:tr>
        <w:trPr>
          <w:trHeight w:val="312" w:hRule="atLeast"/>
        </w:trPr>
        <w:tc>
          <w:tcPr>
            <w:tcW w:w="5556" w:type="dxa"/>
            <w:shd w:val="clear" w:color="auto" w:fill="FFFFFF"/>
          </w:tcPr>
          <w:p>
            <w:pPr>
              <w:pStyle w:val="TableParagraph"/>
              <w:spacing w:before="42"/>
              <w:ind w:left="113"/>
              <w:rPr>
                <w:sz w:val="19"/>
              </w:rPr>
            </w:pPr>
            <w:r>
              <w:rPr>
                <w:sz w:val="19"/>
              </w:rPr>
              <w:t>Other expenses</w:t>
            </w:r>
          </w:p>
        </w:tc>
        <w:tc>
          <w:tcPr>
            <w:tcW w:w="1151" w:type="dxa"/>
            <w:vMerge w:val="restart"/>
            <w:shd w:val="clear" w:color="auto" w:fill="FFFFFF"/>
          </w:tcPr>
          <w:p>
            <w:pPr>
              <w:pStyle w:val="TableParagraph"/>
              <w:spacing w:before="0"/>
              <w:rPr>
                <w:rFonts w:ascii="Times New Roman"/>
                <w:sz w:val="20"/>
              </w:rPr>
            </w:pPr>
          </w:p>
        </w:tc>
        <w:tc>
          <w:tcPr>
            <w:tcW w:w="1151" w:type="dxa"/>
            <w:shd w:val="clear" w:color="auto" w:fill="FFFFFF"/>
          </w:tcPr>
          <w:p>
            <w:pPr>
              <w:pStyle w:val="TableParagraph"/>
              <w:spacing w:before="42"/>
              <w:ind w:right="111"/>
              <w:jc w:val="right"/>
              <w:rPr>
                <w:sz w:val="19"/>
              </w:rPr>
            </w:pPr>
            <w:r>
              <w:rPr>
                <w:w w:val="95"/>
                <w:sz w:val="19"/>
              </w:rPr>
              <w:t>6,780,798</w:t>
            </w:r>
          </w:p>
        </w:tc>
        <w:tc>
          <w:tcPr>
            <w:tcW w:w="1151" w:type="dxa"/>
            <w:shd w:val="clear" w:color="auto" w:fill="E1E4BB"/>
          </w:tcPr>
          <w:p>
            <w:pPr>
              <w:pStyle w:val="TableParagraph"/>
              <w:spacing w:before="42"/>
              <w:ind w:right="111"/>
              <w:jc w:val="right"/>
              <w:rPr>
                <w:sz w:val="19"/>
              </w:rPr>
            </w:pPr>
            <w:r>
              <w:rPr>
                <w:w w:val="95"/>
                <w:sz w:val="19"/>
              </w:rPr>
              <w:t>6,743,647</w:t>
            </w:r>
          </w:p>
        </w:tc>
        <w:tc>
          <w:tcPr>
            <w:tcW w:w="1548" w:type="dxa"/>
            <w:shd w:val="clear" w:color="auto" w:fill="FFFFFF"/>
          </w:tcPr>
          <w:p>
            <w:pPr>
              <w:pStyle w:val="TableParagraph"/>
              <w:spacing w:before="42"/>
              <w:ind w:right="112"/>
              <w:jc w:val="right"/>
              <w:rPr>
                <w:sz w:val="19"/>
              </w:rPr>
            </w:pPr>
            <w:r>
              <w:rPr>
                <w:w w:val="95"/>
                <w:sz w:val="19"/>
              </w:rPr>
              <w:t>6,712,652</w:t>
            </w:r>
          </w:p>
        </w:tc>
        <w:tc>
          <w:tcPr>
            <w:tcW w:w="2172" w:type="dxa"/>
            <w:shd w:val="clear" w:color="auto" w:fill="FFFFFF"/>
          </w:tcPr>
          <w:p>
            <w:pPr>
              <w:pStyle w:val="TableParagraph"/>
              <w:spacing w:before="42"/>
              <w:ind w:right="112"/>
              <w:jc w:val="right"/>
              <w:rPr>
                <w:sz w:val="19"/>
              </w:rPr>
            </w:pPr>
            <w:r>
              <w:rPr>
                <w:w w:val="95"/>
                <w:sz w:val="19"/>
              </w:rPr>
              <w:t>(37,151)</w:t>
            </w:r>
          </w:p>
        </w:tc>
        <w:tc>
          <w:tcPr>
            <w:tcW w:w="2569" w:type="dxa"/>
            <w:shd w:val="clear" w:color="auto" w:fill="FFFFFF"/>
          </w:tcPr>
          <w:p>
            <w:pPr>
              <w:pStyle w:val="TableParagraph"/>
              <w:spacing w:before="42"/>
              <w:ind w:right="113"/>
              <w:jc w:val="right"/>
              <w:rPr>
                <w:sz w:val="19"/>
              </w:rPr>
            </w:pPr>
            <w:r>
              <w:rPr>
                <w:w w:val="95"/>
                <w:sz w:val="19"/>
              </w:rPr>
              <w:t>30,995</w:t>
            </w:r>
          </w:p>
        </w:tc>
      </w:tr>
      <w:tr>
        <w:trPr>
          <w:trHeight w:val="331" w:hRule="atLeast"/>
        </w:trPr>
        <w:tc>
          <w:tcPr>
            <w:tcW w:w="5556" w:type="dxa"/>
            <w:shd w:val="clear" w:color="auto" w:fill="FFFFFF"/>
          </w:tcPr>
          <w:p>
            <w:pPr>
              <w:pStyle w:val="TableParagraph"/>
              <w:spacing w:before="57"/>
              <w:ind w:left="113"/>
              <w:rPr>
                <w:sz w:val="19"/>
              </w:rPr>
            </w:pPr>
            <w:r>
              <w:rPr>
                <w:sz w:val="19"/>
              </w:rPr>
              <w:t>Collections transferred to other agencies</w:t>
            </w:r>
          </w:p>
        </w:tc>
        <w:tc>
          <w:tcPr>
            <w:tcW w:w="1151" w:type="dxa"/>
            <w:vMerge/>
            <w:tcBorders>
              <w:top w:val="nil"/>
            </w:tcBorders>
            <w:shd w:val="clear" w:color="auto" w:fill="FFFFFF"/>
          </w:tcPr>
          <w:p>
            <w:pPr>
              <w:rPr>
                <w:sz w:val="2"/>
                <w:szCs w:val="2"/>
              </w:rPr>
            </w:pPr>
          </w:p>
        </w:tc>
        <w:tc>
          <w:tcPr>
            <w:tcW w:w="1151" w:type="dxa"/>
            <w:tcBorders>
              <w:bottom w:val="single" w:sz="4" w:space="0" w:color="000000"/>
            </w:tcBorders>
            <w:shd w:val="clear" w:color="auto" w:fill="FFFFFF"/>
          </w:tcPr>
          <w:p>
            <w:pPr>
              <w:pStyle w:val="TableParagraph"/>
              <w:spacing w:before="57"/>
              <w:ind w:right="111"/>
              <w:jc w:val="right"/>
              <w:rPr>
                <w:sz w:val="19"/>
              </w:rPr>
            </w:pPr>
            <w:r>
              <w:rPr>
                <w:w w:val="95"/>
                <w:sz w:val="19"/>
              </w:rPr>
              <w:t>64,136</w:t>
            </w:r>
          </w:p>
        </w:tc>
        <w:tc>
          <w:tcPr>
            <w:tcW w:w="1151" w:type="dxa"/>
            <w:tcBorders>
              <w:bottom w:val="single" w:sz="4" w:space="0" w:color="000000"/>
            </w:tcBorders>
            <w:shd w:val="clear" w:color="auto" w:fill="E1E4BB"/>
          </w:tcPr>
          <w:p>
            <w:pPr>
              <w:pStyle w:val="TableParagraph"/>
              <w:spacing w:before="57"/>
              <w:ind w:right="111"/>
              <w:jc w:val="right"/>
              <w:rPr>
                <w:sz w:val="19"/>
              </w:rPr>
            </w:pPr>
            <w:r>
              <w:rPr>
                <w:w w:val="95"/>
                <w:sz w:val="19"/>
              </w:rPr>
              <w:t>64,035</w:t>
            </w:r>
          </w:p>
        </w:tc>
        <w:tc>
          <w:tcPr>
            <w:tcW w:w="1548" w:type="dxa"/>
            <w:tcBorders>
              <w:bottom w:val="single" w:sz="4" w:space="0" w:color="000000"/>
            </w:tcBorders>
            <w:shd w:val="clear" w:color="auto" w:fill="FFFFFF"/>
          </w:tcPr>
          <w:p>
            <w:pPr>
              <w:pStyle w:val="TableParagraph"/>
              <w:spacing w:before="57"/>
              <w:ind w:right="112"/>
              <w:jc w:val="right"/>
              <w:rPr>
                <w:sz w:val="19"/>
              </w:rPr>
            </w:pPr>
            <w:r>
              <w:rPr>
                <w:w w:val="95"/>
                <w:sz w:val="19"/>
              </w:rPr>
              <w:t>63,549</w:t>
            </w:r>
          </w:p>
        </w:tc>
        <w:tc>
          <w:tcPr>
            <w:tcW w:w="2172" w:type="dxa"/>
            <w:tcBorders>
              <w:bottom w:val="single" w:sz="4" w:space="0" w:color="000000"/>
            </w:tcBorders>
            <w:shd w:val="clear" w:color="auto" w:fill="FFFFFF"/>
          </w:tcPr>
          <w:p>
            <w:pPr>
              <w:pStyle w:val="TableParagraph"/>
              <w:spacing w:before="57"/>
              <w:ind w:right="112"/>
              <w:jc w:val="right"/>
              <w:rPr>
                <w:sz w:val="19"/>
              </w:rPr>
            </w:pPr>
            <w:r>
              <w:rPr>
                <w:w w:val="90"/>
                <w:sz w:val="19"/>
              </w:rPr>
              <w:t>(101)</w:t>
            </w:r>
          </w:p>
        </w:tc>
        <w:tc>
          <w:tcPr>
            <w:tcW w:w="2569" w:type="dxa"/>
            <w:tcBorders>
              <w:bottom w:val="single" w:sz="4" w:space="0" w:color="000000"/>
            </w:tcBorders>
            <w:shd w:val="clear" w:color="auto" w:fill="FFFFFF"/>
          </w:tcPr>
          <w:p>
            <w:pPr>
              <w:pStyle w:val="TableParagraph"/>
              <w:spacing w:before="57"/>
              <w:ind w:right="113"/>
              <w:jc w:val="right"/>
              <w:rPr>
                <w:sz w:val="19"/>
              </w:rPr>
            </w:pPr>
            <w:r>
              <w:rPr>
                <w:w w:val="95"/>
                <w:sz w:val="19"/>
              </w:rPr>
              <w:t>486</w:t>
            </w:r>
          </w:p>
        </w:tc>
      </w:tr>
      <w:tr>
        <w:trPr>
          <w:trHeight w:val="287" w:hRule="atLeast"/>
        </w:trPr>
        <w:tc>
          <w:tcPr>
            <w:tcW w:w="555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Administered Expenses</w:t>
            </w:r>
          </w:p>
        </w:tc>
        <w:tc>
          <w:tcPr>
            <w:tcW w:w="11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51" w:type="dxa"/>
            <w:tcBorders>
              <w:top w:val="single" w:sz="4" w:space="0" w:color="000000"/>
              <w:left w:val="single" w:sz="8" w:space="0" w:color="FFFFFF"/>
              <w:bottom w:val="single" w:sz="24" w:space="0" w:color="FFFFFF"/>
            </w:tcBorders>
            <w:shd w:val="clear" w:color="auto" w:fill="F4F4F4"/>
          </w:tcPr>
          <w:p>
            <w:pPr>
              <w:pStyle w:val="TableParagraph"/>
              <w:ind w:right="111"/>
              <w:jc w:val="right"/>
              <w:rPr>
                <w:b/>
                <w:sz w:val="19"/>
              </w:rPr>
            </w:pPr>
            <w:r>
              <w:rPr>
                <w:b/>
                <w:w w:val="95"/>
                <w:sz w:val="19"/>
              </w:rPr>
              <w:t>7,104,616</w:t>
            </w:r>
          </w:p>
        </w:tc>
        <w:tc>
          <w:tcPr>
            <w:tcW w:w="1151" w:type="dxa"/>
            <w:tcBorders>
              <w:top w:val="single" w:sz="4" w:space="0" w:color="000000"/>
              <w:bottom w:val="single" w:sz="24" w:space="0" w:color="FFFFFF"/>
            </w:tcBorders>
            <w:shd w:val="clear" w:color="auto" w:fill="DFE1B8"/>
          </w:tcPr>
          <w:p>
            <w:pPr>
              <w:pStyle w:val="TableParagraph"/>
              <w:ind w:right="111"/>
              <w:jc w:val="right"/>
              <w:rPr>
                <w:b/>
                <w:sz w:val="19"/>
              </w:rPr>
            </w:pPr>
            <w:r>
              <w:rPr>
                <w:b/>
                <w:w w:val="95"/>
                <w:sz w:val="19"/>
              </w:rPr>
              <w:t>7,059,847</w:t>
            </w:r>
          </w:p>
        </w:tc>
        <w:tc>
          <w:tcPr>
            <w:tcW w:w="1548" w:type="dxa"/>
            <w:tcBorders>
              <w:top w:val="single" w:sz="4" w:space="0" w:color="000000"/>
              <w:bottom w:val="single" w:sz="24" w:space="0" w:color="FFFFFF"/>
              <w:right w:val="single" w:sz="8" w:space="0" w:color="FFFFFF"/>
            </w:tcBorders>
            <w:shd w:val="clear" w:color="auto" w:fill="F4F4F4"/>
          </w:tcPr>
          <w:p>
            <w:pPr>
              <w:pStyle w:val="TableParagraph"/>
              <w:ind w:right="102"/>
              <w:jc w:val="right"/>
              <w:rPr>
                <w:b/>
                <w:sz w:val="19"/>
              </w:rPr>
            </w:pPr>
            <w:r>
              <w:rPr>
                <w:b/>
                <w:w w:val="95"/>
                <w:sz w:val="19"/>
              </w:rPr>
              <w:t>7,013,247</w:t>
            </w:r>
          </w:p>
        </w:tc>
        <w:tc>
          <w:tcPr>
            <w:tcW w:w="2172"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ind w:right="102"/>
              <w:jc w:val="right"/>
              <w:rPr>
                <w:b/>
                <w:sz w:val="19"/>
              </w:rPr>
            </w:pPr>
            <w:r>
              <w:rPr>
                <w:b/>
                <w:w w:val="95"/>
                <w:sz w:val="19"/>
              </w:rPr>
              <w:t>(44,769)</w:t>
            </w:r>
          </w:p>
        </w:tc>
        <w:tc>
          <w:tcPr>
            <w:tcW w:w="2569" w:type="dxa"/>
            <w:tcBorders>
              <w:top w:val="single" w:sz="4" w:space="0" w:color="000000"/>
              <w:left w:val="single" w:sz="8" w:space="0" w:color="FFFFFF"/>
              <w:bottom w:val="single" w:sz="24" w:space="0" w:color="FFFFFF"/>
            </w:tcBorders>
            <w:shd w:val="clear" w:color="auto" w:fill="F4F4F4"/>
          </w:tcPr>
          <w:p>
            <w:pPr>
              <w:pStyle w:val="TableParagraph"/>
              <w:ind w:right="113"/>
              <w:jc w:val="right"/>
              <w:rPr>
                <w:b/>
                <w:sz w:val="19"/>
              </w:rPr>
            </w:pPr>
            <w:r>
              <w:rPr>
                <w:b/>
                <w:w w:val="95"/>
                <w:sz w:val="19"/>
              </w:rPr>
              <w:t>46,600</w:t>
            </w:r>
          </w:p>
        </w:tc>
      </w:tr>
    </w:tbl>
    <w:p>
      <w:pPr>
        <w:pStyle w:val="BodyText"/>
        <w:spacing w:line="20" w:lineRule="exact"/>
        <w:ind w:left="9788"/>
        <w:rPr>
          <w:sz w:val="2"/>
        </w:rPr>
      </w:pPr>
      <w:r>
        <w:rPr>
          <w:sz w:val="2"/>
        </w:rPr>
        <w:pict>
          <v:group style="width:314.4pt;height:.550pt;mso-position-horizontal-relative:char;mso-position-vertical-relative:line" coordorigin="0,0" coordsize="6288,11">
            <v:line style="position:absolute" from="0,5" to="1548,5" stroked="true" strokeweight=".501pt" strokecolor="#000000">
              <v:stroke dashstyle="solid"/>
            </v:line>
            <v:line style="position:absolute" from="1548,5" to="3719,5" stroked="true" strokeweight=".501pt" strokecolor="#000000">
              <v:stroke dashstyle="solid"/>
            </v:line>
            <v:line style="position:absolute" from="3719,5" to="6287,5" stroked="true" strokeweight=".501pt" strokecolor="#000000">
              <v:stroke dashstyle="solid"/>
            </v:line>
          </v:group>
        </w:pict>
      </w:r>
      <w:r>
        <w:rPr>
          <w:sz w:val="2"/>
        </w:rPr>
      </w:r>
    </w:p>
    <w:p>
      <w:pPr>
        <w:pStyle w:val="ListParagraph"/>
        <w:numPr>
          <w:ilvl w:val="0"/>
          <w:numId w:val="24"/>
        </w:numPr>
        <w:tabs>
          <w:tab w:pos="978" w:val="left" w:leader="none"/>
        </w:tabs>
        <w:spacing w:line="240" w:lineRule="auto" w:before="184" w:after="0"/>
        <w:ind w:left="977" w:right="0" w:hanging="192"/>
        <w:jc w:val="left"/>
        <w:rPr>
          <w:sz w:val="15"/>
        </w:rPr>
      </w:pPr>
      <w:r>
        <w:rPr>
          <w:sz w:val="15"/>
        </w:rPr>
        <w:t>Other</w:t>
      </w:r>
      <w:r>
        <w:rPr>
          <w:spacing w:val="-3"/>
          <w:sz w:val="15"/>
        </w:rPr>
        <w:t> </w:t>
      </w:r>
      <w:r>
        <w:rPr>
          <w:sz w:val="15"/>
        </w:rPr>
        <w:t>income</w:t>
      </w:r>
      <w:r>
        <w:rPr>
          <w:spacing w:val="-3"/>
          <w:sz w:val="15"/>
        </w:rPr>
        <w:t> </w:t>
      </w:r>
      <w:r>
        <w:rPr>
          <w:sz w:val="15"/>
        </w:rPr>
        <w:t>includes</w:t>
      </w:r>
      <w:r>
        <w:rPr>
          <w:spacing w:val="-3"/>
          <w:sz w:val="15"/>
        </w:rPr>
        <w:t> </w:t>
      </w:r>
      <w:r>
        <w:rPr>
          <w:sz w:val="15"/>
        </w:rPr>
        <w:t>Metropolitan</w:t>
      </w:r>
      <w:r>
        <w:rPr>
          <w:spacing w:val="-3"/>
          <w:sz w:val="15"/>
        </w:rPr>
        <w:t> </w:t>
      </w:r>
      <w:r>
        <w:rPr>
          <w:sz w:val="15"/>
        </w:rPr>
        <w:t>Region</w:t>
      </w:r>
      <w:r>
        <w:rPr>
          <w:spacing w:val="-3"/>
          <w:sz w:val="15"/>
        </w:rPr>
        <w:t> </w:t>
      </w:r>
      <w:r>
        <w:rPr>
          <w:sz w:val="15"/>
        </w:rPr>
        <w:t>Improvement</w:t>
      </w:r>
      <w:r>
        <w:rPr>
          <w:spacing w:val="-3"/>
          <w:sz w:val="15"/>
        </w:rPr>
        <w:t> </w:t>
      </w:r>
      <w:r>
        <w:rPr>
          <w:spacing w:val="-5"/>
          <w:sz w:val="15"/>
        </w:rPr>
        <w:t>Tax,</w:t>
      </w:r>
      <w:r>
        <w:rPr>
          <w:spacing w:val="-3"/>
          <w:sz w:val="15"/>
        </w:rPr>
        <w:t> </w:t>
      </w:r>
      <w:r>
        <w:rPr>
          <w:sz w:val="15"/>
        </w:rPr>
        <w:t>Racing</w:t>
      </w:r>
      <w:r>
        <w:rPr>
          <w:spacing w:val="-3"/>
          <w:sz w:val="15"/>
        </w:rPr>
        <w:t> </w:t>
      </w:r>
      <w:r>
        <w:rPr>
          <w:sz w:val="15"/>
        </w:rPr>
        <w:t>and</w:t>
      </w:r>
      <w:r>
        <w:rPr>
          <w:spacing w:val="-3"/>
          <w:sz w:val="15"/>
        </w:rPr>
        <w:t> </w:t>
      </w:r>
      <w:r>
        <w:rPr>
          <w:sz w:val="15"/>
        </w:rPr>
        <w:t>Wagering</w:t>
      </w:r>
      <w:r>
        <w:rPr>
          <w:spacing w:val="-3"/>
          <w:sz w:val="15"/>
        </w:rPr>
        <w:t> </w:t>
      </w:r>
      <w:r>
        <w:rPr>
          <w:sz w:val="15"/>
        </w:rPr>
        <w:t>Western</w:t>
      </w:r>
      <w:r>
        <w:rPr>
          <w:spacing w:val="-3"/>
          <w:sz w:val="15"/>
        </w:rPr>
        <w:t> </w:t>
      </w:r>
      <w:r>
        <w:rPr>
          <w:sz w:val="15"/>
        </w:rPr>
        <w:t>Australia</w:t>
      </w:r>
      <w:r>
        <w:rPr>
          <w:spacing w:val="-3"/>
          <w:sz w:val="15"/>
        </w:rPr>
        <w:t> </w:t>
      </w:r>
      <w:r>
        <w:rPr>
          <w:spacing w:val="-5"/>
          <w:sz w:val="15"/>
        </w:rPr>
        <w:t>Tax,</w:t>
      </w:r>
      <w:r>
        <w:rPr>
          <w:spacing w:val="-2"/>
          <w:sz w:val="15"/>
        </w:rPr>
        <w:t> </w:t>
      </w:r>
      <w:r>
        <w:rPr>
          <w:sz w:val="15"/>
        </w:rPr>
        <w:t>Landholder</w:t>
      </w:r>
      <w:r>
        <w:rPr>
          <w:spacing w:val="-3"/>
          <w:sz w:val="15"/>
        </w:rPr>
        <w:t> Duty, </w:t>
      </w:r>
      <w:r>
        <w:rPr>
          <w:sz w:val="15"/>
        </w:rPr>
        <w:t>Other</w:t>
      </w:r>
      <w:r>
        <w:rPr>
          <w:spacing w:val="-3"/>
          <w:sz w:val="15"/>
        </w:rPr>
        <w:t> </w:t>
      </w:r>
      <w:r>
        <w:rPr>
          <w:sz w:val="15"/>
        </w:rPr>
        <w:t>Duties</w:t>
      </w:r>
      <w:r>
        <w:rPr>
          <w:spacing w:val="-3"/>
          <w:sz w:val="15"/>
        </w:rPr>
        <w:t> </w:t>
      </w:r>
      <w:r>
        <w:rPr>
          <w:sz w:val="15"/>
        </w:rPr>
        <w:t>and</w:t>
      </w:r>
      <w:r>
        <w:rPr>
          <w:spacing w:val="-3"/>
          <w:sz w:val="15"/>
        </w:rPr>
        <w:t> </w:t>
      </w:r>
      <w:r>
        <w:rPr>
          <w:sz w:val="15"/>
        </w:rPr>
        <w:t>Commonwealth</w:t>
      </w:r>
      <w:r>
        <w:rPr>
          <w:spacing w:val="-3"/>
          <w:sz w:val="15"/>
        </w:rPr>
        <w:t> </w:t>
      </w:r>
      <w:r>
        <w:rPr>
          <w:sz w:val="15"/>
        </w:rPr>
        <w:t>Mirror</w:t>
      </w:r>
      <w:r>
        <w:rPr>
          <w:spacing w:val="-3"/>
          <w:sz w:val="15"/>
        </w:rPr>
        <w:t> Taxes.</w:t>
      </w:r>
    </w:p>
    <w:p>
      <w:pPr>
        <w:pStyle w:val="ListParagraph"/>
        <w:numPr>
          <w:ilvl w:val="0"/>
          <w:numId w:val="24"/>
        </w:numPr>
        <w:tabs>
          <w:tab w:pos="986" w:val="left" w:leader="none"/>
        </w:tabs>
        <w:spacing w:line="278" w:lineRule="auto" w:before="28" w:after="0"/>
        <w:ind w:left="785" w:right="879" w:firstLine="0"/>
        <w:jc w:val="left"/>
        <w:rPr>
          <w:sz w:val="15"/>
        </w:rPr>
      </w:pPr>
      <w:r>
        <w:rPr>
          <w:sz w:val="15"/>
        </w:rPr>
        <w:t>Subsidies</w:t>
      </w:r>
      <w:r>
        <w:rPr>
          <w:spacing w:val="-17"/>
          <w:sz w:val="15"/>
        </w:rPr>
        <w:t> </w:t>
      </w:r>
      <w:r>
        <w:rPr>
          <w:sz w:val="15"/>
        </w:rPr>
        <w:t>and</w:t>
      </w:r>
      <w:r>
        <w:rPr>
          <w:spacing w:val="-16"/>
          <w:sz w:val="15"/>
        </w:rPr>
        <w:t> </w:t>
      </w:r>
      <w:r>
        <w:rPr>
          <w:sz w:val="15"/>
        </w:rPr>
        <w:t>Other</w:t>
      </w:r>
      <w:r>
        <w:rPr>
          <w:spacing w:val="-16"/>
          <w:sz w:val="15"/>
        </w:rPr>
        <w:t> </w:t>
      </w:r>
      <w:r>
        <w:rPr>
          <w:sz w:val="15"/>
        </w:rPr>
        <w:t>Transfer</w:t>
      </w:r>
      <w:r>
        <w:rPr>
          <w:spacing w:val="-16"/>
          <w:sz w:val="15"/>
        </w:rPr>
        <w:t> </w:t>
      </w:r>
      <w:r>
        <w:rPr>
          <w:sz w:val="15"/>
        </w:rPr>
        <w:t>Payments</w:t>
      </w:r>
      <w:r>
        <w:rPr>
          <w:spacing w:val="-16"/>
          <w:sz w:val="15"/>
        </w:rPr>
        <w:t> </w:t>
      </w:r>
      <w:r>
        <w:rPr>
          <w:sz w:val="15"/>
        </w:rPr>
        <w:t>includes</w:t>
      </w:r>
      <w:r>
        <w:rPr>
          <w:spacing w:val="-16"/>
          <w:sz w:val="15"/>
        </w:rPr>
        <w:t> </w:t>
      </w:r>
      <w:r>
        <w:rPr>
          <w:sz w:val="15"/>
        </w:rPr>
        <w:t>Pensioner</w:t>
      </w:r>
      <w:r>
        <w:rPr>
          <w:spacing w:val="-16"/>
          <w:sz w:val="15"/>
        </w:rPr>
        <w:t> </w:t>
      </w:r>
      <w:r>
        <w:rPr>
          <w:sz w:val="15"/>
        </w:rPr>
        <w:t>concessions</w:t>
      </w:r>
      <w:r>
        <w:rPr>
          <w:spacing w:val="-16"/>
          <w:sz w:val="15"/>
        </w:rPr>
        <w:t> </w:t>
      </w:r>
      <w:r>
        <w:rPr>
          <w:sz w:val="15"/>
        </w:rPr>
        <w:t>for</w:t>
      </w:r>
      <w:r>
        <w:rPr>
          <w:spacing w:val="-16"/>
          <w:sz w:val="15"/>
        </w:rPr>
        <w:t> </w:t>
      </w:r>
      <w:r>
        <w:rPr>
          <w:sz w:val="15"/>
        </w:rPr>
        <w:t>Local</w:t>
      </w:r>
      <w:r>
        <w:rPr>
          <w:spacing w:val="-16"/>
          <w:sz w:val="15"/>
        </w:rPr>
        <w:t> </w:t>
      </w:r>
      <w:r>
        <w:rPr>
          <w:sz w:val="15"/>
        </w:rPr>
        <w:t>Government</w:t>
      </w:r>
      <w:r>
        <w:rPr>
          <w:spacing w:val="-16"/>
          <w:sz w:val="15"/>
        </w:rPr>
        <w:t> </w:t>
      </w:r>
      <w:r>
        <w:rPr>
          <w:sz w:val="15"/>
        </w:rPr>
        <w:t>and</w:t>
      </w:r>
      <w:r>
        <w:rPr>
          <w:spacing w:val="-16"/>
          <w:sz w:val="15"/>
        </w:rPr>
        <w:t> </w:t>
      </w:r>
      <w:r>
        <w:rPr>
          <w:sz w:val="15"/>
        </w:rPr>
        <w:t>Water</w:t>
      </w:r>
      <w:r>
        <w:rPr>
          <w:spacing w:val="-16"/>
          <w:sz w:val="15"/>
        </w:rPr>
        <w:t> </w:t>
      </w:r>
      <w:r>
        <w:rPr>
          <w:sz w:val="15"/>
        </w:rPr>
        <w:t>rates</w:t>
      </w:r>
      <w:r>
        <w:rPr>
          <w:spacing w:val="-16"/>
          <w:sz w:val="15"/>
        </w:rPr>
        <w:t> </w:t>
      </w:r>
      <w:r>
        <w:rPr>
          <w:sz w:val="15"/>
        </w:rPr>
        <w:t>and</w:t>
      </w:r>
      <w:r>
        <w:rPr>
          <w:spacing w:val="-16"/>
          <w:sz w:val="15"/>
        </w:rPr>
        <w:t> </w:t>
      </w:r>
      <w:r>
        <w:rPr>
          <w:sz w:val="15"/>
        </w:rPr>
        <w:t>Refund</w:t>
      </w:r>
      <w:r>
        <w:rPr>
          <w:spacing w:val="-16"/>
          <w:sz w:val="15"/>
        </w:rPr>
        <w:t> </w:t>
      </w:r>
      <w:r>
        <w:rPr>
          <w:sz w:val="15"/>
        </w:rPr>
        <w:t>of</w:t>
      </w:r>
      <w:r>
        <w:rPr>
          <w:spacing w:val="-16"/>
          <w:sz w:val="15"/>
        </w:rPr>
        <w:t> </w:t>
      </w:r>
      <w:r>
        <w:rPr>
          <w:sz w:val="15"/>
        </w:rPr>
        <w:t>Past</w:t>
      </w:r>
      <w:r>
        <w:rPr>
          <w:spacing w:val="-16"/>
          <w:sz w:val="15"/>
        </w:rPr>
        <w:t> </w:t>
      </w:r>
      <w:r>
        <w:rPr>
          <w:spacing w:val="-3"/>
          <w:sz w:val="15"/>
        </w:rPr>
        <w:t>Years</w:t>
      </w:r>
      <w:r>
        <w:rPr>
          <w:spacing w:val="-16"/>
          <w:sz w:val="15"/>
        </w:rPr>
        <w:t> </w:t>
      </w:r>
      <w:r>
        <w:rPr>
          <w:sz w:val="15"/>
        </w:rPr>
        <w:t>Revenue.</w:t>
      </w:r>
      <w:r>
        <w:rPr>
          <w:spacing w:val="-16"/>
          <w:sz w:val="15"/>
        </w:rPr>
        <w:t> </w:t>
      </w:r>
      <w:r>
        <w:rPr>
          <w:sz w:val="15"/>
        </w:rPr>
        <w:t>2017</w:t>
      </w:r>
      <w:r>
        <w:rPr>
          <w:spacing w:val="-16"/>
          <w:sz w:val="15"/>
        </w:rPr>
        <w:t> </w:t>
      </w:r>
      <w:r>
        <w:rPr>
          <w:sz w:val="15"/>
        </w:rPr>
        <w:t>actuals</w:t>
      </w:r>
      <w:r>
        <w:rPr>
          <w:spacing w:val="-16"/>
          <w:sz w:val="15"/>
        </w:rPr>
        <w:t> </w:t>
      </w:r>
      <w:r>
        <w:rPr>
          <w:sz w:val="15"/>
        </w:rPr>
        <w:t>include</w:t>
      </w:r>
      <w:r>
        <w:rPr>
          <w:spacing w:val="-16"/>
          <w:sz w:val="15"/>
        </w:rPr>
        <w:t> </w:t>
      </w:r>
      <w:r>
        <w:rPr>
          <w:sz w:val="15"/>
        </w:rPr>
        <w:t>$5.5</w:t>
      </w:r>
      <w:r>
        <w:rPr>
          <w:spacing w:val="-16"/>
          <w:sz w:val="15"/>
        </w:rPr>
        <w:t> </w:t>
      </w:r>
      <w:r>
        <w:rPr>
          <w:sz w:val="15"/>
        </w:rPr>
        <w:t>million</w:t>
      </w:r>
      <w:r>
        <w:rPr>
          <w:spacing w:val="-16"/>
          <w:sz w:val="15"/>
        </w:rPr>
        <w:t> </w:t>
      </w:r>
      <w:r>
        <w:rPr>
          <w:sz w:val="15"/>
        </w:rPr>
        <w:t>under</w:t>
      </w:r>
      <w:r>
        <w:rPr>
          <w:spacing w:val="-16"/>
          <w:sz w:val="15"/>
        </w:rPr>
        <w:t> </w:t>
      </w:r>
      <w:r>
        <w:rPr>
          <w:sz w:val="15"/>
        </w:rPr>
        <w:t>the</w:t>
      </w:r>
      <w:r>
        <w:rPr>
          <w:spacing w:val="-16"/>
          <w:sz w:val="15"/>
        </w:rPr>
        <w:t> </w:t>
      </w:r>
      <w:r>
        <w:rPr>
          <w:sz w:val="15"/>
        </w:rPr>
        <w:t>First</w:t>
      </w:r>
      <w:r>
        <w:rPr>
          <w:spacing w:val="-16"/>
          <w:sz w:val="15"/>
        </w:rPr>
        <w:t> </w:t>
      </w:r>
      <w:r>
        <w:rPr>
          <w:sz w:val="15"/>
        </w:rPr>
        <w:t>Home</w:t>
      </w:r>
      <w:r>
        <w:rPr>
          <w:spacing w:val="-16"/>
          <w:sz w:val="15"/>
        </w:rPr>
        <w:t> </w:t>
      </w:r>
      <w:r>
        <w:rPr>
          <w:sz w:val="15"/>
        </w:rPr>
        <w:t>Owners</w:t>
      </w:r>
      <w:r>
        <w:rPr>
          <w:spacing w:val="-16"/>
          <w:sz w:val="15"/>
        </w:rPr>
        <w:t> </w:t>
      </w:r>
      <w:r>
        <w:rPr>
          <w:sz w:val="15"/>
        </w:rPr>
        <w:t>Grant</w:t>
      </w:r>
      <w:r>
        <w:rPr>
          <w:spacing w:val="-16"/>
          <w:sz w:val="15"/>
        </w:rPr>
        <w:t> </w:t>
      </w:r>
      <w:r>
        <w:rPr>
          <w:sz w:val="15"/>
        </w:rPr>
        <w:t>Boost</w:t>
      </w:r>
      <w:r>
        <w:rPr>
          <w:spacing w:val="-16"/>
          <w:sz w:val="15"/>
        </w:rPr>
        <w:t> </w:t>
      </w:r>
      <w:r>
        <w:rPr>
          <w:spacing w:val="-3"/>
          <w:sz w:val="15"/>
        </w:rPr>
        <w:t>scheme </w:t>
      </w:r>
      <w:r>
        <w:rPr>
          <w:sz w:val="15"/>
        </w:rPr>
        <w:t>announced 27 December 2016 and funded by Item 70: Amount provided for Administered Grants, Subsidies and Other Transfer</w:t>
      </w:r>
      <w:r>
        <w:rPr>
          <w:spacing w:val="-28"/>
          <w:sz w:val="15"/>
        </w:rPr>
        <w:t> </w:t>
      </w:r>
      <w:r>
        <w:rPr>
          <w:sz w:val="15"/>
        </w:rPr>
        <w:t>Payments.</w:t>
      </w:r>
    </w:p>
    <w:p>
      <w:pPr>
        <w:spacing w:before="107"/>
        <w:ind w:left="765" w:right="0" w:firstLine="0"/>
        <w:jc w:val="left"/>
        <w:rPr>
          <w:i/>
          <w:sz w:val="22"/>
        </w:rPr>
      </w:pPr>
      <w:r>
        <w:rPr>
          <w:i/>
          <w:color w:val="6F2770"/>
          <w:sz w:val="22"/>
        </w:rPr>
        <w:t>Major Estimate and Actual (2018) Variance Narratives</w:t>
      </w:r>
    </w:p>
    <w:p>
      <w:pPr>
        <w:pStyle w:val="ListParagraph"/>
        <w:numPr>
          <w:ilvl w:val="0"/>
          <w:numId w:val="25"/>
        </w:numPr>
        <w:tabs>
          <w:tab w:pos="1010" w:val="left" w:leader="none"/>
        </w:tabs>
        <w:spacing w:line="249" w:lineRule="auto" w:before="11" w:after="0"/>
        <w:ind w:left="1010" w:right="1595" w:hanging="245"/>
        <w:jc w:val="both"/>
        <w:rPr>
          <w:sz w:val="22"/>
        </w:rPr>
      </w:pPr>
      <w:r>
        <w:rPr>
          <w:spacing w:val="-3"/>
          <w:sz w:val="22"/>
        </w:rPr>
        <w:t>Transfer</w:t>
      </w:r>
      <w:r>
        <w:rPr>
          <w:spacing w:val="-17"/>
          <w:sz w:val="22"/>
        </w:rPr>
        <w:t> </w:t>
      </w:r>
      <w:r>
        <w:rPr>
          <w:sz w:val="22"/>
        </w:rPr>
        <w:t>duty</w:t>
      </w:r>
      <w:r>
        <w:rPr>
          <w:spacing w:val="-16"/>
          <w:sz w:val="22"/>
        </w:rPr>
        <w:t> </w:t>
      </w:r>
      <w:r>
        <w:rPr>
          <w:sz w:val="22"/>
        </w:rPr>
        <w:t>collections</w:t>
      </w:r>
      <w:r>
        <w:rPr>
          <w:spacing w:val="-17"/>
          <w:sz w:val="22"/>
        </w:rPr>
        <w:t> </w:t>
      </w:r>
      <w:r>
        <w:rPr>
          <w:sz w:val="22"/>
        </w:rPr>
        <w:t>were</w:t>
      </w:r>
      <w:r>
        <w:rPr>
          <w:spacing w:val="-16"/>
          <w:sz w:val="22"/>
        </w:rPr>
        <w:t> </w:t>
      </w:r>
      <w:r>
        <w:rPr>
          <w:sz w:val="22"/>
        </w:rPr>
        <w:t>$70.5</w:t>
      </w:r>
      <w:r>
        <w:rPr>
          <w:spacing w:val="-17"/>
          <w:sz w:val="22"/>
        </w:rPr>
        <w:t> </w:t>
      </w:r>
      <w:r>
        <w:rPr>
          <w:sz w:val="22"/>
        </w:rPr>
        <w:t>million</w:t>
      </w:r>
      <w:r>
        <w:rPr>
          <w:spacing w:val="-16"/>
          <w:sz w:val="22"/>
        </w:rPr>
        <w:t> </w:t>
      </w:r>
      <w:r>
        <w:rPr>
          <w:sz w:val="22"/>
        </w:rPr>
        <w:t>lower</w:t>
      </w:r>
      <w:r>
        <w:rPr>
          <w:spacing w:val="-17"/>
          <w:sz w:val="22"/>
        </w:rPr>
        <w:t> </w:t>
      </w:r>
      <w:r>
        <w:rPr>
          <w:sz w:val="22"/>
        </w:rPr>
        <w:t>when</w:t>
      </w:r>
      <w:r>
        <w:rPr>
          <w:spacing w:val="-16"/>
          <w:sz w:val="22"/>
        </w:rPr>
        <w:t> </w:t>
      </w:r>
      <w:r>
        <w:rPr>
          <w:sz w:val="22"/>
        </w:rPr>
        <w:t>compared</w:t>
      </w:r>
      <w:r>
        <w:rPr>
          <w:spacing w:val="-16"/>
          <w:sz w:val="22"/>
        </w:rPr>
        <w:t> </w:t>
      </w:r>
      <w:r>
        <w:rPr>
          <w:sz w:val="22"/>
        </w:rPr>
        <w:t>to</w:t>
      </w:r>
      <w:r>
        <w:rPr>
          <w:spacing w:val="-17"/>
          <w:sz w:val="22"/>
        </w:rPr>
        <w:t> </w:t>
      </w:r>
      <w:r>
        <w:rPr>
          <w:sz w:val="22"/>
        </w:rPr>
        <w:t>the</w:t>
      </w:r>
      <w:r>
        <w:rPr>
          <w:spacing w:val="-16"/>
          <w:sz w:val="22"/>
        </w:rPr>
        <w:t> </w:t>
      </w:r>
      <w:r>
        <w:rPr>
          <w:sz w:val="22"/>
        </w:rPr>
        <w:t>2018</w:t>
      </w:r>
      <w:r>
        <w:rPr>
          <w:spacing w:val="-17"/>
          <w:sz w:val="22"/>
        </w:rPr>
        <w:t> </w:t>
      </w:r>
      <w:r>
        <w:rPr>
          <w:sz w:val="22"/>
        </w:rPr>
        <w:t>estimate.</w:t>
      </w:r>
      <w:r>
        <w:rPr>
          <w:spacing w:val="-16"/>
          <w:sz w:val="22"/>
        </w:rPr>
        <w:t> </w:t>
      </w:r>
      <w:r>
        <w:rPr>
          <w:sz w:val="22"/>
        </w:rPr>
        <w:t>This</w:t>
      </w:r>
      <w:r>
        <w:rPr>
          <w:spacing w:val="-17"/>
          <w:sz w:val="22"/>
        </w:rPr>
        <w:t> </w:t>
      </w:r>
      <w:r>
        <w:rPr>
          <w:sz w:val="22"/>
        </w:rPr>
        <w:t>was</w:t>
      </w:r>
      <w:r>
        <w:rPr>
          <w:spacing w:val="-16"/>
          <w:sz w:val="22"/>
        </w:rPr>
        <w:t> </w:t>
      </w:r>
      <w:r>
        <w:rPr>
          <w:sz w:val="22"/>
        </w:rPr>
        <w:t>primarily</w:t>
      </w:r>
      <w:r>
        <w:rPr>
          <w:spacing w:val="-16"/>
          <w:sz w:val="22"/>
        </w:rPr>
        <w:t> </w:t>
      </w:r>
      <w:r>
        <w:rPr>
          <w:sz w:val="22"/>
        </w:rPr>
        <w:t>due</w:t>
      </w:r>
      <w:r>
        <w:rPr>
          <w:spacing w:val="-17"/>
          <w:sz w:val="22"/>
        </w:rPr>
        <w:t> </w:t>
      </w:r>
      <w:r>
        <w:rPr>
          <w:sz w:val="22"/>
        </w:rPr>
        <w:t>to</w:t>
      </w:r>
      <w:r>
        <w:rPr>
          <w:spacing w:val="-16"/>
          <w:sz w:val="22"/>
        </w:rPr>
        <w:t> </w:t>
      </w:r>
      <w:r>
        <w:rPr>
          <w:sz w:val="22"/>
        </w:rPr>
        <w:t>weaker</w:t>
      </w:r>
      <w:r>
        <w:rPr>
          <w:spacing w:val="-17"/>
          <w:sz w:val="22"/>
        </w:rPr>
        <w:t> </w:t>
      </w:r>
      <w:r>
        <w:rPr>
          <w:sz w:val="22"/>
        </w:rPr>
        <w:t>than</w:t>
      </w:r>
      <w:r>
        <w:rPr>
          <w:spacing w:val="-16"/>
          <w:sz w:val="22"/>
        </w:rPr>
        <w:t> </w:t>
      </w:r>
      <w:r>
        <w:rPr>
          <w:sz w:val="22"/>
        </w:rPr>
        <w:t>expected</w:t>
      </w:r>
      <w:r>
        <w:rPr>
          <w:spacing w:val="-17"/>
          <w:sz w:val="22"/>
        </w:rPr>
        <w:t> </w:t>
      </w:r>
      <w:r>
        <w:rPr>
          <w:sz w:val="22"/>
        </w:rPr>
        <w:t>activity</w:t>
      </w:r>
      <w:r>
        <w:rPr>
          <w:spacing w:val="-16"/>
          <w:sz w:val="22"/>
        </w:rPr>
        <w:t> </w:t>
      </w:r>
      <w:r>
        <w:rPr>
          <w:sz w:val="22"/>
        </w:rPr>
        <w:t>in</w:t>
      </w:r>
      <w:r>
        <w:rPr>
          <w:spacing w:val="-16"/>
          <w:sz w:val="22"/>
        </w:rPr>
        <w:t> </w:t>
      </w:r>
      <w:r>
        <w:rPr>
          <w:sz w:val="22"/>
        </w:rPr>
        <w:t>the residential</w:t>
      </w:r>
      <w:r>
        <w:rPr>
          <w:spacing w:val="-23"/>
          <w:sz w:val="22"/>
        </w:rPr>
        <w:t> </w:t>
      </w:r>
      <w:r>
        <w:rPr>
          <w:sz w:val="22"/>
        </w:rPr>
        <w:t>market</w:t>
      </w:r>
      <w:r>
        <w:rPr>
          <w:spacing w:val="-23"/>
          <w:sz w:val="22"/>
        </w:rPr>
        <w:t> </w:t>
      </w:r>
      <w:r>
        <w:rPr>
          <w:sz w:val="22"/>
        </w:rPr>
        <w:t>and</w:t>
      </w:r>
      <w:r>
        <w:rPr>
          <w:spacing w:val="-23"/>
          <w:sz w:val="22"/>
        </w:rPr>
        <w:t> </w:t>
      </w:r>
      <w:r>
        <w:rPr>
          <w:sz w:val="22"/>
        </w:rPr>
        <w:t>reflects</w:t>
      </w:r>
      <w:r>
        <w:rPr>
          <w:spacing w:val="-23"/>
          <w:sz w:val="22"/>
        </w:rPr>
        <w:t> </w:t>
      </w:r>
      <w:r>
        <w:rPr>
          <w:sz w:val="22"/>
        </w:rPr>
        <w:t>a</w:t>
      </w:r>
      <w:r>
        <w:rPr>
          <w:spacing w:val="-23"/>
          <w:sz w:val="22"/>
        </w:rPr>
        <w:t> </w:t>
      </w:r>
      <w:r>
        <w:rPr>
          <w:sz w:val="22"/>
        </w:rPr>
        <w:t>range</w:t>
      </w:r>
      <w:r>
        <w:rPr>
          <w:spacing w:val="-23"/>
          <w:sz w:val="22"/>
        </w:rPr>
        <w:t> </w:t>
      </w:r>
      <w:r>
        <w:rPr>
          <w:sz w:val="22"/>
        </w:rPr>
        <w:t>of</w:t>
      </w:r>
      <w:r>
        <w:rPr>
          <w:spacing w:val="-22"/>
          <w:sz w:val="22"/>
        </w:rPr>
        <w:t> </w:t>
      </w:r>
      <w:r>
        <w:rPr>
          <w:sz w:val="22"/>
        </w:rPr>
        <w:t>factors,</w:t>
      </w:r>
      <w:r>
        <w:rPr>
          <w:spacing w:val="-23"/>
          <w:sz w:val="22"/>
        </w:rPr>
        <w:t> </w:t>
      </w:r>
      <w:r>
        <w:rPr>
          <w:sz w:val="22"/>
        </w:rPr>
        <w:t>including</w:t>
      </w:r>
      <w:r>
        <w:rPr>
          <w:spacing w:val="-23"/>
          <w:sz w:val="22"/>
        </w:rPr>
        <w:t> </w:t>
      </w:r>
      <w:r>
        <w:rPr>
          <w:sz w:val="22"/>
        </w:rPr>
        <w:t>a</w:t>
      </w:r>
      <w:r>
        <w:rPr>
          <w:spacing w:val="-23"/>
          <w:sz w:val="22"/>
        </w:rPr>
        <w:t> </w:t>
      </w:r>
      <w:r>
        <w:rPr>
          <w:sz w:val="22"/>
        </w:rPr>
        <w:t>tightening</w:t>
      </w:r>
      <w:r>
        <w:rPr>
          <w:spacing w:val="-23"/>
          <w:sz w:val="22"/>
        </w:rPr>
        <w:t> </w:t>
      </w:r>
      <w:r>
        <w:rPr>
          <w:sz w:val="22"/>
        </w:rPr>
        <w:t>of</w:t>
      </w:r>
      <w:r>
        <w:rPr>
          <w:spacing w:val="-23"/>
          <w:sz w:val="22"/>
        </w:rPr>
        <w:t> </w:t>
      </w:r>
      <w:r>
        <w:rPr>
          <w:sz w:val="22"/>
        </w:rPr>
        <w:t>residential</w:t>
      </w:r>
      <w:r>
        <w:rPr>
          <w:spacing w:val="-22"/>
          <w:sz w:val="22"/>
        </w:rPr>
        <w:t> </w:t>
      </w:r>
      <w:r>
        <w:rPr>
          <w:sz w:val="22"/>
        </w:rPr>
        <w:t>lending</w:t>
      </w:r>
      <w:r>
        <w:rPr>
          <w:spacing w:val="-23"/>
          <w:sz w:val="22"/>
        </w:rPr>
        <w:t> </w:t>
      </w:r>
      <w:r>
        <w:rPr>
          <w:sz w:val="22"/>
        </w:rPr>
        <w:t>standards</w:t>
      </w:r>
      <w:r>
        <w:rPr>
          <w:spacing w:val="-23"/>
          <w:sz w:val="22"/>
        </w:rPr>
        <w:t> </w:t>
      </w:r>
      <w:r>
        <w:rPr>
          <w:sz w:val="22"/>
        </w:rPr>
        <w:t>and</w:t>
      </w:r>
      <w:r>
        <w:rPr>
          <w:spacing w:val="-23"/>
          <w:sz w:val="22"/>
        </w:rPr>
        <w:t> </w:t>
      </w:r>
      <w:r>
        <w:rPr>
          <w:sz w:val="22"/>
        </w:rPr>
        <w:t>modest</w:t>
      </w:r>
      <w:r>
        <w:rPr>
          <w:spacing w:val="-23"/>
          <w:sz w:val="22"/>
        </w:rPr>
        <w:t> </w:t>
      </w:r>
      <w:r>
        <w:rPr>
          <w:sz w:val="22"/>
        </w:rPr>
        <w:t>out-of-cycle</w:t>
      </w:r>
      <w:r>
        <w:rPr>
          <w:spacing w:val="-23"/>
          <w:sz w:val="22"/>
        </w:rPr>
        <w:t> </w:t>
      </w:r>
      <w:r>
        <w:rPr>
          <w:sz w:val="22"/>
        </w:rPr>
        <w:t>increases</w:t>
      </w:r>
      <w:r>
        <w:rPr>
          <w:spacing w:val="-22"/>
          <w:sz w:val="22"/>
        </w:rPr>
        <w:t> </w:t>
      </w:r>
      <w:r>
        <w:rPr>
          <w:sz w:val="22"/>
        </w:rPr>
        <w:t>in</w:t>
      </w:r>
      <w:r>
        <w:rPr>
          <w:spacing w:val="-23"/>
          <w:sz w:val="22"/>
        </w:rPr>
        <w:t> </w:t>
      </w:r>
      <w:r>
        <w:rPr>
          <w:spacing w:val="-3"/>
          <w:sz w:val="22"/>
        </w:rPr>
        <w:t>residential </w:t>
      </w:r>
      <w:r>
        <w:rPr>
          <w:sz w:val="22"/>
        </w:rPr>
        <w:t>mortgage</w:t>
      </w:r>
      <w:r>
        <w:rPr>
          <w:spacing w:val="-1"/>
          <w:sz w:val="22"/>
        </w:rPr>
        <w:t> </w:t>
      </w:r>
      <w:r>
        <w:rPr>
          <w:sz w:val="22"/>
        </w:rPr>
        <w:t>rates.</w:t>
      </w:r>
    </w:p>
    <w:p>
      <w:pPr>
        <w:pStyle w:val="ListParagraph"/>
        <w:numPr>
          <w:ilvl w:val="0"/>
          <w:numId w:val="25"/>
        </w:numPr>
        <w:tabs>
          <w:tab w:pos="1010" w:val="left" w:leader="none"/>
        </w:tabs>
        <w:spacing w:line="249" w:lineRule="auto" w:before="2" w:after="0"/>
        <w:ind w:left="1010" w:right="776" w:hanging="245"/>
        <w:jc w:val="left"/>
        <w:rPr>
          <w:sz w:val="22"/>
        </w:rPr>
      </w:pPr>
      <w:r>
        <w:rPr>
          <w:sz w:val="22"/>
        </w:rPr>
        <w:t>Revenue</w:t>
      </w:r>
      <w:r>
        <w:rPr>
          <w:spacing w:val="-19"/>
          <w:sz w:val="22"/>
        </w:rPr>
        <w:t> </w:t>
      </w:r>
      <w:r>
        <w:rPr>
          <w:sz w:val="22"/>
        </w:rPr>
        <w:t>from</w:t>
      </w:r>
      <w:r>
        <w:rPr>
          <w:spacing w:val="-19"/>
          <w:sz w:val="22"/>
        </w:rPr>
        <w:t> </w:t>
      </w:r>
      <w:r>
        <w:rPr>
          <w:sz w:val="22"/>
        </w:rPr>
        <w:t>‘other</w:t>
      </w:r>
      <w:r>
        <w:rPr>
          <w:spacing w:val="-19"/>
          <w:sz w:val="22"/>
        </w:rPr>
        <w:t> </w:t>
      </w:r>
      <w:r>
        <w:rPr>
          <w:sz w:val="22"/>
        </w:rPr>
        <w:t>taxes’</w:t>
      </w:r>
      <w:r>
        <w:rPr>
          <w:spacing w:val="-19"/>
          <w:sz w:val="22"/>
        </w:rPr>
        <w:t> </w:t>
      </w:r>
      <w:r>
        <w:rPr>
          <w:sz w:val="22"/>
        </w:rPr>
        <w:t>was</w:t>
      </w:r>
      <w:r>
        <w:rPr>
          <w:spacing w:val="-19"/>
          <w:sz w:val="22"/>
        </w:rPr>
        <w:t> </w:t>
      </w:r>
      <w:r>
        <w:rPr>
          <w:sz w:val="22"/>
        </w:rPr>
        <w:t>$26.6</w:t>
      </w:r>
      <w:r>
        <w:rPr>
          <w:spacing w:val="-19"/>
          <w:sz w:val="22"/>
        </w:rPr>
        <w:t> </w:t>
      </w:r>
      <w:r>
        <w:rPr>
          <w:sz w:val="22"/>
        </w:rPr>
        <w:t>million</w:t>
      </w:r>
      <w:r>
        <w:rPr>
          <w:spacing w:val="-19"/>
          <w:sz w:val="22"/>
        </w:rPr>
        <w:t> </w:t>
      </w:r>
      <w:r>
        <w:rPr>
          <w:sz w:val="22"/>
        </w:rPr>
        <w:t>higher</w:t>
      </w:r>
      <w:r>
        <w:rPr>
          <w:spacing w:val="-19"/>
          <w:sz w:val="22"/>
        </w:rPr>
        <w:t> </w:t>
      </w:r>
      <w:r>
        <w:rPr>
          <w:sz w:val="22"/>
        </w:rPr>
        <w:t>than</w:t>
      </w:r>
      <w:r>
        <w:rPr>
          <w:spacing w:val="-19"/>
          <w:sz w:val="22"/>
        </w:rPr>
        <w:t> </w:t>
      </w:r>
      <w:r>
        <w:rPr>
          <w:sz w:val="22"/>
        </w:rPr>
        <w:t>the</w:t>
      </w:r>
      <w:r>
        <w:rPr>
          <w:spacing w:val="-19"/>
          <w:sz w:val="22"/>
        </w:rPr>
        <w:t> </w:t>
      </w:r>
      <w:r>
        <w:rPr>
          <w:sz w:val="22"/>
        </w:rPr>
        <w:t>2018</w:t>
      </w:r>
      <w:r>
        <w:rPr>
          <w:spacing w:val="-19"/>
          <w:sz w:val="22"/>
        </w:rPr>
        <w:t> </w:t>
      </w:r>
      <w:r>
        <w:rPr>
          <w:sz w:val="22"/>
        </w:rPr>
        <w:t>estimate,</w:t>
      </w:r>
      <w:r>
        <w:rPr>
          <w:spacing w:val="-19"/>
          <w:sz w:val="22"/>
        </w:rPr>
        <w:t> </w:t>
      </w:r>
      <w:r>
        <w:rPr>
          <w:sz w:val="22"/>
        </w:rPr>
        <w:t>primarily</w:t>
      </w:r>
      <w:r>
        <w:rPr>
          <w:spacing w:val="-19"/>
          <w:sz w:val="22"/>
        </w:rPr>
        <w:t> </w:t>
      </w:r>
      <w:r>
        <w:rPr>
          <w:sz w:val="22"/>
        </w:rPr>
        <w:t>due</w:t>
      </w:r>
      <w:r>
        <w:rPr>
          <w:spacing w:val="-19"/>
          <w:sz w:val="22"/>
        </w:rPr>
        <w:t> </w:t>
      </w:r>
      <w:r>
        <w:rPr>
          <w:sz w:val="22"/>
        </w:rPr>
        <w:t>to</w:t>
      </w:r>
      <w:r>
        <w:rPr>
          <w:spacing w:val="-19"/>
          <w:sz w:val="22"/>
        </w:rPr>
        <w:t> </w:t>
      </w:r>
      <w:r>
        <w:rPr>
          <w:sz w:val="22"/>
        </w:rPr>
        <w:t>higher</w:t>
      </w:r>
      <w:r>
        <w:rPr>
          <w:spacing w:val="-19"/>
          <w:sz w:val="22"/>
        </w:rPr>
        <w:t> </w:t>
      </w:r>
      <w:r>
        <w:rPr>
          <w:sz w:val="22"/>
        </w:rPr>
        <w:t>than</w:t>
      </w:r>
      <w:r>
        <w:rPr>
          <w:spacing w:val="-19"/>
          <w:sz w:val="22"/>
        </w:rPr>
        <w:t> </w:t>
      </w:r>
      <w:r>
        <w:rPr>
          <w:sz w:val="22"/>
        </w:rPr>
        <w:t>forecast</w:t>
      </w:r>
      <w:r>
        <w:rPr>
          <w:spacing w:val="-19"/>
          <w:sz w:val="22"/>
        </w:rPr>
        <w:t> </w:t>
      </w:r>
      <w:r>
        <w:rPr>
          <w:sz w:val="22"/>
        </w:rPr>
        <w:t>Landholder</w:t>
      </w:r>
      <w:r>
        <w:rPr>
          <w:spacing w:val="-19"/>
          <w:sz w:val="22"/>
        </w:rPr>
        <w:t> </w:t>
      </w:r>
      <w:r>
        <w:rPr>
          <w:sz w:val="22"/>
        </w:rPr>
        <w:t>Duty</w:t>
      </w:r>
      <w:r>
        <w:rPr>
          <w:spacing w:val="-19"/>
          <w:sz w:val="22"/>
        </w:rPr>
        <w:t> </w:t>
      </w:r>
      <w:r>
        <w:rPr>
          <w:sz w:val="22"/>
        </w:rPr>
        <w:t>collections</w:t>
      </w:r>
      <w:r>
        <w:rPr>
          <w:spacing w:val="-19"/>
          <w:sz w:val="22"/>
        </w:rPr>
        <w:t> </w:t>
      </w:r>
      <w:r>
        <w:rPr>
          <w:sz w:val="22"/>
        </w:rPr>
        <w:t>reflecting</w:t>
      </w:r>
      <w:r>
        <w:rPr>
          <w:spacing w:val="-19"/>
          <w:sz w:val="22"/>
        </w:rPr>
        <w:t> </w:t>
      </w:r>
      <w:r>
        <w:rPr>
          <w:sz w:val="22"/>
        </w:rPr>
        <w:t>that</w:t>
      </w:r>
      <w:r>
        <w:rPr>
          <w:spacing w:val="-19"/>
          <w:sz w:val="22"/>
        </w:rPr>
        <w:t> </w:t>
      </w:r>
      <w:r>
        <w:rPr>
          <w:spacing w:val="-6"/>
          <w:sz w:val="22"/>
        </w:rPr>
        <w:t>the </w:t>
      </w:r>
      <w:r>
        <w:rPr>
          <w:sz w:val="22"/>
        </w:rPr>
        <w:t>overall value of large one-off landholder transactions was higher than</w:t>
      </w:r>
      <w:r>
        <w:rPr>
          <w:spacing w:val="-21"/>
          <w:sz w:val="22"/>
        </w:rPr>
        <w:t> </w:t>
      </w:r>
      <w:r>
        <w:rPr>
          <w:sz w:val="22"/>
        </w:rPr>
        <w:t>forecast.</w:t>
      </w:r>
    </w:p>
    <w:p>
      <w:pPr>
        <w:pStyle w:val="BodyText"/>
        <w:spacing w:before="2"/>
        <w:rPr>
          <w:sz w:val="23"/>
        </w:rPr>
      </w:pPr>
    </w:p>
    <w:p>
      <w:pPr>
        <w:spacing w:before="0"/>
        <w:ind w:left="765" w:right="0" w:firstLine="0"/>
        <w:jc w:val="left"/>
        <w:rPr>
          <w:i/>
          <w:sz w:val="22"/>
        </w:rPr>
      </w:pPr>
      <w:r>
        <w:rPr>
          <w:i/>
          <w:color w:val="6F2770"/>
          <w:sz w:val="22"/>
        </w:rPr>
        <w:t>Major Actual (2018) and Comparative (2017) Variance Narratives</w:t>
      </w:r>
    </w:p>
    <w:p>
      <w:pPr>
        <w:pStyle w:val="ListParagraph"/>
        <w:numPr>
          <w:ilvl w:val="0"/>
          <w:numId w:val="26"/>
        </w:numPr>
        <w:tabs>
          <w:tab w:pos="1010" w:val="left" w:leader="none"/>
        </w:tabs>
        <w:spacing w:line="249" w:lineRule="auto" w:before="11" w:after="0"/>
        <w:ind w:left="1010" w:right="1080" w:hanging="245"/>
        <w:jc w:val="left"/>
        <w:rPr>
          <w:sz w:val="22"/>
        </w:rPr>
      </w:pPr>
      <w:r>
        <w:rPr>
          <w:spacing w:val="-3"/>
          <w:sz w:val="22"/>
        </w:rPr>
        <w:t>Transfer</w:t>
      </w:r>
      <w:r>
        <w:rPr>
          <w:spacing w:val="-24"/>
          <w:sz w:val="22"/>
        </w:rPr>
        <w:t> </w:t>
      </w:r>
      <w:r>
        <w:rPr>
          <w:sz w:val="22"/>
        </w:rPr>
        <w:t>duty</w:t>
      </w:r>
      <w:r>
        <w:rPr>
          <w:spacing w:val="-23"/>
          <w:sz w:val="22"/>
        </w:rPr>
        <w:t> </w:t>
      </w:r>
      <w:r>
        <w:rPr>
          <w:sz w:val="22"/>
        </w:rPr>
        <w:t>collections</w:t>
      </w:r>
      <w:r>
        <w:rPr>
          <w:spacing w:val="-23"/>
          <w:sz w:val="22"/>
        </w:rPr>
        <w:t> </w:t>
      </w:r>
      <w:r>
        <w:rPr>
          <w:sz w:val="22"/>
        </w:rPr>
        <w:t>declined</w:t>
      </w:r>
      <w:r>
        <w:rPr>
          <w:spacing w:val="-23"/>
          <w:sz w:val="22"/>
        </w:rPr>
        <w:t> </w:t>
      </w:r>
      <w:r>
        <w:rPr>
          <w:sz w:val="22"/>
        </w:rPr>
        <w:t>by</w:t>
      </w:r>
      <w:r>
        <w:rPr>
          <w:spacing w:val="-23"/>
          <w:sz w:val="22"/>
        </w:rPr>
        <w:t> </w:t>
      </w:r>
      <w:r>
        <w:rPr>
          <w:sz w:val="22"/>
        </w:rPr>
        <w:t>$130.6</w:t>
      </w:r>
      <w:r>
        <w:rPr>
          <w:spacing w:val="-24"/>
          <w:sz w:val="22"/>
        </w:rPr>
        <w:t> </w:t>
      </w:r>
      <w:r>
        <w:rPr>
          <w:sz w:val="22"/>
        </w:rPr>
        <w:t>million</w:t>
      </w:r>
      <w:r>
        <w:rPr>
          <w:spacing w:val="-23"/>
          <w:sz w:val="22"/>
        </w:rPr>
        <w:t> </w:t>
      </w:r>
      <w:r>
        <w:rPr>
          <w:sz w:val="22"/>
        </w:rPr>
        <w:t>in</w:t>
      </w:r>
      <w:r>
        <w:rPr>
          <w:spacing w:val="-23"/>
          <w:sz w:val="22"/>
        </w:rPr>
        <w:t> </w:t>
      </w:r>
      <w:r>
        <w:rPr>
          <w:sz w:val="22"/>
        </w:rPr>
        <w:t>2018</w:t>
      </w:r>
      <w:r>
        <w:rPr>
          <w:spacing w:val="-23"/>
          <w:sz w:val="22"/>
        </w:rPr>
        <w:t> </w:t>
      </w:r>
      <w:r>
        <w:rPr>
          <w:sz w:val="22"/>
        </w:rPr>
        <w:t>relative</w:t>
      </w:r>
      <w:r>
        <w:rPr>
          <w:spacing w:val="-23"/>
          <w:sz w:val="22"/>
        </w:rPr>
        <w:t> </w:t>
      </w:r>
      <w:r>
        <w:rPr>
          <w:sz w:val="22"/>
        </w:rPr>
        <w:t>to</w:t>
      </w:r>
      <w:r>
        <w:rPr>
          <w:spacing w:val="-24"/>
          <w:sz w:val="22"/>
        </w:rPr>
        <w:t> </w:t>
      </w:r>
      <w:r>
        <w:rPr>
          <w:sz w:val="22"/>
        </w:rPr>
        <w:t>2017,</w:t>
      </w:r>
      <w:r>
        <w:rPr>
          <w:spacing w:val="-23"/>
          <w:sz w:val="22"/>
        </w:rPr>
        <w:t> </w:t>
      </w:r>
      <w:r>
        <w:rPr>
          <w:sz w:val="22"/>
        </w:rPr>
        <w:t>reflecting</w:t>
      </w:r>
      <w:r>
        <w:rPr>
          <w:spacing w:val="-23"/>
          <w:sz w:val="22"/>
        </w:rPr>
        <w:t> </w:t>
      </w:r>
      <w:r>
        <w:rPr>
          <w:sz w:val="22"/>
        </w:rPr>
        <w:t>weaker</w:t>
      </w:r>
      <w:r>
        <w:rPr>
          <w:spacing w:val="-23"/>
          <w:sz w:val="22"/>
        </w:rPr>
        <w:t> </w:t>
      </w:r>
      <w:r>
        <w:rPr>
          <w:sz w:val="22"/>
        </w:rPr>
        <w:t>collections</w:t>
      </w:r>
      <w:r>
        <w:rPr>
          <w:spacing w:val="-23"/>
          <w:sz w:val="22"/>
        </w:rPr>
        <w:t> </w:t>
      </w:r>
      <w:r>
        <w:rPr>
          <w:sz w:val="22"/>
        </w:rPr>
        <w:t>from</w:t>
      </w:r>
      <w:r>
        <w:rPr>
          <w:spacing w:val="-23"/>
          <w:sz w:val="22"/>
        </w:rPr>
        <w:t> </w:t>
      </w:r>
      <w:r>
        <w:rPr>
          <w:sz w:val="22"/>
        </w:rPr>
        <w:t>residential</w:t>
      </w:r>
      <w:r>
        <w:rPr>
          <w:spacing w:val="-24"/>
          <w:sz w:val="22"/>
        </w:rPr>
        <w:t> </w:t>
      </w:r>
      <w:r>
        <w:rPr>
          <w:sz w:val="22"/>
        </w:rPr>
        <w:t>property</w:t>
      </w:r>
      <w:r>
        <w:rPr>
          <w:spacing w:val="-23"/>
          <w:sz w:val="22"/>
        </w:rPr>
        <w:t> </w:t>
      </w:r>
      <w:r>
        <w:rPr>
          <w:sz w:val="22"/>
        </w:rPr>
        <w:t>transactions</w:t>
      </w:r>
      <w:r>
        <w:rPr>
          <w:spacing w:val="-23"/>
          <w:sz w:val="22"/>
        </w:rPr>
        <w:t> </w:t>
      </w:r>
      <w:r>
        <w:rPr>
          <w:sz w:val="22"/>
        </w:rPr>
        <w:t>and</w:t>
      </w:r>
      <w:r>
        <w:rPr>
          <w:spacing w:val="-23"/>
          <w:sz w:val="22"/>
        </w:rPr>
        <w:t> </w:t>
      </w:r>
      <w:r>
        <w:rPr>
          <w:sz w:val="22"/>
        </w:rPr>
        <w:t>following an unusually large commercial </w:t>
      </w:r>
      <w:r>
        <w:rPr>
          <w:spacing w:val="-3"/>
          <w:sz w:val="22"/>
        </w:rPr>
        <w:t>Transfer </w:t>
      </w:r>
      <w:r>
        <w:rPr>
          <w:sz w:val="22"/>
        </w:rPr>
        <w:t>Duty transaction in May 2017. The number and/or value of these high value commercial transactions tend to be infrequent and volatile within and between</w:t>
      </w:r>
      <w:r>
        <w:rPr>
          <w:spacing w:val="-6"/>
          <w:sz w:val="22"/>
        </w:rPr>
        <w:t> </w:t>
      </w:r>
      <w:r>
        <w:rPr>
          <w:sz w:val="22"/>
        </w:rPr>
        <w:t>years.</w:t>
      </w:r>
    </w:p>
    <w:p>
      <w:pPr>
        <w:pStyle w:val="ListParagraph"/>
        <w:numPr>
          <w:ilvl w:val="0"/>
          <w:numId w:val="26"/>
        </w:numPr>
        <w:tabs>
          <w:tab w:pos="1010" w:val="left" w:leader="none"/>
        </w:tabs>
        <w:spacing w:line="249" w:lineRule="auto" w:before="2" w:after="0"/>
        <w:ind w:left="1010" w:right="1105" w:hanging="245"/>
        <w:jc w:val="left"/>
        <w:rPr>
          <w:sz w:val="22"/>
        </w:rPr>
      </w:pPr>
      <w:r>
        <w:rPr>
          <w:sz w:val="22"/>
        </w:rPr>
        <w:t>Other</w:t>
      </w:r>
      <w:r>
        <w:rPr>
          <w:spacing w:val="-19"/>
          <w:sz w:val="22"/>
        </w:rPr>
        <w:t> </w:t>
      </w:r>
      <w:r>
        <w:rPr>
          <w:sz w:val="22"/>
        </w:rPr>
        <w:t>tax</w:t>
      </w:r>
      <w:r>
        <w:rPr>
          <w:spacing w:val="-18"/>
          <w:sz w:val="22"/>
        </w:rPr>
        <w:t> </w:t>
      </w:r>
      <w:r>
        <w:rPr>
          <w:sz w:val="22"/>
        </w:rPr>
        <w:t>income</w:t>
      </w:r>
      <w:r>
        <w:rPr>
          <w:spacing w:val="-18"/>
          <w:sz w:val="22"/>
        </w:rPr>
        <w:t> </w:t>
      </w:r>
      <w:r>
        <w:rPr>
          <w:sz w:val="22"/>
        </w:rPr>
        <w:t>increased</w:t>
      </w:r>
      <w:r>
        <w:rPr>
          <w:spacing w:val="-19"/>
          <w:sz w:val="22"/>
        </w:rPr>
        <w:t> </w:t>
      </w:r>
      <w:r>
        <w:rPr>
          <w:sz w:val="22"/>
        </w:rPr>
        <w:t>by</w:t>
      </w:r>
      <w:r>
        <w:rPr>
          <w:spacing w:val="-18"/>
          <w:sz w:val="22"/>
        </w:rPr>
        <w:t> </w:t>
      </w:r>
      <w:r>
        <w:rPr>
          <w:sz w:val="22"/>
        </w:rPr>
        <w:t>$82.2</w:t>
      </w:r>
      <w:r>
        <w:rPr>
          <w:spacing w:val="-18"/>
          <w:sz w:val="22"/>
        </w:rPr>
        <w:t> </w:t>
      </w:r>
      <w:r>
        <w:rPr>
          <w:sz w:val="22"/>
        </w:rPr>
        <w:t>million</w:t>
      </w:r>
      <w:r>
        <w:rPr>
          <w:spacing w:val="-18"/>
          <w:sz w:val="22"/>
        </w:rPr>
        <w:t> </w:t>
      </w:r>
      <w:r>
        <w:rPr>
          <w:sz w:val="22"/>
        </w:rPr>
        <w:t>compared</w:t>
      </w:r>
      <w:r>
        <w:rPr>
          <w:spacing w:val="-19"/>
          <w:sz w:val="22"/>
        </w:rPr>
        <w:t> </w:t>
      </w:r>
      <w:r>
        <w:rPr>
          <w:sz w:val="22"/>
        </w:rPr>
        <w:t>to</w:t>
      </w:r>
      <w:r>
        <w:rPr>
          <w:spacing w:val="-18"/>
          <w:sz w:val="22"/>
        </w:rPr>
        <w:t> </w:t>
      </w:r>
      <w:r>
        <w:rPr>
          <w:sz w:val="22"/>
        </w:rPr>
        <w:t>the</w:t>
      </w:r>
      <w:r>
        <w:rPr>
          <w:spacing w:val="-18"/>
          <w:sz w:val="22"/>
        </w:rPr>
        <w:t> </w:t>
      </w:r>
      <w:r>
        <w:rPr>
          <w:sz w:val="22"/>
        </w:rPr>
        <w:t>prior</w:t>
      </w:r>
      <w:r>
        <w:rPr>
          <w:spacing w:val="-18"/>
          <w:sz w:val="22"/>
        </w:rPr>
        <w:t> </w:t>
      </w:r>
      <w:r>
        <w:rPr>
          <w:sz w:val="22"/>
        </w:rPr>
        <w:t>year</w:t>
      </w:r>
      <w:r>
        <w:rPr>
          <w:spacing w:val="-19"/>
          <w:sz w:val="22"/>
        </w:rPr>
        <w:t> </w:t>
      </w:r>
      <w:r>
        <w:rPr>
          <w:sz w:val="22"/>
        </w:rPr>
        <w:t>largely</w:t>
      </w:r>
      <w:r>
        <w:rPr>
          <w:spacing w:val="-18"/>
          <w:sz w:val="22"/>
        </w:rPr>
        <w:t> </w:t>
      </w:r>
      <w:r>
        <w:rPr>
          <w:sz w:val="22"/>
        </w:rPr>
        <w:t>due</w:t>
      </w:r>
      <w:r>
        <w:rPr>
          <w:spacing w:val="-18"/>
          <w:sz w:val="22"/>
        </w:rPr>
        <w:t> </w:t>
      </w:r>
      <w:r>
        <w:rPr>
          <w:sz w:val="22"/>
        </w:rPr>
        <w:t>to</w:t>
      </w:r>
      <w:r>
        <w:rPr>
          <w:spacing w:val="-19"/>
          <w:sz w:val="22"/>
        </w:rPr>
        <w:t> </w:t>
      </w:r>
      <w:r>
        <w:rPr>
          <w:sz w:val="22"/>
        </w:rPr>
        <w:t>higher</w:t>
      </w:r>
      <w:r>
        <w:rPr>
          <w:spacing w:val="-18"/>
          <w:sz w:val="22"/>
        </w:rPr>
        <w:t> </w:t>
      </w:r>
      <w:r>
        <w:rPr>
          <w:sz w:val="22"/>
        </w:rPr>
        <w:t>Landholder</w:t>
      </w:r>
      <w:r>
        <w:rPr>
          <w:spacing w:val="-18"/>
          <w:sz w:val="22"/>
        </w:rPr>
        <w:t> </w:t>
      </w:r>
      <w:r>
        <w:rPr>
          <w:sz w:val="22"/>
        </w:rPr>
        <w:t>Duty</w:t>
      </w:r>
      <w:r>
        <w:rPr>
          <w:spacing w:val="-18"/>
          <w:sz w:val="22"/>
        </w:rPr>
        <w:t> </w:t>
      </w:r>
      <w:r>
        <w:rPr>
          <w:sz w:val="22"/>
        </w:rPr>
        <w:t>collections.</w:t>
      </w:r>
      <w:r>
        <w:rPr>
          <w:spacing w:val="-19"/>
          <w:sz w:val="22"/>
        </w:rPr>
        <w:t> </w:t>
      </w:r>
      <w:r>
        <w:rPr>
          <w:sz w:val="22"/>
        </w:rPr>
        <w:t>The</w:t>
      </w:r>
      <w:r>
        <w:rPr>
          <w:spacing w:val="-18"/>
          <w:sz w:val="22"/>
        </w:rPr>
        <w:t> </w:t>
      </w:r>
      <w:r>
        <w:rPr>
          <w:sz w:val="22"/>
        </w:rPr>
        <w:t>number</w:t>
      </w:r>
      <w:r>
        <w:rPr>
          <w:spacing w:val="-18"/>
          <w:sz w:val="22"/>
        </w:rPr>
        <w:t> </w:t>
      </w:r>
      <w:r>
        <w:rPr>
          <w:sz w:val="22"/>
        </w:rPr>
        <w:t>and/or</w:t>
      </w:r>
      <w:r>
        <w:rPr>
          <w:spacing w:val="-18"/>
          <w:sz w:val="22"/>
        </w:rPr>
        <w:t> </w:t>
      </w:r>
      <w:r>
        <w:rPr>
          <w:sz w:val="22"/>
        </w:rPr>
        <w:t>value</w:t>
      </w:r>
      <w:r>
        <w:rPr>
          <w:spacing w:val="-19"/>
          <w:sz w:val="22"/>
        </w:rPr>
        <w:t> </w:t>
      </w:r>
      <w:r>
        <w:rPr>
          <w:sz w:val="22"/>
        </w:rPr>
        <w:t>of</w:t>
      </w:r>
      <w:r>
        <w:rPr>
          <w:spacing w:val="-18"/>
          <w:sz w:val="22"/>
        </w:rPr>
        <w:t> </w:t>
      </w:r>
      <w:r>
        <w:rPr>
          <w:spacing w:val="-3"/>
          <w:sz w:val="22"/>
        </w:rPr>
        <w:t>these </w:t>
      </w:r>
      <w:r>
        <w:rPr>
          <w:sz w:val="22"/>
        </w:rPr>
        <w:t>high value commercial transactions tend to be infrequent and volatile within and between</w:t>
      </w:r>
      <w:r>
        <w:rPr>
          <w:spacing w:val="-36"/>
          <w:sz w:val="22"/>
        </w:rPr>
        <w:t> </w:t>
      </w:r>
      <w:r>
        <w:rPr>
          <w:sz w:val="22"/>
        </w:rPr>
        <w:t>years.</w:t>
      </w:r>
    </w:p>
    <w:p>
      <w:pPr>
        <w:spacing w:after="0" w:line="249" w:lineRule="auto"/>
        <w:jc w:val="left"/>
        <w:rPr>
          <w:sz w:val="22"/>
        </w:rPr>
        <w:sectPr>
          <w:footerReference w:type="default" r:id="rId197"/>
          <w:pgSz w:w="16840" w:h="11910" w:orient="landscape"/>
          <w:pgMar w:footer="774" w:header="0" w:top="0" w:bottom="96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pStyle w:val="Heading1"/>
      </w:pPr>
      <w:r>
        <w:rPr/>
        <w:pict>
          <v:group style="position:absolute;margin-left:120.271004pt;margin-top:-57.37421pt;width:721.65pt;height:42.55pt;mso-position-horizontal-relative:page;mso-position-vertical-relative:paragraph;z-index:23584"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Notes to the Financial Statements</w:t>
      </w:r>
    </w:p>
    <w:p>
      <w:pPr>
        <w:pStyle w:val="Heading4"/>
      </w:pPr>
      <w:r>
        <w:rPr>
          <w:color w:val="6F2770"/>
        </w:rPr>
        <w:t>For the year ended 30 June 2018</w:t>
      </w:r>
    </w:p>
    <w:p>
      <w:pPr>
        <w:pStyle w:val="BodyText"/>
        <w:spacing w:before="10"/>
        <w:rPr>
          <w:sz w:val="12"/>
        </w:rPr>
      </w:pPr>
    </w:p>
    <w:p>
      <w:pPr>
        <w:spacing w:after="0"/>
        <w:rPr>
          <w:sz w:val="12"/>
        </w:rPr>
        <w:sectPr>
          <w:footerReference w:type="default" r:id="rId198"/>
          <w:pgSz w:w="16840" w:h="11910" w:orient="landscape"/>
          <w:pgMar w:footer="1607" w:header="0" w:top="0" w:bottom="1800" w:left="0" w:right="0"/>
        </w:sectPr>
      </w:pPr>
    </w:p>
    <w:p>
      <w:pPr>
        <w:pStyle w:val="Heading5"/>
      </w:pPr>
      <w:r>
        <w:rPr>
          <w:color w:val="6F2770"/>
        </w:rPr>
        <w:t>Note 47. Supplementary financial</w:t>
      </w:r>
      <w:r>
        <w:rPr>
          <w:color w:val="6F2770"/>
          <w:spacing w:val="-62"/>
        </w:rPr>
        <w:t> </w:t>
      </w:r>
      <w:r>
        <w:rPr>
          <w:color w:val="6F2770"/>
        </w:rPr>
        <w:t>information</w:t>
      </w:r>
    </w:p>
    <w:p>
      <w:pPr>
        <w:pStyle w:val="Heading6"/>
        <w:numPr>
          <w:ilvl w:val="0"/>
          <w:numId w:val="27"/>
        </w:numPr>
        <w:tabs>
          <w:tab w:pos="1084" w:val="left" w:leader="none"/>
        </w:tabs>
        <w:spacing w:line="240" w:lineRule="auto" w:before="254" w:after="0"/>
        <w:ind w:left="1083" w:right="0" w:hanging="318"/>
        <w:jc w:val="left"/>
      </w:pPr>
      <w:r>
        <w:rPr/>
        <w:t>Write-offs</w:t>
      </w:r>
    </w:p>
    <w:p>
      <w:pPr>
        <w:pStyle w:val="BodyText"/>
        <w:spacing w:line="249" w:lineRule="auto" w:before="11"/>
        <w:ind w:left="765" w:right="-7"/>
      </w:pPr>
      <w:r>
        <w:rPr/>
        <w:pict>
          <v:shape style="position:absolute;margin-left:431.574799pt;margin-top:2.844484pt;width:373.55pt;height:273.1pt;mso-position-horizontal-relative:page;mso-position-vertical-relative:paragraph;z-index:23608"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6023" w:type="dxa"/>
                        <w:gridSpan w:val="2"/>
                        <w:tcBorders>
                          <w:top w:val="nil"/>
                          <w:bottom w:val="nil"/>
                          <w:right w:val="nil"/>
                        </w:tcBorders>
                        <w:shd w:val="clear" w:color="auto" w:fill="783A79"/>
                      </w:tcPr>
                      <w:p>
                        <w:pPr>
                          <w:pStyle w:val="TableParagraph"/>
                          <w:spacing w:before="42"/>
                          <w:ind w:right="100"/>
                          <w:jc w:val="right"/>
                          <w:rPr>
                            <w:b/>
                            <w:sz w:val="19"/>
                          </w:rPr>
                        </w:pPr>
                        <w:r>
                          <w:rPr>
                            <w:b/>
                            <w:color w:val="FFFFFF"/>
                            <w:w w:val="95"/>
                            <w:sz w:val="19"/>
                          </w:rPr>
                          <w:t>2018</w:t>
                        </w:r>
                      </w:p>
                      <w:p>
                        <w:pPr>
                          <w:pStyle w:val="TableParagraph"/>
                          <w:spacing w:before="10"/>
                          <w:ind w:right="100"/>
                          <w:jc w:val="right"/>
                          <w:rPr>
                            <w:b/>
                            <w:sz w:val="19"/>
                          </w:rPr>
                        </w:pPr>
                        <w:r>
                          <w:rPr>
                            <w:b/>
                            <w:color w:val="FFFFFF"/>
                            <w:w w:val="95"/>
                            <w:sz w:val="19"/>
                          </w:rPr>
                          <w:t>$000</w:t>
                        </w:r>
                      </w:p>
                    </w:tc>
                    <w:tc>
                      <w:tcPr>
                        <w:tcW w:w="1417" w:type="dxa"/>
                        <w:tcBorders>
                          <w:top w:val="nil"/>
                          <w:left w:val="nil"/>
                          <w:bottom w:val="nil"/>
                          <w:right w:val="nil"/>
                        </w:tcBorders>
                        <w:shd w:val="clear" w:color="auto" w:fill="783A79"/>
                      </w:tcPr>
                      <w:p>
                        <w:pPr>
                          <w:pStyle w:val="TableParagraph"/>
                          <w:spacing w:before="42"/>
                          <w:ind w:left="892"/>
                          <w:rPr>
                            <w:b/>
                            <w:sz w:val="19"/>
                          </w:rPr>
                        </w:pPr>
                        <w:r>
                          <w:rPr>
                            <w:b/>
                            <w:color w:val="FFFFFF"/>
                            <w:sz w:val="19"/>
                          </w:rPr>
                          <w:t>2017</w:t>
                        </w:r>
                      </w:p>
                      <w:p>
                        <w:pPr>
                          <w:pStyle w:val="TableParagraph"/>
                          <w:spacing w:before="10"/>
                          <w:ind w:left="892"/>
                          <w:rPr>
                            <w:b/>
                            <w:sz w:val="19"/>
                          </w:rPr>
                        </w:pPr>
                        <w:r>
                          <w:rPr>
                            <w:b/>
                            <w:color w:val="FFFFFF"/>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b/>
                            <w:sz w:val="19"/>
                          </w:rPr>
                        </w:pPr>
                        <w:r>
                          <w:rPr>
                            <w:b/>
                            <w:sz w:val="19"/>
                          </w:rPr>
                          <w:t>Revenue</w:t>
                        </w:r>
                      </w:p>
                    </w:tc>
                    <w:tc>
                      <w:tcPr>
                        <w:tcW w:w="1417" w:type="dxa"/>
                        <w:tcBorders>
                          <w:top w:val="nil"/>
                          <w:left w:val="nil"/>
                          <w:bottom w:val="single" w:sz="4" w:space="0" w:color="000000"/>
                          <w:right w:val="nil"/>
                        </w:tcBorders>
                        <w:shd w:val="clear" w:color="auto" w:fill="DFE1B8"/>
                      </w:tcPr>
                      <w:p>
                        <w:pPr>
                          <w:pStyle w:val="TableParagraph"/>
                          <w:spacing w:before="42"/>
                          <w:ind w:right="100"/>
                          <w:jc w:val="right"/>
                          <w:rPr>
                            <w:sz w:val="19"/>
                          </w:rPr>
                        </w:pPr>
                        <w:r>
                          <w:rPr>
                            <w:w w:val="95"/>
                            <w:sz w:val="19"/>
                          </w:rPr>
                          <w:t>5,575</w:t>
                        </w:r>
                      </w:p>
                    </w:tc>
                    <w:tc>
                      <w:tcPr>
                        <w:tcW w:w="1417" w:type="dxa"/>
                        <w:tcBorders>
                          <w:top w:val="nil"/>
                          <w:left w:val="nil"/>
                          <w:bottom w:val="single" w:sz="4" w:space="0" w:color="000000"/>
                        </w:tcBorders>
                        <w:shd w:val="clear" w:color="auto" w:fill="F4F4F4"/>
                      </w:tcPr>
                      <w:p>
                        <w:pPr>
                          <w:pStyle w:val="TableParagraph"/>
                          <w:spacing w:before="42"/>
                          <w:ind w:right="90"/>
                          <w:jc w:val="right"/>
                          <w:rPr>
                            <w:sz w:val="19"/>
                          </w:rPr>
                        </w:pPr>
                        <w:r>
                          <w:rPr>
                            <w:w w:val="95"/>
                            <w:sz w:val="19"/>
                          </w:rPr>
                          <w:t>3,337</w:t>
                        </w:r>
                      </w:p>
                    </w:tc>
                  </w:tr>
                  <w:tr>
                    <w:trPr>
                      <w:trHeight w:val="307" w:hRule="atLeast"/>
                    </w:trPr>
                    <w:tc>
                      <w:tcPr>
                        <w:tcW w:w="4606" w:type="dxa"/>
                        <w:tcBorders>
                          <w:right w:val="nil"/>
                        </w:tcBorders>
                        <w:shd w:val="clear" w:color="auto" w:fill="FAF9F9"/>
                      </w:tcPr>
                      <w:p>
                        <w:pPr>
                          <w:pStyle w:val="TableParagraph"/>
                          <w:ind w:left="113"/>
                          <w:rPr>
                            <w:sz w:val="19"/>
                          </w:rPr>
                        </w:pPr>
                        <w:r>
                          <w:rPr>
                            <w:sz w:val="19"/>
                          </w:rPr>
                          <w:t>Commonwealth receipts</w:t>
                        </w:r>
                      </w:p>
                    </w:tc>
                    <w:tc>
                      <w:tcPr>
                        <w:tcW w:w="1417" w:type="dxa"/>
                        <w:tcBorders>
                          <w:top w:val="single" w:sz="4" w:space="0" w:color="000000"/>
                          <w:left w:val="nil"/>
                          <w:bottom w:val="single" w:sz="4" w:space="0" w:color="000000"/>
                          <w:right w:val="nil"/>
                        </w:tcBorders>
                        <w:shd w:val="clear" w:color="auto" w:fill="E1E4BB"/>
                      </w:tcPr>
                      <w:p>
                        <w:pPr>
                          <w:pStyle w:val="TableParagraph"/>
                          <w:ind w:right="100"/>
                          <w:jc w:val="right"/>
                          <w:rPr>
                            <w:b/>
                            <w:sz w:val="19"/>
                          </w:rPr>
                        </w:pPr>
                        <w:r>
                          <w:rPr>
                            <w:b/>
                            <w:w w:val="95"/>
                            <w:sz w:val="19"/>
                          </w:rPr>
                          <w:t>5,575</w:t>
                        </w:r>
                      </w:p>
                    </w:tc>
                    <w:tc>
                      <w:tcPr>
                        <w:tcW w:w="1417" w:type="dxa"/>
                        <w:tcBorders>
                          <w:top w:val="single" w:sz="4" w:space="0" w:color="000000"/>
                          <w:left w:val="nil"/>
                          <w:bottom w:val="single" w:sz="4" w:space="0" w:color="000000"/>
                        </w:tcBorders>
                        <w:shd w:val="clear" w:color="auto" w:fill="FAF9F9"/>
                      </w:tcPr>
                      <w:p>
                        <w:pPr>
                          <w:pStyle w:val="TableParagraph"/>
                          <w:ind w:right="89"/>
                          <w:jc w:val="right"/>
                          <w:rPr>
                            <w:b/>
                            <w:sz w:val="19"/>
                          </w:rPr>
                        </w:pPr>
                        <w:r>
                          <w:rPr>
                            <w:b/>
                            <w:w w:val="95"/>
                            <w:sz w:val="19"/>
                          </w:rPr>
                          <w:t>3,337</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single" w:sz="4" w:space="0" w:color="000000"/>
                          <w:left w:val="nil"/>
                          <w:bottom w:val="nil"/>
                          <w:right w:val="nil"/>
                        </w:tcBorders>
                        <w:shd w:val="clear" w:color="auto" w:fill="E1E4BB"/>
                      </w:tcPr>
                      <w:p>
                        <w:pPr>
                          <w:pStyle w:val="TableParagraph"/>
                          <w:spacing w:before="0"/>
                          <w:rPr>
                            <w:rFonts w:ascii="Times New Roman"/>
                            <w:sz w:val="22"/>
                          </w:rPr>
                        </w:pPr>
                      </w:p>
                    </w:tc>
                    <w:tc>
                      <w:tcPr>
                        <w:tcW w:w="1417" w:type="dxa"/>
                        <w:tcBorders>
                          <w:top w:val="single" w:sz="4" w:space="0" w:color="000000"/>
                          <w:left w:val="nil"/>
                        </w:tcBorders>
                        <w:shd w:val="clear" w:color="auto" w:fill="F4F4F4"/>
                      </w:tcPr>
                      <w:p>
                        <w:pPr>
                          <w:pStyle w:val="TableParagraph"/>
                          <w:spacing w:before="0"/>
                          <w:rPr>
                            <w:rFonts w:ascii="Times New Roman"/>
                            <w:sz w:val="22"/>
                          </w:rPr>
                        </w:pPr>
                      </w:p>
                    </w:tc>
                  </w:tr>
                  <w:tr>
                    <w:trPr>
                      <w:trHeight w:val="307" w:hRule="atLeast"/>
                    </w:trPr>
                    <w:tc>
                      <w:tcPr>
                        <w:tcW w:w="4606" w:type="dxa"/>
                        <w:tcBorders>
                          <w:right w:val="nil"/>
                        </w:tcBorders>
                        <w:shd w:val="clear" w:color="auto" w:fill="FAF9F9"/>
                      </w:tcPr>
                      <w:p>
                        <w:pPr>
                          <w:pStyle w:val="TableParagraph"/>
                          <w:ind w:left="113"/>
                          <w:rPr>
                            <w:b/>
                            <w:sz w:val="19"/>
                          </w:rPr>
                        </w:pPr>
                        <w:r>
                          <w:rPr>
                            <w:b/>
                            <w:sz w:val="19"/>
                          </w:rPr>
                          <w:t>Expenditure</w:t>
                        </w:r>
                      </w:p>
                    </w:tc>
                    <w:tc>
                      <w:tcPr>
                        <w:tcW w:w="1417" w:type="dxa"/>
                        <w:tcBorders>
                          <w:top w:val="nil"/>
                          <w:left w:val="nil"/>
                          <w:bottom w:val="nil"/>
                          <w:right w:val="nil"/>
                        </w:tcBorders>
                        <w:shd w:val="clear" w:color="auto" w:fill="E1E4BB"/>
                      </w:tcPr>
                      <w:p>
                        <w:pPr>
                          <w:pStyle w:val="TableParagraph"/>
                          <w:spacing w:before="0"/>
                          <w:rPr>
                            <w:rFonts w:ascii="Times New Roman"/>
                            <w:sz w:val="22"/>
                          </w:rPr>
                        </w:pPr>
                      </w:p>
                    </w:tc>
                    <w:tc>
                      <w:tcPr>
                        <w:tcW w:w="1417" w:type="dxa"/>
                        <w:tcBorders>
                          <w:left w:val="nil"/>
                        </w:tcBorders>
                        <w:shd w:val="clear" w:color="auto" w:fill="FAF9F9"/>
                      </w:tcPr>
                      <w:p>
                        <w:pPr>
                          <w:pStyle w:val="TableParagraph"/>
                          <w:spacing w:before="0"/>
                          <w:rPr>
                            <w:rFonts w:ascii="Times New Roman"/>
                            <w:sz w:val="22"/>
                          </w:rPr>
                        </w:pPr>
                      </w:p>
                    </w:tc>
                  </w:tr>
                  <w:tr>
                    <w:trPr>
                      <w:trHeight w:val="307" w:hRule="atLeast"/>
                    </w:trPr>
                    <w:tc>
                      <w:tcPr>
                        <w:tcW w:w="4606" w:type="dxa"/>
                        <w:tcBorders>
                          <w:right w:val="nil"/>
                        </w:tcBorders>
                        <w:shd w:val="clear" w:color="auto" w:fill="F4F4F4"/>
                      </w:tcPr>
                      <w:p>
                        <w:pPr>
                          <w:pStyle w:val="TableParagraph"/>
                          <w:ind w:left="113"/>
                          <w:rPr>
                            <w:sz w:val="19"/>
                          </w:rPr>
                        </w:pPr>
                        <w:r>
                          <w:rPr>
                            <w:sz w:val="19"/>
                          </w:rPr>
                          <w:t>Consultants and contractors</w:t>
                        </w:r>
                      </w:p>
                    </w:tc>
                    <w:tc>
                      <w:tcPr>
                        <w:tcW w:w="1417" w:type="dxa"/>
                        <w:tcBorders>
                          <w:top w:val="nil"/>
                          <w:left w:val="nil"/>
                          <w:bottom w:val="nil"/>
                          <w:right w:val="nil"/>
                        </w:tcBorders>
                        <w:shd w:val="clear" w:color="auto" w:fill="E1E4BB"/>
                      </w:tcPr>
                      <w:p>
                        <w:pPr>
                          <w:pStyle w:val="TableParagraph"/>
                          <w:ind w:right="100"/>
                          <w:jc w:val="right"/>
                          <w:rPr>
                            <w:sz w:val="19"/>
                          </w:rPr>
                        </w:pPr>
                        <w:r>
                          <w:rPr>
                            <w:w w:val="95"/>
                            <w:sz w:val="19"/>
                          </w:rPr>
                          <w:t>1,640</w:t>
                        </w:r>
                      </w:p>
                    </w:tc>
                    <w:tc>
                      <w:tcPr>
                        <w:tcW w:w="1417" w:type="dxa"/>
                        <w:tcBorders>
                          <w:left w:val="nil"/>
                        </w:tcBorders>
                        <w:shd w:val="clear" w:color="auto" w:fill="F4F4F4"/>
                      </w:tcPr>
                      <w:p>
                        <w:pPr>
                          <w:pStyle w:val="TableParagraph"/>
                          <w:ind w:right="89"/>
                          <w:jc w:val="right"/>
                          <w:rPr>
                            <w:sz w:val="19"/>
                          </w:rPr>
                        </w:pPr>
                        <w:r>
                          <w:rPr>
                            <w:w w:val="95"/>
                            <w:sz w:val="19"/>
                          </w:rPr>
                          <w:t>969</w:t>
                        </w:r>
                      </w:p>
                    </w:tc>
                  </w:tr>
                  <w:tr>
                    <w:trPr>
                      <w:trHeight w:val="307" w:hRule="atLeast"/>
                    </w:trPr>
                    <w:tc>
                      <w:tcPr>
                        <w:tcW w:w="4606" w:type="dxa"/>
                        <w:tcBorders>
                          <w:right w:val="nil"/>
                        </w:tcBorders>
                        <w:shd w:val="clear" w:color="auto" w:fill="FAF9F9"/>
                      </w:tcPr>
                      <w:p>
                        <w:pPr>
                          <w:pStyle w:val="TableParagraph"/>
                          <w:ind w:left="114"/>
                          <w:rPr>
                            <w:sz w:val="19"/>
                          </w:rPr>
                        </w:pPr>
                        <w:r>
                          <w:rPr>
                            <w:sz w:val="19"/>
                          </w:rPr>
                          <w:t>Administration and other costs</w:t>
                        </w:r>
                      </w:p>
                    </w:tc>
                    <w:tc>
                      <w:tcPr>
                        <w:tcW w:w="1417" w:type="dxa"/>
                        <w:tcBorders>
                          <w:top w:val="nil"/>
                          <w:left w:val="nil"/>
                          <w:bottom w:val="nil"/>
                          <w:right w:val="nil"/>
                        </w:tcBorders>
                        <w:shd w:val="clear" w:color="auto" w:fill="E1E4BB"/>
                      </w:tcPr>
                      <w:p>
                        <w:pPr>
                          <w:pStyle w:val="TableParagraph"/>
                          <w:ind w:right="100"/>
                          <w:jc w:val="right"/>
                          <w:rPr>
                            <w:sz w:val="19"/>
                          </w:rPr>
                        </w:pPr>
                        <w:r>
                          <w:rPr>
                            <w:w w:val="95"/>
                            <w:sz w:val="19"/>
                          </w:rPr>
                          <w:t>3,507</w:t>
                        </w:r>
                      </w:p>
                    </w:tc>
                    <w:tc>
                      <w:tcPr>
                        <w:tcW w:w="1417" w:type="dxa"/>
                        <w:tcBorders>
                          <w:left w:val="nil"/>
                        </w:tcBorders>
                        <w:shd w:val="clear" w:color="auto" w:fill="FAF9F9"/>
                      </w:tcPr>
                      <w:p>
                        <w:pPr>
                          <w:pStyle w:val="TableParagraph"/>
                          <w:ind w:right="89"/>
                          <w:jc w:val="right"/>
                          <w:rPr>
                            <w:sz w:val="19"/>
                          </w:rPr>
                        </w:pPr>
                        <w:r>
                          <w:rPr>
                            <w:w w:val="95"/>
                            <w:sz w:val="19"/>
                          </w:rPr>
                          <w:t>1,689</w:t>
                        </w:r>
                      </w:p>
                    </w:tc>
                  </w:tr>
                  <w:tr>
                    <w:trPr>
                      <w:trHeight w:val="307" w:hRule="atLeast"/>
                    </w:trPr>
                    <w:tc>
                      <w:tcPr>
                        <w:tcW w:w="4606" w:type="dxa"/>
                        <w:tcBorders>
                          <w:right w:val="nil"/>
                        </w:tcBorders>
                        <w:shd w:val="clear" w:color="auto" w:fill="F4F4F4"/>
                      </w:tcPr>
                      <w:p>
                        <w:pPr>
                          <w:pStyle w:val="TableParagraph"/>
                          <w:ind w:left="114"/>
                          <w:rPr>
                            <w:sz w:val="19"/>
                          </w:rPr>
                        </w:pPr>
                        <w:r>
                          <w:rPr>
                            <w:sz w:val="19"/>
                          </w:rPr>
                          <w:t>Payroll Tax and business franchise</w:t>
                        </w:r>
                      </w:p>
                    </w:tc>
                    <w:tc>
                      <w:tcPr>
                        <w:tcW w:w="1417" w:type="dxa"/>
                        <w:tcBorders>
                          <w:top w:val="nil"/>
                          <w:left w:val="nil"/>
                          <w:bottom w:val="nil"/>
                          <w:right w:val="nil"/>
                        </w:tcBorders>
                        <w:shd w:val="clear" w:color="auto" w:fill="E1E4BB"/>
                      </w:tcPr>
                      <w:p>
                        <w:pPr>
                          <w:pStyle w:val="TableParagraph"/>
                          <w:ind w:right="99"/>
                          <w:jc w:val="right"/>
                          <w:rPr>
                            <w:sz w:val="19"/>
                          </w:rPr>
                        </w:pPr>
                        <w:r>
                          <w:rPr>
                            <w:w w:val="95"/>
                            <w:sz w:val="19"/>
                          </w:rPr>
                          <w:t>28</w:t>
                        </w:r>
                      </w:p>
                    </w:tc>
                    <w:tc>
                      <w:tcPr>
                        <w:tcW w:w="1417" w:type="dxa"/>
                        <w:tcBorders>
                          <w:left w:val="nil"/>
                        </w:tcBorders>
                        <w:shd w:val="clear" w:color="auto" w:fill="F4F4F4"/>
                      </w:tcPr>
                      <w:p>
                        <w:pPr>
                          <w:pStyle w:val="TableParagraph"/>
                          <w:ind w:right="89"/>
                          <w:jc w:val="right"/>
                          <w:rPr>
                            <w:sz w:val="19"/>
                          </w:rPr>
                        </w:pPr>
                        <w:r>
                          <w:rPr>
                            <w:w w:val="95"/>
                            <w:sz w:val="19"/>
                          </w:rPr>
                          <w:t>30</w:t>
                        </w:r>
                      </w:p>
                    </w:tc>
                  </w:tr>
                  <w:tr>
                    <w:trPr>
                      <w:trHeight w:val="307" w:hRule="atLeast"/>
                    </w:trPr>
                    <w:tc>
                      <w:tcPr>
                        <w:tcW w:w="4606" w:type="dxa"/>
                        <w:tcBorders>
                          <w:right w:val="nil"/>
                        </w:tcBorders>
                        <w:shd w:val="clear" w:color="auto" w:fill="FAF9F9"/>
                      </w:tcPr>
                      <w:p>
                        <w:pPr>
                          <w:pStyle w:val="TableParagraph"/>
                          <w:ind w:left="114"/>
                          <w:rPr>
                            <w:sz w:val="19"/>
                          </w:rPr>
                        </w:pPr>
                        <w:r>
                          <w:rPr>
                            <w:sz w:val="19"/>
                          </w:rPr>
                          <w:t>Duties</w:t>
                        </w:r>
                      </w:p>
                    </w:tc>
                    <w:tc>
                      <w:tcPr>
                        <w:tcW w:w="1417" w:type="dxa"/>
                        <w:tcBorders>
                          <w:top w:val="nil"/>
                          <w:left w:val="nil"/>
                          <w:bottom w:val="nil"/>
                          <w:right w:val="nil"/>
                        </w:tcBorders>
                        <w:shd w:val="clear" w:color="auto" w:fill="E1E4BB"/>
                      </w:tcPr>
                      <w:p>
                        <w:pPr>
                          <w:pStyle w:val="TableParagraph"/>
                          <w:ind w:right="99"/>
                          <w:jc w:val="right"/>
                          <w:rPr>
                            <w:sz w:val="19"/>
                          </w:rPr>
                        </w:pPr>
                        <w:r>
                          <w:rPr>
                            <w:w w:val="111"/>
                            <w:sz w:val="19"/>
                          </w:rPr>
                          <w:t>-</w:t>
                        </w:r>
                      </w:p>
                    </w:tc>
                    <w:tc>
                      <w:tcPr>
                        <w:tcW w:w="1417" w:type="dxa"/>
                        <w:tcBorders>
                          <w:left w:val="nil"/>
                        </w:tcBorders>
                        <w:shd w:val="clear" w:color="auto" w:fill="FAF9F9"/>
                      </w:tcPr>
                      <w:p>
                        <w:pPr>
                          <w:pStyle w:val="TableParagraph"/>
                          <w:ind w:right="89"/>
                          <w:jc w:val="right"/>
                          <w:rPr>
                            <w:sz w:val="19"/>
                          </w:rPr>
                        </w:pPr>
                        <w:r>
                          <w:rPr>
                            <w:w w:val="99"/>
                            <w:sz w:val="19"/>
                          </w:rPr>
                          <w:t>1</w:t>
                        </w:r>
                      </w:p>
                    </w:tc>
                  </w:tr>
                  <w:tr>
                    <w:trPr>
                      <w:trHeight w:val="307" w:hRule="atLeast"/>
                    </w:trPr>
                    <w:tc>
                      <w:tcPr>
                        <w:tcW w:w="4606" w:type="dxa"/>
                        <w:tcBorders>
                          <w:right w:val="nil"/>
                        </w:tcBorders>
                        <w:shd w:val="clear" w:color="auto" w:fill="F4F4F4"/>
                      </w:tcPr>
                      <w:p>
                        <w:pPr>
                          <w:pStyle w:val="TableParagraph"/>
                          <w:ind w:left="114"/>
                          <w:rPr>
                            <w:sz w:val="19"/>
                          </w:rPr>
                        </w:pPr>
                        <w:r>
                          <w:rPr>
                            <w:sz w:val="19"/>
                          </w:rPr>
                          <w:t>Land Tax</w:t>
                        </w:r>
                      </w:p>
                    </w:tc>
                    <w:tc>
                      <w:tcPr>
                        <w:tcW w:w="1417" w:type="dxa"/>
                        <w:tcBorders>
                          <w:top w:val="nil"/>
                          <w:left w:val="nil"/>
                          <w:bottom w:val="nil"/>
                          <w:right w:val="nil"/>
                        </w:tcBorders>
                        <w:shd w:val="clear" w:color="auto" w:fill="E1E4BB"/>
                      </w:tcPr>
                      <w:p>
                        <w:pPr>
                          <w:pStyle w:val="TableParagraph"/>
                          <w:ind w:right="99"/>
                          <w:jc w:val="right"/>
                          <w:rPr>
                            <w:sz w:val="19"/>
                          </w:rPr>
                        </w:pPr>
                        <w:r>
                          <w:rPr>
                            <w:w w:val="99"/>
                            <w:sz w:val="19"/>
                          </w:rPr>
                          <w:t>1</w:t>
                        </w:r>
                      </w:p>
                    </w:tc>
                    <w:tc>
                      <w:tcPr>
                        <w:tcW w:w="1417" w:type="dxa"/>
                        <w:tcBorders>
                          <w:left w:val="nil"/>
                        </w:tcBorders>
                        <w:shd w:val="clear" w:color="auto" w:fill="F4F4F4"/>
                      </w:tcPr>
                      <w:p>
                        <w:pPr>
                          <w:pStyle w:val="TableParagraph"/>
                          <w:ind w:right="89"/>
                          <w:jc w:val="right"/>
                          <w:rPr>
                            <w:sz w:val="19"/>
                          </w:rPr>
                        </w:pPr>
                        <w:r>
                          <w:rPr>
                            <w:w w:val="99"/>
                            <w:sz w:val="19"/>
                          </w:rPr>
                          <w:t>2</w:t>
                        </w:r>
                      </w:p>
                    </w:tc>
                  </w:tr>
                  <w:tr>
                    <w:trPr>
                      <w:trHeight w:val="307" w:hRule="atLeast"/>
                    </w:trPr>
                    <w:tc>
                      <w:tcPr>
                        <w:tcW w:w="4606" w:type="dxa"/>
                        <w:tcBorders>
                          <w:right w:val="nil"/>
                        </w:tcBorders>
                        <w:shd w:val="clear" w:color="auto" w:fill="FAF9F9"/>
                      </w:tcPr>
                      <w:p>
                        <w:pPr>
                          <w:pStyle w:val="TableParagraph"/>
                          <w:ind w:left="114"/>
                          <w:rPr>
                            <w:sz w:val="19"/>
                          </w:rPr>
                        </w:pPr>
                        <w:r>
                          <w:rPr>
                            <w:sz w:val="19"/>
                          </w:rPr>
                          <w:t>Compliance</w:t>
                        </w:r>
                      </w:p>
                    </w:tc>
                    <w:tc>
                      <w:tcPr>
                        <w:tcW w:w="1417" w:type="dxa"/>
                        <w:tcBorders>
                          <w:top w:val="nil"/>
                          <w:left w:val="nil"/>
                          <w:bottom w:val="single" w:sz="4" w:space="0" w:color="000000"/>
                          <w:right w:val="nil"/>
                        </w:tcBorders>
                        <w:shd w:val="clear" w:color="auto" w:fill="E1E4BB"/>
                      </w:tcPr>
                      <w:p>
                        <w:pPr>
                          <w:pStyle w:val="TableParagraph"/>
                          <w:ind w:right="99"/>
                          <w:jc w:val="right"/>
                          <w:rPr>
                            <w:sz w:val="19"/>
                          </w:rPr>
                        </w:pPr>
                        <w:r>
                          <w:rPr>
                            <w:w w:val="95"/>
                            <w:sz w:val="19"/>
                          </w:rPr>
                          <w:t>42</w:t>
                        </w:r>
                      </w:p>
                    </w:tc>
                    <w:tc>
                      <w:tcPr>
                        <w:tcW w:w="1417" w:type="dxa"/>
                        <w:tcBorders>
                          <w:left w:val="nil"/>
                          <w:bottom w:val="single" w:sz="4" w:space="0" w:color="000000"/>
                        </w:tcBorders>
                        <w:shd w:val="clear" w:color="auto" w:fill="FAF9F9"/>
                      </w:tcPr>
                      <w:p>
                        <w:pPr>
                          <w:pStyle w:val="TableParagraph"/>
                          <w:ind w:right="88"/>
                          <w:jc w:val="right"/>
                          <w:rPr>
                            <w:sz w:val="19"/>
                          </w:rPr>
                        </w:pPr>
                        <w:r>
                          <w:rPr>
                            <w:w w:val="95"/>
                            <w:sz w:val="19"/>
                          </w:rPr>
                          <w:t>12</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single" w:sz="4" w:space="0" w:color="000000"/>
                          <w:left w:val="nil"/>
                          <w:bottom w:val="single" w:sz="4" w:space="0" w:color="000000"/>
                          <w:right w:val="nil"/>
                        </w:tcBorders>
                        <w:shd w:val="clear" w:color="auto" w:fill="DFE1B8"/>
                      </w:tcPr>
                      <w:p>
                        <w:pPr>
                          <w:pStyle w:val="TableParagraph"/>
                          <w:ind w:right="99"/>
                          <w:jc w:val="right"/>
                          <w:rPr>
                            <w:b/>
                            <w:sz w:val="19"/>
                          </w:rPr>
                        </w:pPr>
                        <w:r>
                          <w:rPr>
                            <w:b/>
                            <w:w w:val="95"/>
                            <w:sz w:val="19"/>
                          </w:rPr>
                          <w:t>5,218</w:t>
                        </w:r>
                      </w:p>
                    </w:tc>
                    <w:tc>
                      <w:tcPr>
                        <w:tcW w:w="1417" w:type="dxa"/>
                        <w:tcBorders>
                          <w:top w:val="single" w:sz="4" w:space="0" w:color="000000"/>
                          <w:left w:val="nil"/>
                          <w:bottom w:val="single" w:sz="4" w:space="0" w:color="000000"/>
                        </w:tcBorders>
                        <w:shd w:val="clear" w:color="auto" w:fill="F4F4F4"/>
                      </w:tcPr>
                      <w:p>
                        <w:pPr>
                          <w:pStyle w:val="TableParagraph"/>
                          <w:ind w:right="88"/>
                          <w:jc w:val="right"/>
                          <w:rPr>
                            <w:b/>
                            <w:sz w:val="19"/>
                          </w:rPr>
                        </w:pPr>
                        <w:r>
                          <w:rPr>
                            <w:b/>
                            <w:w w:val="95"/>
                            <w:sz w:val="19"/>
                          </w:rPr>
                          <w:t>2,703</w:t>
                        </w:r>
                      </w:p>
                    </w:tc>
                  </w:tr>
                  <w:tr>
                    <w:trPr>
                      <w:trHeight w:val="307" w:hRule="atLeast"/>
                    </w:trPr>
                    <w:tc>
                      <w:tcPr>
                        <w:tcW w:w="4606" w:type="dxa"/>
                        <w:tcBorders>
                          <w:right w:val="nil"/>
                        </w:tcBorders>
                        <w:shd w:val="clear" w:color="auto" w:fill="FAF9F9"/>
                      </w:tcPr>
                      <w:p>
                        <w:pPr>
                          <w:pStyle w:val="TableParagraph"/>
                          <w:ind w:left="115"/>
                          <w:rPr>
                            <w:sz w:val="19"/>
                          </w:rPr>
                        </w:pPr>
                        <w:r>
                          <w:rPr>
                            <w:sz w:val="19"/>
                          </w:rPr>
                          <w:t>Surplus/(deficit) for the period</w:t>
                        </w:r>
                      </w:p>
                    </w:tc>
                    <w:tc>
                      <w:tcPr>
                        <w:tcW w:w="1417" w:type="dxa"/>
                        <w:tcBorders>
                          <w:top w:val="single" w:sz="4" w:space="0" w:color="000000"/>
                          <w:left w:val="nil"/>
                          <w:bottom w:val="nil"/>
                          <w:right w:val="nil"/>
                        </w:tcBorders>
                        <w:shd w:val="clear" w:color="auto" w:fill="DFE1B8"/>
                      </w:tcPr>
                      <w:p>
                        <w:pPr>
                          <w:pStyle w:val="TableParagraph"/>
                          <w:ind w:right="99"/>
                          <w:jc w:val="right"/>
                          <w:rPr>
                            <w:b/>
                            <w:sz w:val="19"/>
                          </w:rPr>
                        </w:pPr>
                        <w:r>
                          <w:rPr>
                            <w:b/>
                            <w:w w:val="95"/>
                            <w:sz w:val="19"/>
                          </w:rPr>
                          <w:t>357</w:t>
                        </w:r>
                      </w:p>
                    </w:tc>
                    <w:tc>
                      <w:tcPr>
                        <w:tcW w:w="1417" w:type="dxa"/>
                        <w:tcBorders>
                          <w:top w:val="single" w:sz="4" w:space="0" w:color="000000"/>
                          <w:left w:val="nil"/>
                        </w:tcBorders>
                        <w:shd w:val="clear" w:color="auto" w:fill="FAF9F9"/>
                      </w:tcPr>
                      <w:p>
                        <w:pPr>
                          <w:pStyle w:val="TableParagraph"/>
                          <w:ind w:right="88"/>
                          <w:jc w:val="right"/>
                          <w:rPr>
                            <w:b/>
                            <w:sz w:val="19"/>
                          </w:rPr>
                        </w:pPr>
                        <w:r>
                          <w:rPr>
                            <w:b/>
                            <w:w w:val="95"/>
                            <w:sz w:val="19"/>
                          </w:rPr>
                          <w:t>634</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nil"/>
                          <w:left w:val="nil"/>
                          <w:bottom w:val="nil"/>
                          <w:right w:val="nil"/>
                        </w:tcBorders>
                        <w:shd w:val="clear" w:color="auto" w:fill="DFE1B8"/>
                      </w:tcPr>
                      <w:p>
                        <w:pPr>
                          <w:pStyle w:val="TableParagraph"/>
                          <w:spacing w:before="0"/>
                          <w:rPr>
                            <w:rFonts w:ascii="Times New Roman"/>
                            <w:sz w:val="22"/>
                          </w:rPr>
                        </w:pPr>
                      </w:p>
                    </w:tc>
                    <w:tc>
                      <w:tcPr>
                        <w:tcW w:w="1417" w:type="dxa"/>
                        <w:tcBorders>
                          <w:left w:val="nil"/>
                        </w:tcBorders>
                        <w:shd w:val="clear" w:color="auto" w:fill="F4F4F4"/>
                      </w:tcPr>
                      <w:p>
                        <w:pPr>
                          <w:pStyle w:val="TableParagraph"/>
                          <w:spacing w:before="0"/>
                          <w:rPr>
                            <w:rFonts w:ascii="Times New Roman"/>
                            <w:sz w:val="22"/>
                          </w:rPr>
                        </w:pPr>
                      </w:p>
                    </w:tc>
                  </w:tr>
                  <w:tr>
                    <w:trPr>
                      <w:trHeight w:val="307" w:hRule="atLeast"/>
                    </w:trPr>
                    <w:tc>
                      <w:tcPr>
                        <w:tcW w:w="4606" w:type="dxa"/>
                        <w:tcBorders>
                          <w:right w:val="nil"/>
                        </w:tcBorders>
                        <w:shd w:val="clear" w:color="auto" w:fill="FAF9F9"/>
                      </w:tcPr>
                      <w:p>
                        <w:pPr>
                          <w:pStyle w:val="TableParagraph"/>
                          <w:ind w:left="115"/>
                          <w:rPr>
                            <w:sz w:val="19"/>
                          </w:rPr>
                        </w:pPr>
                        <w:r>
                          <w:rPr>
                            <w:sz w:val="19"/>
                          </w:rPr>
                          <w:t>Balance brought forward</w:t>
                        </w:r>
                      </w:p>
                    </w:tc>
                    <w:tc>
                      <w:tcPr>
                        <w:tcW w:w="1417" w:type="dxa"/>
                        <w:tcBorders>
                          <w:top w:val="nil"/>
                          <w:left w:val="nil"/>
                          <w:bottom w:val="single" w:sz="4" w:space="0" w:color="000000"/>
                          <w:right w:val="nil"/>
                        </w:tcBorders>
                        <w:shd w:val="clear" w:color="auto" w:fill="DFE1B8"/>
                      </w:tcPr>
                      <w:p>
                        <w:pPr>
                          <w:pStyle w:val="TableParagraph"/>
                          <w:ind w:right="98"/>
                          <w:jc w:val="right"/>
                          <w:rPr>
                            <w:b/>
                            <w:sz w:val="19"/>
                          </w:rPr>
                        </w:pPr>
                        <w:r>
                          <w:rPr>
                            <w:b/>
                            <w:w w:val="95"/>
                            <w:sz w:val="19"/>
                          </w:rPr>
                          <w:t>644</w:t>
                        </w:r>
                      </w:p>
                    </w:tc>
                    <w:tc>
                      <w:tcPr>
                        <w:tcW w:w="1417" w:type="dxa"/>
                        <w:tcBorders>
                          <w:left w:val="nil"/>
                          <w:bottom w:val="single" w:sz="4" w:space="0" w:color="000000"/>
                        </w:tcBorders>
                        <w:shd w:val="clear" w:color="auto" w:fill="FAF9F9"/>
                      </w:tcPr>
                      <w:p>
                        <w:pPr>
                          <w:pStyle w:val="TableParagraph"/>
                          <w:ind w:right="88"/>
                          <w:jc w:val="right"/>
                          <w:rPr>
                            <w:b/>
                            <w:sz w:val="19"/>
                          </w:rPr>
                        </w:pPr>
                        <w:r>
                          <w:rPr>
                            <w:b/>
                            <w:w w:val="95"/>
                            <w:sz w:val="19"/>
                          </w:rPr>
                          <w:t>10</w:t>
                        </w:r>
                      </w:p>
                    </w:tc>
                  </w:tr>
                  <w:tr>
                    <w:trPr>
                      <w:trHeight w:val="277" w:hRule="atLeast"/>
                    </w:trPr>
                    <w:tc>
                      <w:tcPr>
                        <w:tcW w:w="4606" w:type="dxa"/>
                        <w:tcBorders>
                          <w:right w:val="nil"/>
                        </w:tcBorders>
                        <w:shd w:val="clear" w:color="auto" w:fill="F4F4F4"/>
                      </w:tcPr>
                      <w:p>
                        <w:pPr>
                          <w:pStyle w:val="TableParagraph"/>
                          <w:ind w:left="115"/>
                          <w:rPr>
                            <w:b/>
                            <w:sz w:val="19"/>
                          </w:rPr>
                        </w:pPr>
                        <w:r>
                          <w:rPr>
                            <w:b/>
                            <w:sz w:val="19"/>
                          </w:rPr>
                          <w:t>Balance carried forward</w:t>
                        </w:r>
                      </w:p>
                    </w:tc>
                    <w:tc>
                      <w:tcPr>
                        <w:tcW w:w="1417" w:type="dxa"/>
                        <w:tcBorders>
                          <w:top w:val="single" w:sz="4" w:space="0" w:color="000000"/>
                          <w:left w:val="nil"/>
                          <w:bottom w:val="single" w:sz="24" w:space="0" w:color="FFFFFF"/>
                          <w:right w:val="nil"/>
                        </w:tcBorders>
                        <w:shd w:val="clear" w:color="auto" w:fill="DFE1B8"/>
                      </w:tcPr>
                      <w:p>
                        <w:pPr>
                          <w:pStyle w:val="TableParagraph"/>
                          <w:ind w:right="98"/>
                          <w:jc w:val="right"/>
                          <w:rPr>
                            <w:b/>
                            <w:sz w:val="19"/>
                          </w:rPr>
                        </w:pPr>
                        <w:r>
                          <w:rPr>
                            <w:b/>
                            <w:w w:val="95"/>
                            <w:sz w:val="19"/>
                          </w:rPr>
                          <w:t>1,001</w:t>
                        </w:r>
                      </w:p>
                    </w:tc>
                    <w:tc>
                      <w:tcPr>
                        <w:tcW w:w="1417" w:type="dxa"/>
                        <w:tcBorders>
                          <w:top w:val="single" w:sz="4" w:space="0" w:color="000000"/>
                          <w:left w:val="nil"/>
                          <w:bottom w:val="single" w:sz="24" w:space="0" w:color="FFFFFF"/>
                        </w:tcBorders>
                        <w:shd w:val="clear" w:color="auto" w:fill="F4F4F4"/>
                      </w:tcPr>
                      <w:p>
                        <w:pPr>
                          <w:pStyle w:val="TableParagraph"/>
                          <w:ind w:right="88"/>
                          <w:jc w:val="right"/>
                          <w:rPr>
                            <w:b/>
                            <w:sz w:val="19"/>
                          </w:rPr>
                        </w:pPr>
                        <w:r>
                          <w:rPr>
                            <w:b/>
                            <w:w w:val="95"/>
                            <w:sz w:val="19"/>
                          </w:rPr>
                          <w:t>644</w:t>
                        </w:r>
                      </w:p>
                    </w:tc>
                  </w:tr>
                </w:tbl>
                <w:p>
                  <w:pPr>
                    <w:pStyle w:val="BodyText"/>
                  </w:pPr>
                </w:p>
              </w:txbxContent>
            </v:textbox>
            <w10:wrap type="none"/>
          </v:shape>
        </w:pict>
      </w:r>
      <w:r>
        <w:rPr/>
        <w:pict>
          <v:shape style="position:absolute;margin-left:34.7244pt;margin-top:28.844484pt;width:373.55pt;height:93.15pt;mso-position-horizontal-relative:page;mso-position-vertical-relative:paragraph;z-index:2363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2018</w:t>
                          <w:tab/>
                        </w:r>
                        <w:r>
                          <w:rPr>
                            <w:b/>
                            <w:color w:val="FFFFFF"/>
                            <w:w w:val="95"/>
                            <w:sz w:val="19"/>
                          </w:rPr>
                          <w:t>2017</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sz w:val="19"/>
                          </w:rPr>
                        </w:pPr>
                        <w:r>
                          <w:rPr>
                            <w:sz w:val="19"/>
                          </w:rPr>
                          <w:t>The accountable authority</w:t>
                        </w:r>
                      </w:p>
                    </w:tc>
                    <w:tc>
                      <w:tcPr>
                        <w:tcW w:w="1417" w:type="dxa"/>
                        <w:vMerge w:val="restart"/>
                        <w:tcBorders>
                          <w:top w:val="nil"/>
                          <w:left w:val="nil"/>
                          <w:bottom w:val="single" w:sz="4" w:space="0" w:color="000000"/>
                          <w:right w:val="nil"/>
                        </w:tcBorders>
                        <w:shd w:val="clear" w:color="auto" w:fill="E1E4BB"/>
                      </w:tcPr>
                      <w:p>
                        <w:pPr>
                          <w:pStyle w:val="TableParagraph"/>
                          <w:spacing w:before="42"/>
                          <w:ind w:left="839"/>
                          <w:rPr>
                            <w:sz w:val="19"/>
                          </w:rPr>
                        </w:pPr>
                        <w:r>
                          <w:rPr>
                            <w:sz w:val="19"/>
                          </w:rPr>
                          <w:t>4,733</w:t>
                        </w:r>
                      </w:p>
                      <w:p>
                        <w:pPr>
                          <w:pStyle w:val="TableParagraph"/>
                          <w:spacing w:before="109"/>
                          <w:ind w:left="839"/>
                          <w:rPr>
                            <w:sz w:val="19"/>
                          </w:rPr>
                        </w:pPr>
                        <w:r>
                          <w:rPr>
                            <w:sz w:val="19"/>
                          </w:rPr>
                          <w:t>3,048</w:t>
                        </w:r>
                      </w:p>
                      <w:p>
                        <w:pPr>
                          <w:pStyle w:val="TableParagraph"/>
                          <w:spacing w:before="109"/>
                          <w:ind w:left="839"/>
                          <w:rPr>
                            <w:sz w:val="19"/>
                          </w:rPr>
                        </w:pPr>
                        <w:r>
                          <w:rPr>
                            <w:sz w:val="19"/>
                          </w:rPr>
                          <w:t>4,088</w:t>
                        </w:r>
                      </w:p>
                    </w:tc>
                    <w:tc>
                      <w:tcPr>
                        <w:tcW w:w="1417" w:type="dxa"/>
                        <w:tcBorders>
                          <w:top w:val="nil"/>
                          <w:left w:val="nil"/>
                        </w:tcBorders>
                        <w:shd w:val="clear" w:color="auto" w:fill="F4F4F4"/>
                      </w:tcPr>
                      <w:p>
                        <w:pPr>
                          <w:pStyle w:val="TableParagraph"/>
                          <w:spacing w:before="42"/>
                          <w:ind w:right="90"/>
                          <w:jc w:val="right"/>
                          <w:rPr>
                            <w:sz w:val="19"/>
                          </w:rPr>
                        </w:pPr>
                        <w:r>
                          <w:rPr>
                            <w:w w:val="95"/>
                            <w:sz w:val="19"/>
                          </w:rPr>
                          <w:t>7,135</w:t>
                        </w:r>
                      </w:p>
                    </w:tc>
                  </w:tr>
                  <w:tr>
                    <w:trPr>
                      <w:trHeight w:val="307" w:hRule="atLeast"/>
                    </w:trPr>
                    <w:tc>
                      <w:tcPr>
                        <w:tcW w:w="4606" w:type="dxa"/>
                        <w:tcBorders>
                          <w:right w:val="nil"/>
                        </w:tcBorders>
                        <w:shd w:val="clear" w:color="auto" w:fill="FAF9F9"/>
                      </w:tcPr>
                      <w:p>
                        <w:pPr>
                          <w:pStyle w:val="TableParagraph"/>
                          <w:ind w:left="113"/>
                          <w:rPr>
                            <w:sz w:val="19"/>
                          </w:rPr>
                        </w:pPr>
                        <w:r>
                          <w:rPr>
                            <w:sz w:val="19"/>
                          </w:rPr>
                          <w:t>The Minister</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ind w:right="89"/>
                          <w:jc w:val="right"/>
                          <w:rPr>
                            <w:sz w:val="19"/>
                          </w:rPr>
                        </w:pPr>
                        <w:r>
                          <w:rPr>
                            <w:w w:val="95"/>
                            <w:sz w:val="19"/>
                          </w:rPr>
                          <w:t>4,500</w:t>
                        </w:r>
                      </w:p>
                    </w:tc>
                  </w:tr>
                  <w:tr>
                    <w:trPr>
                      <w:trHeight w:val="307" w:hRule="atLeast"/>
                    </w:trPr>
                    <w:tc>
                      <w:tcPr>
                        <w:tcW w:w="4606" w:type="dxa"/>
                        <w:tcBorders>
                          <w:right w:val="nil"/>
                        </w:tcBorders>
                        <w:shd w:val="clear" w:color="auto" w:fill="F4F4F4"/>
                      </w:tcPr>
                      <w:p>
                        <w:pPr>
                          <w:pStyle w:val="TableParagraph"/>
                          <w:ind w:left="113"/>
                          <w:rPr>
                            <w:sz w:val="19"/>
                          </w:rPr>
                        </w:pPr>
                        <w:r>
                          <w:rPr>
                            <w:sz w:val="19"/>
                          </w:rPr>
                          <w:t>Executive Council</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4F4F4"/>
                      </w:tcPr>
                      <w:p>
                        <w:pPr>
                          <w:pStyle w:val="TableParagraph"/>
                          <w:ind w:right="89"/>
                          <w:jc w:val="right"/>
                          <w:rPr>
                            <w:sz w:val="19"/>
                          </w:rPr>
                        </w:pPr>
                        <w:r>
                          <w:rPr>
                            <w:w w:val="95"/>
                            <w:sz w:val="19"/>
                          </w:rPr>
                          <w:t>7,904</w:t>
                        </w:r>
                      </w:p>
                    </w:tc>
                  </w:tr>
                  <w:tr>
                    <w:trPr>
                      <w:trHeight w:val="277"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tcBorders>
                          <w:top w:val="single" w:sz="4" w:space="0" w:color="000000"/>
                          <w:left w:val="nil"/>
                          <w:bottom w:val="single" w:sz="24" w:space="0" w:color="FFFFFF"/>
                          <w:right w:val="nil"/>
                        </w:tcBorders>
                        <w:shd w:val="clear" w:color="auto" w:fill="E1E4BB"/>
                      </w:tcPr>
                      <w:p>
                        <w:pPr>
                          <w:pStyle w:val="TableParagraph"/>
                          <w:ind w:left="733"/>
                          <w:rPr>
                            <w:b/>
                            <w:sz w:val="19"/>
                          </w:rPr>
                        </w:pPr>
                        <w:r>
                          <w:rPr>
                            <w:b/>
                            <w:sz w:val="19"/>
                          </w:rPr>
                          <w:t>11,869</w:t>
                        </w:r>
                      </w:p>
                    </w:tc>
                    <w:tc>
                      <w:tcPr>
                        <w:tcW w:w="1417" w:type="dxa"/>
                        <w:tcBorders>
                          <w:top w:val="single" w:sz="4" w:space="0" w:color="000000"/>
                          <w:left w:val="nil"/>
                          <w:bottom w:val="single" w:sz="24" w:space="0" w:color="FFFFFF"/>
                        </w:tcBorders>
                        <w:shd w:val="clear" w:color="auto" w:fill="FAF9F9"/>
                      </w:tcPr>
                      <w:p>
                        <w:pPr>
                          <w:pStyle w:val="TableParagraph"/>
                          <w:ind w:right="89"/>
                          <w:jc w:val="right"/>
                          <w:rPr>
                            <w:b/>
                            <w:sz w:val="19"/>
                          </w:rPr>
                        </w:pPr>
                        <w:r>
                          <w:rPr>
                            <w:b/>
                            <w:w w:val="95"/>
                            <w:sz w:val="19"/>
                          </w:rPr>
                          <w:t>19,539</w:t>
                        </w:r>
                      </w:p>
                    </w:tc>
                  </w:tr>
                </w:tbl>
                <w:p>
                  <w:pPr>
                    <w:pStyle w:val="BodyText"/>
                  </w:pPr>
                </w:p>
              </w:txbxContent>
            </v:textbox>
            <w10:wrap type="none"/>
          </v:shape>
        </w:pict>
      </w:r>
      <w:r>
        <w:rPr/>
        <w:t>During</w:t>
      </w:r>
      <w:r>
        <w:rPr>
          <w:spacing w:val="-22"/>
        </w:rPr>
        <w:t> </w:t>
      </w:r>
      <w:r>
        <w:rPr/>
        <w:t>the</w:t>
      </w:r>
      <w:r>
        <w:rPr>
          <w:spacing w:val="-22"/>
        </w:rPr>
        <w:t> </w:t>
      </w:r>
      <w:r>
        <w:rPr/>
        <w:t>financial</w:t>
      </w:r>
      <w:r>
        <w:rPr>
          <w:spacing w:val="-22"/>
        </w:rPr>
        <w:t> </w:t>
      </w:r>
      <w:r>
        <w:rPr/>
        <w:t>year</w:t>
      </w:r>
      <w:r>
        <w:rPr>
          <w:spacing w:val="-21"/>
        </w:rPr>
        <w:t> </w:t>
      </w:r>
      <w:r>
        <w:rPr/>
        <w:t>$11.869</w:t>
      </w:r>
      <w:r>
        <w:rPr>
          <w:spacing w:val="-22"/>
        </w:rPr>
        <w:t> </w:t>
      </w:r>
      <w:r>
        <w:rPr/>
        <w:t>million</w:t>
      </w:r>
      <w:r>
        <w:rPr>
          <w:spacing w:val="-22"/>
        </w:rPr>
        <w:t> </w:t>
      </w:r>
      <w:r>
        <w:rPr/>
        <w:t>was</w:t>
      </w:r>
      <w:r>
        <w:rPr>
          <w:spacing w:val="-21"/>
        </w:rPr>
        <w:t> </w:t>
      </w:r>
      <w:r>
        <w:rPr/>
        <w:t>written</w:t>
      </w:r>
      <w:r>
        <w:rPr>
          <w:spacing w:val="-22"/>
        </w:rPr>
        <w:t> </w:t>
      </w:r>
      <w:r>
        <w:rPr/>
        <w:t>off</w:t>
      </w:r>
      <w:r>
        <w:rPr>
          <w:spacing w:val="-22"/>
        </w:rPr>
        <w:t> </w:t>
      </w:r>
      <w:r>
        <w:rPr/>
        <w:t>by</w:t>
      </w:r>
      <w:r>
        <w:rPr>
          <w:spacing w:val="-21"/>
        </w:rPr>
        <w:t> </w:t>
      </w:r>
      <w:r>
        <w:rPr/>
        <w:t>the</w:t>
      </w:r>
      <w:r>
        <w:rPr>
          <w:spacing w:val="-22"/>
        </w:rPr>
        <w:t> </w:t>
      </w:r>
      <w:r>
        <w:rPr/>
        <w:t>Department under the authority</w:t>
      </w:r>
      <w:r>
        <w:rPr>
          <w:spacing w:val="-3"/>
        </w:rPr>
        <w:t> </w:t>
      </w:r>
      <w:r>
        <w:rPr/>
        <w:t>of:</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3"/>
        </w:rPr>
      </w:pPr>
    </w:p>
    <w:p>
      <w:pPr>
        <w:pStyle w:val="Heading6"/>
        <w:numPr>
          <w:ilvl w:val="0"/>
          <w:numId w:val="27"/>
        </w:numPr>
        <w:tabs>
          <w:tab w:pos="1092" w:val="left" w:leader="none"/>
        </w:tabs>
        <w:spacing w:line="240" w:lineRule="auto" w:before="0" w:after="0"/>
        <w:ind w:left="1091" w:right="0" w:hanging="326"/>
        <w:jc w:val="left"/>
      </w:pPr>
      <w:r>
        <w:rPr/>
        <w:pict>
          <v:shape style="position:absolute;margin-left:34.7244pt;margin-top:15.466458pt;width:373.55pt;height:76.8pt;mso-position-horizontal-relative:page;mso-position-vertical-relative:paragraph;z-index:2365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2018</w:t>
                          <w:tab/>
                        </w:r>
                        <w:r>
                          <w:rPr>
                            <w:b/>
                            <w:color w:val="FFFFFF"/>
                            <w:w w:val="95"/>
                            <w:sz w:val="19"/>
                          </w:rPr>
                          <w:t>2017</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sz w:val="19"/>
                          </w:rPr>
                        </w:pPr>
                        <w:r>
                          <w:rPr>
                            <w:sz w:val="19"/>
                          </w:rPr>
                          <w:t>Public assets</w:t>
                        </w:r>
                      </w:p>
                    </w:tc>
                    <w:tc>
                      <w:tcPr>
                        <w:tcW w:w="1417" w:type="dxa"/>
                        <w:vMerge w:val="restart"/>
                        <w:tcBorders>
                          <w:top w:val="nil"/>
                          <w:left w:val="nil"/>
                          <w:bottom w:val="single" w:sz="4" w:space="0" w:color="000000"/>
                          <w:right w:val="nil"/>
                        </w:tcBorders>
                        <w:shd w:val="clear" w:color="auto" w:fill="E1E4BB"/>
                      </w:tcPr>
                      <w:p>
                        <w:pPr>
                          <w:pStyle w:val="TableParagraph"/>
                          <w:spacing w:before="42"/>
                          <w:ind w:right="100"/>
                          <w:jc w:val="right"/>
                          <w:rPr>
                            <w:sz w:val="19"/>
                          </w:rPr>
                        </w:pPr>
                        <w:r>
                          <w:rPr>
                            <w:w w:val="95"/>
                            <w:sz w:val="19"/>
                          </w:rPr>
                          <w:t>646</w:t>
                        </w:r>
                      </w:p>
                      <w:p>
                        <w:pPr>
                          <w:pStyle w:val="TableParagraph"/>
                          <w:spacing w:before="109"/>
                          <w:ind w:right="100"/>
                          <w:jc w:val="right"/>
                          <w:rPr>
                            <w:sz w:val="19"/>
                          </w:rPr>
                        </w:pPr>
                        <w:r>
                          <w:rPr>
                            <w:spacing w:val="-1"/>
                            <w:sz w:val="19"/>
                          </w:rPr>
                          <w:t>11,223</w:t>
                        </w:r>
                      </w:p>
                    </w:tc>
                    <w:tc>
                      <w:tcPr>
                        <w:tcW w:w="1417" w:type="dxa"/>
                        <w:tcBorders>
                          <w:top w:val="nil"/>
                          <w:left w:val="nil"/>
                        </w:tcBorders>
                        <w:shd w:val="clear" w:color="auto" w:fill="F4F4F4"/>
                      </w:tcPr>
                      <w:p>
                        <w:pPr>
                          <w:pStyle w:val="TableParagraph"/>
                          <w:spacing w:before="42"/>
                          <w:ind w:right="90"/>
                          <w:jc w:val="right"/>
                          <w:rPr>
                            <w:sz w:val="19"/>
                          </w:rPr>
                        </w:pPr>
                        <w:r>
                          <w:rPr>
                            <w:w w:val="95"/>
                            <w:sz w:val="19"/>
                          </w:rPr>
                          <w:t>1,504</w:t>
                        </w:r>
                      </w:p>
                    </w:tc>
                  </w:tr>
                  <w:tr>
                    <w:trPr>
                      <w:trHeight w:val="307" w:hRule="atLeast"/>
                    </w:trPr>
                    <w:tc>
                      <w:tcPr>
                        <w:tcW w:w="4606" w:type="dxa"/>
                        <w:tcBorders>
                          <w:right w:val="nil"/>
                        </w:tcBorders>
                        <w:shd w:val="clear" w:color="auto" w:fill="FAF9F9"/>
                      </w:tcPr>
                      <w:p>
                        <w:pPr>
                          <w:pStyle w:val="TableParagraph"/>
                          <w:ind w:left="113"/>
                          <w:rPr>
                            <w:sz w:val="19"/>
                          </w:rPr>
                        </w:pPr>
                        <w:r>
                          <w:rPr>
                            <w:sz w:val="19"/>
                          </w:rPr>
                          <w:t>Debts due to the State</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18,035</w:t>
                        </w:r>
                      </w:p>
                    </w:tc>
                  </w:tr>
                  <w:tr>
                    <w:trPr>
                      <w:trHeight w:val="277"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tcBorders>
                          <w:top w:val="single" w:sz="4" w:space="0" w:color="000000"/>
                          <w:left w:val="nil"/>
                          <w:bottom w:val="single" w:sz="24" w:space="0" w:color="FFFFFF"/>
                          <w:right w:val="nil"/>
                        </w:tcBorders>
                        <w:shd w:val="clear" w:color="auto" w:fill="DFE1B8"/>
                      </w:tcPr>
                      <w:p>
                        <w:pPr>
                          <w:pStyle w:val="TableParagraph"/>
                          <w:ind w:left="733"/>
                          <w:rPr>
                            <w:b/>
                            <w:sz w:val="19"/>
                          </w:rPr>
                        </w:pPr>
                        <w:r>
                          <w:rPr>
                            <w:b/>
                            <w:sz w:val="19"/>
                          </w:rPr>
                          <w:t>11,869</w:t>
                        </w:r>
                      </w:p>
                    </w:tc>
                    <w:tc>
                      <w:tcPr>
                        <w:tcW w:w="1417" w:type="dxa"/>
                        <w:tcBorders>
                          <w:top w:val="single" w:sz="4" w:space="0" w:color="000000"/>
                          <w:left w:val="nil"/>
                          <w:bottom w:val="single" w:sz="24" w:space="0" w:color="FFFFFF"/>
                        </w:tcBorders>
                        <w:shd w:val="clear" w:color="auto" w:fill="F4F4F4"/>
                      </w:tcPr>
                      <w:p>
                        <w:pPr>
                          <w:pStyle w:val="TableParagraph"/>
                          <w:ind w:right="89"/>
                          <w:jc w:val="right"/>
                          <w:rPr>
                            <w:b/>
                            <w:sz w:val="19"/>
                          </w:rPr>
                        </w:pPr>
                        <w:r>
                          <w:rPr>
                            <w:b/>
                            <w:w w:val="95"/>
                            <w:sz w:val="19"/>
                          </w:rPr>
                          <w:t>19,539</w:t>
                        </w:r>
                      </w:p>
                    </w:tc>
                  </w:tr>
                </w:tbl>
                <w:p>
                  <w:pPr>
                    <w:pStyle w:val="BodyText"/>
                  </w:pPr>
                </w:p>
              </w:txbxContent>
            </v:textbox>
            <w10:wrap type="none"/>
          </v:shape>
        </w:pict>
      </w:r>
      <w:r>
        <w:rPr/>
        <w:t>Write-offs by</w:t>
      </w:r>
      <w:r>
        <w:rPr>
          <w:spacing w:val="7"/>
        </w:rPr>
        <w:t> </w:t>
      </w:r>
      <w:r>
        <w:rPr/>
        <w:t>category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7"/>
        </w:rPr>
      </w:pPr>
    </w:p>
    <w:p>
      <w:pPr>
        <w:pStyle w:val="ListParagraph"/>
        <w:numPr>
          <w:ilvl w:val="0"/>
          <w:numId w:val="27"/>
        </w:numPr>
        <w:tabs>
          <w:tab w:pos="1084" w:val="left" w:leader="none"/>
        </w:tabs>
        <w:spacing w:line="240" w:lineRule="auto" w:before="0" w:after="0"/>
        <w:ind w:left="1083" w:right="0" w:hanging="318"/>
        <w:jc w:val="left"/>
        <w:rPr>
          <w:b/>
          <w:sz w:val="22"/>
        </w:rPr>
      </w:pPr>
      <w:r>
        <w:rPr>
          <w:b/>
          <w:sz w:val="22"/>
        </w:rPr>
        <w:t>Act of grace</w:t>
      </w:r>
      <w:r>
        <w:rPr>
          <w:b/>
          <w:spacing w:val="11"/>
          <w:sz w:val="22"/>
        </w:rPr>
        <w:t> </w:t>
      </w:r>
      <w:r>
        <w:rPr>
          <w:b/>
          <w:sz w:val="22"/>
        </w:rPr>
        <w:t>payments</w:t>
      </w:r>
    </w:p>
    <w:p>
      <w:pPr>
        <w:spacing w:line="235" w:lineRule="auto" w:before="115"/>
        <w:ind w:left="765" w:right="2787" w:firstLine="0"/>
        <w:jc w:val="left"/>
        <w:rPr>
          <w:sz w:val="32"/>
        </w:rPr>
      </w:pPr>
      <w:r>
        <w:rPr/>
        <w:br w:type="column"/>
      </w:r>
      <w:r>
        <w:rPr>
          <w:color w:val="6F2770"/>
          <w:sz w:val="32"/>
        </w:rPr>
        <w:t>Note</w:t>
      </w:r>
      <w:r>
        <w:rPr>
          <w:color w:val="6F2770"/>
          <w:spacing w:val="-49"/>
          <w:sz w:val="32"/>
        </w:rPr>
        <w:t> </w:t>
      </w:r>
      <w:r>
        <w:rPr>
          <w:color w:val="6F2770"/>
          <w:sz w:val="32"/>
        </w:rPr>
        <w:t>48.</w:t>
      </w:r>
      <w:r>
        <w:rPr>
          <w:color w:val="6F2770"/>
          <w:spacing w:val="-49"/>
          <w:sz w:val="32"/>
        </w:rPr>
        <w:t> </w:t>
      </w:r>
      <w:r>
        <w:rPr>
          <w:color w:val="6F2770"/>
          <w:sz w:val="32"/>
        </w:rPr>
        <w:t>Service</w:t>
      </w:r>
      <w:r>
        <w:rPr>
          <w:color w:val="6F2770"/>
          <w:spacing w:val="-48"/>
          <w:sz w:val="32"/>
        </w:rPr>
        <w:t> </w:t>
      </w:r>
      <w:r>
        <w:rPr>
          <w:color w:val="6F2770"/>
          <w:sz w:val="32"/>
        </w:rPr>
        <w:t>delivery</w:t>
      </w:r>
      <w:r>
        <w:rPr>
          <w:color w:val="6F2770"/>
          <w:spacing w:val="-49"/>
          <w:sz w:val="32"/>
        </w:rPr>
        <w:t> </w:t>
      </w:r>
      <w:r>
        <w:rPr>
          <w:color w:val="6F2770"/>
          <w:spacing w:val="-2"/>
          <w:sz w:val="32"/>
        </w:rPr>
        <w:t>arrangements </w:t>
      </w:r>
      <w:r>
        <w:rPr>
          <w:color w:val="6F2770"/>
          <w:sz w:val="32"/>
        </w:rPr>
        <w:t>Indian Ocean</w:t>
      </w:r>
      <w:r>
        <w:rPr>
          <w:color w:val="6F2770"/>
          <w:spacing w:val="-12"/>
          <w:sz w:val="32"/>
        </w:rPr>
        <w:t> </w:t>
      </w:r>
      <w:r>
        <w:rPr>
          <w:color w:val="6F2770"/>
          <w:spacing w:val="-4"/>
          <w:sz w:val="32"/>
        </w:rPr>
        <w:t>Territories</w:t>
      </w:r>
    </w:p>
    <w:p>
      <w:pPr>
        <w:spacing w:after="0" w:line="235" w:lineRule="auto"/>
        <w:jc w:val="left"/>
        <w:rPr>
          <w:sz w:val="32"/>
        </w:rPr>
        <w:sectPr>
          <w:type w:val="continuous"/>
          <w:pgSz w:w="16840" w:h="11910" w:orient="landscape"/>
          <w:pgMar w:top="1100" w:bottom="280" w:left="0" w:right="0"/>
          <w:cols w:num="2" w:equalWidth="0">
            <w:col w:w="7791" w:space="75"/>
            <w:col w:w="8974"/>
          </w:cols>
        </w:sectPr>
      </w:pPr>
    </w:p>
    <w:p>
      <w:pPr>
        <w:pStyle w:val="BodyText"/>
        <w:spacing w:before="6"/>
        <w:rPr>
          <w:sz w:val="4"/>
        </w:rPr>
      </w:pPr>
    </w:p>
    <w:tbl>
      <w:tblPr>
        <w:tblW w:w="0" w:type="auto"/>
        <w:jc w:val="left"/>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538" w:hRule="atLeast"/>
        </w:trPr>
        <w:tc>
          <w:tcPr>
            <w:tcW w:w="7440" w:type="dxa"/>
            <w:gridSpan w:val="3"/>
            <w:tcBorders>
              <w:left w:val="single" w:sz="8" w:space="0" w:color="FFFFFF"/>
            </w:tcBorders>
            <w:shd w:val="clear" w:color="auto" w:fill="783A79"/>
          </w:tcPr>
          <w:p>
            <w:pPr>
              <w:pStyle w:val="TableParagraph"/>
              <w:tabs>
                <w:tab w:pos="1417" w:val="left" w:leader="none"/>
              </w:tabs>
              <w:spacing w:before="42"/>
              <w:ind w:right="100"/>
              <w:jc w:val="right"/>
              <w:rPr>
                <w:b/>
                <w:sz w:val="19"/>
              </w:rPr>
            </w:pPr>
            <w:r>
              <w:rPr>
                <w:b/>
                <w:color w:val="FFFFFF"/>
                <w:sz w:val="19"/>
              </w:rPr>
              <w:t>2018</w:t>
              <w:tab/>
            </w:r>
            <w:r>
              <w:rPr>
                <w:b/>
                <w:color w:val="FFFFFF"/>
                <w:w w:val="95"/>
                <w:sz w:val="19"/>
              </w:rPr>
              <w:t>2017</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2" w:hRule="atLeast"/>
        </w:trPr>
        <w:tc>
          <w:tcPr>
            <w:tcW w:w="4606" w:type="dxa"/>
            <w:tcBorders>
              <w:left w:val="single" w:sz="8" w:space="0" w:color="FFFFFF"/>
              <w:bottom w:val="single" w:sz="8" w:space="0" w:color="FFFFFF"/>
            </w:tcBorders>
            <w:shd w:val="clear" w:color="auto" w:fill="F4F4F4"/>
          </w:tcPr>
          <w:p>
            <w:pPr>
              <w:pStyle w:val="TableParagraph"/>
              <w:spacing w:before="37"/>
              <w:ind w:left="113"/>
              <w:rPr>
                <w:sz w:val="19"/>
              </w:rPr>
            </w:pPr>
            <w:r>
              <w:rPr>
                <w:sz w:val="19"/>
              </w:rPr>
              <w:t>Act of grace payments</w:t>
            </w:r>
          </w:p>
        </w:tc>
        <w:tc>
          <w:tcPr>
            <w:tcW w:w="1417" w:type="dxa"/>
            <w:tcBorders>
              <w:bottom w:val="single" w:sz="4" w:space="0" w:color="000000"/>
            </w:tcBorders>
            <w:shd w:val="clear" w:color="auto" w:fill="DFE1B8"/>
          </w:tcPr>
          <w:p>
            <w:pPr>
              <w:pStyle w:val="TableParagraph"/>
              <w:spacing w:before="37"/>
              <w:ind w:right="100"/>
              <w:jc w:val="right"/>
              <w:rPr>
                <w:sz w:val="19"/>
              </w:rPr>
            </w:pPr>
            <w:r>
              <w:rPr>
                <w:w w:val="111"/>
                <w:sz w:val="19"/>
              </w:rPr>
              <w:t>-</w:t>
            </w:r>
          </w:p>
        </w:tc>
        <w:tc>
          <w:tcPr>
            <w:tcW w:w="1417" w:type="dxa"/>
            <w:tcBorders>
              <w:bottom w:val="single" w:sz="4" w:space="0" w:color="000000"/>
              <w:right w:val="single" w:sz="8" w:space="0" w:color="FFFFFF"/>
            </w:tcBorders>
            <w:shd w:val="clear" w:color="auto" w:fill="F4F4F4"/>
          </w:tcPr>
          <w:p>
            <w:pPr>
              <w:pStyle w:val="TableParagraph"/>
              <w:spacing w:before="37"/>
              <w:ind w:right="90"/>
              <w:jc w:val="right"/>
              <w:rPr>
                <w:sz w:val="19"/>
              </w:rPr>
            </w:pPr>
            <w:r>
              <w:rPr>
                <w:w w:val="111"/>
                <w:sz w:val="19"/>
              </w:rPr>
              <w:t>-</w:t>
            </w:r>
          </w:p>
        </w:tc>
      </w:tr>
      <w:tr>
        <w:trPr>
          <w:trHeight w:val="277" w:hRule="atLeast"/>
        </w:trPr>
        <w:tc>
          <w:tcPr>
            <w:tcW w:w="4606"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20"/>
              </w:rPr>
            </w:pPr>
          </w:p>
        </w:tc>
        <w:tc>
          <w:tcPr>
            <w:tcW w:w="1417" w:type="dxa"/>
            <w:tcBorders>
              <w:top w:val="single" w:sz="4" w:space="0" w:color="000000"/>
              <w:bottom w:val="single" w:sz="24" w:space="0" w:color="FFFFFF"/>
            </w:tcBorders>
            <w:shd w:val="clear" w:color="auto" w:fill="E1E4BB"/>
          </w:tcPr>
          <w:p>
            <w:pPr>
              <w:pStyle w:val="TableParagraph"/>
              <w:ind w:right="100"/>
              <w:jc w:val="right"/>
              <w:rPr>
                <w:b/>
                <w:sz w:val="19"/>
              </w:rPr>
            </w:pPr>
            <w:r>
              <w:rPr>
                <w:b/>
                <w:w w:val="122"/>
                <w:sz w:val="19"/>
              </w:rPr>
              <w:t>-</w:t>
            </w:r>
          </w:p>
        </w:tc>
        <w:tc>
          <w:tcPr>
            <w:tcW w:w="1417" w:type="dxa"/>
            <w:tcBorders>
              <w:top w:val="single" w:sz="4" w:space="0" w:color="000000"/>
              <w:bottom w:val="single" w:sz="24" w:space="0" w:color="FFFFFF"/>
              <w:right w:val="single" w:sz="8" w:space="0" w:color="FFFFFF"/>
            </w:tcBorders>
            <w:shd w:val="clear" w:color="auto" w:fill="FAF9F9"/>
          </w:tcPr>
          <w:p>
            <w:pPr>
              <w:pStyle w:val="TableParagraph"/>
              <w:ind w:right="90"/>
              <w:jc w:val="right"/>
              <w:rPr>
                <w:b/>
                <w:sz w:val="19"/>
              </w:rPr>
            </w:pPr>
            <w:r>
              <w:rPr>
                <w:b/>
                <w:w w:val="122"/>
                <w:sz w:val="19"/>
              </w:rPr>
              <w:t>-</w:t>
            </w:r>
          </w:p>
        </w:tc>
      </w:tr>
    </w:tbl>
    <w:p>
      <w:pPr>
        <w:spacing w:after="0"/>
        <w:jc w:val="right"/>
        <w:rPr>
          <w:sz w:val="19"/>
        </w:rPr>
        <w:sectPr>
          <w:type w:val="continuous"/>
          <w:pgSz w:w="16840" w:h="11910" w:orient="landscape"/>
          <w:pgMar w:top="1100" w:bottom="28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8"/>
      </w:pPr>
    </w:p>
    <w:p>
      <w:pPr>
        <w:spacing w:before="93"/>
        <w:ind w:left="785" w:right="0" w:firstLine="0"/>
        <w:jc w:val="left"/>
        <w:rPr>
          <w:sz w:val="72"/>
        </w:rPr>
      </w:pPr>
      <w:r>
        <w:rPr/>
        <w:pict>
          <v:group style="position:absolute;margin-left:120.271004pt;margin-top:-57.324211pt;width:721.65pt;height:42.55pt;mso-position-horizontal-relative:page;mso-position-vertical-relative:paragraph;z-index:23872" coordorigin="2405,-1146" coordsize="14433,851">
            <v:rect style="position:absolute;left:14432;top:-1147;width:2406;height:851" filled="true" fillcolor="#bba1bc"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7;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7;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7;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29"/>
        <w:ind w:left="785" w:right="0" w:firstLine="0"/>
        <w:jc w:val="left"/>
        <w:rPr>
          <w:sz w:val="36"/>
        </w:rPr>
      </w:pPr>
      <w:r>
        <w:rPr>
          <w:color w:val="6F2770"/>
          <w:sz w:val="36"/>
        </w:rPr>
        <w:t>For the year ended 30 June 2018</w:t>
      </w:r>
    </w:p>
    <w:p>
      <w:pPr>
        <w:pStyle w:val="BodyText"/>
        <w:spacing w:before="10"/>
        <w:rPr>
          <w:sz w:val="12"/>
        </w:rPr>
      </w:pPr>
    </w:p>
    <w:p>
      <w:pPr>
        <w:spacing w:after="0"/>
        <w:rPr>
          <w:sz w:val="12"/>
        </w:rPr>
        <w:sectPr>
          <w:footerReference w:type="default" r:id="rId199"/>
          <w:pgSz w:w="16840" w:h="11910" w:orient="landscape"/>
          <w:pgMar w:footer="1702" w:header="0" w:top="0" w:bottom="1900" w:left="0" w:right="0"/>
        </w:sectPr>
      </w:pPr>
    </w:p>
    <w:p>
      <w:pPr>
        <w:spacing w:before="109"/>
        <w:ind w:left="765" w:right="0" w:firstLine="0"/>
        <w:jc w:val="left"/>
        <w:rPr>
          <w:sz w:val="32"/>
        </w:rPr>
      </w:pPr>
      <w:r>
        <w:rPr>
          <w:color w:val="6F2770"/>
          <w:sz w:val="32"/>
        </w:rPr>
        <w:t>Note 49. Special Purpose Accounts - administered</w:t>
      </w:r>
    </w:p>
    <w:p>
      <w:pPr>
        <w:spacing w:before="254"/>
        <w:ind w:left="765" w:right="0" w:firstLine="0"/>
        <w:jc w:val="left"/>
        <w:rPr>
          <w:i/>
          <w:sz w:val="22"/>
        </w:rPr>
      </w:pPr>
      <w:r>
        <w:rPr/>
        <w:pict>
          <v:shape style="position:absolute;margin-left:431.825012pt;margin-top:14.194066pt;width:372.05pt;height:224.25pt;mso-position-horizontal-relative:page;mso-position-vertical-relative:paragraph;z-index:238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543" w:hRule="atLeast"/>
                    </w:trPr>
                    <w:tc>
                      <w:tcPr>
                        <w:tcW w:w="6023" w:type="dxa"/>
                        <w:gridSpan w:val="2"/>
                        <w:shd w:val="clear" w:color="auto" w:fill="783A79"/>
                      </w:tcPr>
                      <w:p>
                        <w:pPr>
                          <w:pStyle w:val="TableParagraph"/>
                          <w:spacing w:before="47"/>
                          <w:ind w:right="110"/>
                          <w:jc w:val="right"/>
                          <w:rPr>
                            <w:b/>
                            <w:sz w:val="19"/>
                          </w:rPr>
                        </w:pPr>
                        <w:r>
                          <w:rPr>
                            <w:b/>
                            <w:color w:val="FFFFFF"/>
                            <w:w w:val="95"/>
                            <w:sz w:val="19"/>
                          </w:rPr>
                          <w:t>2018</w:t>
                        </w:r>
                      </w:p>
                      <w:p>
                        <w:pPr>
                          <w:pStyle w:val="TableParagraph"/>
                          <w:spacing w:before="10"/>
                          <w:ind w:right="110"/>
                          <w:jc w:val="right"/>
                          <w:rPr>
                            <w:b/>
                            <w:sz w:val="19"/>
                          </w:rPr>
                        </w:pPr>
                        <w:r>
                          <w:rPr>
                            <w:b/>
                            <w:color w:val="FFFFFF"/>
                            <w:w w:val="95"/>
                            <w:sz w:val="19"/>
                          </w:rPr>
                          <w:t>$000</w:t>
                        </w:r>
                      </w:p>
                    </w:tc>
                    <w:tc>
                      <w:tcPr>
                        <w:tcW w:w="1417" w:type="dxa"/>
                        <w:shd w:val="clear" w:color="auto" w:fill="783A79"/>
                      </w:tcPr>
                      <w:p>
                        <w:pPr>
                          <w:pStyle w:val="TableParagraph"/>
                          <w:spacing w:before="47"/>
                          <w:ind w:left="882"/>
                          <w:rPr>
                            <w:b/>
                            <w:sz w:val="19"/>
                          </w:rPr>
                        </w:pPr>
                        <w:r>
                          <w:rPr>
                            <w:b/>
                            <w:color w:val="FFFFFF"/>
                            <w:sz w:val="19"/>
                          </w:rPr>
                          <w:t>2017</w:t>
                        </w:r>
                      </w:p>
                      <w:p>
                        <w:pPr>
                          <w:pStyle w:val="TableParagraph"/>
                          <w:spacing w:before="10"/>
                          <w:ind w:left="882"/>
                          <w:rPr>
                            <w:b/>
                            <w:sz w:val="19"/>
                          </w:rPr>
                        </w:pPr>
                        <w:r>
                          <w:rPr>
                            <w:b/>
                            <w:color w:val="FFFFFF"/>
                            <w:sz w:val="19"/>
                          </w:rPr>
                          <w:t>$000</w:t>
                        </w:r>
                      </w:p>
                    </w:tc>
                  </w:tr>
                  <w:tr>
                    <w:trPr>
                      <w:trHeight w:val="312" w:hRule="atLeast"/>
                    </w:trPr>
                    <w:tc>
                      <w:tcPr>
                        <w:tcW w:w="4606" w:type="dxa"/>
                        <w:tcBorders>
                          <w:bottom w:val="single" w:sz="8" w:space="0" w:color="FFFFFF"/>
                        </w:tcBorders>
                        <w:shd w:val="clear" w:color="auto" w:fill="FAF9F9"/>
                      </w:tcPr>
                      <w:p>
                        <w:pPr>
                          <w:pStyle w:val="TableParagraph"/>
                          <w:spacing w:before="37"/>
                          <w:ind w:left="113"/>
                          <w:rPr>
                            <w:i/>
                            <w:sz w:val="19"/>
                          </w:rPr>
                        </w:pPr>
                        <w:r>
                          <w:rPr>
                            <w:i/>
                            <w:color w:val="6F2770"/>
                            <w:sz w:val="19"/>
                          </w:rPr>
                          <w:t>Income</w:t>
                        </w:r>
                      </w:p>
                    </w:tc>
                    <w:tc>
                      <w:tcPr>
                        <w:tcW w:w="1417" w:type="dxa"/>
                        <w:shd w:val="clear" w:color="auto" w:fill="E1E4BB"/>
                      </w:tcPr>
                      <w:p>
                        <w:pPr>
                          <w:pStyle w:val="TableParagraph"/>
                          <w:spacing w:before="0"/>
                          <w:rPr>
                            <w:rFonts w:ascii="Times New Roman"/>
                            <w:sz w:val="20"/>
                          </w:rPr>
                        </w:pPr>
                      </w:p>
                    </w:tc>
                    <w:tc>
                      <w:tcPr>
                        <w:tcW w:w="1417" w:type="dxa"/>
                        <w:tcBorders>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Taxation</w:t>
                        </w:r>
                      </w:p>
                    </w:tc>
                    <w:tc>
                      <w:tcPr>
                        <w:tcW w:w="1417" w:type="dxa"/>
                        <w:shd w:val="clear" w:color="auto" w:fill="E1E4BB"/>
                      </w:tcPr>
                      <w:p>
                        <w:pPr>
                          <w:pStyle w:val="TableParagraph"/>
                          <w:ind w:right="110"/>
                          <w:jc w:val="right"/>
                          <w:rPr>
                            <w:sz w:val="19"/>
                          </w:rPr>
                        </w:pPr>
                        <w:r>
                          <w:rPr>
                            <w:w w:val="95"/>
                            <w:sz w:val="19"/>
                          </w:rPr>
                          <w:t>6,743,012</w:t>
                        </w:r>
                      </w:p>
                    </w:tc>
                    <w:tc>
                      <w:tcPr>
                        <w:tcW w:w="1417"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6,799,345</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sz w:val="19"/>
                          </w:rPr>
                        </w:pPr>
                        <w:r>
                          <w:rPr>
                            <w:sz w:val="19"/>
                          </w:rPr>
                          <w:t>Other revenue</w:t>
                        </w:r>
                      </w:p>
                    </w:tc>
                    <w:tc>
                      <w:tcPr>
                        <w:tcW w:w="1417" w:type="dxa"/>
                        <w:shd w:val="clear" w:color="auto" w:fill="E1E4BB"/>
                      </w:tcPr>
                      <w:p>
                        <w:pPr>
                          <w:pStyle w:val="TableParagraph"/>
                          <w:ind w:right="110"/>
                          <w:jc w:val="right"/>
                          <w:rPr>
                            <w:sz w:val="19"/>
                          </w:rPr>
                        </w:pPr>
                        <w:r>
                          <w:rPr>
                            <w:w w:val="95"/>
                            <w:sz w:val="19"/>
                          </w:rPr>
                          <w:t>41,448</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40,086</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Appropriations</w:t>
                        </w:r>
                      </w:p>
                    </w:tc>
                    <w:tc>
                      <w:tcPr>
                        <w:tcW w:w="1417" w:type="dxa"/>
                        <w:shd w:val="clear" w:color="auto" w:fill="E1E4BB"/>
                      </w:tcPr>
                      <w:p>
                        <w:pPr>
                          <w:pStyle w:val="TableParagraph"/>
                          <w:ind w:right="110"/>
                          <w:jc w:val="right"/>
                          <w:rPr>
                            <w:sz w:val="19"/>
                          </w:rPr>
                        </w:pPr>
                        <w:r>
                          <w:rPr>
                            <w:w w:val="95"/>
                            <w:sz w:val="19"/>
                          </w:rPr>
                          <w:t>252,165</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237,046</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raised on behalf of other agencies</w:t>
                        </w:r>
                      </w:p>
                    </w:tc>
                    <w:tc>
                      <w:tcPr>
                        <w:tcW w:w="1417" w:type="dxa"/>
                        <w:tcBorders>
                          <w:bottom w:val="single" w:sz="4" w:space="0" w:color="000000"/>
                        </w:tcBorders>
                        <w:shd w:val="clear" w:color="auto" w:fill="E1E4BB"/>
                      </w:tcPr>
                      <w:p>
                        <w:pPr>
                          <w:pStyle w:val="TableParagraph"/>
                          <w:ind w:right="110"/>
                          <w:jc w:val="right"/>
                          <w:rPr>
                            <w:sz w:val="19"/>
                          </w:rPr>
                        </w:pPr>
                        <w:r>
                          <w:rPr>
                            <w:w w:val="95"/>
                            <w:sz w:val="19"/>
                          </w:rPr>
                          <w:t>64,035</w:t>
                        </w:r>
                      </w:p>
                    </w:tc>
                    <w:tc>
                      <w:tcPr>
                        <w:tcW w:w="1417" w:type="dxa"/>
                        <w:tcBorders>
                          <w:top w:val="single" w:sz="8" w:space="0" w:color="FFFFFF"/>
                          <w:bottom w:val="single" w:sz="4" w:space="0" w:color="000000"/>
                        </w:tcBorders>
                        <w:shd w:val="clear" w:color="auto" w:fill="FAF9F9"/>
                      </w:tcPr>
                      <w:p>
                        <w:pPr>
                          <w:pStyle w:val="TableParagraph"/>
                          <w:ind w:right="109"/>
                          <w:jc w:val="right"/>
                          <w:rPr>
                            <w:sz w:val="19"/>
                          </w:rPr>
                        </w:pPr>
                        <w:r>
                          <w:rPr>
                            <w:w w:val="95"/>
                            <w:sz w:val="19"/>
                          </w:rPr>
                          <w:t>63,549</w:t>
                        </w:r>
                      </w:p>
                    </w:tc>
                  </w:tr>
                  <w:tr>
                    <w:trPr>
                      <w:trHeight w:val="284" w:hRule="atLeast"/>
                    </w:trPr>
                    <w:tc>
                      <w:tcPr>
                        <w:tcW w:w="4606" w:type="dxa"/>
                        <w:tcBorders>
                          <w:top w:val="single" w:sz="8" w:space="0" w:color="FFFFFF"/>
                          <w:bottom w:val="single" w:sz="8" w:space="0" w:color="FFFFFF"/>
                        </w:tcBorders>
                        <w:shd w:val="clear" w:color="auto" w:fill="F4F4F4"/>
                      </w:tcPr>
                      <w:p>
                        <w:pPr>
                          <w:pStyle w:val="TableParagraph"/>
                          <w:ind w:left="114"/>
                          <w:rPr>
                            <w:b/>
                            <w:sz w:val="19"/>
                          </w:rPr>
                        </w:pPr>
                        <w:r>
                          <w:rPr>
                            <w:b/>
                            <w:sz w:val="19"/>
                          </w:rPr>
                          <w:t>Total Administered revenues</w:t>
                        </w:r>
                      </w:p>
                    </w:tc>
                    <w:tc>
                      <w:tcPr>
                        <w:tcW w:w="1417" w:type="dxa"/>
                        <w:tcBorders>
                          <w:top w:val="single" w:sz="4" w:space="0" w:color="000000"/>
                          <w:bottom w:val="double" w:sz="2" w:space="0" w:color="000000"/>
                        </w:tcBorders>
                        <w:shd w:val="clear" w:color="auto" w:fill="DFE1B8"/>
                      </w:tcPr>
                      <w:p>
                        <w:pPr>
                          <w:pStyle w:val="TableParagraph"/>
                          <w:ind w:right="109"/>
                          <w:jc w:val="right"/>
                          <w:rPr>
                            <w:b/>
                            <w:sz w:val="19"/>
                          </w:rPr>
                        </w:pPr>
                        <w:r>
                          <w:rPr>
                            <w:b/>
                            <w:w w:val="95"/>
                            <w:sz w:val="19"/>
                          </w:rPr>
                          <w:t>7,100,660</w:t>
                        </w:r>
                      </w:p>
                    </w:tc>
                    <w:tc>
                      <w:tcPr>
                        <w:tcW w:w="1417" w:type="dxa"/>
                        <w:tcBorders>
                          <w:top w:val="single" w:sz="4" w:space="0" w:color="000000"/>
                          <w:bottom w:val="double" w:sz="2" w:space="0" w:color="000000"/>
                        </w:tcBorders>
                        <w:shd w:val="clear" w:color="auto" w:fill="F4F4F4"/>
                      </w:tcPr>
                      <w:p>
                        <w:pPr>
                          <w:pStyle w:val="TableParagraph"/>
                          <w:ind w:right="109"/>
                          <w:jc w:val="right"/>
                          <w:rPr>
                            <w:b/>
                            <w:sz w:val="19"/>
                          </w:rPr>
                        </w:pPr>
                        <w:r>
                          <w:rPr>
                            <w:b/>
                            <w:w w:val="95"/>
                            <w:sz w:val="19"/>
                          </w:rPr>
                          <w:t>7,140,026</w:t>
                        </w:r>
                      </w:p>
                    </w:tc>
                  </w:tr>
                  <w:tr>
                    <w:trPr>
                      <w:trHeight w:val="304" w:hRule="atLeast"/>
                    </w:trPr>
                    <w:tc>
                      <w:tcPr>
                        <w:tcW w:w="4606"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417" w:type="dxa"/>
                        <w:tcBorders>
                          <w:top w:val="double" w:sz="2" w:space="0" w:color="000000"/>
                        </w:tcBorders>
                        <w:shd w:val="clear" w:color="auto" w:fill="E1E4BB"/>
                      </w:tcPr>
                      <w:p>
                        <w:pPr>
                          <w:pStyle w:val="TableParagraph"/>
                          <w:spacing w:before="0"/>
                          <w:rPr>
                            <w:rFonts w:ascii="Times New Roman"/>
                            <w:sz w:val="20"/>
                          </w:rPr>
                        </w:pPr>
                      </w:p>
                    </w:tc>
                    <w:tc>
                      <w:tcPr>
                        <w:tcW w:w="1417" w:type="dxa"/>
                        <w:tcBorders>
                          <w:top w:val="double" w:sz="2" w:space="0" w:color="000000"/>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i/>
                            <w:sz w:val="19"/>
                          </w:rPr>
                        </w:pPr>
                        <w:r>
                          <w:rPr>
                            <w:i/>
                            <w:color w:val="6F2770"/>
                            <w:sz w:val="19"/>
                          </w:rPr>
                          <w:t>Expenses</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Grants, subsidies and transfers</w:t>
                        </w:r>
                      </w:p>
                    </w:tc>
                    <w:tc>
                      <w:tcPr>
                        <w:tcW w:w="1417" w:type="dxa"/>
                        <w:shd w:val="clear" w:color="auto" w:fill="E1E4BB"/>
                      </w:tcPr>
                      <w:p>
                        <w:pPr>
                          <w:pStyle w:val="TableParagraph"/>
                          <w:ind w:right="109"/>
                          <w:jc w:val="right"/>
                          <w:rPr>
                            <w:sz w:val="19"/>
                          </w:rPr>
                        </w:pPr>
                        <w:r>
                          <w:rPr>
                            <w:w w:val="95"/>
                            <w:sz w:val="19"/>
                          </w:rPr>
                          <w:t>252,165</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237,046</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sz w:val="19"/>
                          </w:rPr>
                        </w:pPr>
                        <w:r>
                          <w:rPr>
                            <w:sz w:val="19"/>
                          </w:rPr>
                          <w:t>Other expenses</w:t>
                        </w:r>
                      </w:p>
                    </w:tc>
                    <w:tc>
                      <w:tcPr>
                        <w:tcW w:w="1417" w:type="dxa"/>
                        <w:shd w:val="clear" w:color="auto" w:fill="E1E4BB"/>
                      </w:tcPr>
                      <w:p>
                        <w:pPr>
                          <w:pStyle w:val="TableParagraph"/>
                          <w:ind w:right="109"/>
                          <w:jc w:val="right"/>
                          <w:rPr>
                            <w:sz w:val="19"/>
                          </w:rPr>
                        </w:pPr>
                        <w:r>
                          <w:rPr>
                            <w:w w:val="95"/>
                            <w:sz w:val="19"/>
                          </w:rPr>
                          <w:t>6,743,647</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6,712,652</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transferred to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64,035</w:t>
                        </w:r>
                      </w:p>
                    </w:tc>
                    <w:tc>
                      <w:tcPr>
                        <w:tcW w:w="1417" w:type="dxa"/>
                        <w:tcBorders>
                          <w:top w:val="single" w:sz="8" w:space="0" w:color="FFFFFF"/>
                          <w:bottom w:val="single" w:sz="4" w:space="0" w:color="000000"/>
                        </w:tcBorders>
                        <w:shd w:val="clear" w:color="auto" w:fill="FAF9F9"/>
                      </w:tcPr>
                      <w:p>
                        <w:pPr>
                          <w:pStyle w:val="TableParagraph"/>
                          <w:ind w:right="108"/>
                          <w:jc w:val="right"/>
                          <w:rPr>
                            <w:sz w:val="19"/>
                          </w:rPr>
                        </w:pPr>
                        <w:r>
                          <w:rPr>
                            <w:w w:val="95"/>
                            <w:sz w:val="19"/>
                          </w:rPr>
                          <w:t>63,549</w:t>
                        </w:r>
                      </w:p>
                    </w:tc>
                  </w:tr>
                  <w:tr>
                    <w:trPr>
                      <w:trHeight w:val="277" w:hRule="atLeast"/>
                    </w:trPr>
                    <w:tc>
                      <w:tcPr>
                        <w:tcW w:w="4606" w:type="dxa"/>
                        <w:tcBorders>
                          <w:top w:val="single" w:sz="8" w:space="0" w:color="FFFFFF"/>
                          <w:bottom w:val="single" w:sz="8" w:space="0" w:color="FFFFFF"/>
                        </w:tcBorders>
                        <w:shd w:val="clear" w:color="auto" w:fill="F4F4F4"/>
                      </w:tcPr>
                      <w:p>
                        <w:pPr>
                          <w:pStyle w:val="TableParagraph"/>
                          <w:ind w:left="115"/>
                          <w:rPr>
                            <w:b/>
                            <w:sz w:val="19"/>
                          </w:rPr>
                        </w:pPr>
                        <w:r>
                          <w:rPr>
                            <w:b/>
                            <w:sz w:val="19"/>
                          </w:rPr>
                          <w:t>Total Administered expenses</w:t>
                        </w:r>
                      </w:p>
                    </w:tc>
                    <w:tc>
                      <w:tcPr>
                        <w:tcW w:w="1417" w:type="dxa"/>
                        <w:tcBorders>
                          <w:top w:val="single" w:sz="4" w:space="0" w:color="000000"/>
                          <w:bottom w:val="single" w:sz="24" w:space="0" w:color="FFFFFF"/>
                        </w:tcBorders>
                        <w:shd w:val="clear" w:color="auto" w:fill="DFE1B8"/>
                      </w:tcPr>
                      <w:p>
                        <w:pPr>
                          <w:pStyle w:val="TableParagraph"/>
                          <w:ind w:right="109"/>
                          <w:jc w:val="right"/>
                          <w:rPr>
                            <w:b/>
                            <w:sz w:val="19"/>
                          </w:rPr>
                        </w:pPr>
                        <w:r>
                          <w:rPr>
                            <w:b/>
                            <w:w w:val="95"/>
                            <w:sz w:val="19"/>
                          </w:rPr>
                          <w:t>7,059,847</w:t>
                        </w:r>
                      </w:p>
                    </w:tc>
                    <w:tc>
                      <w:tcPr>
                        <w:tcW w:w="1417" w:type="dxa"/>
                        <w:tcBorders>
                          <w:top w:val="single" w:sz="4" w:space="0" w:color="000000"/>
                          <w:bottom w:val="single" w:sz="24" w:space="0" w:color="FFFFFF"/>
                        </w:tcBorders>
                        <w:shd w:val="clear" w:color="auto" w:fill="F4F4F4"/>
                      </w:tcPr>
                      <w:p>
                        <w:pPr>
                          <w:pStyle w:val="TableParagraph"/>
                          <w:ind w:right="108"/>
                          <w:jc w:val="right"/>
                          <w:rPr>
                            <w:b/>
                            <w:sz w:val="19"/>
                          </w:rPr>
                        </w:pPr>
                        <w:r>
                          <w:rPr>
                            <w:b/>
                            <w:w w:val="95"/>
                            <w:sz w:val="19"/>
                          </w:rPr>
                          <w:t>7,013,247</w:t>
                        </w:r>
                      </w:p>
                    </w:tc>
                  </w:tr>
                </w:tbl>
                <w:p>
                  <w:pPr>
                    <w:pStyle w:val="BodyText"/>
                  </w:pPr>
                </w:p>
              </w:txbxContent>
            </v:textbox>
            <w10:wrap type="none"/>
          </v:shape>
        </w:pict>
      </w:r>
      <w:r>
        <w:rPr>
          <w:sz w:val="22"/>
        </w:rPr>
        <w:t>Special</w:t>
      </w:r>
      <w:r>
        <w:rPr>
          <w:spacing w:val="-18"/>
          <w:sz w:val="22"/>
        </w:rPr>
        <w:t> </w:t>
      </w:r>
      <w:r>
        <w:rPr>
          <w:sz w:val="22"/>
        </w:rPr>
        <w:t>purpose</w:t>
      </w:r>
      <w:r>
        <w:rPr>
          <w:spacing w:val="-17"/>
          <w:sz w:val="22"/>
        </w:rPr>
        <w:t> </w:t>
      </w:r>
      <w:r>
        <w:rPr>
          <w:sz w:val="22"/>
        </w:rPr>
        <w:t>account</w:t>
      </w:r>
      <w:r>
        <w:rPr>
          <w:spacing w:val="-17"/>
          <w:sz w:val="22"/>
        </w:rPr>
        <w:t> </w:t>
      </w:r>
      <w:r>
        <w:rPr>
          <w:sz w:val="22"/>
        </w:rPr>
        <w:t>Section</w:t>
      </w:r>
      <w:r>
        <w:rPr>
          <w:spacing w:val="-17"/>
          <w:sz w:val="22"/>
        </w:rPr>
        <w:t> </w:t>
      </w:r>
      <w:r>
        <w:rPr>
          <w:sz w:val="22"/>
        </w:rPr>
        <w:t>10</w:t>
      </w:r>
      <w:r>
        <w:rPr>
          <w:spacing w:val="-17"/>
          <w:sz w:val="22"/>
        </w:rPr>
        <w:t> </w:t>
      </w:r>
      <w:r>
        <w:rPr>
          <w:sz w:val="22"/>
        </w:rPr>
        <w:t>of</w:t>
      </w:r>
      <w:r>
        <w:rPr>
          <w:spacing w:val="-17"/>
          <w:sz w:val="22"/>
        </w:rPr>
        <w:t> </w:t>
      </w:r>
      <w:r>
        <w:rPr>
          <w:sz w:val="22"/>
        </w:rPr>
        <w:t>the</w:t>
      </w:r>
      <w:r>
        <w:rPr>
          <w:spacing w:val="-17"/>
          <w:sz w:val="22"/>
        </w:rPr>
        <w:t> </w:t>
      </w:r>
      <w:r>
        <w:rPr>
          <w:i/>
          <w:sz w:val="22"/>
        </w:rPr>
        <w:t>Financial</w:t>
      </w:r>
      <w:r>
        <w:rPr>
          <w:i/>
          <w:spacing w:val="-17"/>
          <w:sz w:val="22"/>
        </w:rPr>
        <w:t> </w:t>
      </w:r>
      <w:r>
        <w:rPr>
          <w:i/>
          <w:sz w:val="22"/>
        </w:rPr>
        <w:t>Management</w:t>
      </w:r>
      <w:r>
        <w:rPr>
          <w:i/>
          <w:spacing w:val="-17"/>
          <w:sz w:val="22"/>
        </w:rPr>
        <w:t> </w:t>
      </w:r>
      <w:r>
        <w:rPr>
          <w:i/>
          <w:sz w:val="22"/>
        </w:rPr>
        <w:t>Act</w:t>
      </w:r>
      <w:r>
        <w:rPr>
          <w:i/>
          <w:spacing w:val="-17"/>
          <w:sz w:val="22"/>
        </w:rPr>
        <w:t> </w:t>
      </w:r>
      <w:r>
        <w:rPr>
          <w:i/>
          <w:spacing w:val="-5"/>
          <w:sz w:val="22"/>
        </w:rPr>
        <w:t>2006</w:t>
      </w:r>
    </w:p>
    <w:p>
      <w:pPr>
        <w:pStyle w:val="Heading5"/>
        <w:ind w:left="665"/>
      </w:pPr>
      <w:r>
        <w:rPr/>
        <w:br w:type="column"/>
      </w:r>
      <w:r>
        <w:rPr>
          <w:color w:val="6F2770"/>
        </w:rPr>
        <w:t>Note 50. Administered income and expenses</w:t>
      </w:r>
    </w:p>
    <w:p>
      <w:pPr>
        <w:spacing w:after="0"/>
        <w:sectPr>
          <w:type w:val="continuous"/>
          <w:pgSz w:w="16840" w:h="11910" w:orient="landscape"/>
          <w:pgMar w:top="1100" w:bottom="280" w:left="0" w:right="0"/>
          <w:cols w:num="2" w:equalWidth="0">
            <w:col w:w="7927" w:space="40"/>
            <w:col w:w="8873"/>
          </w:cols>
        </w:sectPr>
      </w:pPr>
    </w:p>
    <w:p>
      <w:pPr>
        <w:pStyle w:val="BodyText"/>
        <w:rPr>
          <w:sz w:val="20"/>
        </w:rPr>
      </w:pPr>
    </w:p>
    <w:p>
      <w:pPr>
        <w:pStyle w:val="BodyText"/>
        <w:spacing w:before="9"/>
        <w:rPr>
          <w:sz w:val="12"/>
        </w:rPr>
      </w:pP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2018</w:t>
              <w:tab/>
            </w:r>
            <w:r>
              <w:rPr>
                <w:b/>
                <w:color w:val="FFFFFF"/>
                <w:w w:val="95"/>
                <w:sz w:val="19"/>
              </w:rPr>
              <w:t>2017</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1207" w:hRule="atLeast"/>
        </w:trPr>
        <w:tc>
          <w:tcPr>
            <w:tcW w:w="4606" w:type="dxa"/>
            <w:tcBorders>
              <w:top w:val="nil"/>
              <w:right w:val="nil"/>
            </w:tcBorders>
            <w:shd w:val="clear" w:color="auto" w:fill="F4F4F4"/>
          </w:tcPr>
          <w:p>
            <w:pPr>
              <w:pStyle w:val="TableParagraph"/>
              <w:spacing w:line="249" w:lineRule="auto" w:before="42"/>
              <w:ind w:left="113" w:right="154"/>
              <w:rPr>
                <w:i/>
                <w:sz w:val="19"/>
              </w:rPr>
            </w:pPr>
            <w:r>
              <w:rPr>
                <w:i/>
                <w:sz w:val="19"/>
              </w:rPr>
              <w:t>Departmental</w:t>
            </w:r>
            <w:r>
              <w:rPr>
                <w:i/>
                <w:spacing w:val="-29"/>
                <w:sz w:val="19"/>
              </w:rPr>
              <w:t> </w:t>
            </w:r>
            <w:r>
              <w:rPr>
                <w:i/>
                <w:sz w:val="19"/>
              </w:rPr>
              <w:t>Receipts</w:t>
            </w:r>
            <w:r>
              <w:rPr>
                <w:i/>
                <w:spacing w:val="-28"/>
                <w:sz w:val="19"/>
              </w:rPr>
              <w:t> </w:t>
            </w:r>
            <w:r>
              <w:rPr>
                <w:i/>
                <w:sz w:val="19"/>
              </w:rPr>
              <w:t>in</w:t>
            </w:r>
            <w:r>
              <w:rPr>
                <w:i/>
                <w:spacing w:val="-28"/>
                <w:sz w:val="19"/>
              </w:rPr>
              <w:t> </w:t>
            </w:r>
            <w:r>
              <w:rPr>
                <w:i/>
                <w:sz w:val="19"/>
              </w:rPr>
              <w:t>Suspense</w:t>
            </w:r>
            <w:r>
              <w:rPr>
                <w:i/>
                <w:spacing w:val="-29"/>
                <w:sz w:val="19"/>
              </w:rPr>
              <w:t> </w:t>
            </w:r>
            <w:r>
              <w:rPr>
                <w:i/>
                <w:sz w:val="19"/>
              </w:rPr>
              <w:t>–</w:t>
            </w:r>
            <w:r>
              <w:rPr>
                <w:i/>
                <w:spacing w:val="-28"/>
                <w:sz w:val="19"/>
              </w:rPr>
              <w:t> </w:t>
            </w:r>
            <w:r>
              <w:rPr>
                <w:i/>
                <w:sz w:val="19"/>
              </w:rPr>
              <w:t>State</w:t>
            </w:r>
            <w:r>
              <w:rPr>
                <w:i/>
                <w:spacing w:val="-28"/>
                <w:sz w:val="19"/>
              </w:rPr>
              <w:t> </w:t>
            </w:r>
            <w:r>
              <w:rPr>
                <w:i/>
                <w:spacing w:val="-3"/>
                <w:sz w:val="19"/>
              </w:rPr>
              <w:t>Revenue </w:t>
            </w:r>
            <w:r>
              <w:rPr>
                <w:i/>
                <w:sz w:val="19"/>
              </w:rPr>
              <w:t>The purpose of the special purpose account is to hold funds pending identification of the purpose of which</w:t>
            </w:r>
            <w:r>
              <w:rPr>
                <w:i/>
                <w:spacing w:val="-18"/>
                <w:sz w:val="19"/>
              </w:rPr>
              <w:t> </w:t>
            </w:r>
            <w:r>
              <w:rPr>
                <w:i/>
                <w:sz w:val="19"/>
              </w:rPr>
              <w:t>those</w:t>
            </w:r>
            <w:r>
              <w:rPr>
                <w:i/>
                <w:spacing w:val="-18"/>
                <w:sz w:val="19"/>
              </w:rPr>
              <w:t> </w:t>
            </w:r>
            <w:r>
              <w:rPr>
                <w:i/>
                <w:sz w:val="19"/>
              </w:rPr>
              <w:t>monies</w:t>
            </w:r>
            <w:r>
              <w:rPr>
                <w:i/>
                <w:spacing w:val="-17"/>
                <w:sz w:val="19"/>
              </w:rPr>
              <w:t> </w:t>
            </w:r>
            <w:r>
              <w:rPr>
                <w:i/>
                <w:sz w:val="19"/>
              </w:rPr>
              <w:t>were</w:t>
            </w:r>
            <w:r>
              <w:rPr>
                <w:i/>
                <w:spacing w:val="-18"/>
                <w:sz w:val="19"/>
              </w:rPr>
              <w:t> </w:t>
            </w:r>
            <w:r>
              <w:rPr>
                <w:i/>
                <w:sz w:val="19"/>
              </w:rPr>
              <w:t>received</w:t>
            </w:r>
            <w:r>
              <w:rPr>
                <w:i/>
                <w:spacing w:val="-18"/>
                <w:sz w:val="19"/>
              </w:rPr>
              <w:t> </w:t>
            </w:r>
            <w:r>
              <w:rPr>
                <w:i/>
                <w:sz w:val="19"/>
              </w:rPr>
              <w:t>or</w:t>
            </w:r>
            <w:r>
              <w:rPr>
                <w:i/>
                <w:spacing w:val="-17"/>
                <w:sz w:val="19"/>
              </w:rPr>
              <w:t> </w:t>
            </w:r>
            <w:r>
              <w:rPr>
                <w:i/>
                <w:sz w:val="19"/>
              </w:rPr>
              <w:t>identification</w:t>
            </w:r>
            <w:r>
              <w:rPr>
                <w:i/>
                <w:spacing w:val="-18"/>
                <w:sz w:val="19"/>
              </w:rPr>
              <w:t> </w:t>
            </w:r>
            <w:r>
              <w:rPr>
                <w:i/>
                <w:spacing w:val="-9"/>
                <w:sz w:val="19"/>
              </w:rPr>
              <w:t>of </w:t>
            </w:r>
            <w:r>
              <w:rPr>
                <w:i/>
                <w:sz w:val="19"/>
              </w:rPr>
              <w:t>where</w:t>
            </w:r>
            <w:r>
              <w:rPr>
                <w:i/>
                <w:spacing w:val="-6"/>
                <w:sz w:val="19"/>
              </w:rPr>
              <w:t> </w:t>
            </w:r>
            <w:r>
              <w:rPr>
                <w:i/>
                <w:sz w:val="19"/>
              </w:rPr>
              <w:t>those</w:t>
            </w:r>
            <w:r>
              <w:rPr>
                <w:i/>
                <w:spacing w:val="-5"/>
                <w:sz w:val="19"/>
              </w:rPr>
              <w:t> </w:t>
            </w:r>
            <w:r>
              <w:rPr>
                <w:i/>
                <w:sz w:val="19"/>
              </w:rPr>
              <w:t>monies</w:t>
            </w:r>
            <w:r>
              <w:rPr>
                <w:i/>
                <w:spacing w:val="-5"/>
                <w:sz w:val="19"/>
              </w:rPr>
              <w:t> </w:t>
            </w:r>
            <w:r>
              <w:rPr>
                <w:i/>
                <w:sz w:val="19"/>
              </w:rPr>
              <w:t>are</w:t>
            </w:r>
            <w:r>
              <w:rPr>
                <w:i/>
                <w:spacing w:val="-5"/>
                <w:sz w:val="19"/>
              </w:rPr>
              <w:t> </w:t>
            </w:r>
            <w:r>
              <w:rPr>
                <w:i/>
                <w:sz w:val="19"/>
              </w:rPr>
              <w:t>to</w:t>
            </w:r>
            <w:r>
              <w:rPr>
                <w:i/>
                <w:spacing w:val="-5"/>
                <w:sz w:val="19"/>
              </w:rPr>
              <w:t> </w:t>
            </w:r>
            <w:r>
              <w:rPr>
                <w:i/>
                <w:sz w:val="19"/>
              </w:rPr>
              <w:t>be</w:t>
            </w:r>
            <w:r>
              <w:rPr>
                <w:i/>
                <w:spacing w:val="-5"/>
                <w:sz w:val="19"/>
              </w:rPr>
              <w:t> </w:t>
            </w:r>
            <w:r>
              <w:rPr>
                <w:i/>
                <w:sz w:val="19"/>
              </w:rPr>
              <w:t>credited</w:t>
            </w:r>
            <w:r>
              <w:rPr>
                <w:i/>
                <w:spacing w:val="-6"/>
                <w:sz w:val="19"/>
              </w:rPr>
              <w:t> </w:t>
            </w:r>
            <w:r>
              <w:rPr>
                <w:i/>
                <w:sz w:val="19"/>
              </w:rPr>
              <w:t>or</w:t>
            </w:r>
            <w:r>
              <w:rPr>
                <w:i/>
                <w:spacing w:val="-5"/>
                <w:sz w:val="19"/>
              </w:rPr>
              <w:t> </w:t>
            </w:r>
            <w:r>
              <w:rPr>
                <w:i/>
                <w:sz w:val="19"/>
              </w:rPr>
              <w:t>paid.</w:t>
            </w:r>
          </w:p>
        </w:tc>
        <w:tc>
          <w:tcPr>
            <w:tcW w:w="1417" w:type="dxa"/>
            <w:vMerge w:val="restart"/>
            <w:tcBorders>
              <w:top w:val="nil"/>
              <w:left w:val="nil"/>
              <w:bottom w:val="single" w:sz="4" w:space="0" w:color="000000"/>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6"/>
              <w:rPr>
                <w:sz w:val="21"/>
              </w:rPr>
            </w:pPr>
          </w:p>
          <w:p>
            <w:pPr>
              <w:pStyle w:val="TableParagraph"/>
              <w:spacing w:before="0"/>
              <w:ind w:right="100"/>
              <w:jc w:val="right"/>
              <w:rPr>
                <w:sz w:val="19"/>
              </w:rPr>
            </w:pPr>
            <w:r>
              <w:rPr>
                <w:w w:val="99"/>
                <w:sz w:val="19"/>
              </w:rPr>
              <w:t>1</w:t>
            </w:r>
          </w:p>
          <w:p>
            <w:pPr>
              <w:pStyle w:val="TableParagraph"/>
              <w:spacing w:before="109"/>
              <w:ind w:right="100"/>
              <w:jc w:val="right"/>
              <w:rPr>
                <w:sz w:val="19"/>
              </w:rPr>
            </w:pPr>
            <w:r>
              <w:rPr>
                <w:w w:val="111"/>
                <w:sz w:val="19"/>
              </w:rPr>
              <w:t>-</w:t>
            </w:r>
          </w:p>
          <w:p>
            <w:pPr>
              <w:pStyle w:val="TableParagraph"/>
              <w:spacing w:before="109"/>
              <w:ind w:right="100"/>
              <w:jc w:val="right"/>
              <w:rPr>
                <w:sz w:val="19"/>
              </w:rPr>
            </w:pPr>
            <w:r>
              <w:rPr>
                <w:w w:val="111"/>
                <w:sz w:val="19"/>
              </w:rPr>
              <w:t>-</w:t>
            </w:r>
          </w:p>
        </w:tc>
        <w:tc>
          <w:tcPr>
            <w:tcW w:w="1417"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3"/>
              <w:rPr>
                <w:sz w:val="19"/>
              </w:rPr>
            </w:pPr>
            <w:r>
              <w:rPr>
                <w:sz w:val="19"/>
              </w:rPr>
              <w:t>Balance at the start of period</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AF9F9"/>
          </w:tcPr>
          <w:p>
            <w:pPr>
              <w:pStyle w:val="TableParagraph"/>
              <w:ind w:right="90"/>
              <w:jc w:val="right"/>
              <w:rPr>
                <w:sz w:val="19"/>
              </w:rPr>
            </w:pPr>
            <w:r>
              <w:rPr>
                <w:w w:val="99"/>
                <w:sz w:val="19"/>
              </w:rPr>
              <w:t>1</w:t>
            </w:r>
          </w:p>
        </w:tc>
      </w:tr>
      <w:tr>
        <w:trPr>
          <w:trHeight w:val="307" w:hRule="atLeast"/>
        </w:trPr>
        <w:tc>
          <w:tcPr>
            <w:tcW w:w="4606" w:type="dxa"/>
            <w:tcBorders>
              <w:right w:val="nil"/>
            </w:tcBorders>
            <w:shd w:val="clear" w:color="auto" w:fill="F4F4F4"/>
          </w:tcPr>
          <w:p>
            <w:pPr>
              <w:pStyle w:val="TableParagraph"/>
              <w:ind w:left="113"/>
              <w:rPr>
                <w:sz w:val="19"/>
              </w:rPr>
            </w:pPr>
            <w:r>
              <w:rPr>
                <w:sz w:val="19"/>
              </w:rPr>
              <w:t>Receipts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4F4F4"/>
          </w:tcPr>
          <w:p>
            <w:pPr>
              <w:pStyle w:val="TableParagraph"/>
              <w:ind w:right="89"/>
              <w:jc w:val="right"/>
              <w:rPr>
                <w:sz w:val="19"/>
              </w:rPr>
            </w:pPr>
            <w:r>
              <w:rPr>
                <w:w w:val="99"/>
                <w:sz w:val="19"/>
              </w:rPr>
              <w:t>3</w:t>
            </w:r>
          </w:p>
        </w:tc>
      </w:tr>
      <w:tr>
        <w:trPr>
          <w:trHeight w:val="307" w:hRule="atLeast"/>
        </w:trPr>
        <w:tc>
          <w:tcPr>
            <w:tcW w:w="4606" w:type="dxa"/>
            <w:tcBorders>
              <w:right w:val="nil"/>
            </w:tcBorders>
            <w:shd w:val="clear" w:color="auto" w:fill="FAF9F9"/>
          </w:tcPr>
          <w:p>
            <w:pPr>
              <w:pStyle w:val="TableParagraph"/>
              <w:ind w:left="113"/>
              <w:rPr>
                <w:sz w:val="19"/>
              </w:rPr>
            </w:pPr>
            <w:r>
              <w:rPr>
                <w:sz w:val="19"/>
              </w:rPr>
              <w:t>Payments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80"/>
                <w:sz w:val="19"/>
              </w:rPr>
              <w:t>(3)</w:t>
            </w:r>
          </w:p>
        </w:tc>
      </w:tr>
      <w:tr>
        <w:trPr>
          <w:trHeight w:val="284" w:hRule="atLeast"/>
        </w:trPr>
        <w:tc>
          <w:tcPr>
            <w:tcW w:w="4606" w:type="dxa"/>
            <w:tcBorders>
              <w:right w:val="nil"/>
            </w:tcBorders>
            <w:shd w:val="clear" w:color="auto" w:fill="F4F4F4"/>
          </w:tcPr>
          <w:p>
            <w:pPr>
              <w:pStyle w:val="TableParagraph"/>
              <w:ind w:left="114"/>
              <w:rPr>
                <w:b/>
                <w:sz w:val="19"/>
              </w:rPr>
            </w:pPr>
            <w:r>
              <w:rPr>
                <w:b/>
                <w:sz w:val="19"/>
              </w:rPr>
              <w:t>Balance at the end of period</w:t>
            </w:r>
          </w:p>
        </w:tc>
        <w:tc>
          <w:tcPr>
            <w:tcW w:w="1417" w:type="dxa"/>
            <w:tcBorders>
              <w:top w:val="single" w:sz="4" w:space="0" w:color="000000"/>
              <w:left w:val="nil"/>
              <w:bottom w:val="double" w:sz="2" w:space="0" w:color="000000"/>
              <w:right w:val="nil"/>
            </w:tcBorders>
            <w:shd w:val="clear" w:color="auto" w:fill="DFE1B8"/>
          </w:tcPr>
          <w:p>
            <w:pPr>
              <w:pStyle w:val="TableParagraph"/>
              <w:ind w:right="100"/>
              <w:jc w:val="right"/>
              <w:rPr>
                <w:b/>
                <w:sz w:val="19"/>
              </w:rPr>
            </w:pPr>
            <w:r>
              <w:rPr>
                <w:b/>
                <w:w w:val="99"/>
                <w:sz w:val="19"/>
              </w:rPr>
              <w:t>1</w:t>
            </w:r>
          </w:p>
        </w:tc>
        <w:tc>
          <w:tcPr>
            <w:tcW w:w="1417" w:type="dxa"/>
            <w:tcBorders>
              <w:top w:val="single" w:sz="4" w:space="0" w:color="000000"/>
              <w:left w:val="nil"/>
              <w:bottom w:val="double" w:sz="2" w:space="0" w:color="000000"/>
            </w:tcBorders>
            <w:shd w:val="clear" w:color="auto" w:fill="F4F4F4"/>
          </w:tcPr>
          <w:p>
            <w:pPr>
              <w:pStyle w:val="TableParagraph"/>
              <w:ind w:right="89"/>
              <w:jc w:val="right"/>
              <w:rPr>
                <w:b/>
                <w:sz w:val="19"/>
              </w:rPr>
            </w:pPr>
            <w:r>
              <w:rPr>
                <w:b/>
                <w:w w:val="99"/>
                <w:sz w:val="19"/>
              </w:rPr>
              <w:t>1</w:t>
            </w:r>
          </w:p>
        </w:tc>
      </w:tr>
      <w:tr>
        <w:trPr>
          <w:trHeight w:val="304"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vMerge w:val="restart"/>
            <w:tcBorders>
              <w:top w:val="double" w:sz="2" w:space="0" w:color="000000"/>
              <w:left w:val="nil"/>
              <w:bottom w:val="single" w:sz="4" w:space="0" w:color="000000"/>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1"/>
              <w:rPr>
                <w:sz w:val="26"/>
              </w:rPr>
            </w:pPr>
          </w:p>
          <w:p>
            <w:pPr>
              <w:pStyle w:val="TableParagraph"/>
              <w:spacing w:before="0"/>
              <w:ind w:left="839"/>
              <w:rPr>
                <w:sz w:val="19"/>
              </w:rPr>
            </w:pPr>
            <w:r>
              <w:rPr>
                <w:sz w:val="19"/>
              </w:rPr>
              <w:t>1,335</w:t>
            </w:r>
          </w:p>
          <w:p>
            <w:pPr>
              <w:pStyle w:val="TableParagraph"/>
              <w:spacing w:before="108"/>
              <w:ind w:left="839"/>
              <w:rPr>
                <w:sz w:val="19"/>
              </w:rPr>
            </w:pPr>
            <w:r>
              <w:rPr>
                <w:sz w:val="19"/>
              </w:rPr>
              <w:t>4,306</w:t>
            </w:r>
          </w:p>
          <w:p>
            <w:pPr>
              <w:pStyle w:val="TableParagraph"/>
              <w:spacing w:before="109"/>
              <w:ind w:left="748"/>
              <w:rPr>
                <w:sz w:val="19"/>
              </w:rPr>
            </w:pPr>
            <w:r>
              <w:rPr>
                <w:sz w:val="19"/>
              </w:rPr>
              <w:t>(5,213)</w:t>
            </w:r>
          </w:p>
        </w:tc>
        <w:tc>
          <w:tcPr>
            <w:tcW w:w="1417" w:type="dxa"/>
            <w:tcBorders>
              <w:top w:val="double" w:sz="2" w:space="0" w:color="000000"/>
              <w:left w:val="nil"/>
            </w:tcBorders>
            <w:shd w:val="clear" w:color="auto" w:fill="FAF9F9"/>
          </w:tcPr>
          <w:p>
            <w:pPr>
              <w:pStyle w:val="TableParagraph"/>
              <w:spacing w:before="0"/>
              <w:rPr>
                <w:rFonts w:ascii="Times New Roman"/>
                <w:sz w:val="20"/>
              </w:rPr>
            </w:pPr>
          </w:p>
        </w:tc>
      </w:tr>
      <w:tr>
        <w:trPr>
          <w:trHeight w:val="1197" w:hRule="atLeast"/>
        </w:trPr>
        <w:tc>
          <w:tcPr>
            <w:tcW w:w="4606" w:type="dxa"/>
            <w:tcBorders>
              <w:right w:val="nil"/>
            </w:tcBorders>
            <w:shd w:val="clear" w:color="auto" w:fill="F4F4F4"/>
          </w:tcPr>
          <w:p>
            <w:pPr>
              <w:pStyle w:val="TableParagraph"/>
              <w:ind w:left="114"/>
              <w:rPr>
                <w:i/>
                <w:sz w:val="19"/>
              </w:rPr>
            </w:pPr>
            <w:r>
              <w:rPr>
                <w:i/>
                <w:sz w:val="19"/>
              </w:rPr>
              <w:t>Indian Ocean Territories</w:t>
            </w:r>
          </w:p>
          <w:p>
            <w:pPr>
              <w:pStyle w:val="TableParagraph"/>
              <w:spacing w:line="249" w:lineRule="auto" w:before="10"/>
              <w:ind w:left="114" w:right="97"/>
              <w:rPr>
                <w:i/>
                <w:sz w:val="19"/>
              </w:rPr>
            </w:pPr>
            <w:r>
              <w:rPr>
                <w:i/>
                <w:sz w:val="19"/>
              </w:rPr>
              <w:t>The</w:t>
            </w:r>
            <w:r>
              <w:rPr>
                <w:i/>
                <w:spacing w:val="-12"/>
                <w:sz w:val="19"/>
              </w:rPr>
              <w:t> </w:t>
            </w:r>
            <w:r>
              <w:rPr>
                <w:i/>
                <w:sz w:val="19"/>
              </w:rPr>
              <w:t>purpose</w:t>
            </w:r>
            <w:r>
              <w:rPr>
                <w:i/>
                <w:spacing w:val="-11"/>
                <w:sz w:val="19"/>
              </w:rPr>
              <w:t> </w:t>
            </w:r>
            <w:r>
              <w:rPr>
                <w:i/>
                <w:sz w:val="19"/>
              </w:rPr>
              <w:t>of</w:t>
            </w:r>
            <w:r>
              <w:rPr>
                <w:i/>
                <w:spacing w:val="-11"/>
                <w:sz w:val="19"/>
              </w:rPr>
              <w:t> </w:t>
            </w:r>
            <w:r>
              <w:rPr>
                <w:i/>
                <w:sz w:val="19"/>
              </w:rPr>
              <w:t>the</w:t>
            </w:r>
            <w:r>
              <w:rPr>
                <w:i/>
                <w:spacing w:val="-11"/>
                <w:sz w:val="19"/>
              </w:rPr>
              <w:t> </w:t>
            </w:r>
            <w:r>
              <w:rPr>
                <w:i/>
                <w:sz w:val="19"/>
              </w:rPr>
              <w:t>special</w:t>
            </w:r>
            <w:r>
              <w:rPr>
                <w:i/>
                <w:spacing w:val="-11"/>
                <w:sz w:val="19"/>
              </w:rPr>
              <w:t> </w:t>
            </w:r>
            <w:r>
              <w:rPr>
                <w:i/>
                <w:sz w:val="19"/>
              </w:rPr>
              <w:t>account</w:t>
            </w:r>
            <w:r>
              <w:rPr>
                <w:i/>
                <w:spacing w:val="-11"/>
                <w:sz w:val="19"/>
              </w:rPr>
              <w:t> </w:t>
            </w:r>
            <w:r>
              <w:rPr>
                <w:i/>
                <w:sz w:val="19"/>
              </w:rPr>
              <w:t>is</w:t>
            </w:r>
            <w:r>
              <w:rPr>
                <w:i/>
                <w:spacing w:val="-11"/>
                <w:sz w:val="19"/>
              </w:rPr>
              <w:t> </w:t>
            </w:r>
            <w:r>
              <w:rPr>
                <w:i/>
                <w:sz w:val="19"/>
              </w:rPr>
              <w:t>to</w:t>
            </w:r>
            <w:r>
              <w:rPr>
                <w:i/>
                <w:spacing w:val="-11"/>
                <w:sz w:val="19"/>
              </w:rPr>
              <w:t> </w:t>
            </w:r>
            <w:r>
              <w:rPr>
                <w:i/>
                <w:sz w:val="19"/>
              </w:rPr>
              <w:t>hold</w:t>
            </w:r>
            <w:r>
              <w:rPr>
                <w:i/>
                <w:spacing w:val="-11"/>
                <w:sz w:val="19"/>
              </w:rPr>
              <w:t> </w:t>
            </w:r>
            <w:r>
              <w:rPr>
                <w:i/>
                <w:spacing w:val="-3"/>
                <w:sz w:val="19"/>
              </w:rPr>
              <w:t>taxation </w:t>
            </w:r>
            <w:r>
              <w:rPr>
                <w:i/>
                <w:sz w:val="19"/>
              </w:rPr>
              <w:t>collections</w:t>
            </w:r>
            <w:r>
              <w:rPr>
                <w:i/>
                <w:spacing w:val="-10"/>
                <w:sz w:val="19"/>
              </w:rPr>
              <w:t> </w:t>
            </w:r>
            <w:r>
              <w:rPr>
                <w:i/>
                <w:sz w:val="19"/>
              </w:rPr>
              <w:t>pending</w:t>
            </w:r>
            <w:r>
              <w:rPr>
                <w:i/>
                <w:spacing w:val="-10"/>
                <w:sz w:val="19"/>
              </w:rPr>
              <w:t> </w:t>
            </w:r>
            <w:r>
              <w:rPr>
                <w:i/>
                <w:sz w:val="19"/>
              </w:rPr>
              <w:t>transfer</w:t>
            </w:r>
            <w:r>
              <w:rPr>
                <w:i/>
                <w:spacing w:val="-9"/>
                <w:sz w:val="19"/>
              </w:rPr>
              <w:t> </w:t>
            </w:r>
            <w:r>
              <w:rPr>
                <w:i/>
                <w:sz w:val="19"/>
              </w:rPr>
              <w:t>to</w:t>
            </w:r>
            <w:r>
              <w:rPr>
                <w:i/>
                <w:spacing w:val="-10"/>
                <w:sz w:val="19"/>
              </w:rPr>
              <w:t> </w:t>
            </w:r>
            <w:r>
              <w:rPr>
                <w:i/>
                <w:sz w:val="19"/>
              </w:rPr>
              <w:t>the</w:t>
            </w:r>
            <w:r>
              <w:rPr>
                <w:i/>
                <w:spacing w:val="-10"/>
                <w:sz w:val="19"/>
              </w:rPr>
              <w:t> </w:t>
            </w:r>
            <w:r>
              <w:rPr>
                <w:i/>
                <w:sz w:val="19"/>
              </w:rPr>
              <w:t>Commonwealth</w:t>
            </w:r>
          </w:p>
          <w:p>
            <w:pPr>
              <w:pStyle w:val="TableParagraph"/>
              <w:spacing w:line="249" w:lineRule="auto" w:before="1"/>
              <w:ind w:left="114" w:right="369"/>
              <w:rPr>
                <w:i/>
                <w:sz w:val="19"/>
              </w:rPr>
            </w:pPr>
            <w:r>
              <w:rPr>
                <w:i/>
                <w:sz w:val="19"/>
              </w:rPr>
              <w:t>of Australia in accordance with the Service Level </w:t>
            </w:r>
            <w:r>
              <w:rPr>
                <w:i/>
                <w:sz w:val="19"/>
              </w:rPr>
              <w:t>Agreement entered into with the </w:t>
            </w:r>
            <w:r>
              <w:rPr>
                <w:i/>
                <w:spacing w:val="-2"/>
                <w:sz w:val="19"/>
              </w:rPr>
              <w:t>Commonwealth.</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sz w:val="19"/>
              </w:rPr>
            </w:pPr>
            <w:r>
              <w:rPr>
                <w:sz w:val="19"/>
              </w:rPr>
              <w:t>Balance at the start of period</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AF9F9"/>
          </w:tcPr>
          <w:p>
            <w:pPr>
              <w:pStyle w:val="TableParagraph"/>
              <w:ind w:right="89"/>
              <w:jc w:val="right"/>
              <w:rPr>
                <w:sz w:val="19"/>
              </w:rPr>
            </w:pPr>
            <w:r>
              <w:rPr>
                <w:w w:val="95"/>
                <w:sz w:val="19"/>
              </w:rPr>
              <w:t>383</w:t>
            </w:r>
          </w:p>
        </w:tc>
      </w:tr>
      <w:tr>
        <w:trPr>
          <w:trHeight w:val="307" w:hRule="atLeast"/>
        </w:trPr>
        <w:tc>
          <w:tcPr>
            <w:tcW w:w="4606" w:type="dxa"/>
            <w:tcBorders>
              <w:right w:val="nil"/>
            </w:tcBorders>
            <w:shd w:val="clear" w:color="auto" w:fill="F4F4F4"/>
          </w:tcPr>
          <w:p>
            <w:pPr>
              <w:pStyle w:val="TableParagraph"/>
              <w:ind w:left="114"/>
              <w:rPr>
                <w:sz w:val="19"/>
              </w:rPr>
            </w:pPr>
            <w:r>
              <w:rPr>
                <w:sz w:val="19"/>
              </w:rPr>
              <w:t>Receipts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4F4F4"/>
          </w:tcPr>
          <w:p>
            <w:pPr>
              <w:pStyle w:val="TableParagraph"/>
              <w:ind w:right="89"/>
              <w:jc w:val="right"/>
              <w:rPr>
                <w:sz w:val="19"/>
              </w:rPr>
            </w:pPr>
            <w:r>
              <w:rPr>
                <w:w w:val="95"/>
                <w:sz w:val="19"/>
              </w:rPr>
              <w:t>5,065</w:t>
            </w:r>
          </w:p>
        </w:tc>
      </w:tr>
      <w:tr>
        <w:trPr>
          <w:trHeight w:val="307" w:hRule="atLeast"/>
        </w:trPr>
        <w:tc>
          <w:tcPr>
            <w:tcW w:w="4606" w:type="dxa"/>
            <w:tcBorders>
              <w:right w:val="nil"/>
            </w:tcBorders>
            <w:shd w:val="clear" w:color="auto" w:fill="FAF9F9"/>
          </w:tcPr>
          <w:p>
            <w:pPr>
              <w:pStyle w:val="TableParagraph"/>
              <w:ind w:left="114"/>
              <w:rPr>
                <w:sz w:val="19"/>
              </w:rPr>
            </w:pPr>
            <w:r>
              <w:rPr>
                <w:sz w:val="19"/>
              </w:rPr>
              <w:t>Payments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0"/>
                <w:sz w:val="19"/>
              </w:rPr>
              <w:t>(4,112)</w:t>
            </w:r>
          </w:p>
        </w:tc>
      </w:tr>
      <w:tr>
        <w:trPr>
          <w:trHeight w:val="277" w:hRule="atLeast"/>
        </w:trPr>
        <w:tc>
          <w:tcPr>
            <w:tcW w:w="4606" w:type="dxa"/>
            <w:tcBorders>
              <w:right w:val="nil"/>
            </w:tcBorders>
            <w:shd w:val="clear" w:color="auto" w:fill="F4F4F4"/>
          </w:tcPr>
          <w:p>
            <w:pPr>
              <w:pStyle w:val="TableParagraph"/>
              <w:ind w:left="114"/>
              <w:rPr>
                <w:b/>
                <w:sz w:val="19"/>
              </w:rPr>
            </w:pPr>
            <w:r>
              <w:rPr>
                <w:b/>
                <w:sz w:val="19"/>
              </w:rPr>
              <w:t>Balance at the end of period</w:t>
            </w:r>
          </w:p>
        </w:tc>
        <w:tc>
          <w:tcPr>
            <w:tcW w:w="1417" w:type="dxa"/>
            <w:tcBorders>
              <w:top w:val="single" w:sz="4" w:space="0" w:color="000000"/>
              <w:left w:val="nil"/>
              <w:bottom w:val="single" w:sz="24" w:space="0" w:color="FFFFFF"/>
              <w:right w:val="nil"/>
            </w:tcBorders>
            <w:shd w:val="clear" w:color="auto" w:fill="DFE1B8"/>
          </w:tcPr>
          <w:p>
            <w:pPr>
              <w:pStyle w:val="TableParagraph"/>
              <w:ind w:right="99"/>
              <w:jc w:val="right"/>
              <w:rPr>
                <w:b/>
                <w:sz w:val="19"/>
              </w:rPr>
            </w:pPr>
            <w:r>
              <w:rPr>
                <w:b/>
                <w:w w:val="95"/>
                <w:sz w:val="19"/>
              </w:rPr>
              <w:t>428</w:t>
            </w:r>
          </w:p>
        </w:tc>
        <w:tc>
          <w:tcPr>
            <w:tcW w:w="1417" w:type="dxa"/>
            <w:tcBorders>
              <w:top w:val="single" w:sz="4" w:space="0" w:color="000000"/>
              <w:left w:val="nil"/>
              <w:bottom w:val="single" w:sz="24" w:space="0" w:color="FFFFFF"/>
            </w:tcBorders>
            <w:shd w:val="clear" w:color="auto" w:fill="F4F4F4"/>
          </w:tcPr>
          <w:p>
            <w:pPr>
              <w:pStyle w:val="TableParagraph"/>
              <w:ind w:right="88"/>
              <w:jc w:val="right"/>
              <w:rPr>
                <w:b/>
                <w:sz w:val="19"/>
              </w:rPr>
            </w:pPr>
            <w:r>
              <w:rPr>
                <w:b/>
                <w:w w:val="95"/>
                <w:sz w:val="19"/>
              </w:rPr>
              <w:t>1,335</w:t>
            </w:r>
          </w:p>
        </w:tc>
      </w:tr>
    </w:tbl>
    <w:p>
      <w:pPr>
        <w:spacing w:after="0"/>
        <w:jc w:val="right"/>
        <w:rPr>
          <w:sz w:val="19"/>
        </w:rPr>
        <w:sectPr>
          <w:type w:val="continuous"/>
          <w:pgSz w:w="16840" w:h="11910" w:orient="landscape"/>
          <w:pgMar w:top="1100" w:bottom="28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spacing w:before="10"/>
        <w:rPr>
          <w:sz w:val="21"/>
        </w:rPr>
      </w:pPr>
    </w:p>
    <w:p>
      <w:pPr>
        <w:spacing w:before="92"/>
        <w:ind w:left="765" w:right="0" w:firstLine="0"/>
        <w:jc w:val="left"/>
        <w:rPr>
          <w:sz w:val="72"/>
        </w:rPr>
      </w:pPr>
      <w:r>
        <w:rPr/>
        <w:pict>
          <v:group style="position:absolute;margin-left:120.271004pt;margin-top:-57.37421pt;width:721.65pt;height:42.55pt;mso-position-horizontal-relative:page;mso-position-vertical-relative:paragraph;z-index:24136" coordorigin="2405,-1147" coordsize="14433,851">
            <v:rect style="position:absolute;left:14432;top:-1148;width:2406;height:851" filled="true" fillcolor="#bba1bc"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148;width:2406;height:851" type="#_x0000_t202" filled="true" fillcolor="#c3acc4"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1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148;width:2406;height:851" type="#_x0000_t202" filled="true" fillcolor="#d4d896"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1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148;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Notes to the Financial Statements</w:t>
      </w:r>
    </w:p>
    <w:p>
      <w:pPr>
        <w:spacing w:before="30"/>
        <w:ind w:left="765" w:right="0" w:firstLine="0"/>
        <w:jc w:val="left"/>
        <w:rPr>
          <w:sz w:val="36"/>
        </w:rPr>
      </w:pPr>
      <w:r>
        <w:rPr>
          <w:color w:val="6F2770"/>
          <w:sz w:val="36"/>
        </w:rPr>
        <w:t>For the year ended 30 June 2018</w:t>
      </w:r>
    </w:p>
    <w:p>
      <w:pPr>
        <w:pStyle w:val="BodyText"/>
        <w:spacing w:before="10"/>
        <w:rPr>
          <w:sz w:val="12"/>
        </w:rPr>
      </w:pPr>
    </w:p>
    <w:p>
      <w:pPr>
        <w:spacing w:after="0"/>
        <w:rPr>
          <w:sz w:val="12"/>
        </w:rPr>
        <w:sectPr>
          <w:footerReference w:type="default" r:id="rId200"/>
          <w:pgSz w:w="16840" w:h="11910" w:orient="landscape"/>
          <w:pgMar w:footer="774" w:header="0" w:top="0" w:bottom="960" w:left="0" w:right="0"/>
        </w:sectPr>
      </w:pPr>
    </w:p>
    <w:p>
      <w:pPr>
        <w:spacing w:line="235" w:lineRule="auto" w:before="115"/>
        <w:ind w:left="765" w:right="31" w:firstLine="0"/>
        <w:jc w:val="left"/>
        <w:rPr>
          <w:sz w:val="32"/>
        </w:rPr>
      </w:pPr>
      <w:r>
        <w:rPr/>
        <w:pict>
          <v:shape style="position:absolute;margin-left:431.574799pt;margin-top:38.034245pt;width:373.55pt;height:289.45pt;mso-position-horizontal-relative:page;mso-position-vertical-relative:paragraph;z-index:24160"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2018</w:t>
                          <w:tab/>
                        </w:r>
                        <w:r>
                          <w:rPr>
                            <w:b/>
                            <w:color w:val="FFFFFF"/>
                            <w:w w:val="95"/>
                            <w:sz w:val="19"/>
                          </w:rPr>
                          <w:t>2017</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i/>
                            <w:sz w:val="19"/>
                          </w:rPr>
                        </w:pPr>
                        <w:r>
                          <w:rPr>
                            <w:i/>
                            <w:color w:val="6F2770"/>
                            <w:sz w:val="19"/>
                          </w:rPr>
                          <w:t>Current Assets</w:t>
                        </w:r>
                      </w:p>
                    </w:tc>
                    <w:tc>
                      <w:tcPr>
                        <w:tcW w:w="1417" w:type="dxa"/>
                        <w:vMerge w:val="restart"/>
                        <w:tcBorders>
                          <w:top w:val="nil"/>
                          <w:left w:val="nil"/>
                          <w:bottom w:val="single" w:sz="4" w:space="0" w:color="000000"/>
                          <w:right w:val="nil"/>
                        </w:tcBorders>
                        <w:shd w:val="clear" w:color="auto" w:fill="E1E4BB"/>
                      </w:tcPr>
                      <w:p>
                        <w:pPr>
                          <w:pStyle w:val="TableParagraph"/>
                          <w:spacing w:before="1"/>
                          <w:rPr>
                            <w:sz w:val="32"/>
                          </w:rPr>
                        </w:pPr>
                      </w:p>
                      <w:p>
                        <w:pPr>
                          <w:pStyle w:val="TableParagraph"/>
                          <w:spacing w:before="0"/>
                          <w:ind w:left="605" w:right="80"/>
                          <w:jc w:val="center"/>
                          <w:rPr>
                            <w:sz w:val="19"/>
                          </w:rPr>
                        </w:pPr>
                        <w:r>
                          <w:rPr>
                            <w:sz w:val="19"/>
                          </w:rPr>
                          <w:t>707,919</w:t>
                        </w:r>
                      </w:p>
                      <w:p>
                        <w:pPr>
                          <w:pStyle w:val="TableParagraph"/>
                          <w:spacing w:before="109"/>
                          <w:ind w:left="711" w:right="80"/>
                          <w:jc w:val="center"/>
                          <w:rPr>
                            <w:sz w:val="19"/>
                          </w:rPr>
                        </w:pPr>
                        <w:r>
                          <w:rPr>
                            <w:sz w:val="19"/>
                          </w:rPr>
                          <w:t>38,597</w:t>
                        </w:r>
                      </w:p>
                      <w:p>
                        <w:pPr>
                          <w:pStyle w:val="TableParagraph"/>
                          <w:spacing w:before="109"/>
                          <w:ind w:left="711" w:right="80"/>
                          <w:jc w:val="center"/>
                          <w:rPr>
                            <w:sz w:val="19"/>
                          </w:rPr>
                        </w:pPr>
                        <w:r>
                          <w:rPr>
                            <w:sz w:val="19"/>
                          </w:rPr>
                          <w:t>20,057</w:t>
                        </w:r>
                      </w:p>
                    </w:tc>
                    <w:tc>
                      <w:tcPr>
                        <w:tcW w:w="1417"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3"/>
                          <w:rPr>
                            <w:sz w:val="19"/>
                          </w:rPr>
                        </w:pPr>
                        <w:r>
                          <w:rPr>
                            <w:sz w:val="19"/>
                          </w:rPr>
                          <w:t>Taxation Receivable</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ind w:right="90"/>
                          <w:jc w:val="right"/>
                          <w:rPr>
                            <w:sz w:val="19"/>
                          </w:rPr>
                        </w:pPr>
                        <w:r>
                          <w:rPr>
                            <w:w w:val="95"/>
                            <w:sz w:val="19"/>
                          </w:rPr>
                          <w:t>667,048</w:t>
                        </w:r>
                      </w:p>
                    </w:tc>
                  </w:tr>
                  <w:tr>
                    <w:trPr>
                      <w:trHeight w:val="307" w:hRule="atLeast"/>
                    </w:trPr>
                    <w:tc>
                      <w:tcPr>
                        <w:tcW w:w="4606" w:type="dxa"/>
                        <w:tcBorders>
                          <w:right w:val="nil"/>
                        </w:tcBorders>
                        <w:shd w:val="clear" w:color="auto" w:fill="F4F4F4"/>
                      </w:tcPr>
                      <w:p>
                        <w:pPr>
                          <w:pStyle w:val="TableParagraph"/>
                          <w:ind w:left="113"/>
                          <w:rPr>
                            <w:sz w:val="19"/>
                          </w:rPr>
                        </w:pPr>
                        <w:r>
                          <w:rPr>
                            <w:sz w:val="19"/>
                          </w:rPr>
                          <w:t>Other Debtors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4F4F4"/>
                      </w:tcPr>
                      <w:p>
                        <w:pPr>
                          <w:pStyle w:val="TableParagraph"/>
                          <w:ind w:right="89"/>
                          <w:jc w:val="right"/>
                          <w:rPr>
                            <w:sz w:val="19"/>
                          </w:rPr>
                        </w:pPr>
                        <w:r>
                          <w:rPr>
                            <w:w w:val="95"/>
                            <w:sz w:val="19"/>
                          </w:rPr>
                          <w:t>39,847</w:t>
                        </w:r>
                      </w:p>
                    </w:tc>
                  </w:tr>
                  <w:tr>
                    <w:trPr>
                      <w:trHeight w:val="307" w:hRule="atLeast"/>
                    </w:trPr>
                    <w:tc>
                      <w:tcPr>
                        <w:tcW w:w="4606" w:type="dxa"/>
                        <w:tcBorders>
                          <w:right w:val="nil"/>
                        </w:tcBorders>
                        <w:shd w:val="clear" w:color="auto" w:fill="FAF9F9"/>
                      </w:tcPr>
                      <w:p>
                        <w:pPr>
                          <w:pStyle w:val="TableParagraph"/>
                          <w:ind w:left="113"/>
                          <w:rPr>
                            <w:sz w:val="19"/>
                          </w:rPr>
                        </w:pPr>
                        <w:r>
                          <w:rPr>
                            <w:sz w:val="19"/>
                          </w:rPr>
                          <w:t>Other Current Assets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19,536</w:t>
                        </w:r>
                      </w:p>
                    </w:tc>
                  </w:tr>
                  <w:tr>
                    <w:trPr>
                      <w:trHeight w:val="307" w:hRule="atLeast"/>
                    </w:trPr>
                    <w:tc>
                      <w:tcPr>
                        <w:tcW w:w="4606" w:type="dxa"/>
                        <w:tcBorders>
                          <w:right w:val="nil"/>
                        </w:tcBorders>
                        <w:shd w:val="clear" w:color="auto" w:fill="F4F4F4"/>
                      </w:tcPr>
                      <w:p>
                        <w:pPr>
                          <w:pStyle w:val="TableParagraph"/>
                          <w:ind w:left="114"/>
                          <w:rPr>
                            <w:b/>
                            <w:sz w:val="19"/>
                          </w:rPr>
                        </w:pPr>
                        <w:r>
                          <w:rPr>
                            <w:b/>
                            <w:sz w:val="19"/>
                          </w:rPr>
                          <w:t>Total Administered Current Assets</w:t>
                        </w:r>
                      </w:p>
                    </w:tc>
                    <w:tc>
                      <w:tcPr>
                        <w:tcW w:w="1417" w:type="dxa"/>
                        <w:tcBorders>
                          <w:top w:val="single" w:sz="4" w:space="0" w:color="000000"/>
                          <w:left w:val="nil"/>
                          <w:bottom w:val="single" w:sz="4" w:space="0" w:color="000000"/>
                          <w:right w:val="nil"/>
                        </w:tcBorders>
                        <w:shd w:val="clear" w:color="auto" w:fill="DFE1B8"/>
                      </w:tcPr>
                      <w:p>
                        <w:pPr>
                          <w:pStyle w:val="TableParagraph"/>
                          <w:ind w:right="100"/>
                          <w:jc w:val="right"/>
                          <w:rPr>
                            <w:b/>
                            <w:sz w:val="19"/>
                          </w:rPr>
                        </w:pPr>
                        <w:r>
                          <w:rPr>
                            <w:b/>
                            <w:w w:val="95"/>
                            <w:sz w:val="19"/>
                          </w:rPr>
                          <w:t>766,573</w:t>
                        </w:r>
                      </w:p>
                    </w:tc>
                    <w:tc>
                      <w:tcPr>
                        <w:tcW w:w="1417" w:type="dxa"/>
                        <w:tcBorders>
                          <w:top w:val="single" w:sz="4" w:space="0" w:color="000000"/>
                          <w:left w:val="nil"/>
                          <w:bottom w:val="single" w:sz="4" w:space="0" w:color="000000"/>
                        </w:tcBorders>
                        <w:shd w:val="clear" w:color="auto" w:fill="F4F4F4"/>
                      </w:tcPr>
                      <w:p>
                        <w:pPr>
                          <w:pStyle w:val="TableParagraph"/>
                          <w:ind w:right="89"/>
                          <w:jc w:val="right"/>
                          <w:rPr>
                            <w:b/>
                            <w:sz w:val="19"/>
                          </w:rPr>
                        </w:pPr>
                        <w:r>
                          <w:rPr>
                            <w:b/>
                            <w:w w:val="95"/>
                            <w:sz w:val="19"/>
                          </w:rPr>
                          <w:t>726,431</w:t>
                        </w:r>
                      </w:p>
                    </w:tc>
                  </w:tr>
                  <w:tr>
                    <w:trPr>
                      <w:trHeight w:val="307"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vMerge w:val="restart"/>
                        <w:tcBorders>
                          <w:top w:val="single" w:sz="4" w:space="0" w:color="000000"/>
                          <w:left w:val="nil"/>
                          <w:bottom w:val="single" w:sz="4" w:space="0" w:color="000000"/>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181"/>
                          <w:ind w:left="734"/>
                          <w:rPr>
                            <w:sz w:val="19"/>
                          </w:rPr>
                        </w:pPr>
                        <w:r>
                          <w:rPr>
                            <w:sz w:val="19"/>
                          </w:rPr>
                          <w:t>51,300</w:t>
                        </w:r>
                      </w:p>
                    </w:tc>
                    <w:tc>
                      <w:tcPr>
                        <w:tcW w:w="1417" w:type="dxa"/>
                        <w:tcBorders>
                          <w:top w:val="single" w:sz="4" w:space="0" w:color="000000"/>
                          <w:left w:val="nil"/>
                        </w:tcBorders>
                        <w:shd w:val="clear" w:color="auto" w:fill="FAF9F9"/>
                      </w:tcPr>
                      <w:p>
                        <w:pPr>
                          <w:pStyle w:val="TableParagraph"/>
                          <w:spacing w:before="0"/>
                          <w:rPr>
                            <w:rFonts w:ascii="Times New Roman"/>
                            <w:sz w:val="20"/>
                          </w:rPr>
                        </w:pPr>
                      </w:p>
                    </w:tc>
                  </w:tr>
                  <w:tr>
                    <w:trPr>
                      <w:trHeight w:val="307" w:hRule="atLeast"/>
                    </w:trPr>
                    <w:tc>
                      <w:tcPr>
                        <w:tcW w:w="4606" w:type="dxa"/>
                        <w:tcBorders>
                          <w:right w:val="nil"/>
                        </w:tcBorders>
                        <w:shd w:val="clear" w:color="auto" w:fill="F4F4F4"/>
                      </w:tcPr>
                      <w:p>
                        <w:pPr>
                          <w:pStyle w:val="TableParagraph"/>
                          <w:ind w:left="114"/>
                          <w:rPr>
                            <w:i/>
                            <w:sz w:val="19"/>
                          </w:rPr>
                        </w:pPr>
                        <w:r>
                          <w:rPr>
                            <w:i/>
                            <w:color w:val="6F2770"/>
                            <w:sz w:val="19"/>
                          </w:rPr>
                          <w:t>Non-Current Assets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sz w:val="19"/>
                          </w:rPr>
                        </w:pPr>
                        <w:r>
                          <w:rPr>
                            <w:sz w:val="19"/>
                          </w:rPr>
                          <w:t>Other Receivables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51,300</w:t>
                        </w:r>
                      </w:p>
                    </w:tc>
                  </w:tr>
                  <w:tr>
                    <w:trPr>
                      <w:trHeight w:val="307" w:hRule="atLeast"/>
                    </w:trPr>
                    <w:tc>
                      <w:tcPr>
                        <w:tcW w:w="4606" w:type="dxa"/>
                        <w:tcBorders>
                          <w:right w:val="nil"/>
                        </w:tcBorders>
                        <w:shd w:val="clear" w:color="auto" w:fill="F4F4F4"/>
                      </w:tcPr>
                      <w:p>
                        <w:pPr>
                          <w:pStyle w:val="TableParagraph"/>
                          <w:ind w:left="114"/>
                          <w:rPr>
                            <w:b/>
                            <w:sz w:val="19"/>
                          </w:rPr>
                        </w:pPr>
                        <w:r>
                          <w:rPr>
                            <w:b/>
                            <w:sz w:val="19"/>
                          </w:rPr>
                          <w:t>Total Administered Non-Current Assets</w:t>
                        </w:r>
                      </w:p>
                    </w:tc>
                    <w:tc>
                      <w:tcPr>
                        <w:tcW w:w="1417" w:type="dxa"/>
                        <w:tcBorders>
                          <w:top w:val="single" w:sz="4" w:space="0" w:color="000000"/>
                          <w:left w:val="nil"/>
                          <w:bottom w:val="single" w:sz="4" w:space="0" w:color="000000"/>
                          <w:right w:val="nil"/>
                        </w:tcBorders>
                        <w:shd w:val="clear" w:color="auto" w:fill="DFE1B8"/>
                      </w:tcPr>
                      <w:p>
                        <w:pPr>
                          <w:pStyle w:val="TableParagraph"/>
                          <w:ind w:right="99"/>
                          <w:jc w:val="right"/>
                          <w:rPr>
                            <w:b/>
                            <w:sz w:val="19"/>
                          </w:rPr>
                        </w:pPr>
                        <w:r>
                          <w:rPr>
                            <w:b/>
                            <w:w w:val="95"/>
                            <w:sz w:val="19"/>
                          </w:rPr>
                          <w:t>51,300</w:t>
                        </w:r>
                      </w:p>
                    </w:tc>
                    <w:tc>
                      <w:tcPr>
                        <w:tcW w:w="1417" w:type="dxa"/>
                        <w:tcBorders>
                          <w:top w:val="single" w:sz="4" w:space="0" w:color="000000"/>
                          <w:left w:val="nil"/>
                          <w:bottom w:val="single" w:sz="4" w:space="0" w:color="000000"/>
                        </w:tcBorders>
                        <w:shd w:val="clear" w:color="auto" w:fill="F4F4F4"/>
                      </w:tcPr>
                      <w:p>
                        <w:pPr>
                          <w:pStyle w:val="TableParagraph"/>
                          <w:ind w:right="89"/>
                          <w:jc w:val="right"/>
                          <w:rPr>
                            <w:b/>
                            <w:sz w:val="19"/>
                          </w:rPr>
                        </w:pPr>
                        <w:r>
                          <w:rPr>
                            <w:b/>
                            <w:w w:val="95"/>
                            <w:sz w:val="19"/>
                          </w:rPr>
                          <w:t>51,300</w:t>
                        </w:r>
                      </w:p>
                    </w:tc>
                  </w:tr>
                  <w:tr>
                    <w:trPr>
                      <w:trHeight w:val="284" w:hRule="atLeast"/>
                    </w:trPr>
                    <w:tc>
                      <w:tcPr>
                        <w:tcW w:w="4606" w:type="dxa"/>
                        <w:tcBorders>
                          <w:right w:val="nil"/>
                        </w:tcBorders>
                        <w:shd w:val="clear" w:color="auto" w:fill="FAF9F9"/>
                      </w:tcPr>
                      <w:p>
                        <w:pPr>
                          <w:pStyle w:val="TableParagraph"/>
                          <w:ind w:left="114"/>
                          <w:rPr>
                            <w:b/>
                            <w:sz w:val="19"/>
                          </w:rPr>
                        </w:pPr>
                        <w:r>
                          <w:rPr>
                            <w:b/>
                            <w:sz w:val="19"/>
                          </w:rPr>
                          <w:t>Total Administered Assets</w:t>
                        </w:r>
                      </w:p>
                    </w:tc>
                    <w:tc>
                      <w:tcPr>
                        <w:tcW w:w="1417" w:type="dxa"/>
                        <w:tcBorders>
                          <w:top w:val="single" w:sz="4" w:space="0" w:color="000000"/>
                          <w:left w:val="nil"/>
                          <w:bottom w:val="double" w:sz="2" w:space="0" w:color="000000"/>
                          <w:right w:val="nil"/>
                        </w:tcBorders>
                        <w:shd w:val="clear" w:color="auto" w:fill="E1E4BB"/>
                      </w:tcPr>
                      <w:p>
                        <w:pPr>
                          <w:pStyle w:val="TableParagraph"/>
                          <w:ind w:right="99"/>
                          <w:jc w:val="right"/>
                          <w:rPr>
                            <w:b/>
                            <w:sz w:val="19"/>
                          </w:rPr>
                        </w:pPr>
                        <w:r>
                          <w:rPr>
                            <w:b/>
                            <w:w w:val="95"/>
                            <w:sz w:val="19"/>
                          </w:rPr>
                          <w:t>817,873</w:t>
                        </w:r>
                      </w:p>
                    </w:tc>
                    <w:tc>
                      <w:tcPr>
                        <w:tcW w:w="1417" w:type="dxa"/>
                        <w:tcBorders>
                          <w:top w:val="single" w:sz="4" w:space="0" w:color="000000"/>
                          <w:left w:val="nil"/>
                          <w:bottom w:val="double" w:sz="2" w:space="0" w:color="000000"/>
                        </w:tcBorders>
                        <w:shd w:val="clear" w:color="auto" w:fill="FAF9F9"/>
                      </w:tcPr>
                      <w:p>
                        <w:pPr>
                          <w:pStyle w:val="TableParagraph"/>
                          <w:ind w:right="89"/>
                          <w:jc w:val="right"/>
                          <w:rPr>
                            <w:b/>
                            <w:sz w:val="19"/>
                          </w:rPr>
                        </w:pPr>
                        <w:r>
                          <w:rPr>
                            <w:b/>
                            <w:w w:val="95"/>
                            <w:sz w:val="19"/>
                          </w:rPr>
                          <w:t>777,731</w:t>
                        </w:r>
                      </w:p>
                    </w:tc>
                  </w:tr>
                  <w:tr>
                    <w:trPr>
                      <w:trHeight w:val="304"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vMerge w:val="restart"/>
                        <w:tcBorders>
                          <w:top w:val="double" w:sz="2"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178"/>
                          <w:ind w:left="734"/>
                          <w:rPr>
                            <w:sz w:val="19"/>
                          </w:rPr>
                        </w:pPr>
                        <w:r>
                          <w:rPr>
                            <w:sz w:val="19"/>
                          </w:rPr>
                          <w:t>58,653</w:t>
                        </w:r>
                      </w:p>
                    </w:tc>
                    <w:tc>
                      <w:tcPr>
                        <w:tcW w:w="1417" w:type="dxa"/>
                        <w:tcBorders>
                          <w:top w:val="double" w:sz="2" w:space="0" w:color="000000"/>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i/>
                            <w:sz w:val="19"/>
                          </w:rPr>
                        </w:pPr>
                        <w:r>
                          <w:rPr>
                            <w:i/>
                            <w:color w:val="6F2770"/>
                            <w:sz w:val="19"/>
                          </w:rPr>
                          <w:t>Current Liabilities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spacing w:before="0"/>
                          <w:rPr>
                            <w:rFonts w:ascii="Times New Roman"/>
                            <w:sz w:val="20"/>
                          </w:rPr>
                        </w:pPr>
                      </w:p>
                    </w:tc>
                  </w:tr>
                  <w:tr>
                    <w:trPr>
                      <w:trHeight w:val="307" w:hRule="atLeast"/>
                    </w:trPr>
                    <w:tc>
                      <w:tcPr>
                        <w:tcW w:w="4606" w:type="dxa"/>
                        <w:tcBorders>
                          <w:right w:val="nil"/>
                        </w:tcBorders>
                        <w:shd w:val="clear" w:color="auto" w:fill="F4F4F4"/>
                      </w:tcPr>
                      <w:p>
                        <w:pPr>
                          <w:pStyle w:val="TableParagraph"/>
                          <w:ind w:left="114"/>
                          <w:rPr>
                            <w:sz w:val="19"/>
                          </w:rPr>
                        </w:pPr>
                        <w:r>
                          <w:rPr>
                            <w:sz w:val="19"/>
                          </w:rPr>
                          <w:t>Other Payables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4F4F4"/>
                      </w:tcPr>
                      <w:p>
                        <w:pPr>
                          <w:pStyle w:val="TableParagraph"/>
                          <w:ind w:right="88"/>
                          <w:jc w:val="right"/>
                          <w:rPr>
                            <w:sz w:val="19"/>
                          </w:rPr>
                        </w:pPr>
                        <w:r>
                          <w:rPr>
                            <w:w w:val="95"/>
                            <w:sz w:val="19"/>
                          </w:rPr>
                          <w:t>59,384</w:t>
                        </w:r>
                      </w:p>
                    </w:tc>
                  </w:tr>
                  <w:tr>
                    <w:trPr>
                      <w:trHeight w:val="307" w:hRule="atLeast"/>
                    </w:trPr>
                    <w:tc>
                      <w:tcPr>
                        <w:tcW w:w="4606" w:type="dxa"/>
                        <w:tcBorders>
                          <w:right w:val="nil"/>
                        </w:tcBorders>
                        <w:shd w:val="clear" w:color="auto" w:fill="FAF9F9"/>
                      </w:tcPr>
                      <w:p>
                        <w:pPr>
                          <w:pStyle w:val="TableParagraph"/>
                          <w:ind w:left="115"/>
                          <w:rPr>
                            <w:b/>
                            <w:sz w:val="19"/>
                          </w:rPr>
                        </w:pPr>
                        <w:r>
                          <w:rPr>
                            <w:b/>
                            <w:sz w:val="19"/>
                          </w:rPr>
                          <w:t>Total Administered Current Liabilities</w:t>
                        </w:r>
                      </w:p>
                    </w:tc>
                    <w:tc>
                      <w:tcPr>
                        <w:tcW w:w="1417" w:type="dxa"/>
                        <w:tcBorders>
                          <w:top w:val="single" w:sz="4" w:space="0" w:color="000000"/>
                          <w:left w:val="nil"/>
                          <w:bottom w:val="single" w:sz="4" w:space="0" w:color="000000"/>
                          <w:right w:val="nil"/>
                        </w:tcBorders>
                        <w:shd w:val="clear" w:color="auto" w:fill="E1E4BB"/>
                      </w:tcPr>
                      <w:p>
                        <w:pPr>
                          <w:pStyle w:val="TableParagraph"/>
                          <w:ind w:right="99"/>
                          <w:jc w:val="right"/>
                          <w:rPr>
                            <w:b/>
                            <w:sz w:val="19"/>
                          </w:rPr>
                        </w:pPr>
                        <w:r>
                          <w:rPr>
                            <w:b/>
                            <w:w w:val="95"/>
                            <w:sz w:val="19"/>
                          </w:rPr>
                          <w:t>58,653</w:t>
                        </w:r>
                      </w:p>
                    </w:tc>
                    <w:tc>
                      <w:tcPr>
                        <w:tcW w:w="1417" w:type="dxa"/>
                        <w:tcBorders>
                          <w:top w:val="single" w:sz="4" w:space="0" w:color="000000"/>
                          <w:left w:val="nil"/>
                          <w:bottom w:val="single" w:sz="4" w:space="0" w:color="000000"/>
                        </w:tcBorders>
                        <w:shd w:val="clear" w:color="auto" w:fill="FAF9F9"/>
                      </w:tcPr>
                      <w:p>
                        <w:pPr>
                          <w:pStyle w:val="TableParagraph"/>
                          <w:ind w:right="88"/>
                          <w:jc w:val="right"/>
                          <w:rPr>
                            <w:b/>
                            <w:sz w:val="19"/>
                          </w:rPr>
                        </w:pPr>
                        <w:r>
                          <w:rPr>
                            <w:b/>
                            <w:w w:val="95"/>
                            <w:sz w:val="19"/>
                          </w:rPr>
                          <w:t>59,384</w:t>
                        </w:r>
                      </w:p>
                    </w:tc>
                  </w:tr>
                  <w:tr>
                    <w:trPr>
                      <w:trHeight w:val="307"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tcBorders>
                          <w:top w:val="single" w:sz="4" w:space="0" w:color="000000"/>
                          <w:left w:val="nil"/>
                          <w:bottom w:val="single" w:sz="4" w:space="0" w:color="000000"/>
                          <w:right w:val="nil"/>
                        </w:tcBorders>
                        <w:shd w:val="clear" w:color="auto" w:fill="DFE1B8"/>
                      </w:tcPr>
                      <w:p>
                        <w:pPr>
                          <w:pStyle w:val="TableParagraph"/>
                          <w:spacing w:before="0"/>
                          <w:rPr>
                            <w:rFonts w:ascii="Times New Roman"/>
                            <w:sz w:val="20"/>
                          </w:rPr>
                        </w:pPr>
                      </w:p>
                    </w:tc>
                    <w:tc>
                      <w:tcPr>
                        <w:tcW w:w="1417" w:type="dxa"/>
                        <w:tcBorders>
                          <w:top w:val="single" w:sz="4" w:space="0" w:color="000000"/>
                          <w:left w:val="nil"/>
                          <w:bottom w:val="single" w:sz="4" w:space="0" w:color="000000"/>
                        </w:tcBorders>
                        <w:shd w:val="clear" w:color="auto" w:fill="F4F4F4"/>
                      </w:tcPr>
                      <w:p>
                        <w:pPr>
                          <w:pStyle w:val="TableParagraph"/>
                          <w:spacing w:before="0"/>
                          <w:rPr>
                            <w:rFonts w:ascii="Times New Roman"/>
                            <w:sz w:val="20"/>
                          </w:rPr>
                        </w:pPr>
                      </w:p>
                    </w:tc>
                  </w:tr>
                  <w:tr>
                    <w:trPr>
                      <w:trHeight w:val="277" w:hRule="atLeast"/>
                    </w:trPr>
                    <w:tc>
                      <w:tcPr>
                        <w:tcW w:w="4606" w:type="dxa"/>
                        <w:tcBorders>
                          <w:right w:val="nil"/>
                        </w:tcBorders>
                        <w:shd w:val="clear" w:color="auto" w:fill="FAF9F9"/>
                      </w:tcPr>
                      <w:p>
                        <w:pPr>
                          <w:pStyle w:val="TableParagraph"/>
                          <w:spacing w:before="33"/>
                          <w:ind w:left="115"/>
                          <w:rPr>
                            <w:b/>
                            <w:sz w:val="19"/>
                          </w:rPr>
                        </w:pPr>
                        <w:r>
                          <w:rPr>
                            <w:b/>
                            <w:sz w:val="19"/>
                          </w:rPr>
                          <w:t>TOTAL ADMINISTERED LIABILITIES</w:t>
                        </w:r>
                      </w:p>
                    </w:tc>
                    <w:tc>
                      <w:tcPr>
                        <w:tcW w:w="1417" w:type="dxa"/>
                        <w:tcBorders>
                          <w:top w:val="single" w:sz="4" w:space="0" w:color="000000"/>
                          <w:left w:val="nil"/>
                          <w:bottom w:val="single" w:sz="24" w:space="0" w:color="FFFFFF"/>
                          <w:right w:val="nil"/>
                        </w:tcBorders>
                        <w:shd w:val="clear" w:color="auto" w:fill="E1E4BB"/>
                      </w:tcPr>
                      <w:p>
                        <w:pPr>
                          <w:pStyle w:val="TableParagraph"/>
                          <w:spacing w:before="33"/>
                          <w:ind w:right="98"/>
                          <w:jc w:val="right"/>
                          <w:rPr>
                            <w:b/>
                            <w:sz w:val="19"/>
                          </w:rPr>
                        </w:pPr>
                        <w:r>
                          <w:rPr>
                            <w:b/>
                            <w:w w:val="95"/>
                            <w:sz w:val="19"/>
                          </w:rPr>
                          <w:t>58,653</w:t>
                        </w:r>
                      </w:p>
                    </w:tc>
                    <w:tc>
                      <w:tcPr>
                        <w:tcW w:w="1417" w:type="dxa"/>
                        <w:tcBorders>
                          <w:top w:val="single" w:sz="4" w:space="0" w:color="000000"/>
                          <w:left w:val="nil"/>
                          <w:bottom w:val="single" w:sz="24" w:space="0" w:color="FFFFFF"/>
                        </w:tcBorders>
                        <w:shd w:val="clear" w:color="auto" w:fill="FAF9F9"/>
                      </w:tcPr>
                      <w:p>
                        <w:pPr>
                          <w:pStyle w:val="TableParagraph"/>
                          <w:spacing w:before="33"/>
                          <w:ind w:right="88"/>
                          <w:jc w:val="right"/>
                          <w:rPr>
                            <w:b/>
                            <w:sz w:val="19"/>
                          </w:rPr>
                        </w:pPr>
                        <w:r>
                          <w:rPr>
                            <w:b/>
                            <w:w w:val="95"/>
                            <w:sz w:val="19"/>
                          </w:rPr>
                          <w:t>59,384</w:t>
                        </w:r>
                      </w:p>
                    </w:tc>
                  </w:tr>
                </w:tbl>
                <w:p>
                  <w:pPr>
                    <w:pStyle w:val="BodyText"/>
                  </w:pPr>
                </w:p>
              </w:txbxContent>
            </v:textbox>
            <w10:wrap type="none"/>
          </v:shape>
        </w:pict>
      </w:r>
      <w:r>
        <w:rPr>
          <w:color w:val="6F2770"/>
          <w:sz w:val="32"/>
        </w:rPr>
        <w:t>Note</w:t>
      </w:r>
      <w:r>
        <w:rPr>
          <w:color w:val="6F2770"/>
          <w:spacing w:val="-31"/>
          <w:sz w:val="32"/>
        </w:rPr>
        <w:t> </w:t>
      </w:r>
      <w:r>
        <w:rPr>
          <w:color w:val="6F2770"/>
          <w:sz w:val="32"/>
        </w:rPr>
        <w:t>51.</w:t>
      </w:r>
      <w:r>
        <w:rPr>
          <w:color w:val="6F2770"/>
          <w:spacing w:val="-31"/>
          <w:sz w:val="32"/>
        </w:rPr>
        <w:t> </w:t>
      </w:r>
      <w:r>
        <w:rPr>
          <w:color w:val="6F2770"/>
          <w:sz w:val="32"/>
        </w:rPr>
        <w:t>Disclosure</w:t>
      </w:r>
      <w:r>
        <w:rPr>
          <w:color w:val="6F2770"/>
          <w:spacing w:val="-30"/>
          <w:sz w:val="32"/>
        </w:rPr>
        <w:t> </w:t>
      </w:r>
      <w:r>
        <w:rPr>
          <w:color w:val="6F2770"/>
          <w:sz w:val="32"/>
        </w:rPr>
        <w:t>of</w:t>
      </w:r>
      <w:r>
        <w:rPr>
          <w:color w:val="6F2770"/>
          <w:spacing w:val="-31"/>
          <w:sz w:val="32"/>
        </w:rPr>
        <w:t> </w:t>
      </w:r>
      <w:r>
        <w:rPr>
          <w:color w:val="6F2770"/>
          <w:sz w:val="32"/>
        </w:rPr>
        <w:t>administered</w:t>
      </w:r>
      <w:r>
        <w:rPr>
          <w:color w:val="6F2770"/>
          <w:spacing w:val="-31"/>
          <w:sz w:val="32"/>
        </w:rPr>
        <w:t> </w:t>
      </w:r>
      <w:r>
        <w:rPr>
          <w:color w:val="6F2770"/>
          <w:sz w:val="32"/>
        </w:rPr>
        <w:t>income</w:t>
      </w:r>
      <w:r>
        <w:rPr>
          <w:color w:val="6F2770"/>
          <w:spacing w:val="-30"/>
          <w:sz w:val="32"/>
        </w:rPr>
        <w:t> </w:t>
      </w:r>
      <w:r>
        <w:rPr>
          <w:color w:val="6F2770"/>
          <w:spacing w:val="-6"/>
          <w:sz w:val="32"/>
        </w:rPr>
        <w:t>and </w:t>
      </w:r>
      <w:r>
        <w:rPr>
          <w:color w:val="6F2770"/>
          <w:sz w:val="32"/>
        </w:rPr>
        <w:t>expenses by</w:t>
      </w:r>
      <w:r>
        <w:rPr>
          <w:color w:val="6F2770"/>
          <w:spacing w:val="-6"/>
          <w:sz w:val="32"/>
        </w:rPr>
        <w:t> </w:t>
      </w:r>
      <w:r>
        <w:rPr>
          <w:color w:val="6F2770"/>
          <w:sz w:val="32"/>
        </w:rPr>
        <w:t>service</w:t>
      </w:r>
    </w:p>
    <w:p>
      <w:pPr>
        <w:spacing w:before="109"/>
        <w:ind w:left="765" w:right="0" w:firstLine="0"/>
        <w:jc w:val="left"/>
        <w:rPr>
          <w:sz w:val="32"/>
        </w:rPr>
      </w:pPr>
      <w:r>
        <w:rPr/>
        <w:br w:type="column"/>
      </w:r>
      <w:r>
        <w:rPr>
          <w:color w:val="6F2770"/>
          <w:sz w:val="32"/>
        </w:rPr>
        <w:t>Note 52. Administered assets and liabilities</w:t>
      </w:r>
    </w:p>
    <w:p>
      <w:pPr>
        <w:spacing w:after="0"/>
        <w:jc w:val="left"/>
        <w:rPr>
          <w:sz w:val="32"/>
        </w:rPr>
        <w:sectPr>
          <w:type w:val="continuous"/>
          <w:pgSz w:w="16840" w:h="11910" w:orient="landscape"/>
          <w:pgMar w:top="1100" w:bottom="280" w:left="0" w:right="0"/>
          <w:cols w:num="2" w:equalWidth="0">
            <w:col w:w="7427" w:space="439"/>
            <w:col w:w="8974"/>
          </w:cols>
        </w:sectPr>
      </w:pPr>
    </w:p>
    <w:p>
      <w:pPr>
        <w:pStyle w:val="BodyText"/>
        <w:spacing w:before="11"/>
        <w:rPr>
          <w:sz w:val="29"/>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528" w:hRule="atLeast"/>
        </w:trPr>
        <w:tc>
          <w:tcPr>
            <w:tcW w:w="4606" w:type="dxa"/>
            <w:tcBorders>
              <w:bottom w:val="single" w:sz="4" w:space="0" w:color="8B5B8B"/>
            </w:tcBorders>
            <w:shd w:val="clear" w:color="auto" w:fill="783A79"/>
          </w:tcPr>
          <w:p>
            <w:pPr>
              <w:pStyle w:val="TableParagraph"/>
              <w:spacing w:line="249" w:lineRule="auto" w:before="42"/>
              <w:ind w:left="113" w:right="784"/>
              <w:rPr>
                <w:b/>
                <w:sz w:val="19"/>
              </w:rPr>
            </w:pPr>
            <w:r>
              <w:rPr>
                <w:b/>
                <w:color w:val="FFFFFF"/>
                <w:sz w:val="19"/>
              </w:rPr>
              <w:t>Revenue Assessment and Collection, and</w:t>
            </w:r>
            <w:r>
              <w:rPr>
                <w:b/>
                <w:color w:val="FFFFFF"/>
                <w:spacing w:val="-13"/>
                <w:sz w:val="19"/>
              </w:rPr>
              <w:t> </w:t>
            </w:r>
            <w:r>
              <w:rPr>
                <w:b/>
                <w:color w:val="FFFFFF"/>
                <w:sz w:val="19"/>
              </w:rPr>
              <w:t>Grants</w:t>
            </w:r>
            <w:r>
              <w:rPr>
                <w:b/>
                <w:color w:val="FFFFFF"/>
                <w:spacing w:val="-12"/>
                <w:sz w:val="19"/>
              </w:rPr>
              <w:t> </w:t>
            </w:r>
            <w:r>
              <w:rPr>
                <w:b/>
                <w:color w:val="FFFFFF"/>
                <w:sz w:val="19"/>
              </w:rPr>
              <w:t>and</w:t>
            </w:r>
            <w:r>
              <w:rPr>
                <w:b/>
                <w:color w:val="FFFFFF"/>
                <w:spacing w:val="-12"/>
                <w:sz w:val="19"/>
              </w:rPr>
              <w:t> </w:t>
            </w:r>
            <w:r>
              <w:rPr>
                <w:b/>
                <w:color w:val="FFFFFF"/>
                <w:sz w:val="19"/>
              </w:rPr>
              <w:t>Subsidies</w:t>
            </w:r>
            <w:r>
              <w:rPr>
                <w:b/>
                <w:color w:val="FFFFFF"/>
                <w:spacing w:val="-12"/>
                <w:sz w:val="19"/>
              </w:rPr>
              <w:t> </w:t>
            </w:r>
            <w:r>
              <w:rPr>
                <w:b/>
                <w:color w:val="FFFFFF"/>
                <w:sz w:val="19"/>
              </w:rPr>
              <w:t>Administration</w:t>
            </w:r>
          </w:p>
        </w:tc>
        <w:tc>
          <w:tcPr>
            <w:tcW w:w="1417" w:type="dxa"/>
            <w:shd w:val="clear" w:color="auto" w:fill="783A79"/>
          </w:tcPr>
          <w:p>
            <w:pPr>
              <w:pStyle w:val="TableParagraph"/>
              <w:spacing w:before="42"/>
              <w:ind w:left="881"/>
              <w:rPr>
                <w:b/>
                <w:sz w:val="19"/>
              </w:rPr>
            </w:pPr>
            <w:r>
              <w:rPr>
                <w:b/>
                <w:color w:val="FFFFFF"/>
                <w:sz w:val="19"/>
              </w:rPr>
              <w:t>2018</w:t>
            </w:r>
          </w:p>
          <w:p>
            <w:pPr>
              <w:pStyle w:val="TableParagraph"/>
              <w:spacing w:before="10"/>
              <w:ind w:left="881"/>
              <w:rPr>
                <w:b/>
                <w:sz w:val="19"/>
              </w:rPr>
            </w:pPr>
            <w:r>
              <w:rPr>
                <w:b/>
                <w:color w:val="FFFFFF"/>
                <w:sz w:val="19"/>
              </w:rPr>
              <w:t>$000</w:t>
            </w:r>
          </w:p>
        </w:tc>
        <w:tc>
          <w:tcPr>
            <w:tcW w:w="1417" w:type="dxa"/>
            <w:shd w:val="clear" w:color="auto" w:fill="783A79"/>
          </w:tcPr>
          <w:p>
            <w:pPr>
              <w:pStyle w:val="TableParagraph"/>
              <w:spacing w:before="42"/>
              <w:ind w:left="882"/>
              <w:rPr>
                <w:b/>
                <w:sz w:val="19"/>
              </w:rPr>
            </w:pPr>
            <w:r>
              <w:rPr>
                <w:b/>
                <w:color w:val="FFFFFF"/>
                <w:sz w:val="19"/>
              </w:rPr>
              <w:t>2017</w:t>
            </w:r>
          </w:p>
          <w:p>
            <w:pPr>
              <w:pStyle w:val="TableParagraph"/>
              <w:spacing w:before="10"/>
              <w:ind w:left="882"/>
              <w:rPr>
                <w:b/>
                <w:sz w:val="19"/>
              </w:rPr>
            </w:pPr>
            <w:r>
              <w:rPr>
                <w:b/>
                <w:color w:val="FFFFFF"/>
                <w:sz w:val="19"/>
              </w:rPr>
              <w:t>$000</w:t>
            </w:r>
          </w:p>
        </w:tc>
      </w:tr>
      <w:tr>
        <w:trPr>
          <w:trHeight w:val="312" w:hRule="atLeast"/>
        </w:trPr>
        <w:tc>
          <w:tcPr>
            <w:tcW w:w="4606" w:type="dxa"/>
            <w:tcBorders>
              <w:top w:val="single" w:sz="4" w:space="0" w:color="8B5B8B"/>
              <w:bottom w:val="single" w:sz="8" w:space="0" w:color="FFFFFF"/>
            </w:tcBorders>
            <w:shd w:val="clear" w:color="auto" w:fill="F4F4F4"/>
          </w:tcPr>
          <w:p>
            <w:pPr>
              <w:pStyle w:val="TableParagraph"/>
              <w:spacing w:before="37"/>
              <w:ind w:left="113"/>
              <w:rPr>
                <w:b/>
                <w:sz w:val="19"/>
              </w:rPr>
            </w:pPr>
            <w:r>
              <w:rPr>
                <w:b/>
                <w:sz w:val="19"/>
              </w:rPr>
              <w:t>COST OF SERVICES</w:t>
            </w:r>
          </w:p>
        </w:tc>
        <w:tc>
          <w:tcPr>
            <w:tcW w:w="1417" w:type="dxa"/>
            <w:shd w:val="clear" w:color="auto" w:fill="E1E4BB"/>
          </w:tcPr>
          <w:p>
            <w:pPr>
              <w:pStyle w:val="TableParagraph"/>
              <w:spacing w:before="0"/>
              <w:rPr>
                <w:rFonts w:ascii="Times New Roman"/>
                <w:sz w:val="20"/>
              </w:rPr>
            </w:pPr>
          </w:p>
        </w:tc>
        <w:tc>
          <w:tcPr>
            <w:tcW w:w="1417" w:type="dxa"/>
            <w:tcBorders>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i/>
                <w:sz w:val="19"/>
              </w:rPr>
            </w:pPr>
            <w:r>
              <w:rPr>
                <w:i/>
                <w:color w:val="6F2770"/>
                <w:sz w:val="19"/>
              </w:rPr>
              <w:t>Income</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Taxation</w:t>
            </w:r>
          </w:p>
        </w:tc>
        <w:tc>
          <w:tcPr>
            <w:tcW w:w="1417" w:type="dxa"/>
            <w:shd w:val="clear" w:color="auto" w:fill="E1E4BB"/>
          </w:tcPr>
          <w:p>
            <w:pPr>
              <w:pStyle w:val="TableParagraph"/>
              <w:ind w:right="110"/>
              <w:jc w:val="right"/>
              <w:rPr>
                <w:sz w:val="19"/>
              </w:rPr>
            </w:pPr>
            <w:r>
              <w:rPr>
                <w:w w:val="95"/>
                <w:sz w:val="19"/>
              </w:rPr>
              <w:t>6,743,012</w:t>
            </w:r>
          </w:p>
        </w:tc>
        <w:tc>
          <w:tcPr>
            <w:tcW w:w="1417"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6,799,345</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sz w:val="19"/>
              </w:rPr>
            </w:pPr>
            <w:r>
              <w:rPr>
                <w:sz w:val="19"/>
              </w:rPr>
              <w:t>Other revenue</w:t>
            </w:r>
          </w:p>
        </w:tc>
        <w:tc>
          <w:tcPr>
            <w:tcW w:w="1417" w:type="dxa"/>
            <w:shd w:val="clear" w:color="auto" w:fill="E1E4BB"/>
          </w:tcPr>
          <w:p>
            <w:pPr>
              <w:pStyle w:val="TableParagraph"/>
              <w:ind w:right="110"/>
              <w:jc w:val="right"/>
              <w:rPr>
                <w:sz w:val="19"/>
              </w:rPr>
            </w:pPr>
            <w:r>
              <w:rPr>
                <w:w w:val="95"/>
                <w:sz w:val="19"/>
              </w:rPr>
              <w:t>41,448</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40,086</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Appropriations</w:t>
            </w:r>
          </w:p>
        </w:tc>
        <w:tc>
          <w:tcPr>
            <w:tcW w:w="1417" w:type="dxa"/>
            <w:shd w:val="clear" w:color="auto" w:fill="E1E4BB"/>
          </w:tcPr>
          <w:p>
            <w:pPr>
              <w:pStyle w:val="TableParagraph"/>
              <w:ind w:right="110"/>
              <w:jc w:val="right"/>
              <w:rPr>
                <w:sz w:val="19"/>
              </w:rPr>
            </w:pPr>
            <w:r>
              <w:rPr>
                <w:w w:val="95"/>
                <w:sz w:val="19"/>
              </w:rPr>
              <w:t>252,165</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237,046</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raised on behalf of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64,035</w:t>
            </w:r>
          </w:p>
        </w:tc>
        <w:tc>
          <w:tcPr>
            <w:tcW w:w="1417" w:type="dxa"/>
            <w:tcBorders>
              <w:top w:val="single" w:sz="8" w:space="0" w:color="FFFFFF"/>
              <w:bottom w:val="single" w:sz="4" w:space="0" w:color="000000"/>
            </w:tcBorders>
            <w:shd w:val="clear" w:color="auto" w:fill="FAF9F9"/>
          </w:tcPr>
          <w:p>
            <w:pPr>
              <w:pStyle w:val="TableParagraph"/>
              <w:ind w:right="109"/>
              <w:jc w:val="right"/>
              <w:rPr>
                <w:sz w:val="19"/>
              </w:rPr>
            </w:pPr>
            <w:r>
              <w:rPr>
                <w:w w:val="95"/>
                <w:sz w:val="19"/>
              </w:rPr>
              <w:t>63,549</w:t>
            </w:r>
          </w:p>
        </w:tc>
      </w:tr>
      <w:tr>
        <w:trPr>
          <w:trHeight w:val="284" w:hRule="atLeast"/>
        </w:trPr>
        <w:tc>
          <w:tcPr>
            <w:tcW w:w="4606" w:type="dxa"/>
            <w:tcBorders>
              <w:top w:val="single" w:sz="8" w:space="0" w:color="FFFFFF"/>
              <w:bottom w:val="single" w:sz="8" w:space="0" w:color="FFFFFF"/>
            </w:tcBorders>
            <w:shd w:val="clear" w:color="auto" w:fill="F4F4F4"/>
          </w:tcPr>
          <w:p>
            <w:pPr>
              <w:pStyle w:val="TableParagraph"/>
              <w:ind w:left="114"/>
              <w:rPr>
                <w:b/>
                <w:sz w:val="19"/>
              </w:rPr>
            </w:pPr>
            <w:r>
              <w:rPr>
                <w:b/>
                <w:sz w:val="19"/>
              </w:rPr>
              <w:t>Total Administered Income</w:t>
            </w:r>
          </w:p>
        </w:tc>
        <w:tc>
          <w:tcPr>
            <w:tcW w:w="1417" w:type="dxa"/>
            <w:tcBorders>
              <w:top w:val="single" w:sz="4" w:space="0" w:color="000000"/>
              <w:bottom w:val="double" w:sz="2" w:space="0" w:color="000000"/>
            </w:tcBorders>
            <w:shd w:val="clear" w:color="auto" w:fill="DFE1B8"/>
          </w:tcPr>
          <w:p>
            <w:pPr>
              <w:pStyle w:val="TableParagraph"/>
              <w:ind w:right="109"/>
              <w:jc w:val="right"/>
              <w:rPr>
                <w:b/>
                <w:sz w:val="19"/>
              </w:rPr>
            </w:pPr>
            <w:r>
              <w:rPr>
                <w:b/>
                <w:w w:val="95"/>
                <w:sz w:val="19"/>
              </w:rPr>
              <w:t>7,100,660</w:t>
            </w:r>
          </w:p>
        </w:tc>
        <w:tc>
          <w:tcPr>
            <w:tcW w:w="1417" w:type="dxa"/>
            <w:tcBorders>
              <w:top w:val="single" w:sz="4" w:space="0" w:color="000000"/>
              <w:bottom w:val="double" w:sz="2" w:space="0" w:color="000000"/>
            </w:tcBorders>
            <w:shd w:val="clear" w:color="auto" w:fill="F4F4F4"/>
          </w:tcPr>
          <w:p>
            <w:pPr>
              <w:pStyle w:val="TableParagraph"/>
              <w:ind w:right="109"/>
              <w:jc w:val="right"/>
              <w:rPr>
                <w:b/>
                <w:sz w:val="19"/>
              </w:rPr>
            </w:pPr>
            <w:r>
              <w:rPr>
                <w:b/>
                <w:w w:val="95"/>
                <w:sz w:val="19"/>
              </w:rPr>
              <w:t>7,140,026</w:t>
            </w:r>
          </w:p>
        </w:tc>
      </w:tr>
      <w:tr>
        <w:trPr>
          <w:trHeight w:val="304" w:hRule="atLeast"/>
        </w:trPr>
        <w:tc>
          <w:tcPr>
            <w:tcW w:w="4606"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417" w:type="dxa"/>
            <w:tcBorders>
              <w:top w:val="double" w:sz="2" w:space="0" w:color="000000"/>
            </w:tcBorders>
            <w:shd w:val="clear" w:color="auto" w:fill="E1E4BB"/>
          </w:tcPr>
          <w:p>
            <w:pPr>
              <w:pStyle w:val="TableParagraph"/>
              <w:spacing w:before="0"/>
              <w:rPr>
                <w:rFonts w:ascii="Times New Roman"/>
                <w:sz w:val="20"/>
              </w:rPr>
            </w:pPr>
          </w:p>
        </w:tc>
        <w:tc>
          <w:tcPr>
            <w:tcW w:w="1417" w:type="dxa"/>
            <w:tcBorders>
              <w:top w:val="double" w:sz="2" w:space="0" w:color="000000"/>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i/>
                <w:sz w:val="19"/>
              </w:rPr>
            </w:pPr>
            <w:r>
              <w:rPr>
                <w:i/>
                <w:color w:val="6F2770"/>
                <w:sz w:val="19"/>
              </w:rPr>
              <w:t>Expenses</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Grants, subsidies and transfers</w:t>
            </w:r>
          </w:p>
        </w:tc>
        <w:tc>
          <w:tcPr>
            <w:tcW w:w="1417" w:type="dxa"/>
            <w:shd w:val="clear" w:color="auto" w:fill="E1E4BB"/>
          </w:tcPr>
          <w:p>
            <w:pPr>
              <w:pStyle w:val="TableParagraph"/>
              <w:ind w:right="109"/>
              <w:jc w:val="right"/>
              <w:rPr>
                <w:sz w:val="19"/>
              </w:rPr>
            </w:pPr>
            <w:r>
              <w:rPr>
                <w:w w:val="95"/>
                <w:sz w:val="19"/>
              </w:rPr>
              <w:t>252,165</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237,046</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sz w:val="19"/>
              </w:rPr>
            </w:pPr>
            <w:r>
              <w:rPr>
                <w:sz w:val="19"/>
              </w:rPr>
              <w:t>Other expenses</w:t>
            </w:r>
          </w:p>
        </w:tc>
        <w:tc>
          <w:tcPr>
            <w:tcW w:w="1417" w:type="dxa"/>
            <w:shd w:val="clear" w:color="auto" w:fill="E1E4BB"/>
          </w:tcPr>
          <w:p>
            <w:pPr>
              <w:pStyle w:val="TableParagraph"/>
              <w:ind w:right="109"/>
              <w:jc w:val="right"/>
              <w:rPr>
                <w:sz w:val="19"/>
              </w:rPr>
            </w:pPr>
            <w:r>
              <w:rPr>
                <w:w w:val="95"/>
                <w:sz w:val="19"/>
              </w:rPr>
              <w:t>6,743,647</w:t>
            </w:r>
          </w:p>
        </w:tc>
        <w:tc>
          <w:tcPr>
            <w:tcW w:w="1417" w:type="dxa"/>
            <w:tcBorders>
              <w:top w:val="single" w:sz="8" w:space="0" w:color="FFFFFF"/>
              <w:bottom w:val="single" w:sz="8" w:space="0" w:color="FFFFFF"/>
            </w:tcBorders>
            <w:shd w:val="clear" w:color="auto" w:fill="F4F4F4"/>
          </w:tcPr>
          <w:p>
            <w:pPr>
              <w:pStyle w:val="TableParagraph"/>
              <w:ind w:right="108"/>
              <w:jc w:val="right"/>
              <w:rPr>
                <w:sz w:val="19"/>
              </w:rPr>
            </w:pPr>
            <w:r>
              <w:rPr>
                <w:w w:val="95"/>
                <w:sz w:val="19"/>
              </w:rPr>
              <w:t>6,712,652</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transferred to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64,035</w:t>
            </w:r>
          </w:p>
        </w:tc>
        <w:tc>
          <w:tcPr>
            <w:tcW w:w="1417" w:type="dxa"/>
            <w:tcBorders>
              <w:top w:val="single" w:sz="8" w:space="0" w:color="FFFFFF"/>
              <w:bottom w:val="single" w:sz="4" w:space="0" w:color="000000"/>
            </w:tcBorders>
            <w:shd w:val="clear" w:color="auto" w:fill="FAF9F9"/>
          </w:tcPr>
          <w:p>
            <w:pPr>
              <w:pStyle w:val="TableParagraph"/>
              <w:ind w:right="108"/>
              <w:jc w:val="right"/>
              <w:rPr>
                <w:sz w:val="19"/>
              </w:rPr>
            </w:pPr>
            <w:r>
              <w:rPr>
                <w:w w:val="95"/>
                <w:sz w:val="19"/>
              </w:rPr>
              <w:t>63,549</w:t>
            </w:r>
          </w:p>
        </w:tc>
      </w:tr>
      <w:tr>
        <w:trPr>
          <w:trHeight w:val="264" w:hRule="atLeast"/>
        </w:trPr>
        <w:tc>
          <w:tcPr>
            <w:tcW w:w="4606" w:type="dxa"/>
            <w:tcBorders>
              <w:top w:val="single" w:sz="8" w:space="0" w:color="FFFFFF"/>
              <w:bottom w:val="single" w:sz="8" w:space="0" w:color="FFFFFF"/>
            </w:tcBorders>
            <w:shd w:val="clear" w:color="auto" w:fill="F4F4F4"/>
          </w:tcPr>
          <w:p>
            <w:pPr>
              <w:pStyle w:val="TableParagraph"/>
              <w:spacing w:line="212" w:lineRule="exact"/>
              <w:ind w:left="115"/>
              <w:rPr>
                <w:b/>
                <w:sz w:val="19"/>
              </w:rPr>
            </w:pPr>
            <w:r>
              <w:rPr>
                <w:b/>
                <w:sz w:val="19"/>
              </w:rPr>
              <w:t>Total Administered Expenses</w:t>
            </w:r>
          </w:p>
        </w:tc>
        <w:tc>
          <w:tcPr>
            <w:tcW w:w="1417" w:type="dxa"/>
            <w:tcBorders>
              <w:top w:val="single" w:sz="4" w:space="0" w:color="000000"/>
              <w:bottom w:val="single" w:sz="34" w:space="0" w:color="FFFFFF"/>
            </w:tcBorders>
            <w:shd w:val="clear" w:color="auto" w:fill="DFE1B8"/>
          </w:tcPr>
          <w:p>
            <w:pPr>
              <w:pStyle w:val="TableParagraph"/>
              <w:spacing w:line="212" w:lineRule="exact"/>
              <w:ind w:right="109"/>
              <w:jc w:val="right"/>
              <w:rPr>
                <w:b/>
                <w:sz w:val="19"/>
              </w:rPr>
            </w:pPr>
            <w:r>
              <w:rPr>
                <w:b/>
                <w:w w:val="95"/>
                <w:sz w:val="19"/>
              </w:rPr>
              <w:t>7,059,847</w:t>
            </w:r>
          </w:p>
        </w:tc>
        <w:tc>
          <w:tcPr>
            <w:tcW w:w="1417" w:type="dxa"/>
            <w:tcBorders>
              <w:top w:val="single" w:sz="4" w:space="0" w:color="000000"/>
              <w:bottom w:val="single" w:sz="34" w:space="0" w:color="FFFFFF"/>
            </w:tcBorders>
            <w:shd w:val="clear" w:color="auto" w:fill="F4F4F4"/>
          </w:tcPr>
          <w:p>
            <w:pPr>
              <w:pStyle w:val="TableParagraph"/>
              <w:spacing w:line="212" w:lineRule="exact"/>
              <w:ind w:right="108"/>
              <w:jc w:val="right"/>
              <w:rPr>
                <w:b/>
                <w:sz w:val="19"/>
              </w:rPr>
            </w:pPr>
            <w:r>
              <w:rPr>
                <w:b/>
                <w:w w:val="95"/>
                <w:sz w:val="19"/>
              </w:rPr>
              <w:t>7,013,247</w:t>
            </w:r>
          </w:p>
        </w:tc>
      </w:tr>
    </w:tbl>
    <w:p>
      <w:pPr>
        <w:pStyle w:val="BodyText"/>
        <w:rPr>
          <w:sz w:val="20"/>
        </w:rPr>
      </w:pPr>
    </w:p>
    <w:p>
      <w:pPr>
        <w:pStyle w:val="BodyText"/>
        <w:spacing w:before="5"/>
        <w:rPr>
          <w:sz w:val="25"/>
        </w:rPr>
      </w:pPr>
      <w:r>
        <w:rPr/>
        <w:pict>
          <v:group style="position:absolute;margin-left:662.389771pt;margin-top:16.573427pt;width:142.25pt;height:.550pt;mso-position-horizontal-relative:page;mso-position-vertical-relative:paragraph;z-index:21920;mso-wrap-distance-left:0;mso-wrap-distance-right:0" coordorigin="13248,331" coordsize="2845,11">
            <v:line style="position:absolute" from="13248,336" to="14665,336" stroked="true" strokeweight=".501pt" strokecolor="#000000">
              <v:stroke dashstyle="solid"/>
            </v:line>
            <v:line style="position:absolute" from="14665,336" to="16092,336" stroked="true" strokeweight=".501pt" strokecolor="#000000">
              <v:stroke dashstyle="solid"/>
            </v:line>
            <w10:wrap type="topAndBottom"/>
          </v:group>
        </w:pict>
      </w:r>
    </w:p>
    <w:p>
      <w:pPr>
        <w:spacing w:after="0"/>
        <w:rPr>
          <w:sz w:val="25"/>
        </w:rPr>
        <w:sectPr>
          <w:type w:val="continuous"/>
          <w:pgSz w:w="16840" w:h="11910" w:orient="landscape"/>
          <w:pgMar w:top="1100" w:bottom="280" w:left="0" w:right="0"/>
        </w:sectPr>
      </w:pPr>
    </w:p>
    <w:p>
      <w:pPr>
        <w:pStyle w:val="BodyText"/>
        <w:rPr>
          <w:sz w:val="20"/>
        </w:rPr>
      </w:pPr>
      <w:bookmarkStart w:name="_bookmark37" w:id="38"/>
      <w:bookmarkEnd w:id="38"/>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sz w:val="20"/>
        </w:rPr>
      </w:pPr>
    </w:p>
    <w:p>
      <w:pPr>
        <w:pStyle w:val="BodyText"/>
        <w:spacing w:before="1"/>
        <w:rPr>
          <w:sz w:val="20"/>
        </w:rPr>
      </w:pPr>
    </w:p>
    <w:p>
      <w:pPr>
        <w:spacing w:before="93"/>
        <w:ind w:left="765" w:right="0" w:firstLine="0"/>
        <w:jc w:val="left"/>
        <w:rPr>
          <w:sz w:val="72"/>
        </w:rPr>
      </w:pPr>
      <w:r>
        <w:rPr/>
        <w:pict>
          <v:shape style="position:absolute;margin-left:202.377655pt;margin-top:1050.779053pt;width:57.95pt;height:57.95pt;mso-position-horizontal-relative:page;mso-position-vertical-relative:paragraph;z-index:24304" coordorigin="4048,21016" coordsize="1159,1159" path="m15334,818l15584,1068m15169,763l15639,1233m15050,754l15648,1352m14951,766l15636,1451m14865,790l15612,1537m14789,824l15577,1613m14722,868l15534,1680m14663,919l15483,1739m14610,977l15425,1791m14566,1043l15359,1836m14529,1116l15285,1873m14503,1200l15202,1899m14489,1297l15105,1913m14492,1410l14992,1910m14534,1563l14839,1867e" filled="false" stroked="true" strokeweight=".25pt" strokecolor="#bbbcbb">
            <v:path arrowok="t"/>
            <v:stroke dashstyle="solid"/>
            <w10:wrap type="none"/>
          </v:shape>
        </w:pict>
      </w:r>
      <w:r>
        <w:rPr/>
        <w:pict>
          <v:group style="position:absolute;margin-left:120.271004pt;margin-top:-67.324211pt;width:721.65pt;height:42.55pt;mso-position-horizontal-relative:page;mso-position-vertical-relative:paragraph;z-index:24472" coordorigin="2405,-1346" coordsize="14433,851">
            <v:rect style="position:absolute;left:14432;top:-1347;width:2406;height:851" filled="true" fillcolor="#bba1bc" stroked="false">
              <v:fill type="solid"/>
            </v:rect>
            <v:shape style="position:absolute;left:14432;top:-1347;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7;width:2406;height:851" type="#_x0000_t202" filled="true" fillcolor="#c3acc4"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7;width:2406;height:851" type="#_x0000_t202" filled="true" fillcolor="#d4d896"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7;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7;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sz w:val="72"/>
        </w:rPr>
        <w:t>Certification of Key Performance Indicators</w:t>
      </w:r>
    </w:p>
    <w:p>
      <w:pPr>
        <w:pStyle w:val="BodyText"/>
        <w:spacing w:before="1"/>
        <w:rPr>
          <w:sz w:val="18"/>
        </w:rPr>
      </w:pPr>
      <w:r>
        <w:rPr/>
        <w:pict>
          <v:group style="position:absolute;margin-left:38.268002pt;margin-top:12.384469pt;width:372.05pt;height:389.15pt;mso-position-horizontal-relative:page;mso-position-vertical-relative:paragraph;z-index:22208;mso-wrap-distance-left:0;mso-wrap-distance-right:0" coordorigin="765,248" coordsize="7441,7783">
            <v:shape style="position:absolute;left:1033;top:4624;width:1898;height:545" type="#_x0000_t75" stroked="false">
              <v:imagedata r:id="rId202" o:title=""/>
            </v:shape>
            <v:shape style="position:absolute;left:767;top:250;width:7436;height:7778" type="#_x0000_t202" filled="false" stroked="true" strokeweight=".25pt" strokecolor="#939598">
              <v:textbox inset="0,0,0,0">
                <w:txbxContent>
                  <w:p>
                    <w:pPr>
                      <w:spacing w:line="240" w:lineRule="auto" w:before="0"/>
                      <w:rPr>
                        <w:sz w:val="32"/>
                      </w:rPr>
                    </w:pPr>
                  </w:p>
                  <w:p>
                    <w:pPr>
                      <w:spacing w:line="240" w:lineRule="auto" w:before="0"/>
                      <w:rPr>
                        <w:sz w:val="32"/>
                      </w:rPr>
                    </w:pPr>
                  </w:p>
                  <w:p>
                    <w:pPr>
                      <w:spacing w:before="239"/>
                      <w:ind w:left="278" w:right="0" w:firstLine="0"/>
                      <w:jc w:val="left"/>
                      <w:rPr>
                        <w:sz w:val="28"/>
                      </w:rPr>
                    </w:pPr>
                    <w:r>
                      <w:rPr>
                        <w:color w:val="6F2770"/>
                        <w:sz w:val="28"/>
                      </w:rPr>
                      <w:t>For the year ended 30 June 2018</w:t>
                    </w:r>
                  </w:p>
                  <w:p>
                    <w:pPr>
                      <w:spacing w:line="249" w:lineRule="auto" w:before="262"/>
                      <w:ind w:left="278" w:right="588" w:firstLine="0"/>
                      <w:jc w:val="left"/>
                      <w:rPr>
                        <w:sz w:val="22"/>
                      </w:rPr>
                    </w:pPr>
                    <w:r>
                      <w:rPr>
                        <w:sz w:val="22"/>
                      </w:rPr>
                      <w:t>I hereby certify that the key performance indicators are based on proper records, are relevant and appropriate for assisting users to assess</w:t>
                    </w:r>
                    <w:r>
                      <w:rPr>
                        <w:spacing w:val="-27"/>
                        <w:sz w:val="22"/>
                      </w:rPr>
                      <w:t> </w:t>
                    </w:r>
                    <w:r>
                      <w:rPr>
                        <w:sz w:val="22"/>
                      </w:rPr>
                      <w:t>the</w:t>
                    </w:r>
                    <w:r>
                      <w:rPr>
                        <w:spacing w:val="-27"/>
                        <w:sz w:val="22"/>
                      </w:rPr>
                      <w:t> </w:t>
                    </w:r>
                    <w:r>
                      <w:rPr>
                        <w:sz w:val="22"/>
                      </w:rPr>
                      <w:t>Department</w:t>
                    </w:r>
                    <w:r>
                      <w:rPr>
                        <w:spacing w:val="-26"/>
                        <w:sz w:val="22"/>
                      </w:rPr>
                      <w:t> </w:t>
                    </w:r>
                    <w:r>
                      <w:rPr>
                        <w:sz w:val="22"/>
                      </w:rPr>
                      <w:t>of</w:t>
                    </w:r>
                    <w:r>
                      <w:rPr>
                        <w:spacing w:val="-27"/>
                        <w:sz w:val="22"/>
                      </w:rPr>
                      <w:t> </w:t>
                    </w:r>
                    <w:r>
                      <w:rPr>
                        <w:spacing w:val="-3"/>
                        <w:sz w:val="22"/>
                      </w:rPr>
                      <w:t>Finance’s</w:t>
                    </w:r>
                    <w:r>
                      <w:rPr>
                        <w:spacing w:val="-26"/>
                        <w:sz w:val="22"/>
                      </w:rPr>
                      <w:t> </w:t>
                    </w:r>
                    <w:r>
                      <w:rPr>
                        <w:sz w:val="22"/>
                      </w:rPr>
                      <w:t>performance,</w:t>
                    </w:r>
                    <w:r>
                      <w:rPr>
                        <w:spacing w:val="-27"/>
                        <w:sz w:val="22"/>
                      </w:rPr>
                      <w:t> </w:t>
                    </w:r>
                    <w:r>
                      <w:rPr>
                        <w:sz w:val="22"/>
                      </w:rPr>
                      <w:t>and</w:t>
                    </w:r>
                    <w:r>
                      <w:rPr>
                        <w:spacing w:val="-26"/>
                        <w:sz w:val="22"/>
                      </w:rPr>
                      <w:t> </w:t>
                    </w:r>
                    <w:r>
                      <w:rPr>
                        <w:sz w:val="22"/>
                      </w:rPr>
                      <w:t>fairly</w:t>
                    </w:r>
                    <w:r>
                      <w:rPr>
                        <w:spacing w:val="-27"/>
                        <w:sz w:val="22"/>
                      </w:rPr>
                      <w:t> </w:t>
                    </w:r>
                    <w:r>
                      <w:rPr>
                        <w:spacing w:val="-3"/>
                        <w:sz w:val="22"/>
                      </w:rPr>
                      <w:t>represent </w:t>
                    </w:r>
                    <w:r>
                      <w:rPr>
                        <w:sz w:val="22"/>
                      </w:rPr>
                      <w:t>the</w:t>
                    </w:r>
                    <w:r>
                      <w:rPr>
                        <w:spacing w:val="-11"/>
                        <w:sz w:val="22"/>
                      </w:rPr>
                      <w:t> </w:t>
                    </w:r>
                    <w:r>
                      <w:rPr>
                        <w:sz w:val="22"/>
                      </w:rPr>
                      <w:t>performance</w:t>
                    </w:r>
                    <w:r>
                      <w:rPr>
                        <w:spacing w:val="-10"/>
                        <w:sz w:val="22"/>
                      </w:rPr>
                      <w:t> </w:t>
                    </w:r>
                    <w:r>
                      <w:rPr>
                        <w:sz w:val="22"/>
                      </w:rPr>
                      <w:t>of</w:t>
                    </w:r>
                    <w:r>
                      <w:rPr>
                        <w:spacing w:val="-10"/>
                        <w:sz w:val="22"/>
                      </w:rPr>
                      <w:t> </w:t>
                    </w:r>
                    <w:r>
                      <w:rPr>
                        <w:sz w:val="22"/>
                      </w:rPr>
                      <w:t>the</w:t>
                    </w:r>
                    <w:r>
                      <w:rPr>
                        <w:spacing w:val="-10"/>
                        <w:sz w:val="22"/>
                      </w:rPr>
                      <w:t> </w:t>
                    </w:r>
                    <w:r>
                      <w:rPr>
                        <w:sz w:val="22"/>
                      </w:rPr>
                      <w:t>Department</w:t>
                    </w:r>
                    <w:r>
                      <w:rPr>
                        <w:spacing w:val="-10"/>
                        <w:sz w:val="22"/>
                      </w:rPr>
                      <w:t> </w:t>
                    </w:r>
                    <w:r>
                      <w:rPr>
                        <w:sz w:val="22"/>
                      </w:rPr>
                      <w:t>for</w:t>
                    </w:r>
                    <w:r>
                      <w:rPr>
                        <w:spacing w:val="-10"/>
                        <w:sz w:val="22"/>
                      </w:rPr>
                      <w:t> </w:t>
                    </w:r>
                    <w:r>
                      <w:rPr>
                        <w:sz w:val="22"/>
                      </w:rPr>
                      <w:t>the</w:t>
                    </w:r>
                    <w:r>
                      <w:rPr>
                        <w:spacing w:val="-10"/>
                        <w:sz w:val="22"/>
                      </w:rPr>
                      <w:t> </w:t>
                    </w:r>
                    <w:r>
                      <w:rPr>
                        <w:sz w:val="22"/>
                      </w:rPr>
                      <w:t>financial</w:t>
                    </w:r>
                    <w:r>
                      <w:rPr>
                        <w:spacing w:val="-10"/>
                        <w:sz w:val="22"/>
                      </w:rPr>
                      <w:t> </w:t>
                    </w:r>
                    <w:r>
                      <w:rPr>
                        <w:sz w:val="22"/>
                      </w:rPr>
                      <w:t>year</w:t>
                    </w:r>
                    <w:r>
                      <w:rPr>
                        <w:spacing w:val="-10"/>
                        <w:sz w:val="22"/>
                      </w:rPr>
                      <w:t> </w:t>
                    </w:r>
                    <w:r>
                      <w:rPr>
                        <w:sz w:val="22"/>
                      </w:rPr>
                      <w:t>ended</w:t>
                    </w:r>
                  </w:p>
                  <w:p>
                    <w:pPr>
                      <w:spacing w:before="4"/>
                      <w:ind w:left="278" w:right="0" w:firstLine="0"/>
                      <w:jc w:val="left"/>
                      <w:rPr>
                        <w:sz w:val="22"/>
                      </w:rPr>
                    </w:pPr>
                    <w:r>
                      <w:rPr>
                        <w:sz w:val="22"/>
                      </w:rPr>
                      <w:t>30 June 2018.</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7"/>
                      <w:rPr>
                        <w:sz w:val="28"/>
                      </w:rPr>
                    </w:pPr>
                  </w:p>
                  <w:p>
                    <w:pPr>
                      <w:spacing w:before="0"/>
                      <w:ind w:left="278" w:right="0" w:firstLine="0"/>
                      <w:jc w:val="left"/>
                      <w:rPr>
                        <w:sz w:val="22"/>
                      </w:rPr>
                    </w:pPr>
                    <w:r>
                      <w:rPr>
                        <w:w w:val="95"/>
                        <w:sz w:val="22"/>
                      </w:rPr>
                      <w:t>Stephanie</w:t>
                    </w:r>
                    <w:r>
                      <w:rPr>
                        <w:spacing w:val="26"/>
                        <w:w w:val="95"/>
                        <w:sz w:val="22"/>
                      </w:rPr>
                      <w:t> </w:t>
                    </w:r>
                    <w:r>
                      <w:rPr>
                        <w:w w:val="95"/>
                        <w:sz w:val="22"/>
                      </w:rPr>
                      <w:t>Black</w:t>
                    </w:r>
                  </w:p>
                  <w:p>
                    <w:pPr>
                      <w:spacing w:line="249" w:lineRule="auto" w:before="11"/>
                      <w:ind w:left="278" w:right="4941" w:firstLine="0"/>
                      <w:jc w:val="left"/>
                      <w:rPr>
                        <w:sz w:val="22"/>
                      </w:rPr>
                    </w:pPr>
                    <w:r>
                      <w:rPr>
                        <w:sz w:val="22"/>
                      </w:rPr>
                      <w:t>Acting</w:t>
                    </w:r>
                    <w:r>
                      <w:rPr>
                        <w:spacing w:val="-37"/>
                        <w:sz w:val="22"/>
                      </w:rPr>
                      <w:t> </w:t>
                    </w:r>
                    <w:r>
                      <w:rPr>
                        <w:sz w:val="22"/>
                      </w:rPr>
                      <w:t>Director</w:t>
                    </w:r>
                    <w:r>
                      <w:rPr>
                        <w:spacing w:val="-37"/>
                        <w:sz w:val="22"/>
                      </w:rPr>
                      <w:t> </w:t>
                    </w:r>
                    <w:r>
                      <w:rPr>
                        <w:spacing w:val="-3"/>
                        <w:sz w:val="22"/>
                      </w:rPr>
                      <w:t>General </w:t>
                    </w:r>
                    <w:r>
                      <w:rPr>
                        <w:sz w:val="22"/>
                      </w:rPr>
                      <w:t>20 August</w:t>
                    </w:r>
                    <w:r>
                      <w:rPr>
                        <w:spacing w:val="-3"/>
                        <w:sz w:val="22"/>
                      </w:rPr>
                      <w:t> </w:t>
                    </w:r>
                    <w:r>
                      <w:rPr>
                        <w:sz w:val="22"/>
                      </w:rPr>
                      <w:t>2018</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9"/>
        </w:rPr>
      </w:pPr>
    </w:p>
    <w:p>
      <w:pPr>
        <w:tabs>
          <w:tab w:pos="1227" w:val="left" w:leader="none"/>
          <w:tab w:pos="5951" w:val="left" w:leader="none"/>
          <w:tab w:pos="16072" w:val="left" w:leader="none"/>
        </w:tabs>
        <w:spacing w:before="108"/>
        <w:ind w:left="765" w:right="0" w:firstLine="0"/>
        <w:jc w:val="left"/>
        <w:rPr>
          <w:b/>
          <w:sz w:val="20"/>
        </w:rPr>
      </w:pPr>
      <w:r>
        <w:rPr/>
        <w:pict>
          <v:group style="position:absolute;margin-left:263.137482pt;margin-top:-350.717926pt;width:578.8pt;height:390pt;mso-position-horizontal-relative:page;mso-position-vertical-relative:paragraph;z-index:-688216" coordorigin="5263,-7014" coordsize="11576,7800">
            <v:shape style="position:absolute;left:5262;top:-4933;width:11576;height:5718" type="#_x0000_t75" stroked="false">
              <v:imagedata r:id="rId203" o:title=""/>
            </v:shape>
            <v:shape style="position:absolute;left:2973;top:10108;width:3452;height:3452" coordorigin="2973,10108" coordsize="3452,3452" path="m13207,-6751l13759,-6199m12976,-6872l13879,-5968m12801,-6936l13944,-5793m12652,-6974l13982,-5645m12519,-6997l14005,-5511m12397,-7009l14016,-5390m12284,-7012l14020,-5276m12178,-7008l14016,-5170m12077,-6998l14006,-5069m11981,-6984l13991,-4973m11890,-6964l13972,-4882m11803,-6941l13949,-4795m11720,-6914l13922,-4712m11640,-6884l13892,-4632m11563,-6850l13858,-4555m11489,-6813l13821,-4482m11419,-6774l13781,-4411m11350,-6731l13739,-4343m11285,-6686l13694,-4277m11222,-6639l13647,-4214m11162,-6589l13597,-4154m11104,-6536l13544,-4096m11049,-6482l13489,-4041m10996,-6424l13432,-3988m10946,-6364l13372,-3938m10898,-6301l13309,-3890m10853,-6236l13244,-3845m10810,-6168l13176,-3802m10770,-6098l13106,-3763m10733,-6024l13032,-3726m10699,-5948l12956,-3691m10668,-5869l12876,-3661m10641,-5786l12793,-3633m10618,-5699l12707,-3610m10598,-5608l12616,-3590m10582,-5513l12521,-3575m10572,-5413l12421,-3565m10568,-5307l12315,-3560m10570,-5195l12202,-3562m10581,-5074l12081,-3573m10602,-4942l11950,-3594m10639,-4795l11803,-3631m10699,-4624l11632,-3691m10811,-4402l11409,-3804e" filled="false" stroked="true" strokeweight=".25pt" strokecolor="#aebd37">
              <v:path arrowok="t"/>
              <v:stroke dashstyle="solid"/>
            </v:shape>
            <v:shape style="position:absolute;left:20;top:-8447;width:1781;height:1762" coordorigin="20,-8446" coordsize="1781,1762" path="m9900,-4544l9571,-4872m10092,-4462l9489,-5065m10231,-4433l9460,-5204m10349,-4425l9453,-5322m10452,-4433l9460,-5425m10546,-4449l9477,-5519m10632,-4473l9501,-5605m10711,-4505l9532,-5684m10784,-4542l9569,-5757m10851,-4585l9612,-5824m10914,-4633l9660,-5887m10972,-4686l9713,-5944m11025,-4743l9771,-5997m11073,-4805l9833,-6045m11116,-4873l9900,-6088m11153,-4946l9973,-6125m11184,-5025l10052,-6157m11209,-5110l10138,-6182m11226,-5203l10243,-6187m11233,-5307l10353,-6187m11227,-5423l10463,-6187m11199,-5562l10589,-6171m11119,-5752l10780,-6091e" filled="false" stroked="true" strokeweight=".25pt" strokecolor="#6f2770">
              <v:path arrowok="t"/>
              <v:stroke dashstyl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ffffff" stroked="false">
              <v:path arrowok="t"/>
              <v:fill typ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2449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98</w:t>
        <w:tab/>
      </w:r>
      <w:r>
        <w:rPr>
          <w:b/>
          <w:color w:val="6D6E71"/>
          <w:sz w:val="20"/>
        </w:rPr>
        <w:t>Department of Finance Annual Report</w:t>
      </w:r>
      <w:r>
        <w:rPr>
          <w:b/>
          <w:color w:val="6D6E71"/>
          <w:spacing w:val="21"/>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footerReference w:type="default" r:id="rId201"/>
          <w:pgSz w:w="16840" w:h="11910" w:orient="landscape"/>
          <w:pgMar w:footer="0" w:header="0" w:top="0" w:bottom="0" w:left="0" w:right="0"/>
        </w:sectPr>
      </w:pPr>
    </w:p>
    <w:p>
      <w:pPr>
        <w:pStyle w:val="BodyText"/>
        <w:spacing w:before="4"/>
        <w:rPr>
          <w:b/>
          <w:sz w:val="17"/>
        </w:rPr>
      </w:pPr>
    </w:p>
    <w:p>
      <w:pPr>
        <w:spacing w:before="103"/>
        <w:ind w:left="0" w:right="700" w:firstLine="0"/>
        <w:jc w:val="right"/>
        <w:rPr>
          <w:sz w:val="20"/>
        </w:rPr>
      </w:pPr>
      <w:r>
        <w:rPr/>
        <w:pict>
          <v:group style="position:absolute;margin-left:481.080994pt;margin-top:-10.394516pt;width:360.85pt;height:137.65pt;mso-position-horizontal-relative:page;mso-position-vertical-relative:paragraph;z-index:-687952" coordorigin="9622,-208" coordsize="7217,2753">
            <v:shape style="position:absolute;left:2923;top:21727;width:3553;height:2748" coordorigin="2923,21728" coordsize="3553,2748" path="m14623,-205l14677,-151m14513,-205l14792,74m14402,-205l14855,247m14292,-205l14893,396m14182,-205l14917,530m14071,-205l14928,652m13961,-205l14932,766m13850,-205l14929,873m13740,-205l14920,975m13630,-205l14906,1071m13519,-205l14888,1163m13409,-205l14865,1251m13299,-205l14839,1335m13188,-205l14810,1416m13078,-205l14777,1493m12968,-205l14741,1568m12857,-205l14703,1640m12747,-205l14662,1709m12637,-205l14618,1776m12526,-205l14571,1840m12416,-205l14522,1901m12306,-205l14471,1960m12195,-205l14417,2017m12085,-205l14361,2071m11975,-205l14303,2123m11864,-205l14242,2172m11754,-205l14178,2219m11659,-190l14112,2263m11617,-121l14044,2305m11578,-50l13972,2344m11542,24l13898,2380m11509,101l13821,2414m11479,182l13741,2444m11452,265l13658,2471m11429,352l13570,2494m11409,443l13479,2513m11395,539l13384,2528m11385,639l13283,2538m11380,745l13177,2542m11382,858l13065,2540m11393,978l12944,2530m11413,1109l12813,2509m11448,1254l12668,2474m11505,1421l12501,2418m11605,1632l12290,2317e" filled="false" stroked="true" strokeweight=".25pt" strokecolor="#aebd37">
              <v:path arrowok="t"/>
              <v:stroke dashstyle="solid"/>
            </v:shape>
            <v:shape style="position:absolute;left:20;top:2469;width:1781;height:1762" coordorigin="20,2469" coordsize="1781,1762" path="m10762,1559l10434,1230m10955,1641l10352,1037m11094,1669l10323,898m11212,1677l10315,780m11315,1670l10322,677m11409,1653l10339,584m11495,1629l10363,498m11574,1597l10395,419m11646,1560l10432,345m11714,1517l10475,278m11776,1469l10523,215m11834,1417l10575,158m11887,1359l10633,105m11935,1297l10695,57m11978,1230l10763,14m12016,1157l10836,-23m12047,1078l10915,-55m12072,992l11000,-79m12089,899l11105,-85m12096,795l11216,-85m12090,679l11326,-85m12061,540l11452,-69m11981,350l11642,11e" filled="false" stroked="true" strokeweight=".25pt" strokecolor="#6f2770">
              <v:path arrowok="t"/>
              <v:stroke dashstyle="solid"/>
            </v:shape>
            <v:rect style="position:absolute;left:9621;top:-206;width:2406;height:851" filled="true" fillcolor="#d4d896" stroked="false">
              <v:fill type="solid"/>
            </v:rect>
            <v:rect style="position:absolute;left:12026;top:-206;width:2406;height:851" filled="true" fillcolor="#c3acc4" stroked="false">
              <v:fill type="solid"/>
            </v:rect>
            <v:rect style="position:absolute;left:14432;top:-206;width:2406;height:851" filled="true" fillcolor="#bba1bc" stroked="false">
              <v:fill type="solid"/>
            </v:rect>
            <w10:wrap type="none"/>
          </v:group>
        </w:pict>
      </w:r>
      <w:r>
        <w:rPr/>
        <w:pict>
          <v:group style="position:absolute;margin-left:0pt;margin-top:-10.270532pt;width:120.3pt;height:42.55pt;mso-position-horizontal-relative:page;mso-position-vertical-relative:paragraph;z-index:24592" coordorigin="0,-205" coordsize="2406,851">
            <v:rect style="position:absolute;left:0;top:-206;width:2406;height:851" filled="true" fillcolor="#bba1bc" stroked="false">
              <v:fill type="solid"/>
            </v:rect>
            <v:line style="position:absolute" from="0,-205" to="0,645" stroked="true" strokeweight="0pt" strokecolor="#bba1bc">
              <v:stroke dashstyle="solid"/>
            </v:line>
            <v:shape style="position:absolute;left:0;top:-206;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w10:wrap type="none"/>
          </v:group>
        </w:pict>
      </w:r>
      <w:r>
        <w:rPr/>
        <w:pict>
          <v:shape style="position:absolute;margin-left:601.348999pt;margin-top:-10.270532pt;width:120.3pt;height:42.55pt;mso-position-horizontal-relative:page;mso-position-vertical-relative:paragraph;z-index:2464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481.079803pt;margin-top:-10.270532pt;width:120.3pt;height:42.55pt;mso-position-horizontal-relative:page;mso-position-vertical-relative:paragraph;z-index:24664" type="#_x0000_t202" filled="false"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w10:wrap type="none"/>
          </v:shape>
        </w:pict>
      </w:r>
      <w:r>
        <w:rPr/>
        <w:pict>
          <v:shape style="position:absolute;margin-left:360.811798pt;margin-top:-10.270532pt;width:120.3pt;height:42.55pt;mso-position-horizontal-relative:page;mso-position-vertical-relative:paragraph;z-index:2468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240.539398pt;margin-top:-10.270532pt;width:120.3pt;height:42.55pt;mso-position-horizontal-relative:page;mso-position-vertical-relative:paragraph;z-index:24712"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w:pict>
      </w:r>
      <w:r>
        <w:rPr/>
        <w:pict>
          <v:shape style="position:absolute;margin-left:120.271004pt;margin-top:-10.270532pt;width:120.3pt;height:42.55pt;mso-position-horizontal-relative:page;mso-position-vertical-relative:paragraph;z-index:24736"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bookmarkStart w:name="_bookmark38" w:id="39"/>
      <w:bookmarkEnd w:id="39"/>
      <w:r>
        <w:rPr/>
      </w:r>
      <w:hyperlink w:history="true" w:anchor="_bookmark52">
        <w:r>
          <w:rPr>
            <w:w w:val="95"/>
            <w:sz w:val="20"/>
          </w:rPr>
          <w:t>APPENDIX</w:t>
        </w:r>
      </w:hyperlink>
    </w:p>
    <w:p>
      <w:pPr>
        <w:pStyle w:val="BodyText"/>
        <w:rPr>
          <w:sz w:val="20"/>
        </w:rPr>
      </w:pPr>
    </w:p>
    <w:p>
      <w:pPr>
        <w:pStyle w:val="BodyText"/>
        <w:rPr>
          <w:sz w:val="20"/>
        </w:rPr>
      </w:pPr>
    </w:p>
    <w:p>
      <w:pPr>
        <w:pStyle w:val="BodyText"/>
        <w:rPr>
          <w:sz w:val="20"/>
        </w:rPr>
      </w:pPr>
    </w:p>
    <w:p>
      <w:pPr>
        <w:pStyle w:val="Heading1"/>
        <w:spacing w:before="211"/>
      </w:pPr>
      <w:r>
        <w:rPr>
          <w:color w:val="6F2770"/>
        </w:rPr>
        <w:t>Performance Assessment</w:t>
      </w:r>
    </w:p>
    <w:p>
      <w:pPr>
        <w:pStyle w:val="Heading4"/>
        <w:spacing w:before="110"/>
      </w:pPr>
      <w:r>
        <w:rPr>
          <w:color w:val="6F2770"/>
        </w:rPr>
        <w:t>Outcomes</w:t>
      </w:r>
    </w:p>
    <w:p>
      <w:pPr>
        <w:pStyle w:val="BodyText"/>
        <w:spacing w:before="245"/>
        <w:ind w:left="765"/>
      </w:pPr>
      <w:r>
        <w:rPr/>
        <w:t>The Government desired outcomes that the Department works to achieve through its services are:</w:t>
      </w:r>
    </w:p>
    <w:p>
      <w:pPr>
        <w:pStyle w:val="BodyText"/>
        <w:spacing w:before="4"/>
        <w:rPr>
          <w:sz w:val="18"/>
        </w:rPr>
      </w:pPr>
    </w:p>
    <w:tbl>
      <w:tblPr>
        <w:tblW w:w="0" w:type="auto"/>
        <w:jc w:val="left"/>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932"/>
        <w:gridCol w:w="4932"/>
        <w:gridCol w:w="5442"/>
      </w:tblGrid>
      <w:tr>
        <w:trPr>
          <w:trHeight w:val="317" w:hRule="atLeast"/>
        </w:trPr>
        <w:tc>
          <w:tcPr>
            <w:tcW w:w="15306" w:type="dxa"/>
            <w:gridSpan w:val="3"/>
            <w:tcBorders>
              <w:top w:val="nil"/>
              <w:left w:val="nil"/>
            </w:tcBorders>
            <w:shd w:val="clear" w:color="auto" w:fill="783A79"/>
          </w:tcPr>
          <w:p>
            <w:pPr>
              <w:pStyle w:val="TableParagraph"/>
              <w:tabs>
                <w:tab w:pos="5045" w:val="left" w:leader="none"/>
                <w:tab w:pos="9977" w:val="left" w:leader="none"/>
              </w:tabs>
              <w:spacing w:before="35"/>
              <w:ind w:left="113"/>
              <w:rPr>
                <w:b/>
                <w:sz w:val="22"/>
              </w:rPr>
            </w:pPr>
            <w:r>
              <w:rPr>
                <w:b/>
                <w:color w:val="FFFFFF"/>
                <w:sz w:val="22"/>
              </w:rPr>
              <w:t>Government</w:t>
            </w:r>
            <w:r>
              <w:rPr>
                <w:b/>
                <w:color w:val="FFFFFF"/>
                <w:spacing w:val="-4"/>
                <w:sz w:val="22"/>
              </w:rPr>
              <w:t> </w:t>
            </w:r>
            <w:r>
              <w:rPr>
                <w:b/>
                <w:color w:val="FFFFFF"/>
                <w:sz w:val="22"/>
              </w:rPr>
              <w:t>Goals</w:t>
              <w:tab/>
              <w:t>Desired</w:t>
            </w:r>
            <w:r>
              <w:rPr>
                <w:b/>
                <w:color w:val="FFFFFF"/>
                <w:spacing w:val="3"/>
                <w:sz w:val="22"/>
              </w:rPr>
              <w:t> </w:t>
            </w:r>
            <w:r>
              <w:rPr>
                <w:b/>
                <w:color w:val="FFFFFF"/>
                <w:sz w:val="22"/>
              </w:rPr>
              <w:t>Outcomes</w:t>
              <w:tab/>
              <w:t>Services</w:t>
            </w:r>
          </w:p>
        </w:tc>
      </w:tr>
      <w:tr>
        <w:trPr>
          <w:trHeight w:val="835" w:hRule="atLeast"/>
        </w:trPr>
        <w:tc>
          <w:tcPr>
            <w:tcW w:w="4932" w:type="dxa"/>
            <w:vMerge w:val="restart"/>
            <w:tcBorders>
              <w:left w:val="nil"/>
              <w:bottom w:val="nil"/>
            </w:tcBorders>
            <w:shd w:val="clear" w:color="auto" w:fill="F5F4F4"/>
          </w:tcPr>
          <w:p>
            <w:pPr>
              <w:pStyle w:val="TableParagraph"/>
              <w:spacing w:before="25"/>
              <w:ind w:left="113"/>
              <w:rPr>
                <w:sz w:val="22"/>
              </w:rPr>
            </w:pPr>
            <w:r>
              <w:rPr>
                <w:sz w:val="22"/>
              </w:rPr>
              <w:t>Sustainable Finances:</w:t>
            </w:r>
          </w:p>
          <w:p>
            <w:pPr>
              <w:pStyle w:val="TableParagraph"/>
              <w:spacing w:before="11"/>
              <w:rPr>
                <w:sz w:val="23"/>
              </w:rPr>
            </w:pPr>
          </w:p>
          <w:p>
            <w:pPr>
              <w:pStyle w:val="TableParagraph"/>
              <w:spacing w:line="249" w:lineRule="auto" w:before="0"/>
              <w:ind w:left="113" w:right="471"/>
              <w:rPr>
                <w:sz w:val="22"/>
              </w:rPr>
            </w:pPr>
            <w:r>
              <w:rPr>
                <w:sz w:val="22"/>
              </w:rPr>
              <w:t>Responsible</w:t>
            </w:r>
            <w:r>
              <w:rPr>
                <w:spacing w:val="-36"/>
                <w:sz w:val="22"/>
              </w:rPr>
              <w:t> </w:t>
            </w:r>
            <w:r>
              <w:rPr>
                <w:sz w:val="22"/>
              </w:rPr>
              <w:t>financial</w:t>
            </w:r>
            <w:r>
              <w:rPr>
                <w:spacing w:val="-35"/>
                <w:sz w:val="22"/>
              </w:rPr>
              <w:t> </w:t>
            </w:r>
            <w:r>
              <w:rPr>
                <w:sz w:val="22"/>
              </w:rPr>
              <w:t>management</w:t>
            </w:r>
            <w:r>
              <w:rPr>
                <w:spacing w:val="-35"/>
                <w:sz w:val="22"/>
              </w:rPr>
              <w:t> </w:t>
            </w:r>
            <w:r>
              <w:rPr>
                <w:sz w:val="22"/>
              </w:rPr>
              <w:t>and</w:t>
            </w:r>
            <w:r>
              <w:rPr>
                <w:spacing w:val="-35"/>
                <w:sz w:val="22"/>
              </w:rPr>
              <w:t> </w:t>
            </w:r>
            <w:r>
              <w:rPr>
                <w:spacing w:val="-3"/>
                <w:sz w:val="22"/>
              </w:rPr>
              <w:t>better </w:t>
            </w:r>
            <w:r>
              <w:rPr>
                <w:sz w:val="22"/>
              </w:rPr>
              <w:t>service</w:t>
            </w:r>
            <w:r>
              <w:rPr>
                <w:spacing w:val="-2"/>
                <w:sz w:val="22"/>
              </w:rPr>
              <w:t> </w:t>
            </w:r>
            <w:r>
              <w:rPr>
                <w:spacing w:val="-3"/>
                <w:sz w:val="22"/>
              </w:rPr>
              <w:t>delivery.</w:t>
            </w:r>
          </w:p>
        </w:tc>
        <w:tc>
          <w:tcPr>
            <w:tcW w:w="4932" w:type="dxa"/>
            <w:tcBorders>
              <w:right w:val="single" w:sz="4" w:space="0" w:color="FFFFFF"/>
            </w:tcBorders>
            <w:shd w:val="clear" w:color="auto" w:fill="F2F3E1"/>
          </w:tcPr>
          <w:p>
            <w:pPr>
              <w:pStyle w:val="TableParagraph"/>
              <w:spacing w:line="249" w:lineRule="auto" w:before="25"/>
              <w:ind w:left="103" w:right="152"/>
              <w:rPr>
                <w:sz w:val="22"/>
              </w:rPr>
            </w:pPr>
            <w:r>
              <w:rPr>
                <w:sz w:val="22"/>
              </w:rPr>
              <w:t>Due</w:t>
            </w:r>
            <w:r>
              <w:rPr>
                <w:spacing w:val="-26"/>
                <w:sz w:val="22"/>
              </w:rPr>
              <w:t> </w:t>
            </w:r>
            <w:r>
              <w:rPr>
                <w:sz w:val="22"/>
              </w:rPr>
              <w:t>and</w:t>
            </w:r>
            <w:r>
              <w:rPr>
                <w:spacing w:val="-25"/>
                <w:sz w:val="22"/>
              </w:rPr>
              <w:t> </w:t>
            </w:r>
            <w:r>
              <w:rPr>
                <w:sz w:val="22"/>
              </w:rPr>
              <w:t>payable</w:t>
            </w:r>
            <w:r>
              <w:rPr>
                <w:spacing w:val="-26"/>
                <w:sz w:val="22"/>
              </w:rPr>
              <w:t> </w:t>
            </w:r>
            <w:r>
              <w:rPr>
                <w:sz w:val="22"/>
              </w:rPr>
              <w:t>revenue</w:t>
            </w:r>
            <w:r>
              <w:rPr>
                <w:spacing w:val="-25"/>
                <w:sz w:val="22"/>
              </w:rPr>
              <w:t> </w:t>
            </w:r>
            <w:r>
              <w:rPr>
                <w:sz w:val="22"/>
              </w:rPr>
              <w:t>is</w:t>
            </w:r>
            <w:r>
              <w:rPr>
                <w:spacing w:val="-26"/>
                <w:sz w:val="22"/>
              </w:rPr>
              <w:t> </w:t>
            </w:r>
            <w:r>
              <w:rPr>
                <w:sz w:val="22"/>
              </w:rPr>
              <w:t>collected</w:t>
            </w:r>
            <w:r>
              <w:rPr>
                <w:spacing w:val="-25"/>
                <w:sz w:val="22"/>
              </w:rPr>
              <w:t> </w:t>
            </w:r>
            <w:r>
              <w:rPr>
                <w:sz w:val="22"/>
              </w:rPr>
              <w:t>and</w:t>
            </w:r>
            <w:r>
              <w:rPr>
                <w:spacing w:val="-25"/>
                <w:sz w:val="22"/>
              </w:rPr>
              <w:t> </w:t>
            </w:r>
            <w:r>
              <w:rPr>
                <w:spacing w:val="-3"/>
                <w:sz w:val="22"/>
              </w:rPr>
              <w:t>eligible </w:t>
            </w:r>
            <w:r>
              <w:rPr>
                <w:sz w:val="22"/>
              </w:rPr>
              <w:t>grants, subsidies and rebates</w:t>
            </w:r>
            <w:r>
              <w:rPr>
                <w:spacing w:val="-15"/>
                <w:sz w:val="22"/>
              </w:rPr>
              <w:t> </w:t>
            </w:r>
            <w:r>
              <w:rPr>
                <w:sz w:val="22"/>
              </w:rPr>
              <w:t>paid.</w:t>
            </w:r>
          </w:p>
        </w:tc>
        <w:tc>
          <w:tcPr>
            <w:tcW w:w="5442" w:type="dxa"/>
            <w:tcBorders>
              <w:left w:val="single" w:sz="4" w:space="0" w:color="FFFFFF"/>
            </w:tcBorders>
            <w:shd w:val="clear" w:color="auto" w:fill="F2F3E1"/>
          </w:tcPr>
          <w:p>
            <w:pPr>
              <w:pStyle w:val="TableParagraph"/>
              <w:spacing w:line="249" w:lineRule="auto" w:before="25"/>
              <w:ind w:left="108" w:right="356"/>
              <w:rPr>
                <w:sz w:val="22"/>
              </w:rPr>
            </w:pPr>
            <w:r>
              <w:rPr>
                <w:sz w:val="22"/>
              </w:rPr>
              <w:t>Revenue</w:t>
            </w:r>
            <w:r>
              <w:rPr>
                <w:spacing w:val="-26"/>
                <w:sz w:val="22"/>
              </w:rPr>
              <w:t> </w:t>
            </w:r>
            <w:r>
              <w:rPr>
                <w:sz w:val="22"/>
              </w:rPr>
              <w:t>assessment</w:t>
            </w:r>
            <w:r>
              <w:rPr>
                <w:spacing w:val="-25"/>
                <w:sz w:val="22"/>
              </w:rPr>
              <w:t> </w:t>
            </w:r>
            <w:r>
              <w:rPr>
                <w:sz w:val="22"/>
              </w:rPr>
              <w:t>and</w:t>
            </w:r>
            <w:r>
              <w:rPr>
                <w:spacing w:val="-25"/>
                <w:sz w:val="22"/>
              </w:rPr>
              <w:t> </w:t>
            </w:r>
            <w:r>
              <w:rPr>
                <w:sz w:val="22"/>
              </w:rPr>
              <w:t>collection,</w:t>
            </w:r>
            <w:r>
              <w:rPr>
                <w:spacing w:val="-26"/>
                <w:sz w:val="22"/>
              </w:rPr>
              <w:t> </w:t>
            </w:r>
            <w:r>
              <w:rPr>
                <w:sz w:val="22"/>
              </w:rPr>
              <w:t>and</w:t>
            </w:r>
            <w:r>
              <w:rPr>
                <w:spacing w:val="-25"/>
                <w:sz w:val="22"/>
              </w:rPr>
              <w:t> </w:t>
            </w:r>
            <w:r>
              <w:rPr>
                <w:sz w:val="22"/>
              </w:rPr>
              <w:t>grants</w:t>
            </w:r>
            <w:r>
              <w:rPr>
                <w:spacing w:val="-25"/>
                <w:sz w:val="22"/>
              </w:rPr>
              <w:t> </w:t>
            </w:r>
            <w:r>
              <w:rPr>
                <w:spacing w:val="-6"/>
                <w:sz w:val="22"/>
              </w:rPr>
              <w:t>and </w:t>
            </w:r>
            <w:r>
              <w:rPr>
                <w:sz w:val="22"/>
              </w:rPr>
              <w:t>subsidies</w:t>
            </w:r>
            <w:r>
              <w:rPr>
                <w:spacing w:val="-2"/>
                <w:sz w:val="22"/>
              </w:rPr>
              <w:t> </w:t>
            </w:r>
            <w:r>
              <w:rPr>
                <w:sz w:val="22"/>
              </w:rPr>
              <w:t>administration.</w:t>
            </w:r>
          </w:p>
        </w:tc>
      </w:tr>
      <w:tr>
        <w:trPr>
          <w:trHeight w:val="1363" w:hRule="atLeast"/>
        </w:trPr>
        <w:tc>
          <w:tcPr>
            <w:tcW w:w="4932" w:type="dxa"/>
            <w:vMerge/>
            <w:tcBorders>
              <w:top w:val="nil"/>
              <w:left w:val="nil"/>
              <w:bottom w:val="nil"/>
            </w:tcBorders>
            <w:shd w:val="clear" w:color="auto" w:fill="F5F4F4"/>
          </w:tcPr>
          <w:p>
            <w:pPr>
              <w:rPr>
                <w:sz w:val="2"/>
                <w:szCs w:val="2"/>
              </w:rPr>
            </w:pPr>
          </w:p>
        </w:tc>
        <w:tc>
          <w:tcPr>
            <w:tcW w:w="4932" w:type="dxa"/>
            <w:tcBorders>
              <w:right w:val="single" w:sz="4" w:space="0" w:color="FFFFFF"/>
            </w:tcBorders>
            <w:shd w:val="clear" w:color="auto" w:fill="E2D9E3"/>
          </w:tcPr>
          <w:p>
            <w:pPr>
              <w:pStyle w:val="TableParagraph"/>
              <w:spacing w:before="25"/>
              <w:ind w:left="103"/>
              <w:rPr>
                <w:sz w:val="22"/>
              </w:rPr>
            </w:pPr>
            <w:r>
              <w:rPr>
                <w:sz w:val="22"/>
              </w:rPr>
              <w:t>Value-for-money from public sector procurement.</w:t>
            </w:r>
          </w:p>
        </w:tc>
        <w:tc>
          <w:tcPr>
            <w:tcW w:w="5442" w:type="dxa"/>
            <w:tcBorders>
              <w:left w:val="single" w:sz="4" w:space="0" w:color="FFFFFF"/>
            </w:tcBorders>
            <w:shd w:val="clear" w:color="auto" w:fill="E2D9E3"/>
          </w:tcPr>
          <w:p>
            <w:pPr>
              <w:pStyle w:val="TableParagraph"/>
              <w:spacing w:line="249" w:lineRule="auto" w:before="25"/>
              <w:ind w:left="108" w:right="408"/>
              <w:rPr>
                <w:sz w:val="22"/>
              </w:rPr>
            </w:pPr>
            <w:r>
              <w:rPr>
                <w:sz w:val="22"/>
              </w:rPr>
              <w:t>Development and management of Common Use Contract Arrangements, State Fleet leasing and disposal</w:t>
            </w:r>
            <w:r>
              <w:rPr>
                <w:spacing w:val="-28"/>
                <w:sz w:val="22"/>
              </w:rPr>
              <w:t> </w:t>
            </w:r>
            <w:r>
              <w:rPr>
                <w:sz w:val="22"/>
              </w:rPr>
              <w:t>and</w:t>
            </w:r>
            <w:r>
              <w:rPr>
                <w:spacing w:val="-28"/>
                <w:sz w:val="22"/>
              </w:rPr>
              <w:t> </w:t>
            </w:r>
            <w:r>
              <w:rPr>
                <w:sz w:val="22"/>
              </w:rPr>
              <w:t>providing</w:t>
            </w:r>
            <w:r>
              <w:rPr>
                <w:spacing w:val="-28"/>
                <w:sz w:val="22"/>
              </w:rPr>
              <w:t> </w:t>
            </w:r>
            <w:r>
              <w:rPr>
                <w:sz w:val="22"/>
              </w:rPr>
              <w:t>facilitation</w:t>
            </w:r>
            <w:r>
              <w:rPr>
                <w:spacing w:val="-28"/>
                <w:sz w:val="22"/>
              </w:rPr>
              <w:t> </w:t>
            </w:r>
            <w:r>
              <w:rPr>
                <w:sz w:val="22"/>
              </w:rPr>
              <w:t>service</w:t>
            </w:r>
            <w:r>
              <w:rPr>
                <w:spacing w:val="-28"/>
                <w:sz w:val="22"/>
              </w:rPr>
              <w:t> </w:t>
            </w:r>
            <w:r>
              <w:rPr>
                <w:sz w:val="22"/>
              </w:rPr>
              <w:t>for</w:t>
            </w:r>
            <w:r>
              <w:rPr>
                <w:spacing w:val="-27"/>
                <w:sz w:val="22"/>
              </w:rPr>
              <w:t> </w:t>
            </w:r>
            <w:r>
              <w:rPr>
                <w:spacing w:val="-3"/>
                <w:sz w:val="22"/>
              </w:rPr>
              <w:t>agency </w:t>
            </w:r>
            <w:r>
              <w:rPr>
                <w:sz w:val="22"/>
              </w:rPr>
              <w:t>specific</w:t>
            </w:r>
            <w:r>
              <w:rPr>
                <w:spacing w:val="-1"/>
                <w:sz w:val="22"/>
              </w:rPr>
              <w:t> </w:t>
            </w:r>
            <w:r>
              <w:rPr>
                <w:sz w:val="22"/>
              </w:rPr>
              <w:t>contracts.</w:t>
            </w:r>
          </w:p>
        </w:tc>
      </w:tr>
      <w:tr>
        <w:trPr>
          <w:trHeight w:val="835" w:hRule="atLeast"/>
        </w:trPr>
        <w:tc>
          <w:tcPr>
            <w:tcW w:w="4932" w:type="dxa"/>
            <w:vMerge/>
            <w:tcBorders>
              <w:top w:val="nil"/>
              <w:left w:val="nil"/>
              <w:bottom w:val="nil"/>
            </w:tcBorders>
            <w:shd w:val="clear" w:color="auto" w:fill="F5F4F4"/>
          </w:tcPr>
          <w:p>
            <w:pPr>
              <w:rPr>
                <w:sz w:val="2"/>
                <w:szCs w:val="2"/>
              </w:rPr>
            </w:pPr>
          </w:p>
        </w:tc>
        <w:tc>
          <w:tcPr>
            <w:tcW w:w="4932" w:type="dxa"/>
            <w:tcBorders>
              <w:right w:val="single" w:sz="4" w:space="0" w:color="FFFFFF"/>
            </w:tcBorders>
            <w:shd w:val="clear" w:color="auto" w:fill="E4E7DB"/>
          </w:tcPr>
          <w:p>
            <w:pPr>
              <w:pStyle w:val="TableParagraph"/>
              <w:spacing w:line="249" w:lineRule="auto" w:before="25"/>
              <w:ind w:left="103" w:right="206"/>
              <w:rPr>
                <w:sz w:val="22"/>
              </w:rPr>
            </w:pPr>
            <w:r>
              <w:rPr>
                <w:sz w:val="22"/>
              </w:rPr>
              <w:t>Efficient</w:t>
            </w:r>
            <w:r>
              <w:rPr>
                <w:spacing w:val="-28"/>
                <w:sz w:val="22"/>
              </w:rPr>
              <w:t> </w:t>
            </w:r>
            <w:r>
              <w:rPr>
                <w:sz w:val="22"/>
              </w:rPr>
              <w:t>and</w:t>
            </w:r>
            <w:r>
              <w:rPr>
                <w:spacing w:val="-27"/>
                <w:sz w:val="22"/>
              </w:rPr>
              <w:t> </w:t>
            </w:r>
            <w:r>
              <w:rPr>
                <w:sz w:val="22"/>
              </w:rPr>
              <w:t>effective</w:t>
            </w:r>
            <w:r>
              <w:rPr>
                <w:spacing w:val="-27"/>
                <w:sz w:val="22"/>
              </w:rPr>
              <w:t> </w:t>
            </w:r>
            <w:r>
              <w:rPr>
                <w:sz w:val="22"/>
              </w:rPr>
              <w:t>corporate</w:t>
            </w:r>
            <w:r>
              <w:rPr>
                <w:spacing w:val="-27"/>
                <w:sz w:val="22"/>
              </w:rPr>
              <w:t> </w:t>
            </w:r>
            <w:r>
              <w:rPr>
                <w:sz w:val="22"/>
              </w:rPr>
              <w:t>services</w:t>
            </w:r>
            <w:r>
              <w:rPr>
                <w:spacing w:val="-27"/>
                <w:sz w:val="22"/>
              </w:rPr>
              <w:t> </w:t>
            </w:r>
            <w:r>
              <w:rPr>
                <w:sz w:val="22"/>
              </w:rPr>
              <w:t>to</w:t>
            </w:r>
            <w:r>
              <w:rPr>
                <w:spacing w:val="-27"/>
                <w:sz w:val="22"/>
              </w:rPr>
              <w:t> </w:t>
            </w:r>
            <w:r>
              <w:rPr>
                <w:spacing w:val="-3"/>
                <w:sz w:val="22"/>
              </w:rPr>
              <w:t>client </w:t>
            </w:r>
            <w:r>
              <w:rPr>
                <w:sz w:val="22"/>
              </w:rPr>
              <w:t>agencies.</w:t>
            </w:r>
          </w:p>
        </w:tc>
        <w:tc>
          <w:tcPr>
            <w:tcW w:w="5442" w:type="dxa"/>
            <w:tcBorders>
              <w:left w:val="single" w:sz="4" w:space="0" w:color="FFFFFF"/>
            </w:tcBorders>
            <w:shd w:val="clear" w:color="auto" w:fill="E4E7DB"/>
          </w:tcPr>
          <w:p>
            <w:pPr>
              <w:pStyle w:val="TableParagraph"/>
              <w:spacing w:before="25"/>
              <w:ind w:left="108"/>
              <w:rPr>
                <w:sz w:val="22"/>
              </w:rPr>
            </w:pPr>
            <w:r>
              <w:rPr>
                <w:sz w:val="22"/>
              </w:rPr>
              <w:t>Corporate services to client agencies.</w:t>
            </w:r>
          </w:p>
        </w:tc>
      </w:tr>
      <w:tr>
        <w:trPr>
          <w:trHeight w:val="1901" w:hRule="atLeast"/>
        </w:trPr>
        <w:tc>
          <w:tcPr>
            <w:tcW w:w="4932" w:type="dxa"/>
            <w:vMerge/>
            <w:tcBorders>
              <w:top w:val="nil"/>
              <w:left w:val="nil"/>
              <w:bottom w:val="nil"/>
            </w:tcBorders>
            <w:shd w:val="clear" w:color="auto" w:fill="F5F4F4"/>
          </w:tcPr>
          <w:p>
            <w:pPr>
              <w:rPr>
                <w:sz w:val="2"/>
                <w:szCs w:val="2"/>
              </w:rPr>
            </w:pPr>
          </w:p>
        </w:tc>
        <w:tc>
          <w:tcPr>
            <w:tcW w:w="4932" w:type="dxa"/>
            <w:tcBorders>
              <w:bottom w:val="nil"/>
              <w:right w:val="single" w:sz="4" w:space="0" w:color="FFFFFF"/>
            </w:tcBorders>
            <w:shd w:val="clear" w:color="auto" w:fill="C0B6C3"/>
          </w:tcPr>
          <w:p>
            <w:pPr>
              <w:pStyle w:val="TableParagraph"/>
              <w:spacing w:line="249" w:lineRule="auto" w:before="25"/>
              <w:ind w:left="103" w:right="94"/>
              <w:rPr>
                <w:sz w:val="22"/>
              </w:rPr>
            </w:pPr>
            <w:r>
              <w:rPr>
                <w:sz w:val="22"/>
              </w:rPr>
              <w:t>Value-for-money from the management of the Government’s</w:t>
            </w:r>
            <w:r>
              <w:rPr>
                <w:spacing w:val="-38"/>
                <w:sz w:val="22"/>
              </w:rPr>
              <w:t> </w:t>
            </w:r>
            <w:r>
              <w:rPr>
                <w:sz w:val="22"/>
              </w:rPr>
              <w:t>non-residential</w:t>
            </w:r>
            <w:r>
              <w:rPr>
                <w:spacing w:val="-37"/>
                <w:sz w:val="22"/>
              </w:rPr>
              <w:t> </w:t>
            </w:r>
            <w:r>
              <w:rPr>
                <w:sz w:val="22"/>
              </w:rPr>
              <w:t>buildings</w:t>
            </w:r>
            <w:r>
              <w:rPr>
                <w:spacing w:val="-37"/>
                <w:sz w:val="22"/>
              </w:rPr>
              <w:t> </w:t>
            </w:r>
            <w:r>
              <w:rPr>
                <w:sz w:val="22"/>
              </w:rPr>
              <w:t>and</w:t>
            </w:r>
            <w:r>
              <w:rPr>
                <w:spacing w:val="-38"/>
                <w:sz w:val="22"/>
              </w:rPr>
              <w:t> </w:t>
            </w:r>
            <w:r>
              <w:rPr>
                <w:spacing w:val="-3"/>
                <w:sz w:val="22"/>
              </w:rPr>
              <w:t>public </w:t>
            </w:r>
            <w:r>
              <w:rPr>
                <w:sz w:val="22"/>
              </w:rPr>
              <w:t>works.</w:t>
            </w:r>
          </w:p>
        </w:tc>
        <w:tc>
          <w:tcPr>
            <w:tcW w:w="5442" w:type="dxa"/>
            <w:tcBorders>
              <w:left w:val="single" w:sz="4" w:space="0" w:color="FFFFFF"/>
              <w:bottom w:val="nil"/>
            </w:tcBorders>
            <w:shd w:val="clear" w:color="auto" w:fill="C0B6C3"/>
          </w:tcPr>
          <w:p>
            <w:pPr>
              <w:pStyle w:val="TableParagraph"/>
              <w:spacing w:line="249" w:lineRule="auto" w:before="25"/>
              <w:ind w:left="108" w:right="463"/>
              <w:rPr>
                <w:sz w:val="22"/>
              </w:rPr>
            </w:pPr>
            <w:r>
              <w:rPr>
                <w:sz w:val="22"/>
              </w:rPr>
              <w:t>Leads the planning, </w:t>
            </w:r>
            <w:r>
              <w:rPr>
                <w:spacing w:val="-3"/>
                <w:sz w:val="22"/>
              </w:rPr>
              <w:t>delivery, </w:t>
            </w:r>
            <w:r>
              <w:rPr>
                <w:sz w:val="22"/>
              </w:rPr>
              <w:t>management and maintenance</w:t>
            </w:r>
            <w:r>
              <w:rPr>
                <w:spacing w:val="-25"/>
                <w:sz w:val="22"/>
              </w:rPr>
              <w:t> </w:t>
            </w:r>
            <w:r>
              <w:rPr>
                <w:sz w:val="22"/>
              </w:rPr>
              <w:t>of</w:t>
            </w:r>
            <w:r>
              <w:rPr>
                <w:spacing w:val="-25"/>
                <w:sz w:val="22"/>
              </w:rPr>
              <w:t> </w:t>
            </w:r>
            <w:r>
              <w:rPr>
                <w:sz w:val="22"/>
              </w:rPr>
              <w:t>government</w:t>
            </w:r>
            <w:r>
              <w:rPr>
                <w:spacing w:val="-25"/>
                <w:sz w:val="22"/>
              </w:rPr>
              <w:t> </w:t>
            </w:r>
            <w:r>
              <w:rPr>
                <w:sz w:val="22"/>
              </w:rPr>
              <w:t>buildings,</w:t>
            </w:r>
            <w:r>
              <w:rPr>
                <w:spacing w:val="-24"/>
                <w:sz w:val="22"/>
              </w:rPr>
              <w:t> </w:t>
            </w:r>
            <w:r>
              <w:rPr>
                <w:sz w:val="22"/>
              </w:rPr>
              <w:t>projects</w:t>
            </w:r>
            <w:r>
              <w:rPr>
                <w:spacing w:val="-25"/>
                <w:sz w:val="22"/>
              </w:rPr>
              <w:t> </w:t>
            </w:r>
            <w:r>
              <w:rPr>
                <w:spacing w:val="-6"/>
                <w:sz w:val="22"/>
              </w:rPr>
              <w:t>and </w:t>
            </w:r>
            <w:r>
              <w:rPr>
                <w:sz w:val="22"/>
              </w:rPr>
              <w:t>office</w:t>
            </w:r>
            <w:r>
              <w:rPr>
                <w:spacing w:val="-1"/>
                <w:sz w:val="22"/>
              </w:rPr>
              <w:t> </w:t>
            </w:r>
            <w:r>
              <w:rPr>
                <w:sz w:val="22"/>
              </w:rPr>
              <w:t>accommodation.</w:t>
            </w:r>
          </w:p>
          <w:p>
            <w:pPr>
              <w:pStyle w:val="TableParagraph"/>
              <w:spacing w:before="2"/>
              <w:rPr>
                <w:sz w:val="23"/>
              </w:rPr>
            </w:pPr>
          </w:p>
          <w:p>
            <w:pPr>
              <w:pStyle w:val="TableParagraph"/>
              <w:spacing w:line="249" w:lineRule="auto" w:before="1"/>
              <w:ind w:left="108" w:right="430"/>
              <w:rPr>
                <w:sz w:val="22"/>
              </w:rPr>
            </w:pPr>
            <w:r>
              <w:rPr>
                <w:sz w:val="22"/>
              </w:rPr>
              <w:t>Leads</w:t>
            </w:r>
            <w:r>
              <w:rPr>
                <w:spacing w:val="-25"/>
                <w:sz w:val="22"/>
              </w:rPr>
              <w:t> </w:t>
            </w:r>
            <w:r>
              <w:rPr>
                <w:sz w:val="22"/>
              </w:rPr>
              <w:t>the</w:t>
            </w:r>
            <w:r>
              <w:rPr>
                <w:spacing w:val="-24"/>
                <w:sz w:val="22"/>
              </w:rPr>
              <w:t> </w:t>
            </w:r>
            <w:r>
              <w:rPr>
                <w:sz w:val="22"/>
              </w:rPr>
              <w:t>planning</w:t>
            </w:r>
            <w:r>
              <w:rPr>
                <w:spacing w:val="-24"/>
                <w:sz w:val="22"/>
              </w:rPr>
              <w:t> </w:t>
            </w:r>
            <w:r>
              <w:rPr>
                <w:sz w:val="22"/>
              </w:rPr>
              <w:t>and</w:t>
            </w:r>
            <w:r>
              <w:rPr>
                <w:spacing w:val="-25"/>
                <w:sz w:val="22"/>
              </w:rPr>
              <w:t> </w:t>
            </w:r>
            <w:r>
              <w:rPr>
                <w:sz w:val="22"/>
              </w:rPr>
              <w:t>delivery</w:t>
            </w:r>
            <w:r>
              <w:rPr>
                <w:spacing w:val="-24"/>
                <w:sz w:val="22"/>
              </w:rPr>
              <w:t> </w:t>
            </w:r>
            <w:r>
              <w:rPr>
                <w:sz w:val="22"/>
              </w:rPr>
              <w:t>of</w:t>
            </w:r>
            <w:r>
              <w:rPr>
                <w:spacing w:val="-24"/>
                <w:sz w:val="22"/>
              </w:rPr>
              <w:t> </w:t>
            </w:r>
            <w:r>
              <w:rPr>
                <w:sz w:val="22"/>
              </w:rPr>
              <w:t>new</w:t>
            </w:r>
            <w:r>
              <w:rPr>
                <w:spacing w:val="-24"/>
                <w:sz w:val="22"/>
              </w:rPr>
              <w:t> </w:t>
            </w:r>
            <w:r>
              <w:rPr>
                <w:sz w:val="22"/>
              </w:rPr>
              <w:t>government buildings.</w:t>
            </w:r>
          </w:p>
        </w:tc>
      </w:tr>
    </w:tbl>
    <w:p>
      <w:pPr>
        <w:pStyle w:val="BodyText"/>
        <w:spacing w:before="7"/>
        <w:rPr>
          <w:sz w:val="25"/>
        </w:rPr>
      </w:pPr>
    </w:p>
    <w:p>
      <w:pPr>
        <w:pStyle w:val="Heading4"/>
        <w:spacing w:before="0"/>
      </w:pPr>
      <w:r>
        <w:rPr/>
        <w:pict>
          <v:group style="position:absolute;margin-left:0pt;margin-top:-140.959457pt;width:79.5pt;height:272.75pt;mso-position-horizontal-relative:page;mso-position-vertical-relative:paragraph;z-index:-687976" coordorigin="0,-2819" coordsize="1590,5455">
            <v:shape style="position:absolute;left:0;top:-2820;width:1590;height:5254" type="#_x0000_t75" stroked="false">
              <v:imagedata r:id="rId205" o:title=""/>
            </v:shape>
            <v:shape style="position:absolute;left:0;top:1804;width:482;height:831" coordorigin="0,1805" coordsize="482,831" path="m66,1805l49,1805,33,1806,16,1808,0,1810,0,2629,16,2632,33,2633,49,2635,66,2635,140,2628,211,2609,275,2578,333,2537,383,2487,424,2429,455,2365,474,2294,481,2220,474,2145,455,2075,424,2010,383,1952,333,1902,275,1861,211,1831,140,1811,66,1805xe" filled="true" fillcolor="#ffffff" stroked="false">
              <v:path arrowok="t"/>
              <v:fill type="solid"/>
            </v:shape>
            <v:shape style="position:absolute;left:0;top:1804;width:482;height:831" coordorigin="0,1805" coordsize="482,831" path="m66,1805l49,1805,33,1806,16,1808,0,1810,0,2629,16,2632,33,2633,49,2635,66,2635,140,2628,211,2609,275,2578,333,2537,383,2487,424,2429,455,2365,474,2294,481,2220,474,2145,455,2075,424,2010,383,1952,333,1902,275,1861,211,1831,140,1811,66,1805xe" filled="true" fillcolor="#aebd37" stroked="false">
              <v:path arrowok="t"/>
              <v:fill opacity="13107f" type="solid"/>
            </v:shape>
            <v:shape style="position:absolute;left:174;top:2133;width:93;height:171" coordorigin="174,2134" coordsize="93,171" path="m256,2134l248,2134,182,2199,176,2209,174,2219,174,2221,176,2231,182,2240,245,2303,249,2304,256,2304,259,2303,267,2296,267,2287,200,2221,200,2219,267,2152,267,2144,256,2134xe" filled="true" fillcolor="#000000" stroked="false">
              <v:path arrowok="t"/>
              <v:fill type="solid"/>
            </v:shape>
            <w10:wrap type="none"/>
          </v:group>
        </w:pict>
      </w:r>
      <w:r>
        <w:rPr>
          <w:color w:val="6F2770"/>
        </w:rPr>
        <w:t>Measuring the Performance</w:t>
      </w:r>
    </w:p>
    <w:p>
      <w:pPr>
        <w:pStyle w:val="BodyText"/>
        <w:spacing w:line="249" w:lineRule="auto" w:before="246"/>
        <w:ind w:left="765" w:right="781"/>
      </w:pPr>
      <w:r>
        <w:rPr/>
        <w:t>The</w:t>
      </w:r>
      <w:r>
        <w:rPr>
          <w:spacing w:val="-22"/>
        </w:rPr>
        <w:t> </w:t>
      </w:r>
      <w:r>
        <w:rPr/>
        <w:t>Department</w:t>
      </w:r>
      <w:r>
        <w:rPr>
          <w:spacing w:val="-22"/>
        </w:rPr>
        <w:t> </w:t>
      </w:r>
      <w:r>
        <w:rPr/>
        <w:t>of</w:t>
      </w:r>
      <w:r>
        <w:rPr>
          <w:spacing w:val="-22"/>
        </w:rPr>
        <w:t> </w:t>
      </w:r>
      <w:r>
        <w:rPr/>
        <w:t>Finance</w:t>
      </w:r>
      <w:r>
        <w:rPr>
          <w:spacing w:val="-21"/>
        </w:rPr>
        <w:t> </w:t>
      </w:r>
      <w:r>
        <w:rPr/>
        <w:t>measures</w:t>
      </w:r>
      <w:r>
        <w:rPr>
          <w:spacing w:val="-22"/>
        </w:rPr>
        <w:t> </w:t>
      </w:r>
      <w:r>
        <w:rPr/>
        <w:t>its</w:t>
      </w:r>
      <w:r>
        <w:rPr>
          <w:spacing w:val="-22"/>
        </w:rPr>
        <w:t> </w:t>
      </w:r>
      <w:r>
        <w:rPr/>
        <w:t>performance</w:t>
      </w:r>
      <w:r>
        <w:rPr>
          <w:spacing w:val="-22"/>
        </w:rPr>
        <w:t> </w:t>
      </w:r>
      <w:r>
        <w:rPr/>
        <w:t>through</w:t>
      </w:r>
      <w:r>
        <w:rPr>
          <w:spacing w:val="-21"/>
        </w:rPr>
        <w:t> </w:t>
      </w:r>
      <w:r>
        <w:rPr/>
        <w:t>statistical</w:t>
      </w:r>
      <w:r>
        <w:rPr>
          <w:spacing w:val="-22"/>
        </w:rPr>
        <w:t> </w:t>
      </w:r>
      <w:r>
        <w:rPr/>
        <w:t>information</w:t>
      </w:r>
      <w:r>
        <w:rPr>
          <w:spacing w:val="-22"/>
        </w:rPr>
        <w:t> </w:t>
      </w:r>
      <w:r>
        <w:rPr/>
        <w:t>and</w:t>
      </w:r>
      <w:r>
        <w:rPr>
          <w:spacing w:val="-21"/>
        </w:rPr>
        <w:t> </w:t>
      </w:r>
      <w:r>
        <w:rPr/>
        <w:t>survey</w:t>
      </w:r>
      <w:r>
        <w:rPr>
          <w:spacing w:val="-22"/>
        </w:rPr>
        <w:t> </w:t>
      </w:r>
      <w:r>
        <w:rPr/>
        <w:t>questionnaires.</w:t>
      </w:r>
      <w:r>
        <w:rPr>
          <w:spacing w:val="-22"/>
        </w:rPr>
        <w:t> </w:t>
      </w:r>
      <w:r>
        <w:rPr/>
        <w:t>Statistical</w:t>
      </w:r>
      <w:r>
        <w:rPr>
          <w:spacing w:val="-22"/>
        </w:rPr>
        <w:t> </w:t>
      </w:r>
      <w:r>
        <w:rPr/>
        <w:t>indicators</w:t>
      </w:r>
      <w:r>
        <w:rPr>
          <w:spacing w:val="-21"/>
        </w:rPr>
        <w:t> </w:t>
      </w:r>
      <w:r>
        <w:rPr/>
        <w:t>are</w:t>
      </w:r>
      <w:r>
        <w:rPr>
          <w:spacing w:val="-22"/>
        </w:rPr>
        <w:t> </w:t>
      </w:r>
      <w:r>
        <w:rPr/>
        <w:t>included</w:t>
      </w:r>
      <w:r>
        <w:rPr>
          <w:spacing w:val="-22"/>
        </w:rPr>
        <w:t> </w:t>
      </w:r>
      <w:r>
        <w:rPr/>
        <w:t>to</w:t>
      </w:r>
      <w:r>
        <w:rPr>
          <w:spacing w:val="-22"/>
        </w:rPr>
        <w:t> </w:t>
      </w:r>
      <w:r>
        <w:rPr/>
        <w:t>help</w:t>
      </w:r>
      <w:r>
        <w:rPr>
          <w:spacing w:val="-21"/>
        </w:rPr>
        <w:t> </w:t>
      </w:r>
      <w:r>
        <w:rPr/>
        <w:t>report performance</w:t>
      </w:r>
      <w:r>
        <w:rPr>
          <w:spacing w:val="-18"/>
        </w:rPr>
        <w:t> </w:t>
      </w:r>
      <w:r>
        <w:rPr/>
        <w:t>in</w:t>
      </w:r>
      <w:r>
        <w:rPr>
          <w:spacing w:val="-17"/>
        </w:rPr>
        <w:t> </w:t>
      </w:r>
      <w:r>
        <w:rPr/>
        <w:t>both</w:t>
      </w:r>
      <w:r>
        <w:rPr>
          <w:spacing w:val="-17"/>
        </w:rPr>
        <w:t> </w:t>
      </w:r>
      <w:r>
        <w:rPr/>
        <w:t>outcome</w:t>
      </w:r>
      <w:r>
        <w:rPr>
          <w:spacing w:val="-18"/>
        </w:rPr>
        <w:t> </w:t>
      </w:r>
      <w:r>
        <w:rPr/>
        <w:t>and</w:t>
      </w:r>
      <w:r>
        <w:rPr>
          <w:spacing w:val="-17"/>
        </w:rPr>
        <w:t> </w:t>
      </w:r>
      <w:r>
        <w:rPr/>
        <w:t>service</w:t>
      </w:r>
      <w:r>
        <w:rPr>
          <w:spacing w:val="-17"/>
        </w:rPr>
        <w:t> </w:t>
      </w:r>
      <w:r>
        <w:rPr/>
        <w:t>areas.</w:t>
      </w:r>
      <w:r>
        <w:rPr>
          <w:spacing w:val="-18"/>
        </w:rPr>
        <w:t> </w:t>
      </w:r>
      <w:r>
        <w:rPr/>
        <w:t>The</w:t>
      </w:r>
      <w:r>
        <w:rPr>
          <w:spacing w:val="-17"/>
        </w:rPr>
        <w:t> </w:t>
      </w:r>
      <w:r>
        <w:rPr/>
        <w:t>use</w:t>
      </w:r>
      <w:r>
        <w:rPr>
          <w:spacing w:val="-17"/>
        </w:rPr>
        <w:t> </w:t>
      </w:r>
      <w:r>
        <w:rPr/>
        <w:t>of</w:t>
      </w:r>
      <w:r>
        <w:rPr>
          <w:spacing w:val="-17"/>
        </w:rPr>
        <w:t> </w:t>
      </w:r>
      <w:r>
        <w:rPr/>
        <w:t>in-house</w:t>
      </w:r>
      <w:r>
        <w:rPr>
          <w:spacing w:val="-18"/>
        </w:rPr>
        <w:t> </w:t>
      </w:r>
      <w:r>
        <w:rPr/>
        <w:t>statistical</w:t>
      </w:r>
      <w:r>
        <w:rPr>
          <w:spacing w:val="-17"/>
        </w:rPr>
        <w:t> </w:t>
      </w:r>
      <w:r>
        <w:rPr/>
        <w:t>data</w:t>
      </w:r>
      <w:r>
        <w:rPr>
          <w:spacing w:val="-17"/>
        </w:rPr>
        <w:t> </w:t>
      </w:r>
      <w:r>
        <w:rPr/>
        <w:t>complements</w:t>
      </w:r>
      <w:r>
        <w:rPr>
          <w:spacing w:val="-18"/>
        </w:rPr>
        <w:t> </w:t>
      </w:r>
      <w:r>
        <w:rPr/>
        <w:t>the</w:t>
      </w:r>
      <w:r>
        <w:rPr>
          <w:spacing w:val="-17"/>
        </w:rPr>
        <w:t> </w:t>
      </w:r>
      <w:r>
        <w:rPr/>
        <w:t>survey-based</w:t>
      </w:r>
      <w:r>
        <w:rPr>
          <w:spacing w:val="-17"/>
        </w:rPr>
        <w:t> </w:t>
      </w:r>
      <w:r>
        <w:rPr/>
        <w:t>results</w:t>
      </w:r>
      <w:r>
        <w:rPr>
          <w:spacing w:val="-17"/>
        </w:rPr>
        <w:t> </w:t>
      </w:r>
      <w:r>
        <w:rPr/>
        <w:t>and</w:t>
      </w:r>
      <w:r>
        <w:rPr>
          <w:spacing w:val="-18"/>
        </w:rPr>
        <w:t> </w:t>
      </w:r>
      <w:r>
        <w:rPr/>
        <w:t>adds</w:t>
      </w:r>
      <w:r>
        <w:rPr>
          <w:spacing w:val="-17"/>
        </w:rPr>
        <w:t> </w:t>
      </w:r>
      <w:r>
        <w:rPr/>
        <w:t>scope</w:t>
      </w:r>
      <w:r>
        <w:rPr>
          <w:spacing w:val="-17"/>
        </w:rPr>
        <w:t> </w:t>
      </w:r>
      <w:r>
        <w:rPr/>
        <w:t>and</w:t>
      </w:r>
      <w:r>
        <w:rPr>
          <w:spacing w:val="-18"/>
        </w:rPr>
        <w:t> </w:t>
      </w:r>
      <w:r>
        <w:rPr/>
        <w:t>objectivity</w:t>
      </w:r>
      <w:r>
        <w:rPr>
          <w:spacing w:val="-17"/>
        </w:rPr>
        <w:t> </w:t>
      </w:r>
      <w:r>
        <w:rPr/>
        <w:t>to</w:t>
      </w:r>
      <w:r>
        <w:rPr>
          <w:spacing w:val="-17"/>
        </w:rPr>
        <w:t> </w:t>
      </w:r>
      <w:r>
        <w:rPr>
          <w:spacing w:val="-6"/>
        </w:rPr>
        <w:t>the </w:t>
      </w:r>
      <w:r>
        <w:rPr/>
        <w:t>sources of information used in measuring our</w:t>
      </w:r>
      <w:r>
        <w:rPr>
          <w:spacing w:val="-8"/>
        </w:rPr>
        <w:t> </w:t>
      </w:r>
      <w:r>
        <w:rPr/>
        <w:t>performance.</w:t>
      </w:r>
    </w:p>
    <w:p>
      <w:pPr>
        <w:pStyle w:val="BodyText"/>
        <w:rPr>
          <w:sz w:val="20"/>
        </w:rPr>
      </w:pPr>
    </w:p>
    <w:p>
      <w:pPr>
        <w:pStyle w:val="BodyText"/>
        <w:spacing w:before="5"/>
        <w:rPr>
          <w:sz w:val="27"/>
        </w:rPr>
      </w:pPr>
    </w:p>
    <w:p>
      <w:pPr>
        <w:tabs>
          <w:tab w:pos="10886" w:val="left" w:leader="none"/>
          <w:tab w:pos="11199" w:val="left" w:leader="none"/>
          <w:tab w:pos="15849"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24616"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ffffff" stroked="false">
              <v:path arrowok="t"/>
              <v:fill type="solid"/>
            </v:shape>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99</w:t>
      </w:r>
    </w:p>
    <w:p>
      <w:pPr>
        <w:spacing w:after="0"/>
        <w:jc w:val="left"/>
        <w:rPr>
          <w:sz w:val="20"/>
        </w:rPr>
        <w:sectPr>
          <w:footerReference w:type="default" r:id="rId204"/>
          <w:pgSz w:w="16840" w:h="11910" w:orient="landscape"/>
          <w:pgMar w:footer="0" w:header="0" w:top="0" w:bottom="0" w:left="0" w:right="0"/>
        </w:sectPr>
      </w:pPr>
    </w:p>
    <w:p>
      <w:pPr>
        <w:tabs>
          <w:tab w:pos="4810" w:val="left" w:leader="none"/>
          <w:tab w:pos="9621" w:val="left" w:leader="none"/>
          <w:tab w:pos="14432" w:val="left" w:leader="none"/>
        </w:tabs>
        <w:spacing w:line="240" w:lineRule="auto"/>
        <w:ind w:left="0" w:right="-58" w:firstLine="0"/>
        <w:rPr>
          <w:sz w:val="20"/>
        </w:rPr>
      </w:pPr>
      <w:bookmarkStart w:name="_bookmark39" w:id="40"/>
      <w:bookmarkEnd w:id="40"/>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rPr>
          <w:b/>
          <w:sz w:val="21"/>
        </w:rPr>
      </w:pPr>
    </w:p>
    <w:p>
      <w:pPr>
        <w:pStyle w:val="Heading1"/>
      </w:pPr>
      <w:r>
        <w:rPr/>
        <w:pict>
          <v:shape style="position:absolute;margin-left:601.348999pt;margin-top:-67.374214pt;width:120.3pt;height:42.55pt;mso-position-horizontal-relative:page;mso-position-vertical-relative:paragraph;z-index:2509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25120"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514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Effectiveness Indicators</w:t>
      </w:r>
    </w:p>
    <w:p>
      <w:pPr>
        <w:pStyle w:val="Heading4"/>
        <w:spacing w:before="110"/>
      </w:pPr>
      <w:r>
        <w:rPr>
          <w:color w:val="6F2770"/>
        </w:rPr>
        <w:t>State Revenue</w:t>
      </w:r>
    </w:p>
    <w:p>
      <w:pPr>
        <w:pStyle w:val="BodyText"/>
        <w:rPr>
          <w:sz w:val="12"/>
        </w:rPr>
      </w:pPr>
    </w:p>
    <w:p>
      <w:pPr>
        <w:spacing w:after="0"/>
        <w:rPr>
          <w:sz w:val="12"/>
        </w:rPr>
        <w:sectPr>
          <w:footerReference w:type="default" r:id="rId206"/>
          <w:pgSz w:w="16840" w:h="11910" w:orient="landscape"/>
          <w:pgMar w:footer="774" w:header="0" w:top="0" w:bottom="960" w:left="0" w:right="0"/>
        </w:sectPr>
      </w:pPr>
    </w:p>
    <w:p>
      <w:pPr>
        <w:pStyle w:val="Heading6"/>
        <w:spacing w:line="249" w:lineRule="auto" w:before="109"/>
        <w:ind w:right="-18"/>
      </w:pPr>
      <w:r>
        <w:rPr/>
        <w:t>Outcome 1: Due and payable revenue is collected and eligible grants, subsidies </w:t>
      </w:r>
      <w:r>
        <w:rPr>
          <w:spacing w:val="-7"/>
        </w:rPr>
        <w:t>and </w:t>
      </w:r>
      <w:r>
        <w:rPr/>
        <w:t>rebates paid</w:t>
      </w:r>
    </w:p>
    <w:p>
      <w:pPr>
        <w:spacing w:before="109"/>
        <w:ind w:left="675" w:right="0" w:firstLine="0"/>
        <w:jc w:val="left"/>
        <w:rPr>
          <w:b/>
          <w:sz w:val="10"/>
        </w:rPr>
      </w:pPr>
      <w:r>
        <w:rPr/>
        <w:br w:type="column"/>
      </w:r>
      <w:r>
        <w:rPr>
          <w:b/>
          <w:sz w:val="22"/>
        </w:rPr>
        <w:t>Extent to which due revenue is collected (%)</w:t>
      </w:r>
      <w:r>
        <w:rPr>
          <w:b/>
          <w:spacing w:val="-31"/>
          <w:sz w:val="22"/>
        </w:rPr>
        <w:t> </w:t>
      </w:r>
      <w:r>
        <w:rPr>
          <w:b/>
          <w:spacing w:val="-7"/>
          <w:position w:val="8"/>
          <w:sz w:val="10"/>
        </w:rPr>
        <w:t>(a)</w:t>
      </w:r>
    </w:p>
    <w:p>
      <w:pPr>
        <w:spacing w:line="249" w:lineRule="auto" w:before="109"/>
        <w:ind w:left="407" w:right="521" w:firstLine="0"/>
        <w:jc w:val="left"/>
        <w:rPr>
          <w:b/>
          <w:sz w:val="10"/>
        </w:rPr>
      </w:pPr>
      <w:r>
        <w:rPr/>
        <w:br w:type="column"/>
      </w:r>
      <w:r>
        <w:rPr>
          <w:b/>
          <w:sz w:val="22"/>
        </w:rPr>
        <w:t>Extent to which correct grants, subsidies and rebates are paid (%) </w:t>
      </w:r>
      <w:r>
        <w:rPr>
          <w:b/>
          <w:position w:val="8"/>
          <w:sz w:val="10"/>
        </w:rPr>
        <w:t>(b)</w:t>
      </w:r>
    </w:p>
    <w:p>
      <w:pPr>
        <w:spacing w:after="0" w:line="249" w:lineRule="auto"/>
        <w:jc w:val="left"/>
        <w:rPr>
          <w:sz w:val="10"/>
        </w:rPr>
        <w:sectPr>
          <w:type w:val="continuous"/>
          <w:pgSz w:w="16840" w:h="11910" w:orient="landscape"/>
          <w:pgMar w:top="1100" w:bottom="280" w:left="0" w:right="0"/>
          <w:cols w:num="3" w:equalWidth="0">
            <w:col w:w="5294" w:space="40"/>
            <w:col w:w="5473" w:space="39"/>
            <w:col w:w="5994"/>
          </w:cols>
        </w:sectPr>
      </w:pPr>
    </w:p>
    <w:p>
      <w:pPr>
        <w:pStyle w:val="BodyText"/>
        <w:spacing w:before="2"/>
        <w:rPr>
          <w:b/>
          <w:sz w:val="23"/>
        </w:rPr>
      </w:pPr>
    </w:p>
    <w:p>
      <w:pPr>
        <w:pStyle w:val="BodyText"/>
        <w:spacing w:line="249" w:lineRule="auto"/>
        <w:ind w:left="765" w:right="29"/>
      </w:pPr>
      <w:r>
        <w:rPr/>
        <w:t>The Department, through State Revenue, administers</w:t>
      </w:r>
      <w:r>
        <w:rPr>
          <w:spacing w:val="-19"/>
        </w:rPr>
        <w:t> </w:t>
      </w:r>
      <w:r>
        <w:rPr/>
        <w:t>a</w:t>
      </w:r>
      <w:r>
        <w:rPr>
          <w:spacing w:val="-18"/>
        </w:rPr>
        <w:t> </w:t>
      </w:r>
      <w:r>
        <w:rPr/>
        <w:t>range</w:t>
      </w:r>
      <w:r>
        <w:rPr>
          <w:spacing w:val="-18"/>
        </w:rPr>
        <w:t> </w:t>
      </w:r>
      <w:r>
        <w:rPr/>
        <w:t>of</w:t>
      </w:r>
      <w:r>
        <w:rPr>
          <w:spacing w:val="-18"/>
        </w:rPr>
        <w:t> </w:t>
      </w:r>
      <w:r>
        <w:rPr/>
        <w:t>revenue</w:t>
      </w:r>
      <w:r>
        <w:rPr>
          <w:spacing w:val="-18"/>
        </w:rPr>
        <w:t> </w:t>
      </w:r>
      <w:r>
        <w:rPr/>
        <w:t>laws</w:t>
      </w:r>
      <w:r>
        <w:rPr>
          <w:spacing w:val="-18"/>
        </w:rPr>
        <w:t> </w:t>
      </w:r>
      <w:r>
        <w:rPr/>
        <w:t>on</w:t>
      </w:r>
      <w:r>
        <w:rPr>
          <w:spacing w:val="-18"/>
        </w:rPr>
        <w:t> </w:t>
      </w:r>
      <w:r>
        <w:rPr/>
        <w:t>behalf of</w:t>
      </w:r>
      <w:r>
        <w:rPr>
          <w:spacing w:val="-22"/>
        </w:rPr>
        <w:t> </w:t>
      </w:r>
      <w:r>
        <w:rPr/>
        <w:t>the</w:t>
      </w:r>
      <w:r>
        <w:rPr>
          <w:spacing w:val="-21"/>
        </w:rPr>
        <w:t> </w:t>
      </w:r>
      <w:r>
        <w:rPr/>
        <w:t>Government.</w:t>
      </w:r>
      <w:r>
        <w:rPr>
          <w:spacing w:val="-22"/>
        </w:rPr>
        <w:t> </w:t>
      </w:r>
      <w:r>
        <w:rPr/>
        <w:t>This</w:t>
      </w:r>
      <w:r>
        <w:rPr>
          <w:spacing w:val="-21"/>
        </w:rPr>
        <w:t> </w:t>
      </w:r>
      <w:r>
        <w:rPr/>
        <w:t>involves</w:t>
      </w:r>
      <w:r>
        <w:rPr>
          <w:spacing w:val="-22"/>
        </w:rPr>
        <w:t> </w:t>
      </w:r>
      <w:r>
        <w:rPr/>
        <w:t>the</w:t>
      </w:r>
      <w:r>
        <w:rPr>
          <w:spacing w:val="-21"/>
        </w:rPr>
        <w:t> </w:t>
      </w:r>
      <w:r>
        <w:rPr/>
        <w:t>collection of revenue raised and payment of grants and subsidies</w:t>
      </w:r>
      <w:r>
        <w:rPr>
          <w:spacing w:val="-28"/>
        </w:rPr>
        <w:t> </w:t>
      </w:r>
      <w:r>
        <w:rPr/>
        <w:t>under</w:t>
      </w:r>
      <w:r>
        <w:rPr>
          <w:spacing w:val="-28"/>
        </w:rPr>
        <w:t> </w:t>
      </w:r>
      <w:r>
        <w:rPr/>
        <w:t>relevant</w:t>
      </w:r>
      <w:r>
        <w:rPr>
          <w:spacing w:val="-28"/>
        </w:rPr>
        <w:t> </w:t>
      </w:r>
      <w:r>
        <w:rPr/>
        <w:t>legislation,</w:t>
      </w:r>
      <w:r>
        <w:rPr>
          <w:spacing w:val="-28"/>
        </w:rPr>
        <w:t> </w:t>
      </w:r>
      <w:r>
        <w:rPr/>
        <w:t>as</w:t>
      </w:r>
      <w:r>
        <w:rPr>
          <w:spacing w:val="-28"/>
        </w:rPr>
        <w:t> </w:t>
      </w:r>
      <w:r>
        <w:rPr/>
        <w:t>well</w:t>
      </w:r>
      <w:r>
        <w:rPr>
          <w:spacing w:val="-28"/>
        </w:rPr>
        <w:t> </w:t>
      </w:r>
      <w:r>
        <w:rPr/>
        <w:t>as</w:t>
      </w:r>
      <w:r>
        <w:rPr>
          <w:spacing w:val="-28"/>
        </w:rPr>
        <w:t> </w:t>
      </w:r>
      <w:r>
        <w:rPr>
          <w:spacing w:val="-18"/>
        </w:rPr>
        <w:t>a </w:t>
      </w:r>
      <w:r>
        <w:rPr/>
        <w:t>number of administrative-based</w:t>
      </w:r>
      <w:r>
        <w:rPr>
          <w:spacing w:val="-29"/>
        </w:rPr>
        <w:t> </w:t>
      </w:r>
      <w:r>
        <w:rPr/>
        <w:t>schemes.</w:t>
      </w:r>
    </w:p>
    <w:p>
      <w:pPr>
        <w:pStyle w:val="BodyText"/>
        <w:rPr>
          <w:sz w:val="28"/>
        </w:rPr>
      </w:pPr>
      <w:r>
        <w:rPr/>
        <w:br w:type="column"/>
      </w:r>
      <w:r>
        <w:rPr>
          <w:sz w:val="28"/>
        </w:rPr>
      </w:r>
    </w:p>
    <w:p>
      <w:pPr>
        <w:tabs>
          <w:tab w:pos="1771" w:val="left" w:leader="none"/>
        </w:tabs>
        <w:spacing w:before="234"/>
        <w:ind w:left="765" w:right="0" w:firstLine="0"/>
        <w:jc w:val="left"/>
        <w:rPr>
          <w:b/>
          <w:sz w:val="19"/>
        </w:rPr>
      </w:pPr>
      <w:r>
        <w:rPr/>
        <w:pict>
          <v:rect style="position:absolute;margin-left:300.471985pt;margin-top:23.521297pt;width:40.186pt;height:100.742pt;mso-position-horizontal-relative:page;mso-position-vertical-relative:paragraph;z-index:24880" filled="true" fillcolor="#e3e5bd" stroked="false">
            <v:fill type="solid"/>
            <w10:wrap type="none"/>
          </v:rect>
        </w:pict>
      </w:r>
      <w:r>
        <w:rPr/>
        <w:pict>
          <v:rect style="position:absolute;margin-left:351.036011pt;margin-top:28.368298pt;width:40.186pt;height:95.895pt;mso-position-horizontal-relative:page;mso-position-vertical-relative:paragraph;z-index:25072" filled="true" fillcolor="#e3e5bd" stroked="false">
            <v:fill type="solid"/>
            <w10:wrap type="none"/>
          </v:rect>
        </w:pict>
      </w:r>
      <w:r>
        <w:rPr>
          <w:b/>
          <w:color w:val="475B29"/>
          <w:sz w:val="19"/>
        </w:rPr>
        <w:t>88</w:t>
        <w:tab/>
      </w:r>
      <w:r>
        <w:rPr>
          <w:b/>
          <w:color w:val="475B29"/>
          <w:spacing w:val="-10"/>
          <w:position w:val="-4"/>
          <w:sz w:val="19"/>
        </w:rPr>
        <w:t>87</w:t>
      </w:r>
    </w:p>
    <w:p>
      <w:pPr>
        <w:pStyle w:val="BodyText"/>
        <w:spacing w:before="10"/>
        <w:rPr>
          <w:b/>
          <w:sz w:val="37"/>
        </w:rPr>
      </w:pPr>
      <w:r>
        <w:rPr/>
        <w:br w:type="column"/>
      </w:r>
      <w:r>
        <w:rPr>
          <w:b/>
          <w:sz w:val="37"/>
        </w:rPr>
      </w:r>
    </w:p>
    <w:p>
      <w:pPr>
        <w:tabs>
          <w:tab w:pos="1766" w:val="left" w:leader="none"/>
          <w:tab w:pos="2772" w:val="left" w:leader="none"/>
        </w:tabs>
        <w:spacing w:before="1"/>
        <w:ind w:left="760" w:right="0" w:firstLine="0"/>
        <w:jc w:val="left"/>
        <w:rPr>
          <w:b/>
          <w:sz w:val="19"/>
        </w:rPr>
      </w:pPr>
      <w:r>
        <w:rPr/>
        <w:pict>
          <v:rect style="position:absolute;margin-left:401.351013pt;margin-top:17.871298pt;width:40.186pt;height:100.742pt;mso-position-horizontal-relative:page;mso-position-vertical-relative:paragraph;z-index:25000" filled="true" fillcolor="#e3e5bd" stroked="false">
            <v:fill type="solid"/>
            <w10:wrap type="none"/>
          </v:rect>
        </w:pict>
      </w:r>
      <w:r>
        <w:rPr/>
        <w:pict>
          <v:rect style="position:absolute;margin-left:451.665985pt;margin-top:17.871298pt;width:40.186pt;height:100.742pt;mso-position-horizontal-relative:page;mso-position-vertical-relative:paragraph;z-index:25024" filled="true" fillcolor="#a682a6" stroked="false">
            <v:fill type="solid"/>
            <w10:wrap type="none"/>
          </v:rect>
        </w:pict>
      </w:r>
      <w:r>
        <w:rPr>
          <w:b/>
          <w:color w:val="475B29"/>
          <w:sz w:val="19"/>
        </w:rPr>
        <w:t>88</w:t>
        <w:tab/>
      </w:r>
      <w:r>
        <w:rPr>
          <w:b/>
          <w:color w:val="6F2770"/>
          <w:sz w:val="19"/>
        </w:rPr>
        <w:t>88</w:t>
        <w:tab/>
      </w:r>
      <w:r>
        <w:rPr>
          <w:b/>
          <w:color w:val="360F41"/>
          <w:position w:val="12"/>
          <w:sz w:val="19"/>
        </w:rPr>
        <w:t>89</w:t>
      </w:r>
    </w:p>
    <w:p>
      <w:pPr>
        <w:spacing w:before="188"/>
        <w:ind w:left="0" w:right="0" w:firstLine="0"/>
        <w:jc w:val="right"/>
        <w:rPr>
          <w:b/>
          <w:sz w:val="19"/>
        </w:rPr>
      </w:pPr>
      <w:r>
        <w:rPr/>
        <w:br w:type="column"/>
      </w:r>
      <w:r>
        <w:rPr>
          <w:b/>
          <w:color w:val="475B29"/>
          <w:w w:val="95"/>
          <w:sz w:val="19"/>
        </w:rPr>
        <w:t>99.9</w:t>
      </w:r>
    </w:p>
    <w:p>
      <w:pPr>
        <w:spacing w:before="117"/>
        <w:ind w:left="622" w:right="0" w:firstLine="0"/>
        <w:jc w:val="left"/>
        <w:rPr>
          <w:b/>
          <w:sz w:val="19"/>
        </w:rPr>
      </w:pPr>
      <w:r>
        <w:rPr/>
        <w:br w:type="column"/>
      </w:r>
      <w:r>
        <w:rPr>
          <w:b/>
          <w:color w:val="475B29"/>
          <w:sz w:val="19"/>
        </w:rPr>
        <w:t>100</w:t>
      </w:r>
    </w:p>
    <w:p>
      <w:pPr>
        <w:spacing w:before="183"/>
        <w:ind w:left="622" w:right="0" w:firstLine="0"/>
        <w:jc w:val="left"/>
        <w:rPr>
          <w:b/>
          <w:sz w:val="19"/>
        </w:rPr>
      </w:pPr>
      <w:r>
        <w:rPr/>
        <w:br w:type="column"/>
      </w:r>
      <w:r>
        <w:rPr>
          <w:b/>
          <w:color w:val="475B29"/>
          <w:sz w:val="19"/>
        </w:rPr>
        <w:t>99.9</w:t>
      </w:r>
    </w:p>
    <w:p>
      <w:pPr>
        <w:spacing w:before="128"/>
        <w:ind w:left="622" w:right="0" w:firstLine="0"/>
        <w:jc w:val="left"/>
        <w:rPr>
          <w:b/>
          <w:sz w:val="19"/>
        </w:rPr>
      </w:pPr>
      <w:r>
        <w:rPr/>
        <w:br w:type="column"/>
      </w:r>
      <w:r>
        <w:rPr>
          <w:b/>
          <w:color w:val="6F2770"/>
          <w:sz w:val="19"/>
        </w:rPr>
        <w:t>100</w:t>
      </w:r>
    </w:p>
    <w:p>
      <w:pPr>
        <w:spacing w:before="117"/>
        <w:ind w:left="649" w:right="0" w:firstLine="0"/>
        <w:jc w:val="left"/>
        <w:rPr>
          <w:b/>
          <w:sz w:val="19"/>
        </w:rPr>
      </w:pPr>
      <w:r>
        <w:rPr/>
        <w:br w:type="column"/>
      </w:r>
      <w:r>
        <w:rPr>
          <w:b/>
          <w:color w:val="360F41"/>
          <w:sz w:val="19"/>
        </w:rPr>
        <w:t>100</w:t>
      </w:r>
    </w:p>
    <w:p>
      <w:pPr>
        <w:spacing w:after="0"/>
        <w:jc w:val="left"/>
        <w:rPr>
          <w:sz w:val="19"/>
        </w:rPr>
        <w:sectPr>
          <w:type w:val="continuous"/>
          <w:pgSz w:w="16840" w:h="11910" w:orient="landscape"/>
          <w:pgMar w:top="1100" w:bottom="280" w:left="0" w:right="0"/>
          <w:cols w:num="8" w:equalWidth="0">
            <w:col w:w="5296" w:space="244"/>
            <w:col w:w="1983" w:space="40"/>
            <w:col w:w="3024" w:space="118"/>
            <w:col w:w="1136" w:space="40"/>
            <w:col w:w="940" w:space="39"/>
            <w:col w:w="993" w:space="40"/>
            <w:col w:w="940" w:space="39"/>
            <w:col w:w="1968"/>
          </w:cols>
        </w:sectPr>
      </w:pPr>
    </w:p>
    <w:p>
      <w:pPr>
        <w:pStyle w:val="BodyText"/>
        <w:spacing w:before="2"/>
        <w:rPr>
          <w:b/>
          <w:sz w:val="14"/>
        </w:rPr>
      </w:pPr>
    </w:p>
    <w:p>
      <w:pPr>
        <w:spacing w:after="0"/>
        <w:rPr>
          <w:sz w:val="14"/>
        </w:rPr>
        <w:sectPr>
          <w:type w:val="continuous"/>
          <w:pgSz w:w="16840" w:h="11910" w:orient="landscape"/>
          <w:pgMar w:top="1100" w:bottom="280" w:left="0" w:right="0"/>
        </w:sectPr>
      </w:pPr>
    </w:p>
    <w:p>
      <w:pPr>
        <w:pStyle w:val="BodyText"/>
        <w:spacing w:line="249" w:lineRule="auto" w:before="106"/>
        <w:ind w:left="765" w:right="-11"/>
      </w:pPr>
      <w:r>
        <w:rPr/>
        <w:t>The key effectiveness indicator for revenue collection provides a measure of the accuracy of</w:t>
      </w:r>
      <w:r>
        <w:rPr>
          <w:spacing w:val="-24"/>
        </w:rPr>
        <w:t> </w:t>
      </w:r>
      <w:r>
        <w:rPr/>
        <w:t>the</w:t>
      </w:r>
      <w:r>
        <w:rPr>
          <w:spacing w:val="-23"/>
        </w:rPr>
        <w:t> </w:t>
      </w:r>
      <w:r>
        <w:rPr/>
        <w:t>revenue</w:t>
      </w:r>
      <w:r>
        <w:rPr>
          <w:spacing w:val="-24"/>
        </w:rPr>
        <w:t> </w:t>
      </w:r>
      <w:r>
        <w:rPr/>
        <w:t>assessment</w:t>
      </w:r>
      <w:r>
        <w:rPr>
          <w:spacing w:val="-23"/>
        </w:rPr>
        <w:t> </w:t>
      </w:r>
      <w:r>
        <w:rPr/>
        <w:t>process,</w:t>
      </w:r>
      <w:r>
        <w:rPr>
          <w:spacing w:val="-24"/>
        </w:rPr>
        <w:t> </w:t>
      </w:r>
      <w:r>
        <w:rPr/>
        <w:t>the</w:t>
      </w:r>
      <w:r>
        <w:rPr>
          <w:spacing w:val="-23"/>
        </w:rPr>
        <w:t> </w:t>
      </w:r>
      <w:r>
        <w:rPr/>
        <w:t>level</w:t>
      </w:r>
      <w:r>
        <w:rPr>
          <w:spacing w:val="-24"/>
        </w:rPr>
        <w:t> </w:t>
      </w:r>
      <w:r>
        <w:rPr>
          <w:spacing w:val="-6"/>
        </w:rPr>
        <w:t>of </w:t>
      </w:r>
      <w:r>
        <w:rPr/>
        <w:t>compliance</w:t>
      </w:r>
      <w:r>
        <w:rPr>
          <w:spacing w:val="-17"/>
        </w:rPr>
        <w:t> </w:t>
      </w:r>
      <w:r>
        <w:rPr/>
        <w:t>by</w:t>
      </w:r>
      <w:r>
        <w:rPr>
          <w:spacing w:val="-17"/>
        </w:rPr>
        <w:t> </w:t>
      </w:r>
      <w:r>
        <w:rPr/>
        <w:t>taxpayers</w:t>
      </w:r>
      <w:r>
        <w:rPr>
          <w:spacing w:val="-17"/>
        </w:rPr>
        <w:t> </w:t>
      </w:r>
      <w:r>
        <w:rPr/>
        <w:t>and</w:t>
      </w:r>
      <w:r>
        <w:rPr>
          <w:spacing w:val="-16"/>
        </w:rPr>
        <w:t> </w:t>
      </w:r>
      <w:r>
        <w:rPr/>
        <w:t>the</w:t>
      </w:r>
      <w:r>
        <w:rPr>
          <w:spacing w:val="-17"/>
        </w:rPr>
        <w:t> </w:t>
      </w:r>
      <w:r>
        <w:rPr/>
        <w:t>timeliness</w:t>
      </w:r>
      <w:r>
        <w:rPr>
          <w:spacing w:val="-17"/>
        </w:rPr>
        <w:t> </w:t>
      </w:r>
      <w:r>
        <w:rPr/>
        <w:t>of processing</w:t>
      </w:r>
      <w:r>
        <w:rPr>
          <w:spacing w:val="-36"/>
        </w:rPr>
        <w:t> </w:t>
      </w:r>
      <w:r>
        <w:rPr/>
        <w:t>assessments.</w:t>
      </w:r>
      <w:r>
        <w:rPr>
          <w:spacing w:val="-35"/>
        </w:rPr>
        <w:t> </w:t>
      </w:r>
      <w:r>
        <w:rPr/>
        <w:t>These</w:t>
      </w:r>
      <w:r>
        <w:rPr>
          <w:spacing w:val="-36"/>
        </w:rPr>
        <w:t> </w:t>
      </w:r>
      <w:r>
        <w:rPr/>
        <w:t>are</w:t>
      </w:r>
      <w:r>
        <w:rPr>
          <w:spacing w:val="-35"/>
        </w:rPr>
        <w:t> </w:t>
      </w:r>
      <w:r>
        <w:rPr>
          <w:spacing w:val="-3"/>
        </w:rPr>
        <w:t>considered</w:t>
      </w:r>
    </w:p>
    <w:p>
      <w:pPr>
        <w:pStyle w:val="BodyText"/>
      </w:pPr>
      <w:r>
        <w:rPr/>
        <w:br w:type="column"/>
      </w:r>
      <w:r>
        <w:rPr/>
      </w:r>
    </w:p>
    <w:p>
      <w:pPr>
        <w:pStyle w:val="BodyText"/>
      </w:pPr>
    </w:p>
    <w:p>
      <w:pPr>
        <w:pStyle w:val="BodyText"/>
        <w:spacing w:before="5"/>
        <w:rPr>
          <w:sz w:val="27"/>
        </w:rPr>
      </w:pPr>
    </w:p>
    <w:p>
      <w:pPr>
        <w:spacing w:before="1"/>
        <w:ind w:left="754" w:right="0" w:firstLine="0"/>
        <w:jc w:val="left"/>
        <w:rPr>
          <w:b/>
          <w:sz w:val="19"/>
        </w:rPr>
      </w:pPr>
      <w:r>
        <w:rPr>
          <w:b/>
          <w:w w:val="105"/>
          <w:sz w:val="19"/>
        </w:rPr>
        <w:t>2014/15</w:t>
      </w:r>
    </w:p>
    <w:p>
      <w:pPr>
        <w:spacing w:before="88"/>
        <w:ind w:left="709"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7" w:right="0" w:firstLine="0"/>
        <w:jc w:val="left"/>
        <w:rPr>
          <w:b/>
          <w:sz w:val="19"/>
        </w:rPr>
      </w:pPr>
      <w:r>
        <w:rPr>
          <w:b/>
          <w:w w:val="105"/>
          <w:sz w:val="19"/>
        </w:rPr>
        <w:t>2015/16</w:t>
      </w:r>
    </w:p>
    <w:p>
      <w:pPr>
        <w:spacing w:before="88"/>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22" w:right="0" w:firstLine="0"/>
        <w:jc w:val="left"/>
        <w:rPr>
          <w:b/>
          <w:sz w:val="19"/>
        </w:rPr>
      </w:pPr>
      <w:r>
        <w:rPr>
          <w:b/>
          <w:w w:val="105"/>
          <w:sz w:val="19"/>
        </w:rPr>
        <w:t>2016/17</w:t>
      </w:r>
    </w:p>
    <w:p>
      <w:pPr>
        <w:spacing w:before="88"/>
        <w:ind w:left="177"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2" w:right="0" w:firstLine="0"/>
        <w:jc w:val="left"/>
        <w:rPr>
          <w:b/>
          <w:sz w:val="19"/>
        </w:rPr>
      </w:pPr>
      <w:r>
        <w:rPr>
          <w:b/>
          <w:w w:val="105"/>
          <w:sz w:val="19"/>
        </w:rPr>
        <w:t>2017/18</w:t>
      </w:r>
    </w:p>
    <w:p>
      <w:pPr>
        <w:spacing w:before="88"/>
        <w:ind w:left="167" w:right="0" w:firstLine="0"/>
        <w:jc w:val="left"/>
        <w:rPr>
          <w:b/>
          <w:sz w:val="15"/>
        </w:rPr>
      </w:pPr>
      <w:r>
        <w:rPr>
          <w:b/>
          <w:color w:val="FFFFFF"/>
          <w:w w:val="100"/>
          <w:sz w:val="15"/>
          <w:shd w:fill="8E5F8E" w:color="auto" w:val="clear"/>
        </w:rPr>
        <w:t> </w:t>
      </w:r>
      <w:r>
        <w:rPr>
          <w:b/>
          <w:color w:val="FFFFFF"/>
          <w:spacing w:val="16"/>
          <w:sz w:val="15"/>
          <w:shd w:fill="8E5F8E" w:color="auto" w:val="clear"/>
        </w:rPr>
        <w:t> </w:t>
      </w:r>
      <w:r>
        <w:rPr>
          <w:b/>
          <w:color w:val="FFFFFF"/>
          <w:sz w:val="15"/>
          <w:shd w:fill="8E5F8E" w:color="auto" w:val="clear"/>
        </w:rPr>
        <w:t>TARGET</w:t>
      </w:r>
      <w:r>
        <w:rPr>
          <w:b/>
          <w:color w:val="FFFFFF"/>
          <w:spacing w:val="16"/>
          <w:sz w:val="15"/>
          <w:shd w:fill="8E5F8E"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27" w:right="0" w:firstLine="0"/>
        <w:jc w:val="left"/>
        <w:rPr>
          <w:b/>
          <w:sz w:val="19"/>
        </w:rPr>
      </w:pPr>
      <w:r>
        <w:rPr/>
        <w:pict>
          <v:rect style="position:absolute;margin-left:501.483002pt;margin-top:-106.613716pt;width:40.186pt;height:105.531pt;mso-position-horizontal-relative:page;mso-position-vertical-relative:paragraph;z-index:-687448" filled="true" fillcolor="#806b85" stroked="false">
            <v:fill type="solid"/>
            <w10:wrap type="none"/>
          </v:rect>
        </w:pict>
      </w:r>
      <w:r>
        <w:rPr>
          <w:b/>
          <w:w w:val="105"/>
          <w:sz w:val="19"/>
        </w:rPr>
        <w:t>2017/18</w:t>
      </w:r>
    </w:p>
    <w:p>
      <w:pPr>
        <w:spacing w:before="88"/>
        <w:ind w:left="177" w:right="0" w:firstLine="0"/>
        <w:jc w:val="left"/>
        <w:rPr>
          <w:b/>
          <w:sz w:val="15"/>
        </w:rPr>
      </w:pPr>
      <w:r>
        <w:rPr>
          <w:b/>
          <w:color w:val="FFFFFF"/>
          <w:w w:val="100"/>
          <w:sz w:val="15"/>
          <w:shd w:fill="5F4665" w:color="auto" w:val="clear"/>
        </w:rPr>
        <w:t> </w:t>
      </w:r>
      <w:r>
        <w:rPr>
          <w:b/>
          <w:color w:val="FFFFFF"/>
          <w:spacing w:val="14"/>
          <w:sz w:val="15"/>
          <w:shd w:fill="5F4665" w:color="auto" w:val="clear"/>
        </w:rPr>
        <w:t> </w:t>
      </w:r>
      <w:r>
        <w:rPr>
          <w:b/>
          <w:color w:val="FFFFFF"/>
          <w:sz w:val="15"/>
          <w:shd w:fill="5F4665" w:color="auto" w:val="clear"/>
        </w:rPr>
        <w:t>ACTUAL</w:t>
      </w:r>
      <w:r>
        <w:rPr>
          <w:b/>
          <w:color w:val="FFFFFF"/>
          <w:spacing w:val="4"/>
          <w:sz w:val="15"/>
          <w:shd w:fill="5F4665"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429" w:right="0" w:firstLine="0"/>
        <w:jc w:val="left"/>
        <w:rPr>
          <w:b/>
          <w:sz w:val="19"/>
        </w:rPr>
      </w:pPr>
      <w:r>
        <w:rPr/>
        <w:pict>
          <v:rect style="position:absolute;margin-left:562.927979pt;margin-top:-119.824715pt;width:40.186pt;height:118.742pt;mso-position-horizontal-relative:page;mso-position-vertical-relative:paragraph;z-index:24904" filled="true" fillcolor="#e3e5bd" stroked="false">
            <v:fill type="solid"/>
            <w10:wrap type="none"/>
          </v:rect>
        </w:pict>
      </w:r>
      <w:r>
        <w:rPr>
          <w:b/>
          <w:w w:val="105"/>
          <w:sz w:val="19"/>
        </w:rPr>
        <w:t>2014/15</w:t>
      </w:r>
    </w:p>
    <w:p>
      <w:pPr>
        <w:spacing w:before="88"/>
        <w:ind w:left="385"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7" w:right="0" w:firstLine="0"/>
        <w:jc w:val="left"/>
        <w:rPr>
          <w:b/>
          <w:sz w:val="19"/>
        </w:rPr>
      </w:pPr>
      <w:r>
        <w:rPr/>
        <w:pict>
          <v:rect style="position:absolute;margin-left:612.741028pt;margin-top:-122.824715pt;width:40.186pt;height:121.742pt;mso-position-horizontal-relative:page;mso-position-vertical-relative:paragraph;z-index:24928" filled="true" fillcolor="#e3e5bd" stroked="false">
            <v:fill type="solid"/>
            <w10:wrap type="none"/>
          </v:rect>
        </w:pict>
      </w:r>
      <w:r>
        <w:rPr>
          <w:b/>
          <w:w w:val="105"/>
          <w:sz w:val="19"/>
        </w:rPr>
        <w:t>2015/16</w:t>
      </w:r>
    </w:p>
    <w:p>
      <w:pPr>
        <w:spacing w:before="88"/>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7" w:right="0" w:firstLine="0"/>
        <w:jc w:val="left"/>
        <w:rPr>
          <w:b/>
          <w:sz w:val="19"/>
        </w:rPr>
      </w:pPr>
      <w:r>
        <w:rPr/>
        <w:pict>
          <v:group style="position:absolute;margin-left:663.307007pt;margin-top:-119.829117pt;width:40.2pt;height:118.75pt;mso-position-horizontal-relative:page;mso-position-vertical-relative:paragraph;z-index:24856" coordorigin="13266,-2397" coordsize="804,2375">
            <v:shape style="position:absolute;left:13266;top:-2397;width:804;height:2375" coordorigin="13266,-2397" coordsize="804,2375" path="m13266,-2397l13266,-22,14070,-22,14070,-32,13276,-32,13276,-2372,13268,-2381,13271,-2385,13278,-2385,13266,-2397xm14070,-2372l14060,-2372,14060,-32,14070,-32,14070,-2372xm13278,-2385l13276,-2385,13276,-2372,13668,-1981,13682,-1995,13668,-1995,13278,-2385xm14070,-2397l13668,-1995,13682,-1995,14060,-2372,14070,-2372,14070,-2397xm13276,-2385l13271,-2385,13268,-2381,13276,-2372,13276,-2385xe" filled="true" fillcolor="#aebd37" stroked="false">
              <v:path arrowok="t"/>
              <v:fill type="solid"/>
            </v:shape>
            <v:rect style="position:absolute;left:13266;top:-2397;width:804;height:2375" filled="true" fillcolor="#e3e5bd" stroked="false">
              <v:fill type="solid"/>
            </v:rect>
            <w10:wrap type="none"/>
          </v:group>
        </w:pict>
      </w:r>
      <w:r>
        <w:rPr>
          <w:b/>
          <w:w w:val="105"/>
          <w:sz w:val="19"/>
        </w:rPr>
        <w:t>2016/17</w:t>
      </w:r>
    </w:p>
    <w:p>
      <w:pPr>
        <w:spacing w:before="88"/>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7" w:right="0" w:firstLine="0"/>
        <w:jc w:val="left"/>
        <w:rPr>
          <w:b/>
          <w:sz w:val="19"/>
        </w:rPr>
      </w:pPr>
      <w:r>
        <w:rPr/>
        <w:pict>
          <v:rect style="position:absolute;margin-left:713.872009pt;margin-top:-122.824715pt;width:40.186pt;height:121.742pt;mso-position-horizontal-relative:page;mso-position-vertical-relative:paragraph;z-index:24952" filled="true" fillcolor="#a682a6" stroked="false">
            <v:fill type="solid"/>
            <w10:wrap type="none"/>
          </v:rect>
        </w:pict>
      </w:r>
      <w:r>
        <w:rPr>
          <w:b/>
          <w:w w:val="105"/>
          <w:sz w:val="19"/>
        </w:rPr>
        <w:t>2017/18</w:t>
      </w:r>
    </w:p>
    <w:p>
      <w:pPr>
        <w:spacing w:before="88"/>
        <w:ind w:left="172" w:right="0" w:firstLine="0"/>
        <w:jc w:val="left"/>
        <w:rPr>
          <w:b/>
          <w:sz w:val="15"/>
        </w:rPr>
      </w:pPr>
      <w:r>
        <w:rPr>
          <w:b/>
          <w:color w:val="FFFFFF"/>
          <w:w w:val="100"/>
          <w:sz w:val="15"/>
          <w:shd w:fill="8E5F8E" w:color="auto" w:val="clear"/>
        </w:rPr>
        <w:t> </w:t>
      </w:r>
      <w:r>
        <w:rPr>
          <w:b/>
          <w:color w:val="FFFFFF"/>
          <w:spacing w:val="16"/>
          <w:sz w:val="15"/>
          <w:shd w:fill="8E5F8E" w:color="auto" w:val="clear"/>
        </w:rPr>
        <w:t> </w:t>
      </w:r>
      <w:r>
        <w:rPr>
          <w:b/>
          <w:color w:val="FFFFFF"/>
          <w:sz w:val="15"/>
          <w:shd w:fill="8E5F8E" w:color="auto" w:val="clear"/>
        </w:rPr>
        <w:t>TARGET</w:t>
      </w:r>
      <w:r>
        <w:rPr>
          <w:b/>
          <w:color w:val="FFFFFF"/>
          <w:spacing w:val="16"/>
          <w:sz w:val="15"/>
          <w:shd w:fill="8E5F8E" w:color="auto" w:val="clear"/>
        </w:rPr>
        <w:t> </w:t>
      </w:r>
    </w:p>
    <w:p>
      <w:pPr>
        <w:pStyle w:val="BodyText"/>
        <w:rPr>
          <w:b/>
        </w:rPr>
      </w:pPr>
      <w:r>
        <w:rPr/>
        <w:br w:type="column"/>
      </w:r>
      <w:r>
        <w:rPr>
          <w:b/>
        </w:rPr>
      </w:r>
    </w:p>
    <w:p>
      <w:pPr>
        <w:pStyle w:val="BodyText"/>
        <w:rPr>
          <w:b/>
        </w:rPr>
      </w:pPr>
    </w:p>
    <w:p>
      <w:pPr>
        <w:pStyle w:val="BodyText"/>
        <w:spacing w:before="5"/>
        <w:rPr>
          <w:b/>
          <w:sz w:val="27"/>
        </w:rPr>
      </w:pPr>
    </w:p>
    <w:p>
      <w:pPr>
        <w:spacing w:before="1"/>
        <w:ind w:left="217" w:right="0" w:firstLine="0"/>
        <w:jc w:val="left"/>
        <w:rPr>
          <w:b/>
          <w:sz w:val="19"/>
        </w:rPr>
      </w:pPr>
      <w:r>
        <w:rPr/>
        <w:pict>
          <v:rect style="position:absolute;margin-left:764.437988pt;margin-top:-122.824715pt;width:40.186pt;height:121.742pt;mso-position-horizontal-relative:page;mso-position-vertical-relative:paragraph;z-index:24976" filled="true" fillcolor="#806b85" stroked="false">
            <v:fill type="solid"/>
            <w10:wrap type="none"/>
          </v:rect>
        </w:pict>
      </w:r>
      <w:r>
        <w:rPr>
          <w:b/>
          <w:w w:val="105"/>
          <w:sz w:val="19"/>
        </w:rPr>
        <w:t>2017/18</w:t>
      </w:r>
    </w:p>
    <w:p>
      <w:pPr>
        <w:spacing w:before="88"/>
        <w:ind w:left="172" w:right="0" w:firstLine="0"/>
        <w:jc w:val="left"/>
        <w:rPr>
          <w:b/>
          <w:sz w:val="15"/>
        </w:rPr>
      </w:pPr>
      <w:r>
        <w:rPr>
          <w:b/>
          <w:color w:val="FFFFFF"/>
          <w:w w:val="100"/>
          <w:sz w:val="15"/>
          <w:shd w:fill="5F4665" w:color="auto" w:val="clear"/>
        </w:rPr>
        <w:t> </w:t>
      </w:r>
      <w:r>
        <w:rPr>
          <w:b/>
          <w:color w:val="FFFFFF"/>
          <w:spacing w:val="9"/>
          <w:sz w:val="15"/>
          <w:shd w:fill="5F4665" w:color="auto" w:val="clear"/>
        </w:rPr>
        <w:t> </w:t>
      </w:r>
      <w:r>
        <w:rPr>
          <w:b/>
          <w:color w:val="FFFFFF"/>
          <w:sz w:val="15"/>
          <w:shd w:fill="5F4665" w:color="auto" w:val="clear"/>
        </w:rPr>
        <w:t>ACTUAL</w:t>
      </w:r>
      <w:r>
        <w:rPr>
          <w:b/>
          <w:color w:val="FFFFFF"/>
          <w:spacing w:val="9"/>
          <w:sz w:val="15"/>
          <w:shd w:fill="5F4665" w:color="auto" w:val="clear"/>
        </w:rPr>
        <w:t> </w:t>
      </w:r>
    </w:p>
    <w:p>
      <w:pPr>
        <w:spacing w:after="0"/>
        <w:jc w:val="left"/>
        <w:rPr>
          <w:sz w:val="15"/>
        </w:rPr>
        <w:sectPr>
          <w:type w:val="continuous"/>
          <w:pgSz w:w="16840" w:h="11910" w:orient="landscape"/>
          <w:pgMar w:top="1100" w:bottom="280" w:left="0" w:right="0"/>
          <w:cols w:num="11" w:equalWidth="0">
            <w:col w:w="5261" w:space="40"/>
            <w:col w:w="1504" w:space="39"/>
            <w:col w:w="967" w:space="39"/>
            <w:col w:w="972" w:space="39"/>
            <w:col w:w="962" w:space="39"/>
            <w:col w:w="972" w:space="40"/>
            <w:col w:w="1179" w:space="39"/>
            <w:col w:w="967" w:space="40"/>
            <w:col w:w="967" w:space="39"/>
            <w:col w:w="967" w:space="39"/>
            <w:col w:w="1729"/>
          </w:cols>
        </w:sectPr>
      </w:pPr>
    </w:p>
    <w:p>
      <w:pPr>
        <w:pStyle w:val="BodyText"/>
        <w:spacing w:line="249" w:lineRule="auto" w:before="5"/>
        <w:ind w:left="765" w:right="595"/>
      </w:pPr>
      <w:r>
        <w:rPr/>
        <w:t>the</w:t>
      </w:r>
      <w:r>
        <w:rPr>
          <w:spacing w:val="-22"/>
        </w:rPr>
        <w:t> </w:t>
      </w:r>
      <w:r>
        <w:rPr/>
        <w:t>key</w:t>
      </w:r>
      <w:r>
        <w:rPr>
          <w:spacing w:val="-21"/>
        </w:rPr>
        <w:t> </w:t>
      </w:r>
      <w:r>
        <w:rPr/>
        <w:t>elements</w:t>
      </w:r>
      <w:r>
        <w:rPr>
          <w:spacing w:val="-21"/>
        </w:rPr>
        <w:t> </w:t>
      </w:r>
      <w:r>
        <w:rPr/>
        <w:t>in</w:t>
      </w:r>
      <w:r>
        <w:rPr>
          <w:spacing w:val="-21"/>
        </w:rPr>
        <w:t> </w:t>
      </w:r>
      <w:r>
        <w:rPr/>
        <w:t>the</w:t>
      </w:r>
      <w:r>
        <w:rPr>
          <w:spacing w:val="-22"/>
        </w:rPr>
        <w:t> </w:t>
      </w:r>
      <w:r>
        <w:rPr/>
        <w:t>effective</w:t>
      </w:r>
      <w:r>
        <w:rPr>
          <w:spacing w:val="-21"/>
        </w:rPr>
        <w:t> </w:t>
      </w:r>
      <w:r>
        <w:rPr/>
        <w:t>collection</w:t>
      </w:r>
      <w:r>
        <w:rPr>
          <w:spacing w:val="-21"/>
        </w:rPr>
        <w:t> </w:t>
      </w:r>
      <w:r>
        <w:rPr>
          <w:spacing w:val="-9"/>
        </w:rPr>
        <w:t>of </w:t>
      </w:r>
      <w:r>
        <w:rPr/>
        <w:t>revenue.</w:t>
      </w:r>
    </w:p>
    <w:p>
      <w:pPr>
        <w:pStyle w:val="BodyText"/>
        <w:spacing w:before="1"/>
        <w:rPr>
          <w:sz w:val="23"/>
        </w:rPr>
      </w:pPr>
    </w:p>
    <w:p>
      <w:pPr>
        <w:pStyle w:val="BodyText"/>
        <w:spacing w:line="249" w:lineRule="auto"/>
        <w:ind w:left="765" w:right="-6"/>
      </w:pPr>
      <w:r>
        <w:rPr/>
        <w:t>The key effectiveness indicator for grant, subsidy and rebate payments provides an indicator of the accuracy</w:t>
      </w:r>
      <w:r>
        <w:rPr>
          <w:spacing w:val="-22"/>
        </w:rPr>
        <w:t> </w:t>
      </w:r>
      <w:r>
        <w:rPr/>
        <w:t>of</w:t>
      </w:r>
      <w:r>
        <w:rPr>
          <w:spacing w:val="-21"/>
        </w:rPr>
        <w:t> </w:t>
      </w:r>
      <w:r>
        <w:rPr/>
        <w:t>these</w:t>
      </w:r>
      <w:r>
        <w:rPr>
          <w:spacing w:val="-22"/>
        </w:rPr>
        <w:t> </w:t>
      </w:r>
      <w:r>
        <w:rPr/>
        <w:t>government</w:t>
      </w:r>
      <w:r>
        <w:rPr>
          <w:spacing w:val="-21"/>
        </w:rPr>
        <w:t> </w:t>
      </w:r>
      <w:r>
        <w:rPr/>
        <w:t>payments</w:t>
      </w:r>
      <w:r>
        <w:rPr>
          <w:spacing w:val="-21"/>
        </w:rPr>
        <w:t> </w:t>
      </w:r>
      <w:r>
        <w:rPr/>
        <w:t>to</w:t>
      </w:r>
      <w:r>
        <w:rPr>
          <w:spacing w:val="-22"/>
        </w:rPr>
        <w:t> </w:t>
      </w:r>
      <w:r>
        <w:rPr>
          <w:spacing w:val="-3"/>
        </w:rPr>
        <w:t>eligible </w:t>
      </w:r>
      <w:r>
        <w:rPr/>
        <w:t>applicants.</w:t>
      </w:r>
    </w:p>
    <w:p>
      <w:pPr>
        <w:pStyle w:val="BodyText"/>
        <w:spacing w:before="2"/>
        <w:rPr>
          <w:sz w:val="15"/>
        </w:rPr>
      </w:pPr>
      <w:r>
        <w:rPr/>
        <w:br w:type="column"/>
      </w:r>
      <w:r>
        <w:rPr>
          <w:sz w:val="15"/>
        </w:rPr>
      </w:r>
    </w:p>
    <w:p>
      <w:pPr>
        <w:pStyle w:val="ListParagraph"/>
        <w:numPr>
          <w:ilvl w:val="0"/>
          <w:numId w:val="28"/>
        </w:numPr>
        <w:tabs>
          <w:tab w:pos="583" w:val="left" w:leader="none"/>
        </w:tabs>
        <w:spacing w:line="278" w:lineRule="auto" w:before="0" w:after="0"/>
        <w:ind w:left="599" w:right="0" w:hanging="208"/>
        <w:jc w:val="left"/>
        <w:rPr>
          <w:sz w:val="15"/>
        </w:rPr>
      </w:pPr>
      <w:r>
        <w:rPr>
          <w:sz w:val="15"/>
        </w:rPr>
        <w:t>This</w:t>
      </w:r>
      <w:r>
        <w:rPr>
          <w:spacing w:val="-19"/>
          <w:sz w:val="15"/>
        </w:rPr>
        <w:t> </w:t>
      </w:r>
      <w:r>
        <w:rPr>
          <w:sz w:val="15"/>
        </w:rPr>
        <w:t>key</w:t>
      </w:r>
      <w:r>
        <w:rPr>
          <w:spacing w:val="-19"/>
          <w:sz w:val="15"/>
        </w:rPr>
        <w:t> </w:t>
      </w:r>
      <w:r>
        <w:rPr>
          <w:sz w:val="15"/>
        </w:rPr>
        <w:t>performance</w:t>
      </w:r>
      <w:r>
        <w:rPr>
          <w:spacing w:val="-19"/>
          <w:sz w:val="15"/>
        </w:rPr>
        <w:t> </w:t>
      </w:r>
      <w:r>
        <w:rPr>
          <w:sz w:val="15"/>
        </w:rPr>
        <w:t>indicator</w:t>
      </w:r>
      <w:r>
        <w:rPr>
          <w:spacing w:val="-19"/>
          <w:sz w:val="15"/>
        </w:rPr>
        <w:t> </w:t>
      </w:r>
      <w:r>
        <w:rPr>
          <w:sz w:val="15"/>
        </w:rPr>
        <w:t>(KPI)</w:t>
      </w:r>
      <w:r>
        <w:rPr>
          <w:spacing w:val="-18"/>
          <w:sz w:val="15"/>
        </w:rPr>
        <w:t> </w:t>
      </w:r>
      <w:r>
        <w:rPr>
          <w:sz w:val="15"/>
        </w:rPr>
        <w:t>is</w:t>
      </w:r>
      <w:r>
        <w:rPr>
          <w:spacing w:val="-19"/>
          <w:sz w:val="15"/>
        </w:rPr>
        <w:t> </w:t>
      </w:r>
      <w:r>
        <w:rPr>
          <w:sz w:val="15"/>
        </w:rPr>
        <w:t>calculated</w:t>
      </w:r>
      <w:r>
        <w:rPr>
          <w:spacing w:val="-19"/>
          <w:sz w:val="15"/>
        </w:rPr>
        <w:t> </w:t>
      </w:r>
      <w:r>
        <w:rPr>
          <w:sz w:val="15"/>
        </w:rPr>
        <w:t>as</w:t>
      </w:r>
      <w:r>
        <w:rPr>
          <w:spacing w:val="-19"/>
          <w:sz w:val="15"/>
        </w:rPr>
        <w:t> </w:t>
      </w:r>
      <w:r>
        <w:rPr>
          <w:sz w:val="15"/>
        </w:rPr>
        <w:t>an</w:t>
      </w:r>
      <w:r>
        <w:rPr>
          <w:spacing w:val="-19"/>
          <w:sz w:val="15"/>
        </w:rPr>
        <w:t> </w:t>
      </w:r>
      <w:r>
        <w:rPr>
          <w:sz w:val="15"/>
        </w:rPr>
        <w:t>average</w:t>
      </w:r>
      <w:r>
        <w:rPr>
          <w:spacing w:val="-18"/>
          <w:sz w:val="15"/>
        </w:rPr>
        <w:t> </w:t>
      </w:r>
      <w:r>
        <w:rPr>
          <w:sz w:val="15"/>
        </w:rPr>
        <w:t>for</w:t>
      </w:r>
      <w:r>
        <w:rPr>
          <w:spacing w:val="-19"/>
          <w:sz w:val="15"/>
        </w:rPr>
        <w:t> </w:t>
      </w:r>
      <w:r>
        <w:rPr>
          <w:spacing w:val="-3"/>
          <w:sz w:val="15"/>
        </w:rPr>
        <w:t>land </w:t>
      </w:r>
      <w:r>
        <w:rPr>
          <w:sz w:val="15"/>
        </w:rPr>
        <w:t>tax,</w:t>
      </w:r>
      <w:r>
        <w:rPr>
          <w:spacing w:val="-11"/>
          <w:sz w:val="15"/>
        </w:rPr>
        <w:t> </w:t>
      </w:r>
      <w:r>
        <w:rPr>
          <w:sz w:val="15"/>
        </w:rPr>
        <w:t>payroll</w:t>
      </w:r>
      <w:r>
        <w:rPr>
          <w:spacing w:val="-11"/>
          <w:sz w:val="15"/>
        </w:rPr>
        <w:t> </w:t>
      </w:r>
      <w:r>
        <w:rPr>
          <w:sz w:val="15"/>
        </w:rPr>
        <w:t>tax</w:t>
      </w:r>
      <w:r>
        <w:rPr>
          <w:spacing w:val="-11"/>
          <w:sz w:val="15"/>
        </w:rPr>
        <w:t> </w:t>
      </w:r>
      <w:r>
        <w:rPr>
          <w:sz w:val="15"/>
        </w:rPr>
        <w:t>and</w:t>
      </w:r>
      <w:r>
        <w:rPr>
          <w:spacing w:val="-10"/>
          <w:sz w:val="15"/>
        </w:rPr>
        <w:t> </w:t>
      </w:r>
      <w:r>
        <w:rPr>
          <w:sz w:val="15"/>
        </w:rPr>
        <w:t>duties</w:t>
      </w:r>
      <w:r>
        <w:rPr>
          <w:spacing w:val="-11"/>
          <w:sz w:val="15"/>
        </w:rPr>
        <w:t> </w:t>
      </w:r>
      <w:r>
        <w:rPr>
          <w:sz w:val="15"/>
        </w:rPr>
        <w:t>assessments.</w:t>
      </w:r>
      <w:r>
        <w:rPr>
          <w:spacing w:val="-11"/>
          <w:sz w:val="15"/>
        </w:rPr>
        <w:t> </w:t>
      </w:r>
      <w:r>
        <w:rPr>
          <w:sz w:val="15"/>
        </w:rPr>
        <w:t>The</w:t>
      </w:r>
      <w:r>
        <w:rPr>
          <w:spacing w:val="-10"/>
          <w:sz w:val="15"/>
        </w:rPr>
        <w:t> </w:t>
      </w:r>
      <w:r>
        <w:rPr>
          <w:sz w:val="15"/>
        </w:rPr>
        <w:t>amounts</w:t>
      </w:r>
      <w:r>
        <w:rPr>
          <w:spacing w:val="-11"/>
          <w:sz w:val="15"/>
        </w:rPr>
        <w:t> </w:t>
      </w:r>
      <w:r>
        <w:rPr>
          <w:sz w:val="15"/>
        </w:rPr>
        <w:t>are</w:t>
      </w:r>
      <w:r>
        <w:rPr>
          <w:spacing w:val="-11"/>
          <w:sz w:val="15"/>
        </w:rPr>
        <w:t> </w:t>
      </w:r>
      <w:r>
        <w:rPr>
          <w:sz w:val="15"/>
        </w:rPr>
        <w:t>calculated</w:t>
      </w:r>
    </w:p>
    <w:p>
      <w:pPr>
        <w:spacing w:line="278" w:lineRule="auto" w:before="0"/>
        <w:ind w:left="599" w:right="493" w:firstLine="0"/>
        <w:jc w:val="both"/>
        <w:rPr>
          <w:sz w:val="15"/>
        </w:rPr>
      </w:pPr>
      <w:r>
        <w:rPr>
          <w:sz w:val="15"/>
        </w:rPr>
        <w:t>by</w:t>
      </w:r>
      <w:r>
        <w:rPr>
          <w:spacing w:val="-9"/>
          <w:sz w:val="15"/>
        </w:rPr>
        <w:t> </w:t>
      </w:r>
      <w:r>
        <w:rPr>
          <w:sz w:val="15"/>
        </w:rPr>
        <w:t>subtracting</w:t>
      </w:r>
      <w:r>
        <w:rPr>
          <w:spacing w:val="-9"/>
          <w:sz w:val="15"/>
        </w:rPr>
        <w:t> </w:t>
      </w:r>
      <w:r>
        <w:rPr>
          <w:sz w:val="15"/>
        </w:rPr>
        <w:t>the</w:t>
      </w:r>
      <w:r>
        <w:rPr>
          <w:spacing w:val="-9"/>
          <w:sz w:val="15"/>
        </w:rPr>
        <w:t> </w:t>
      </w:r>
      <w:r>
        <w:rPr>
          <w:sz w:val="15"/>
        </w:rPr>
        <w:t>number</w:t>
      </w:r>
      <w:r>
        <w:rPr>
          <w:spacing w:val="-9"/>
          <w:sz w:val="15"/>
        </w:rPr>
        <w:t> </w:t>
      </w:r>
      <w:r>
        <w:rPr>
          <w:sz w:val="15"/>
        </w:rPr>
        <w:t>of</w:t>
      </w:r>
      <w:r>
        <w:rPr>
          <w:spacing w:val="-9"/>
          <w:sz w:val="15"/>
        </w:rPr>
        <w:t> </w:t>
      </w:r>
      <w:r>
        <w:rPr>
          <w:sz w:val="15"/>
        </w:rPr>
        <w:t>penalties</w:t>
      </w:r>
      <w:r>
        <w:rPr>
          <w:spacing w:val="-9"/>
          <w:sz w:val="15"/>
        </w:rPr>
        <w:t> </w:t>
      </w:r>
      <w:r>
        <w:rPr>
          <w:sz w:val="15"/>
        </w:rPr>
        <w:t>from</w:t>
      </w:r>
      <w:r>
        <w:rPr>
          <w:spacing w:val="-9"/>
          <w:sz w:val="15"/>
        </w:rPr>
        <w:t> </w:t>
      </w:r>
      <w:r>
        <w:rPr>
          <w:sz w:val="15"/>
        </w:rPr>
        <w:t>the</w:t>
      </w:r>
      <w:r>
        <w:rPr>
          <w:spacing w:val="-8"/>
          <w:sz w:val="15"/>
        </w:rPr>
        <w:t> </w:t>
      </w:r>
      <w:r>
        <w:rPr>
          <w:sz w:val="15"/>
        </w:rPr>
        <w:t>total</w:t>
      </w:r>
      <w:r>
        <w:rPr>
          <w:spacing w:val="-9"/>
          <w:sz w:val="15"/>
        </w:rPr>
        <w:t> </w:t>
      </w:r>
      <w:r>
        <w:rPr>
          <w:sz w:val="15"/>
        </w:rPr>
        <w:t>number</w:t>
      </w:r>
      <w:r>
        <w:rPr>
          <w:spacing w:val="-9"/>
          <w:sz w:val="15"/>
        </w:rPr>
        <w:t> </w:t>
      </w:r>
      <w:r>
        <w:rPr>
          <w:sz w:val="15"/>
        </w:rPr>
        <w:t>of assessments</w:t>
      </w:r>
      <w:r>
        <w:rPr>
          <w:spacing w:val="-18"/>
          <w:sz w:val="15"/>
        </w:rPr>
        <w:t> </w:t>
      </w:r>
      <w:r>
        <w:rPr>
          <w:sz w:val="15"/>
        </w:rPr>
        <w:t>(or</w:t>
      </w:r>
      <w:r>
        <w:rPr>
          <w:spacing w:val="-17"/>
          <w:sz w:val="15"/>
        </w:rPr>
        <w:t> </w:t>
      </w:r>
      <w:r>
        <w:rPr>
          <w:sz w:val="15"/>
        </w:rPr>
        <w:t>returns</w:t>
      </w:r>
      <w:r>
        <w:rPr>
          <w:spacing w:val="-18"/>
          <w:sz w:val="15"/>
        </w:rPr>
        <w:t> </w:t>
      </w:r>
      <w:r>
        <w:rPr>
          <w:sz w:val="15"/>
        </w:rPr>
        <w:t>for</w:t>
      </w:r>
      <w:r>
        <w:rPr>
          <w:spacing w:val="-17"/>
          <w:sz w:val="15"/>
        </w:rPr>
        <w:t> </w:t>
      </w:r>
      <w:r>
        <w:rPr>
          <w:sz w:val="15"/>
        </w:rPr>
        <w:t>return-based</w:t>
      </w:r>
      <w:r>
        <w:rPr>
          <w:spacing w:val="-17"/>
          <w:sz w:val="15"/>
        </w:rPr>
        <w:t> </w:t>
      </w:r>
      <w:r>
        <w:rPr>
          <w:sz w:val="15"/>
        </w:rPr>
        <w:t>taxes)</w:t>
      </w:r>
      <w:r>
        <w:rPr>
          <w:spacing w:val="-18"/>
          <w:sz w:val="15"/>
        </w:rPr>
        <w:t> </w:t>
      </w:r>
      <w:r>
        <w:rPr>
          <w:sz w:val="15"/>
        </w:rPr>
        <w:t>and</w:t>
      </w:r>
      <w:r>
        <w:rPr>
          <w:spacing w:val="-17"/>
          <w:sz w:val="15"/>
        </w:rPr>
        <w:t> </w:t>
      </w:r>
      <w:r>
        <w:rPr>
          <w:sz w:val="15"/>
        </w:rPr>
        <w:t>dividing</w:t>
      </w:r>
      <w:r>
        <w:rPr>
          <w:spacing w:val="-17"/>
          <w:sz w:val="15"/>
        </w:rPr>
        <w:t> </w:t>
      </w:r>
      <w:r>
        <w:rPr>
          <w:spacing w:val="-5"/>
          <w:sz w:val="15"/>
        </w:rPr>
        <w:t>the </w:t>
      </w:r>
      <w:r>
        <w:rPr>
          <w:sz w:val="15"/>
        </w:rPr>
        <w:t>result by the total number of</w:t>
      </w:r>
      <w:r>
        <w:rPr>
          <w:spacing w:val="-13"/>
          <w:sz w:val="15"/>
        </w:rPr>
        <w:t> </w:t>
      </w:r>
      <w:r>
        <w:rPr>
          <w:sz w:val="15"/>
        </w:rPr>
        <w:t>assessments.</w:t>
      </w:r>
    </w:p>
    <w:p>
      <w:pPr>
        <w:pStyle w:val="BodyText"/>
        <w:spacing w:before="2"/>
        <w:rPr>
          <w:sz w:val="15"/>
        </w:rPr>
      </w:pPr>
      <w:r>
        <w:rPr/>
        <w:br w:type="column"/>
      </w:r>
      <w:r>
        <w:rPr>
          <w:sz w:val="15"/>
        </w:rPr>
      </w:r>
    </w:p>
    <w:p>
      <w:pPr>
        <w:pStyle w:val="ListParagraph"/>
        <w:numPr>
          <w:ilvl w:val="0"/>
          <w:numId w:val="28"/>
        </w:numPr>
        <w:tabs>
          <w:tab w:pos="586" w:val="left" w:leader="none"/>
        </w:tabs>
        <w:spacing w:line="278" w:lineRule="auto" w:before="0" w:after="0"/>
        <w:ind w:left="594" w:right="836" w:hanging="209"/>
        <w:jc w:val="left"/>
        <w:rPr>
          <w:sz w:val="15"/>
        </w:rPr>
      </w:pPr>
      <w:r>
        <w:rPr>
          <w:sz w:val="15"/>
        </w:rPr>
        <w:t>The</w:t>
      </w:r>
      <w:r>
        <w:rPr>
          <w:spacing w:val="-12"/>
          <w:sz w:val="15"/>
        </w:rPr>
        <w:t> </w:t>
      </w:r>
      <w:r>
        <w:rPr>
          <w:sz w:val="15"/>
        </w:rPr>
        <w:t>measurement</w:t>
      </w:r>
      <w:r>
        <w:rPr>
          <w:spacing w:val="-11"/>
          <w:sz w:val="15"/>
        </w:rPr>
        <w:t> </w:t>
      </w:r>
      <w:r>
        <w:rPr>
          <w:sz w:val="15"/>
        </w:rPr>
        <w:t>of</w:t>
      </w:r>
      <w:r>
        <w:rPr>
          <w:spacing w:val="-12"/>
          <w:sz w:val="15"/>
        </w:rPr>
        <w:t> </w:t>
      </w:r>
      <w:r>
        <w:rPr>
          <w:sz w:val="15"/>
        </w:rPr>
        <w:t>the</w:t>
      </w:r>
      <w:r>
        <w:rPr>
          <w:spacing w:val="-11"/>
          <w:sz w:val="15"/>
        </w:rPr>
        <w:t> </w:t>
      </w:r>
      <w:r>
        <w:rPr>
          <w:sz w:val="15"/>
        </w:rPr>
        <w:t>extent</w:t>
      </w:r>
      <w:r>
        <w:rPr>
          <w:spacing w:val="-12"/>
          <w:sz w:val="15"/>
        </w:rPr>
        <w:t> </w:t>
      </w:r>
      <w:r>
        <w:rPr>
          <w:sz w:val="15"/>
        </w:rPr>
        <w:t>to</w:t>
      </w:r>
      <w:r>
        <w:rPr>
          <w:spacing w:val="-11"/>
          <w:sz w:val="15"/>
        </w:rPr>
        <w:t> </w:t>
      </w:r>
      <w:r>
        <w:rPr>
          <w:sz w:val="15"/>
        </w:rPr>
        <w:t>which</w:t>
      </w:r>
      <w:r>
        <w:rPr>
          <w:spacing w:val="-11"/>
          <w:sz w:val="15"/>
        </w:rPr>
        <w:t> </w:t>
      </w:r>
      <w:r>
        <w:rPr>
          <w:sz w:val="15"/>
        </w:rPr>
        <w:t>grants,</w:t>
      </w:r>
      <w:r>
        <w:rPr>
          <w:spacing w:val="-12"/>
          <w:sz w:val="15"/>
        </w:rPr>
        <w:t> </w:t>
      </w:r>
      <w:r>
        <w:rPr>
          <w:sz w:val="15"/>
        </w:rPr>
        <w:t>subsidies</w:t>
      </w:r>
      <w:r>
        <w:rPr>
          <w:spacing w:val="-11"/>
          <w:sz w:val="15"/>
        </w:rPr>
        <w:t> </w:t>
      </w:r>
      <w:r>
        <w:rPr>
          <w:sz w:val="15"/>
        </w:rPr>
        <w:t>and</w:t>
      </w:r>
      <w:r>
        <w:rPr>
          <w:spacing w:val="-12"/>
          <w:sz w:val="15"/>
        </w:rPr>
        <w:t> </w:t>
      </w:r>
      <w:r>
        <w:rPr>
          <w:spacing w:val="-4"/>
          <w:sz w:val="15"/>
        </w:rPr>
        <w:t>rebates </w:t>
      </w:r>
      <w:r>
        <w:rPr>
          <w:sz w:val="15"/>
        </w:rPr>
        <w:t>are</w:t>
      </w:r>
      <w:r>
        <w:rPr>
          <w:spacing w:val="-7"/>
          <w:sz w:val="15"/>
        </w:rPr>
        <w:t> </w:t>
      </w:r>
      <w:r>
        <w:rPr>
          <w:sz w:val="15"/>
        </w:rPr>
        <w:t>paid</w:t>
      </w:r>
      <w:r>
        <w:rPr>
          <w:spacing w:val="-6"/>
          <w:sz w:val="15"/>
        </w:rPr>
        <w:t> </w:t>
      </w:r>
      <w:r>
        <w:rPr>
          <w:sz w:val="15"/>
        </w:rPr>
        <w:t>correctly</w:t>
      </w:r>
      <w:r>
        <w:rPr>
          <w:spacing w:val="-6"/>
          <w:sz w:val="15"/>
        </w:rPr>
        <w:t> </w:t>
      </w:r>
      <w:r>
        <w:rPr>
          <w:sz w:val="15"/>
        </w:rPr>
        <w:t>is</w:t>
      </w:r>
      <w:r>
        <w:rPr>
          <w:spacing w:val="-6"/>
          <w:sz w:val="15"/>
        </w:rPr>
        <w:t> </w:t>
      </w:r>
      <w:r>
        <w:rPr>
          <w:sz w:val="15"/>
        </w:rPr>
        <w:t>calculated</w:t>
      </w:r>
      <w:r>
        <w:rPr>
          <w:spacing w:val="-6"/>
          <w:sz w:val="15"/>
        </w:rPr>
        <w:t> </w:t>
      </w:r>
      <w:r>
        <w:rPr>
          <w:sz w:val="15"/>
        </w:rPr>
        <w:t>by</w:t>
      </w:r>
      <w:r>
        <w:rPr>
          <w:spacing w:val="-6"/>
          <w:sz w:val="15"/>
        </w:rPr>
        <w:t> </w:t>
      </w:r>
      <w:r>
        <w:rPr>
          <w:sz w:val="15"/>
        </w:rPr>
        <w:t>totalling</w:t>
      </w:r>
      <w:r>
        <w:rPr>
          <w:spacing w:val="-6"/>
          <w:sz w:val="15"/>
        </w:rPr>
        <w:t> </w:t>
      </w:r>
      <w:r>
        <w:rPr>
          <w:sz w:val="15"/>
        </w:rPr>
        <w:t>the</w:t>
      </w:r>
      <w:r>
        <w:rPr>
          <w:spacing w:val="-6"/>
          <w:sz w:val="15"/>
        </w:rPr>
        <w:t> </w:t>
      </w:r>
      <w:r>
        <w:rPr>
          <w:sz w:val="15"/>
        </w:rPr>
        <w:t>number</w:t>
      </w:r>
      <w:r>
        <w:rPr>
          <w:spacing w:val="-6"/>
          <w:sz w:val="15"/>
        </w:rPr>
        <w:t> </w:t>
      </w:r>
      <w:r>
        <w:rPr>
          <w:sz w:val="15"/>
        </w:rPr>
        <w:t>of</w:t>
      </w:r>
      <w:r>
        <w:rPr>
          <w:spacing w:val="-6"/>
          <w:sz w:val="15"/>
        </w:rPr>
        <w:t> </w:t>
      </w:r>
      <w:r>
        <w:rPr>
          <w:sz w:val="15"/>
        </w:rPr>
        <w:t>claims</w:t>
      </w:r>
    </w:p>
    <w:p>
      <w:pPr>
        <w:spacing w:line="278" w:lineRule="auto" w:before="0"/>
        <w:ind w:left="593" w:right="1146" w:firstLine="0"/>
        <w:jc w:val="left"/>
        <w:rPr>
          <w:sz w:val="15"/>
        </w:rPr>
      </w:pPr>
      <w:r>
        <w:rPr>
          <w:sz w:val="15"/>
        </w:rPr>
        <w:t>paid,</w:t>
      </w:r>
      <w:r>
        <w:rPr>
          <w:spacing w:val="-10"/>
          <w:sz w:val="15"/>
        </w:rPr>
        <w:t> </w:t>
      </w:r>
      <w:r>
        <w:rPr>
          <w:sz w:val="15"/>
        </w:rPr>
        <w:t>and</w:t>
      </w:r>
      <w:r>
        <w:rPr>
          <w:spacing w:val="-10"/>
          <w:sz w:val="15"/>
        </w:rPr>
        <w:t> </w:t>
      </w:r>
      <w:r>
        <w:rPr>
          <w:sz w:val="15"/>
        </w:rPr>
        <w:t>subtracting</w:t>
      </w:r>
      <w:r>
        <w:rPr>
          <w:spacing w:val="-10"/>
          <w:sz w:val="15"/>
        </w:rPr>
        <w:t> </w:t>
      </w:r>
      <w:r>
        <w:rPr>
          <w:sz w:val="15"/>
        </w:rPr>
        <w:t>the</w:t>
      </w:r>
      <w:r>
        <w:rPr>
          <w:spacing w:val="-10"/>
          <w:sz w:val="15"/>
        </w:rPr>
        <w:t> </w:t>
      </w:r>
      <w:r>
        <w:rPr>
          <w:sz w:val="15"/>
        </w:rPr>
        <w:t>total</w:t>
      </w:r>
      <w:r>
        <w:rPr>
          <w:spacing w:val="-10"/>
          <w:sz w:val="15"/>
        </w:rPr>
        <w:t> </w:t>
      </w:r>
      <w:r>
        <w:rPr>
          <w:sz w:val="15"/>
        </w:rPr>
        <w:t>number</w:t>
      </w:r>
      <w:r>
        <w:rPr>
          <w:spacing w:val="-9"/>
          <w:sz w:val="15"/>
        </w:rPr>
        <w:t> </w:t>
      </w:r>
      <w:r>
        <w:rPr>
          <w:sz w:val="15"/>
        </w:rPr>
        <w:t>of</w:t>
      </w:r>
      <w:r>
        <w:rPr>
          <w:spacing w:val="-10"/>
          <w:sz w:val="15"/>
        </w:rPr>
        <w:t> </w:t>
      </w:r>
      <w:r>
        <w:rPr>
          <w:sz w:val="15"/>
        </w:rPr>
        <w:t>claims</w:t>
      </w:r>
      <w:r>
        <w:rPr>
          <w:spacing w:val="-10"/>
          <w:sz w:val="15"/>
        </w:rPr>
        <w:t> </w:t>
      </w:r>
      <w:r>
        <w:rPr>
          <w:sz w:val="15"/>
        </w:rPr>
        <w:t>paid</w:t>
      </w:r>
      <w:r>
        <w:rPr>
          <w:spacing w:val="-10"/>
          <w:sz w:val="15"/>
        </w:rPr>
        <w:t> </w:t>
      </w:r>
      <w:r>
        <w:rPr>
          <w:sz w:val="15"/>
        </w:rPr>
        <w:t>incorrectly. This is expressed as a percentage of the total number of claims paid.</w:t>
      </w:r>
      <w:r>
        <w:rPr>
          <w:spacing w:val="-19"/>
          <w:sz w:val="15"/>
        </w:rPr>
        <w:t> </w:t>
      </w:r>
      <w:r>
        <w:rPr>
          <w:sz w:val="15"/>
        </w:rPr>
        <w:t>The</w:t>
      </w:r>
      <w:r>
        <w:rPr>
          <w:spacing w:val="-18"/>
          <w:sz w:val="15"/>
        </w:rPr>
        <w:t> </w:t>
      </w:r>
      <w:r>
        <w:rPr>
          <w:sz w:val="15"/>
        </w:rPr>
        <w:t>payments</w:t>
      </w:r>
      <w:r>
        <w:rPr>
          <w:spacing w:val="-18"/>
          <w:sz w:val="15"/>
        </w:rPr>
        <w:t> </w:t>
      </w:r>
      <w:r>
        <w:rPr>
          <w:sz w:val="15"/>
        </w:rPr>
        <w:t>are</w:t>
      </w:r>
      <w:r>
        <w:rPr>
          <w:spacing w:val="-18"/>
          <w:sz w:val="15"/>
        </w:rPr>
        <w:t> </w:t>
      </w:r>
      <w:r>
        <w:rPr>
          <w:sz w:val="15"/>
        </w:rPr>
        <w:t>for</w:t>
      </w:r>
      <w:r>
        <w:rPr>
          <w:spacing w:val="-18"/>
          <w:sz w:val="15"/>
        </w:rPr>
        <w:t> </w:t>
      </w:r>
      <w:r>
        <w:rPr>
          <w:sz w:val="15"/>
        </w:rPr>
        <w:t>First</w:t>
      </w:r>
      <w:r>
        <w:rPr>
          <w:spacing w:val="-18"/>
          <w:sz w:val="15"/>
        </w:rPr>
        <w:t> </w:t>
      </w:r>
      <w:r>
        <w:rPr>
          <w:sz w:val="15"/>
        </w:rPr>
        <w:t>Home</w:t>
      </w:r>
      <w:r>
        <w:rPr>
          <w:spacing w:val="-18"/>
          <w:sz w:val="15"/>
        </w:rPr>
        <w:t> </w:t>
      </w:r>
      <w:r>
        <w:rPr>
          <w:sz w:val="15"/>
        </w:rPr>
        <w:t>Owner</w:t>
      </w:r>
      <w:r>
        <w:rPr>
          <w:spacing w:val="-19"/>
          <w:sz w:val="15"/>
        </w:rPr>
        <w:t> </w:t>
      </w:r>
      <w:r>
        <w:rPr>
          <w:sz w:val="15"/>
        </w:rPr>
        <w:t>Grants,</w:t>
      </w:r>
      <w:r>
        <w:rPr>
          <w:spacing w:val="-18"/>
          <w:sz w:val="15"/>
        </w:rPr>
        <w:t> </w:t>
      </w:r>
      <w:r>
        <w:rPr>
          <w:sz w:val="15"/>
        </w:rPr>
        <w:t>Pensioners</w:t>
      </w:r>
    </w:p>
    <w:p>
      <w:pPr>
        <w:spacing w:line="278" w:lineRule="auto" w:before="0"/>
        <w:ind w:left="593" w:right="926" w:firstLine="0"/>
        <w:jc w:val="left"/>
        <w:rPr>
          <w:sz w:val="15"/>
        </w:rPr>
      </w:pPr>
      <w:r>
        <w:rPr>
          <w:sz w:val="15"/>
        </w:rPr>
        <w:t>and</w:t>
      </w:r>
      <w:r>
        <w:rPr>
          <w:spacing w:val="-17"/>
          <w:sz w:val="15"/>
        </w:rPr>
        <w:t> </w:t>
      </w:r>
      <w:r>
        <w:rPr>
          <w:sz w:val="15"/>
        </w:rPr>
        <w:t>Seniors</w:t>
      </w:r>
      <w:r>
        <w:rPr>
          <w:spacing w:val="-16"/>
          <w:sz w:val="15"/>
        </w:rPr>
        <w:t> </w:t>
      </w:r>
      <w:r>
        <w:rPr>
          <w:sz w:val="15"/>
        </w:rPr>
        <w:t>Rebates,</w:t>
      </w:r>
      <w:r>
        <w:rPr>
          <w:spacing w:val="-16"/>
          <w:sz w:val="15"/>
        </w:rPr>
        <w:t> </w:t>
      </w:r>
      <w:r>
        <w:rPr>
          <w:sz w:val="15"/>
        </w:rPr>
        <w:t>the</w:t>
      </w:r>
      <w:r>
        <w:rPr>
          <w:spacing w:val="-16"/>
          <w:sz w:val="15"/>
        </w:rPr>
        <w:t> </w:t>
      </w:r>
      <w:r>
        <w:rPr>
          <w:sz w:val="15"/>
        </w:rPr>
        <w:t>Life</w:t>
      </w:r>
      <w:r>
        <w:rPr>
          <w:spacing w:val="-16"/>
          <w:sz w:val="15"/>
        </w:rPr>
        <w:t> </w:t>
      </w:r>
      <w:r>
        <w:rPr>
          <w:sz w:val="15"/>
        </w:rPr>
        <w:t>Support</w:t>
      </w:r>
      <w:r>
        <w:rPr>
          <w:spacing w:val="-17"/>
          <w:sz w:val="15"/>
        </w:rPr>
        <w:t> </w:t>
      </w:r>
      <w:r>
        <w:rPr>
          <w:sz w:val="15"/>
        </w:rPr>
        <w:t>Equipment</w:t>
      </w:r>
      <w:r>
        <w:rPr>
          <w:spacing w:val="-16"/>
          <w:sz w:val="15"/>
        </w:rPr>
        <w:t> </w:t>
      </w:r>
      <w:r>
        <w:rPr>
          <w:sz w:val="15"/>
        </w:rPr>
        <w:t>Electricity</w:t>
      </w:r>
      <w:r>
        <w:rPr>
          <w:spacing w:val="-16"/>
          <w:sz w:val="15"/>
        </w:rPr>
        <w:t> </w:t>
      </w:r>
      <w:r>
        <w:rPr>
          <w:spacing w:val="-5"/>
          <w:sz w:val="15"/>
        </w:rPr>
        <w:t>Subsidy, </w:t>
      </w:r>
      <w:r>
        <w:rPr>
          <w:sz w:val="15"/>
        </w:rPr>
        <w:t>the Thermoregulatory Dysfunction Energy Subsidy and the Energy Concession Extension</w:t>
      </w:r>
      <w:r>
        <w:rPr>
          <w:spacing w:val="-3"/>
          <w:sz w:val="15"/>
        </w:rPr>
        <w:t> </w:t>
      </w:r>
      <w:r>
        <w:rPr>
          <w:sz w:val="15"/>
        </w:rPr>
        <w:t>Scheme.</w:t>
      </w:r>
    </w:p>
    <w:p>
      <w:pPr>
        <w:spacing w:after="0" w:line="278" w:lineRule="auto"/>
        <w:jc w:val="left"/>
        <w:rPr>
          <w:sz w:val="15"/>
        </w:rPr>
        <w:sectPr>
          <w:type w:val="continuous"/>
          <w:pgSz w:w="16840" w:h="11910" w:orient="landscape"/>
          <w:pgMar w:top="1100" w:bottom="280" w:left="0" w:right="0"/>
          <w:cols w:num="3" w:equalWidth="0">
            <w:col w:w="5579" w:space="40"/>
            <w:col w:w="5210" w:space="39"/>
            <w:col w:w="5972"/>
          </w:cols>
        </w:sectPr>
      </w:pPr>
    </w:p>
    <w:p>
      <w:pPr>
        <w:tabs>
          <w:tab w:pos="4810" w:val="left" w:leader="none"/>
          <w:tab w:pos="9621" w:val="left" w:leader="none"/>
          <w:tab w:pos="14432" w:val="left" w:leader="none"/>
        </w:tabs>
        <w:spacing w:line="240" w:lineRule="auto"/>
        <w:ind w:left="0" w:right="-58" w:firstLine="0"/>
        <w:rPr>
          <w:sz w:val="20"/>
        </w:rPr>
      </w:pPr>
      <w:bookmarkStart w:name="_bookmark40" w:id="41"/>
      <w:bookmarkEnd w:id="41"/>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1"/>
        </w:rPr>
      </w:pPr>
    </w:p>
    <w:p>
      <w:pPr>
        <w:pStyle w:val="Heading1"/>
        <w:ind w:left="755"/>
      </w:pPr>
      <w:r>
        <w:rPr/>
        <w:pict>
          <v:shape style="position:absolute;margin-left:601.348999pt;margin-top:-67.374214pt;width:120.3pt;height:42.55pt;mso-position-horizontal-relative:page;mso-position-vertical-relative:paragraph;z-index:25504"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2552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555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Efficiency Indicators</w:t>
      </w:r>
    </w:p>
    <w:p>
      <w:pPr>
        <w:pStyle w:val="Heading4"/>
        <w:spacing w:before="110"/>
        <w:ind w:left="755"/>
      </w:pPr>
      <w:r>
        <w:rPr>
          <w:color w:val="6F2770"/>
        </w:rPr>
        <w:t>State Revenue</w:t>
      </w:r>
    </w:p>
    <w:p>
      <w:pPr>
        <w:pStyle w:val="BodyText"/>
        <w:rPr>
          <w:sz w:val="12"/>
        </w:rPr>
      </w:pPr>
    </w:p>
    <w:p>
      <w:pPr>
        <w:spacing w:after="0"/>
        <w:rPr>
          <w:sz w:val="12"/>
        </w:rPr>
        <w:sectPr>
          <w:footerReference w:type="default" r:id="rId207"/>
          <w:pgSz w:w="16840" w:h="11910" w:orient="landscape"/>
          <w:pgMar w:footer="774" w:header="0" w:top="0" w:bottom="960" w:left="0" w:right="0"/>
        </w:sectPr>
      </w:pPr>
    </w:p>
    <w:p>
      <w:pPr>
        <w:pStyle w:val="Heading6"/>
        <w:spacing w:line="249" w:lineRule="auto" w:before="109"/>
        <w:ind w:left="755" w:right="985"/>
        <w:jc w:val="both"/>
      </w:pPr>
      <w:r>
        <w:rPr/>
        <w:t>Service 1: Revenue assessment</w:t>
      </w:r>
      <w:r>
        <w:rPr>
          <w:spacing w:val="-21"/>
        </w:rPr>
        <w:t> </w:t>
      </w:r>
      <w:r>
        <w:rPr/>
        <w:t>and collection, and grants and</w:t>
      </w:r>
      <w:r>
        <w:rPr>
          <w:spacing w:val="-37"/>
        </w:rPr>
        <w:t> </w:t>
      </w:r>
      <w:r>
        <w:rPr/>
        <w:t>subsidies administration</w:t>
      </w:r>
    </w:p>
    <w:p>
      <w:pPr>
        <w:pStyle w:val="BodyText"/>
        <w:spacing w:before="2"/>
        <w:rPr>
          <w:b/>
          <w:sz w:val="23"/>
        </w:rPr>
      </w:pPr>
    </w:p>
    <w:p>
      <w:pPr>
        <w:pStyle w:val="BodyText"/>
        <w:spacing w:line="249" w:lineRule="auto"/>
        <w:ind w:left="755" w:right="-6"/>
      </w:pPr>
      <w:r>
        <w:rPr/>
        <w:t>This service involves the assessment and collection of a range of statutory based revenue, including duties, land tax and payroll tax, and those that are collected on behalf of other agencies (e.g. Perth Parking Licence fees on behalf of Department of </w:t>
      </w:r>
      <w:r>
        <w:rPr>
          <w:spacing w:val="-3"/>
        </w:rPr>
        <w:t>Transport) </w:t>
      </w:r>
      <w:r>
        <w:rPr/>
        <w:t>or other jurisdictions</w:t>
      </w:r>
      <w:r>
        <w:rPr>
          <w:spacing w:val="-18"/>
        </w:rPr>
        <w:t> </w:t>
      </w:r>
      <w:r>
        <w:rPr/>
        <w:t>(for</w:t>
      </w:r>
      <w:r>
        <w:rPr>
          <w:spacing w:val="-17"/>
        </w:rPr>
        <w:t> </w:t>
      </w:r>
      <w:r>
        <w:rPr/>
        <w:t>example,</w:t>
      </w:r>
      <w:r>
        <w:rPr>
          <w:spacing w:val="-17"/>
        </w:rPr>
        <w:t> </w:t>
      </w:r>
      <w:r>
        <w:rPr/>
        <w:t>collection</w:t>
      </w:r>
      <w:r>
        <w:rPr>
          <w:spacing w:val="-18"/>
        </w:rPr>
        <w:t> </w:t>
      </w:r>
      <w:r>
        <w:rPr/>
        <w:t>of</w:t>
      </w:r>
      <w:r>
        <w:rPr>
          <w:spacing w:val="-17"/>
        </w:rPr>
        <w:t> </w:t>
      </w:r>
      <w:r>
        <w:rPr/>
        <w:t>a</w:t>
      </w:r>
      <w:r>
        <w:rPr>
          <w:spacing w:val="-17"/>
        </w:rPr>
        <w:t> </w:t>
      </w:r>
      <w:r>
        <w:rPr/>
        <w:t>range</w:t>
      </w:r>
      <w:r>
        <w:rPr>
          <w:spacing w:val="-18"/>
        </w:rPr>
        <w:t> </w:t>
      </w:r>
      <w:r>
        <w:rPr/>
        <w:t>of taxes</w:t>
      </w:r>
      <w:r>
        <w:rPr>
          <w:spacing w:val="-16"/>
        </w:rPr>
        <w:t> </w:t>
      </w:r>
      <w:r>
        <w:rPr/>
        <w:t>for</w:t>
      </w:r>
      <w:r>
        <w:rPr>
          <w:spacing w:val="-15"/>
        </w:rPr>
        <w:t> </w:t>
      </w:r>
      <w:r>
        <w:rPr/>
        <w:t>the</w:t>
      </w:r>
      <w:r>
        <w:rPr>
          <w:spacing w:val="-16"/>
        </w:rPr>
        <w:t> </w:t>
      </w:r>
      <w:r>
        <w:rPr/>
        <w:t>Commonwealth</w:t>
      </w:r>
      <w:r>
        <w:rPr>
          <w:spacing w:val="-15"/>
        </w:rPr>
        <w:t> </w:t>
      </w:r>
      <w:r>
        <w:rPr/>
        <w:t>in</w:t>
      </w:r>
      <w:r>
        <w:rPr>
          <w:spacing w:val="-16"/>
        </w:rPr>
        <w:t> </w:t>
      </w:r>
      <w:r>
        <w:rPr/>
        <w:t>the</w:t>
      </w:r>
      <w:r>
        <w:rPr>
          <w:spacing w:val="-15"/>
        </w:rPr>
        <w:t> </w:t>
      </w:r>
      <w:r>
        <w:rPr/>
        <w:t>Indian</w:t>
      </w:r>
      <w:r>
        <w:rPr>
          <w:spacing w:val="-16"/>
        </w:rPr>
        <w:t> </w:t>
      </w:r>
      <w:r>
        <w:rPr/>
        <w:t>Ocean Territories).</w:t>
      </w:r>
      <w:r>
        <w:rPr>
          <w:spacing w:val="-25"/>
        </w:rPr>
        <w:t> </w:t>
      </w:r>
      <w:r>
        <w:rPr/>
        <w:t>State</w:t>
      </w:r>
      <w:r>
        <w:rPr>
          <w:spacing w:val="-24"/>
        </w:rPr>
        <w:t> </w:t>
      </w:r>
      <w:r>
        <w:rPr/>
        <w:t>Revenue</w:t>
      </w:r>
      <w:r>
        <w:rPr>
          <w:spacing w:val="-25"/>
        </w:rPr>
        <w:t> </w:t>
      </w:r>
      <w:r>
        <w:rPr/>
        <w:t>is</w:t>
      </w:r>
      <w:r>
        <w:rPr>
          <w:spacing w:val="-24"/>
        </w:rPr>
        <w:t> </w:t>
      </w:r>
      <w:r>
        <w:rPr/>
        <w:t>also</w:t>
      </w:r>
      <w:r>
        <w:rPr>
          <w:spacing w:val="-24"/>
        </w:rPr>
        <w:t> </w:t>
      </w:r>
      <w:r>
        <w:rPr/>
        <w:t>involved</w:t>
      </w:r>
      <w:r>
        <w:rPr>
          <w:spacing w:val="-25"/>
        </w:rPr>
        <w:t> </w:t>
      </w:r>
      <w:r>
        <w:rPr/>
        <w:t>in</w:t>
      </w:r>
      <w:r>
        <w:rPr>
          <w:spacing w:val="-24"/>
        </w:rPr>
        <w:t> </w:t>
      </w:r>
      <w:r>
        <w:rPr/>
        <w:t>the assessment</w:t>
      </w:r>
      <w:r>
        <w:rPr>
          <w:spacing w:val="-17"/>
        </w:rPr>
        <w:t> </w:t>
      </w:r>
      <w:r>
        <w:rPr/>
        <w:t>and</w:t>
      </w:r>
      <w:r>
        <w:rPr>
          <w:spacing w:val="-16"/>
        </w:rPr>
        <w:t> </w:t>
      </w:r>
      <w:r>
        <w:rPr/>
        <w:t>payment</w:t>
      </w:r>
      <w:r>
        <w:rPr>
          <w:spacing w:val="-16"/>
        </w:rPr>
        <w:t> </w:t>
      </w:r>
      <w:r>
        <w:rPr/>
        <w:t>of</w:t>
      </w:r>
      <w:r>
        <w:rPr>
          <w:spacing w:val="-16"/>
        </w:rPr>
        <w:t> </w:t>
      </w:r>
      <w:r>
        <w:rPr/>
        <w:t>a</w:t>
      </w:r>
      <w:r>
        <w:rPr>
          <w:spacing w:val="-17"/>
        </w:rPr>
        <w:t> </w:t>
      </w:r>
      <w:r>
        <w:rPr/>
        <w:t>range</w:t>
      </w:r>
      <w:r>
        <w:rPr>
          <w:spacing w:val="-16"/>
        </w:rPr>
        <w:t> </w:t>
      </w:r>
      <w:r>
        <w:rPr/>
        <w:t>of</w:t>
      </w:r>
      <w:r>
        <w:rPr>
          <w:spacing w:val="-16"/>
        </w:rPr>
        <w:t> </w:t>
      </w:r>
      <w:r>
        <w:rPr/>
        <w:t>grants</w:t>
      </w:r>
      <w:r>
        <w:rPr>
          <w:spacing w:val="-16"/>
        </w:rPr>
        <w:t> </w:t>
      </w:r>
      <w:r>
        <w:rPr>
          <w:spacing w:val="-7"/>
        </w:rPr>
        <w:t>and </w:t>
      </w:r>
      <w:r>
        <w:rPr/>
        <w:t>subsidies</w:t>
      </w:r>
      <w:r>
        <w:rPr>
          <w:spacing w:val="-19"/>
        </w:rPr>
        <w:t> </w:t>
      </w:r>
      <w:r>
        <w:rPr/>
        <w:t>under</w:t>
      </w:r>
      <w:r>
        <w:rPr>
          <w:spacing w:val="-19"/>
        </w:rPr>
        <w:t> </w:t>
      </w:r>
      <w:r>
        <w:rPr/>
        <w:t>both</w:t>
      </w:r>
      <w:r>
        <w:rPr>
          <w:spacing w:val="-19"/>
        </w:rPr>
        <w:t> </w:t>
      </w:r>
      <w:r>
        <w:rPr/>
        <w:t>statutory</w:t>
      </w:r>
      <w:r>
        <w:rPr>
          <w:spacing w:val="-18"/>
        </w:rPr>
        <w:t> </w:t>
      </w:r>
      <w:r>
        <w:rPr/>
        <w:t>and</w:t>
      </w:r>
      <w:r>
        <w:rPr>
          <w:spacing w:val="-19"/>
        </w:rPr>
        <w:t> </w:t>
      </w:r>
      <w:r>
        <w:rPr/>
        <w:t>administrative schemes.</w:t>
      </w:r>
      <w:r>
        <w:rPr>
          <w:spacing w:val="-8"/>
        </w:rPr>
        <w:t> </w:t>
      </w:r>
      <w:r>
        <w:rPr/>
        <w:t>The</w:t>
      </w:r>
      <w:r>
        <w:rPr>
          <w:spacing w:val="-8"/>
        </w:rPr>
        <w:t> </w:t>
      </w:r>
      <w:r>
        <w:rPr/>
        <w:t>major</w:t>
      </w:r>
      <w:r>
        <w:rPr>
          <w:spacing w:val="-8"/>
        </w:rPr>
        <w:t> </w:t>
      </w:r>
      <w:r>
        <w:rPr/>
        <w:t>payments</w:t>
      </w:r>
      <w:r>
        <w:rPr>
          <w:spacing w:val="-8"/>
        </w:rPr>
        <w:t> </w:t>
      </w:r>
      <w:r>
        <w:rPr/>
        <w:t>relate</w:t>
      </w:r>
      <w:r>
        <w:rPr>
          <w:spacing w:val="-8"/>
        </w:rPr>
        <w:t> </w:t>
      </w:r>
      <w:r>
        <w:rPr/>
        <w:t>to</w:t>
      </w:r>
      <w:r>
        <w:rPr>
          <w:spacing w:val="-8"/>
        </w:rPr>
        <w:t> </w:t>
      </w:r>
      <w:r>
        <w:rPr/>
        <w:t>the</w:t>
      </w:r>
    </w:p>
    <w:p>
      <w:pPr>
        <w:pStyle w:val="BodyText"/>
        <w:spacing w:line="249" w:lineRule="auto" w:before="11"/>
        <w:ind w:left="755" w:right="409"/>
      </w:pPr>
      <w:r>
        <w:rPr/>
        <w:t>First</w:t>
      </w:r>
      <w:r>
        <w:rPr>
          <w:spacing w:val="-16"/>
        </w:rPr>
        <w:t> </w:t>
      </w:r>
      <w:r>
        <w:rPr/>
        <w:t>Home</w:t>
      </w:r>
      <w:r>
        <w:rPr>
          <w:spacing w:val="-16"/>
        </w:rPr>
        <w:t> </w:t>
      </w:r>
      <w:r>
        <w:rPr/>
        <w:t>Owner</w:t>
      </w:r>
      <w:r>
        <w:rPr>
          <w:spacing w:val="-16"/>
        </w:rPr>
        <w:t> </w:t>
      </w:r>
      <w:r>
        <w:rPr/>
        <w:t>Grant</w:t>
      </w:r>
      <w:r>
        <w:rPr>
          <w:spacing w:val="-16"/>
        </w:rPr>
        <w:t> </w:t>
      </w:r>
      <w:r>
        <w:rPr/>
        <w:t>Scheme,</w:t>
      </w:r>
      <w:r>
        <w:rPr>
          <w:spacing w:val="-16"/>
        </w:rPr>
        <w:t> </w:t>
      </w:r>
      <w:r>
        <w:rPr/>
        <w:t>as</w:t>
      </w:r>
      <w:r>
        <w:rPr>
          <w:spacing w:val="-16"/>
        </w:rPr>
        <w:t> </w:t>
      </w:r>
      <w:r>
        <w:rPr/>
        <w:t>well</w:t>
      </w:r>
      <w:r>
        <w:rPr>
          <w:spacing w:val="-16"/>
        </w:rPr>
        <w:t> </w:t>
      </w:r>
      <w:r>
        <w:rPr/>
        <w:t>as concessions</w:t>
      </w:r>
      <w:r>
        <w:rPr>
          <w:spacing w:val="-25"/>
        </w:rPr>
        <w:t> </w:t>
      </w:r>
      <w:r>
        <w:rPr/>
        <w:t>on</w:t>
      </w:r>
      <w:r>
        <w:rPr>
          <w:spacing w:val="-25"/>
        </w:rPr>
        <w:t> </w:t>
      </w:r>
      <w:r>
        <w:rPr/>
        <w:t>water</w:t>
      </w:r>
      <w:r>
        <w:rPr>
          <w:spacing w:val="-25"/>
        </w:rPr>
        <w:t> </w:t>
      </w:r>
      <w:r>
        <w:rPr/>
        <w:t>rates,</w:t>
      </w:r>
      <w:r>
        <w:rPr>
          <w:spacing w:val="-25"/>
        </w:rPr>
        <w:t> </w:t>
      </w:r>
      <w:r>
        <w:rPr/>
        <w:t>local</w:t>
      </w:r>
      <w:r>
        <w:rPr>
          <w:spacing w:val="-25"/>
        </w:rPr>
        <w:t> </w:t>
      </w:r>
      <w:r>
        <w:rPr/>
        <w:t>government rates and the Emergency Services Levy for pensioners and</w:t>
      </w:r>
      <w:r>
        <w:rPr>
          <w:spacing w:val="-5"/>
        </w:rPr>
        <w:t> </w:t>
      </w:r>
      <w:r>
        <w:rPr/>
        <w:t>seniors.</w:t>
      </w:r>
    </w:p>
    <w:p>
      <w:pPr>
        <w:pStyle w:val="BodyText"/>
        <w:spacing w:before="3"/>
        <w:rPr>
          <w:sz w:val="23"/>
        </w:rPr>
      </w:pPr>
    </w:p>
    <w:p>
      <w:pPr>
        <w:pStyle w:val="BodyText"/>
        <w:ind w:left="755"/>
      </w:pPr>
      <w:r>
        <w:rPr/>
        <w:t>The indicators represent the costs per unit of</w:t>
      </w:r>
    </w:p>
    <w:p>
      <w:pPr>
        <w:pStyle w:val="Heading6"/>
        <w:spacing w:before="109"/>
        <w:ind w:left="436"/>
        <w:rPr>
          <w:sz w:val="10"/>
        </w:rPr>
      </w:pPr>
      <w:r>
        <w:rPr>
          <w:b w:val="0"/>
        </w:rPr>
        <w:br w:type="column"/>
      </w:r>
      <w:r>
        <w:rPr/>
        <w:t>Cost per $100 of revenue raised ($) </w:t>
      </w:r>
      <w:r>
        <w:rPr>
          <w:position w:val="8"/>
          <w:sz w:val="10"/>
        </w:rPr>
        <w:t>(a)</w:t>
      </w:r>
    </w:p>
    <w:p>
      <w:pPr>
        <w:pStyle w:val="BodyText"/>
        <w:spacing w:before="8"/>
        <w:rPr>
          <w:b/>
          <w:sz w:val="25"/>
        </w:rPr>
      </w:pPr>
    </w:p>
    <w:p>
      <w:pPr>
        <w:tabs>
          <w:tab w:pos="927" w:val="left" w:leader="none"/>
        </w:tabs>
        <w:spacing w:line="194" w:lineRule="auto" w:before="0"/>
        <w:ind w:left="0" w:right="121" w:firstLine="0"/>
        <w:jc w:val="right"/>
        <w:rPr>
          <w:b/>
          <w:sz w:val="10"/>
        </w:rPr>
      </w:pPr>
      <w:r>
        <w:rPr/>
        <w:pict>
          <v:rect style="position:absolute;margin-left:450.664001pt;margin-top:10.863723pt;width:40.186pt;height:141.531pt;mso-position-horizontal-relative:page;mso-position-vertical-relative:paragraph;z-index:-687040" filled="true" fillcolor="#a682a6" stroked="false">
            <v:fill type="solid"/>
            <w10:wrap type="none"/>
          </v:rect>
        </w:pict>
      </w:r>
      <w:r>
        <w:rPr>
          <w:b/>
          <w:color w:val="6F2770"/>
          <w:sz w:val="19"/>
        </w:rPr>
        <w:t>0.85</w:t>
        <w:tab/>
      </w:r>
      <w:r>
        <w:rPr>
          <w:b/>
          <w:color w:val="360F41"/>
          <w:position w:val="-8"/>
          <w:sz w:val="19"/>
        </w:rPr>
        <w:t>0.83</w:t>
      </w:r>
      <w:r>
        <w:rPr>
          <w:b/>
          <w:color w:val="360F41"/>
          <w:spacing w:val="-9"/>
          <w:position w:val="-8"/>
          <w:sz w:val="19"/>
        </w:rPr>
        <w:t> </w:t>
      </w:r>
      <w:r>
        <w:rPr>
          <w:b/>
          <w:color w:val="360F41"/>
          <w:position w:val="-2"/>
          <w:sz w:val="10"/>
        </w:rPr>
        <w:t>(1)</w:t>
      </w:r>
    </w:p>
    <w:p>
      <w:pPr>
        <w:spacing w:line="172" w:lineRule="exact" w:before="0"/>
        <w:ind w:left="2651" w:right="2200" w:firstLine="0"/>
        <w:jc w:val="center"/>
        <w:rPr>
          <w:b/>
          <w:sz w:val="19"/>
        </w:rPr>
      </w:pPr>
      <w:r>
        <w:rPr/>
        <w:pict>
          <v:rect style="position:absolute;margin-left:500.723999pt;margin-top:2.898224pt;width:40.186pt;height:136.148pt;mso-position-horizontal-relative:page;mso-position-vertical-relative:paragraph;z-index:25480" filled="true" fillcolor="#806b85" stroked="false">
            <v:fill type="solid"/>
            <w10:wrap type="none"/>
          </v:rect>
        </w:pict>
      </w:r>
      <w:r>
        <w:rPr>
          <w:b/>
          <w:color w:val="475B29"/>
          <w:sz w:val="19"/>
        </w:rPr>
        <w:t>0.76</w:t>
      </w:r>
    </w:p>
    <w:p>
      <w:pPr>
        <w:tabs>
          <w:tab w:pos="1659" w:val="left" w:leader="none"/>
        </w:tabs>
        <w:spacing w:line="216" w:lineRule="exact" w:before="0"/>
        <w:ind w:left="653" w:right="0" w:firstLine="0"/>
        <w:jc w:val="left"/>
        <w:rPr>
          <w:b/>
          <w:sz w:val="19"/>
        </w:rPr>
      </w:pPr>
      <w:r>
        <w:rPr/>
        <w:pict>
          <v:rect style="position:absolute;margin-left:400.35199pt;margin-top:2.024256pt;width:40.186pt;height:128.434pt;mso-position-horizontal-relative:page;mso-position-vertical-relative:paragraph;z-index:25432" filled="true" fillcolor="#e3e5bd" stroked="false">
            <v:fill type="solid"/>
            <w10:wrap type="none"/>
          </v:rect>
        </w:pict>
      </w:r>
      <w:r>
        <w:rPr>
          <w:b/>
          <w:color w:val="475B29"/>
          <w:position w:val="2"/>
          <w:sz w:val="19"/>
        </w:rPr>
        <w:t>0.71</w:t>
        <w:tab/>
      </w:r>
      <w:r>
        <w:rPr>
          <w:b/>
          <w:color w:val="475B29"/>
          <w:sz w:val="19"/>
        </w:rPr>
        <w:t>0.70</w:t>
      </w:r>
    </w:p>
    <w:p>
      <w:pPr>
        <w:spacing w:line="240" w:lineRule="auto"/>
        <w:ind w:left="431" w:right="0" w:firstLine="0"/>
        <w:rPr>
          <w:sz w:val="20"/>
        </w:rPr>
      </w:pPr>
      <w:r>
        <w:rPr>
          <w:sz w:val="20"/>
        </w:rPr>
        <w:pict>
          <v:group style="width:40.2pt;height:119.75pt;mso-position-horizontal-relative:char;mso-position-vertical-relative:line" coordorigin="0,0" coordsize="804,2395">
            <v:rect style="position:absolute;left:0;top:0;width:804;height:2395" filled="true" fillcolor="#e3e5bd" stroked="false">
              <v:fill type="solid"/>
            </v:rect>
          </v:group>
        </w:pict>
      </w:r>
      <w:r>
        <w:rPr>
          <w:sz w:val="20"/>
        </w:rPr>
      </w:r>
      <w:r>
        <w:rPr>
          <w:rFonts w:ascii="Times New Roman"/>
          <w:spacing w:val="136"/>
          <w:sz w:val="20"/>
        </w:rPr>
        <w:t> </w:t>
      </w:r>
      <w:r>
        <w:rPr>
          <w:spacing w:val="136"/>
          <w:sz w:val="20"/>
        </w:rPr>
        <w:pict>
          <v:group style="width:40.2pt;height:116.35pt;mso-position-horizontal-relative:char;mso-position-vertical-relative:line" coordorigin="0,0" coordsize="804,2327">
            <v:rect style="position:absolute;left:0;top:0;width:804;height:2327" filled="true" fillcolor="#e3e5bd" stroked="false">
              <v:fill type="solid"/>
            </v:rect>
          </v:group>
        </w:pict>
      </w:r>
      <w:r>
        <w:rPr>
          <w:spacing w:val="136"/>
          <w:sz w:val="20"/>
        </w:rPr>
      </w:r>
    </w:p>
    <w:p>
      <w:pPr>
        <w:tabs>
          <w:tab w:pos="1492" w:val="left" w:leader="none"/>
          <w:tab w:pos="2503" w:val="left" w:leader="none"/>
          <w:tab w:pos="3504" w:val="left" w:leader="none"/>
          <w:tab w:pos="4516" w:val="left" w:leader="none"/>
        </w:tabs>
        <w:spacing w:before="0"/>
        <w:ind w:left="486" w:right="0" w:firstLine="0"/>
        <w:jc w:val="left"/>
        <w:rPr>
          <w:b/>
          <w:sz w:val="19"/>
        </w:rPr>
      </w:pPr>
      <w:r>
        <w:rPr>
          <w:b/>
          <w:w w:val="105"/>
          <w:sz w:val="19"/>
        </w:rPr>
        <w:t>2014/15</w:t>
        <w:tab/>
        <w:t>2015/16</w:t>
        <w:tab/>
        <w:t>2016/17</w:t>
        <w:tab/>
        <w:t>2017/18</w:t>
        <w:tab/>
        <w:t>2017/18</w:t>
      </w:r>
    </w:p>
    <w:p>
      <w:pPr>
        <w:tabs>
          <w:tab w:pos="1447" w:val="left" w:leader="none"/>
          <w:tab w:pos="2454" w:val="left" w:leader="none"/>
          <w:tab w:pos="3460" w:val="left" w:leader="none"/>
          <w:tab w:pos="4466" w:val="left" w:leader="none"/>
        </w:tabs>
        <w:spacing w:before="89"/>
        <w:ind w:left="441"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z w:val="15"/>
        </w:rPr>
        <w:tab/>
      </w:r>
      <w:r>
        <w:rPr>
          <w:b/>
          <w:color w:val="FFFFFF"/>
          <w:sz w:val="15"/>
          <w:shd w:fill="727D54" w:color="auto" w:val="clear"/>
        </w:rPr>
        <w:t>ACTUAL</w:t>
      </w:r>
      <w:r>
        <w:rPr>
          <w:b/>
          <w:color w:val="FFFFFF"/>
          <w:sz w:val="15"/>
        </w:rPr>
        <w:tab/>
      </w:r>
      <w:r>
        <w:rPr>
          <w:b/>
          <w:color w:val="FFFFFF"/>
          <w:sz w:val="15"/>
          <w:shd w:fill="727D54" w:color="auto" w:val="clear"/>
        </w:rPr>
        <w:t>ACTUAL</w:t>
      </w:r>
      <w:r>
        <w:rPr>
          <w:b/>
          <w:color w:val="FFFFFF"/>
          <w:sz w:val="15"/>
        </w:rPr>
        <w:tab/>
      </w:r>
      <w:r>
        <w:rPr>
          <w:b/>
          <w:color w:val="FFFFFF"/>
          <w:sz w:val="15"/>
          <w:shd w:fill="8E5F8E" w:color="auto" w:val="clear"/>
        </w:rPr>
        <w:t>TARGET</w:t>
      </w:r>
      <w:r>
        <w:rPr>
          <w:b/>
          <w:color w:val="FFFFFF"/>
          <w:sz w:val="15"/>
        </w:rPr>
        <w:tab/>
      </w:r>
      <w:r>
        <w:rPr>
          <w:b/>
          <w:color w:val="FFFFFF"/>
          <w:sz w:val="15"/>
          <w:shd w:fill="5F4665" w:color="auto" w:val="clear"/>
        </w:rPr>
        <w:t>ACTUAL</w:t>
      </w:r>
      <w:r>
        <w:rPr>
          <w:b/>
          <w:color w:val="FFFFFF"/>
          <w:spacing w:val="4"/>
          <w:sz w:val="15"/>
          <w:shd w:fill="5F4665" w:color="auto" w:val="clear"/>
        </w:rPr>
        <w:t> </w:t>
      </w:r>
    </w:p>
    <w:p>
      <w:pPr>
        <w:pStyle w:val="BodyText"/>
        <w:spacing w:before="6"/>
        <w:rPr>
          <w:b/>
          <w:sz w:val="25"/>
        </w:rPr>
      </w:pPr>
    </w:p>
    <w:p>
      <w:pPr>
        <w:pStyle w:val="ListParagraph"/>
        <w:numPr>
          <w:ilvl w:val="0"/>
          <w:numId w:val="29"/>
        </w:numPr>
        <w:tabs>
          <w:tab w:pos="629" w:val="left" w:leader="none"/>
        </w:tabs>
        <w:spacing w:line="278" w:lineRule="auto" w:before="0" w:after="0"/>
        <w:ind w:left="644" w:right="65" w:hanging="208"/>
        <w:jc w:val="left"/>
        <w:rPr>
          <w:sz w:val="15"/>
        </w:rPr>
      </w:pPr>
      <w:r>
        <w:rPr>
          <w:sz w:val="15"/>
        </w:rPr>
        <w:t>Calculated</w:t>
      </w:r>
      <w:r>
        <w:rPr>
          <w:spacing w:val="-12"/>
          <w:sz w:val="15"/>
        </w:rPr>
        <w:t> </w:t>
      </w:r>
      <w:r>
        <w:rPr>
          <w:sz w:val="15"/>
        </w:rPr>
        <w:t>as</w:t>
      </w:r>
      <w:r>
        <w:rPr>
          <w:spacing w:val="-12"/>
          <w:sz w:val="15"/>
        </w:rPr>
        <w:t> </w:t>
      </w:r>
      <w:r>
        <w:rPr>
          <w:sz w:val="15"/>
        </w:rPr>
        <w:t>the</w:t>
      </w:r>
      <w:r>
        <w:rPr>
          <w:spacing w:val="-12"/>
          <w:sz w:val="15"/>
        </w:rPr>
        <w:t> </w:t>
      </w:r>
      <w:r>
        <w:rPr>
          <w:sz w:val="15"/>
        </w:rPr>
        <w:t>total</w:t>
      </w:r>
      <w:r>
        <w:rPr>
          <w:spacing w:val="-12"/>
          <w:sz w:val="15"/>
        </w:rPr>
        <w:t> </w:t>
      </w:r>
      <w:r>
        <w:rPr>
          <w:sz w:val="15"/>
        </w:rPr>
        <w:t>of</w:t>
      </w:r>
      <w:r>
        <w:rPr>
          <w:spacing w:val="-12"/>
          <w:sz w:val="15"/>
        </w:rPr>
        <w:t> </w:t>
      </w:r>
      <w:r>
        <w:rPr>
          <w:sz w:val="15"/>
        </w:rPr>
        <w:t>State</w:t>
      </w:r>
      <w:r>
        <w:rPr>
          <w:spacing w:val="-12"/>
          <w:sz w:val="15"/>
        </w:rPr>
        <w:t> </w:t>
      </w:r>
      <w:r>
        <w:rPr>
          <w:sz w:val="15"/>
        </w:rPr>
        <w:t>Revenue</w:t>
      </w:r>
      <w:r>
        <w:rPr>
          <w:spacing w:val="-12"/>
          <w:sz w:val="15"/>
        </w:rPr>
        <w:t> </w:t>
      </w:r>
      <w:r>
        <w:rPr>
          <w:sz w:val="15"/>
        </w:rPr>
        <w:t>costs</w:t>
      </w:r>
      <w:r>
        <w:rPr>
          <w:spacing w:val="-12"/>
          <w:sz w:val="15"/>
        </w:rPr>
        <w:t> </w:t>
      </w:r>
      <w:r>
        <w:rPr>
          <w:sz w:val="15"/>
        </w:rPr>
        <w:t>by</w:t>
      </w:r>
      <w:r>
        <w:rPr>
          <w:spacing w:val="-12"/>
          <w:sz w:val="15"/>
        </w:rPr>
        <w:t> </w:t>
      </w:r>
      <w:r>
        <w:rPr>
          <w:sz w:val="15"/>
        </w:rPr>
        <w:t>total</w:t>
      </w:r>
      <w:r>
        <w:rPr>
          <w:spacing w:val="-12"/>
          <w:sz w:val="15"/>
        </w:rPr>
        <w:t> </w:t>
      </w:r>
      <w:r>
        <w:rPr>
          <w:sz w:val="15"/>
        </w:rPr>
        <w:t>revenue</w:t>
      </w:r>
      <w:r>
        <w:rPr>
          <w:spacing w:val="-12"/>
          <w:sz w:val="15"/>
        </w:rPr>
        <w:t> </w:t>
      </w:r>
      <w:r>
        <w:rPr>
          <w:sz w:val="15"/>
        </w:rPr>
        <w:t>raised and</w:t>
      </w:r>
      <w:r>
        <w:rPr>
          <w:spacing w:val="-8"/>
          <w:sz w:val="15"/>
        </w:rPr>
        <w:t> </w:t>
      </w:r>
      <w:r>
        <w:rPr>
          <w:sz w:val="15"/>
        </w:rPr>
        <w:t>multiplied</w:t>
      </w:r>
      <w:r>
        <w:rPr>
          <w:spacing w:val="-8"/>
          <w:sz w:val="15"/>
        </w:rPr>
        <w:t> </w:t>
      </w:r>
      <w:r>
        <w:rPr>
          <w:sz w:val="15"/>
        </w:rPr>
        <w:t>by</w:t>
      </w:r>
      <w:r>
        <w:rPr>
          <w:spacing w:val="-7"/>
          <w:sz w:val="15"/>
        </w:rPr>
        <w:t> </w:t>
      </w:r>
      <w:r>
        <w:rPr>
          <w:sz w:val="15"/>
        </w:rPr>
        <w:t>100.</w:t>
      </w:r>
      <w:r>
        <w:rPr>
          <w:spacing w:val="-8"/>
          <w:sz w:val="15"/>
        </w:rPr>
        <w:t> </w:t>
      </w:r>
      <w:r>
        <w:rPr>
          <w:sz w:val="15"/>
        </w:rPr>
        <w:t>A</w:t>
      </w:r>
      <w:r>
        <w:rPr>
          <w:spacing w:val="-8"/>
          <w:sz w:val="15"/>
        </w:rPr>
        <w:t> </w:t>
      </w:r>
      <w:r>
        <w:rPr>
          <w:sz w:val="15"/>
        </w:rPr>
        <w:t>cost</w:t>
      </w:r>
      <w:r>
        <w:rPr>
          <w:spacing w:val="-7"/>
          <w:sz w:val="15"/>
        </w:rPr>
        <w:t> </w:t>
      </w:r>
      <w:r>
        <w:rPr>
          <w:sz w:val="15"/>
        </w:rPr>
        <w:t>allocation</w:t>
      </w:r>
      <w:r>
        <w:rPr>
          <w:spacing w:val="-8"/>
          <w:sz w:val="15"/>
        </w:rPr>
        <w:t> </w:t>
      </w:r>
      <w:r>
        <w:rPr>
          <w:sz w:val="15"/>
        </w:rPr>
        <w:t>model</w:t>
      </w:r>
      <w:r>
        <w:rPr>
          <w:spacing w:val="-7"/>
          <w:sz w:val="15"/>
        </w:rPr>
        <w:t> </w:t>
      </w:r>
      <w:r>
        <w:rPr>
          <w:sz w:val="15"/>
        </w:rPr>
        <w:t>is</w:t>
      </w:r>
      <w:r>
        <w:rPr>
          <w:spacing w:val="-8"/>
          <w:sz w:val="15"/>
        </w:rPr>
        <w:t> </w:t>
      </w:r>
      <w:r>
        <w:rPr>
          <w:sz w:val="15"/>
        </w:rPr>
        <w:t>used</w:t>
      </w:r>
      <w:r>
        <w:rPr>
          <w:spacing w:val="-8"/>
          <w:sz w:val="15"/>
        </w:rPr>
        <w:t> </w:t>
      </w:r>
      <w:r>
        <w:rPr>
          <w:sz w:val="15"/>
        </w:rPr>
        <w:t>to</w:t>
      </w:r>
      <w:r>
        <w:rPr>
          <w:spacing w:val="-7"/>
          <w:sz w:val="15"/>
        </w:rPr>
        <w:t> </w:t>
      </w:r>
      <w:r>
        <w:rPr>
          <w:sz w:val="15"/>
        </w:rPr>
        <w:t>apportion</w:t>
      </w:r>
      <w:r>
        <w:rPr>
          <w:spacing w:val="-8"/>
          <w:sz w:val="15"/>
        </w:rPr>
        <w:t> </w:t>
      </w:r>
      <w:r>
        <w:rPr>
          <w:spacing w:val="-6"/>
          <w:sz w:val="15"/>
        </w:rPr>
        <w:t>the </w:t>
      </w:r>
      <w:r>
        <w:rPr>
          <w:sz w:val="15"/>
        </w:rPr>
        <w:t>costs</w:t>
      </w:r>
      <w:r>
        <w:rPr>
          <w:spacing w:val="-15"/>
          <w:sz w:val="15"/>
        </w:rPr>
        <w:t> </w:t>
      </w:r>
      <w:r>
        <w:rPr>
          <w:sz w:val="15"/>
        </w:rPr>
        <w:t>of</w:t>
      </w:r>
      <w:r>
        <w:rPr>
          <w:spacing w:val="-14"/>
          <w:sz w:val="15"/>
        </w:rPr>
        <w:t> </w:t>
      </w:r>
      <w:r>
        <w:rPr>
          <w:sz w:val="15"/>
        </w:rPr>
        <w:t>taxation</w:t>
      </w:r>
      <w:r>
        <w:rPr>
          <w:spacing w:val="-14"/>
          <w:sz w:val="15"/>
        </w:rPr>
        <w:t> </w:t>
      </w:r>
      <w:r>
        <w:rPr>
          <w:sz w:val="15"/>
        </w:rPr>
        <w:t>administration</w:t>
      </w:r>
      <w:r>
        <w:rPr>
          <w:spacing w:val="-15"/>
          <w:sz w:val="15"/>
        </w:rPr>
        <w:t> </w:t>
      </w:r>
      <w:r>
        <w:rPr>
          <w:sz w:val="15"/>
        </w:rPr>
        <w:t>based</w:t>
      </w:r>
      <w:r>
        <w:rPr>
          <w:spacing w:val="-14"/>
          <w:sz w:val="15"/>
        </w:rPr>
        <w:t> </w:t>
      </w:r>
      <w:r>
        <w:rPr>
          <w:sz w:val="15"/>
        </w:rPr>
        <w:t>on</w:t>
      </w:r>
      <w:r>
        <w:rPr>
          <w:spacing w:val="-14"/>
          <w:sz w:val="15"/>
        </w:rPr>
        <w:t> </w:t>
      </w:r>
      <w:r>
        <w:rPr>
          <w:sz w:val="15"/>
        </w:rPr>
        <w:t>full-time</w:t>
      </w:r>
      <w:r>
        <w:rPr>
          <w:spacing w:val="-15"/>
          <w:sz w:val="15"/>
        </w:rPr>
        <w:t> </w:t>
      </w:r>
      <w:r>
        <w:rPr>
          <w:sz w:val="15"/>
        </w:rPr>
        <w:t>equivalent</w:t>
      </w:r>
      <w:r>
        <w:rPr>
          <w:spacing w:val="-14"/>
          <w:sz w:val="15"/>
        </w:rPr>
        <w:t> </w:t>
      </w:r>
      <w:r>
        <w:rPr>
          <w:sz w:val="15"/>
        </w:rPr>
        <w:t>numbers and resource</w:t>
      </w:r>
      <w:r>
        <w:rPr>
          <w:spacing w:val="-2"/>
          <w:sz w:val="15"/>
        </w:rPr>
        <w:t> </w:t>
      </w:r>
      <w:r>
        <w:rPr>
          <w:sz w:val="15"/>
        </w:rPr>
        <w:t>usage.</w:t>
      </w:r>
    </w:p>
    <w:p>
      <w:pPr>
        <w:pStyle w:val="Heading6"/>
        <w:spacing w:line="249" w:lineRule="auto" w:before="109"/>
        <w:ind w:left="380" w:right="742"/>
        <w:rPr>
          <w:sz w:val="10"/>
        </w:rPr>
      </w:pPr>
      <w:r>
        <w:rPr>
          <w:b w:val="0"/>
        </w:rPr>
        <w:br w:type="column"/>
      </w:r>
      <w:r>
        <w:rPr/>
        <w:t>Average cost per application/claim processed </w:t>
      </w:r>
      <w:r>
        <w:rPr>
          <w:position w:val="-7"/>
        </w:rPr>
        <w:t>($) </w:t>
      </w:r>
      <w:r>
        <w:rPr>
          <w:sz w:val="10"/>
        </w:rPr>
        <w:t>(b)</w:t>
      </w:r>
    </w:p>
    <w:p>
      <w:pPr>
        <w:pStyle w:val="BodyText"/>
        <w:spacing w:before="4"/>
        <w:rPr>
          <w:b/>
          <w:sz w:val="33"/>
        </w:rPr>
      </w:pPr>
    </w:p>
    <w:p>
      <w:pPr>
        <w:tabs>
          <w:tab w:pos="1550" w:val="left" w:leader="none"/>
        </w:tabs>
        <w:spacing w:line="220" w:lineRule="auto" w:before="0"/>
        <w:ind w:left="544" w:right="0" w:firstLine="0"/>
        <w:jc w:val="left"/>
        <w:rPr>
          <w:b/>
          <w:sz w:val="19"/>
        </w:rPr>
      </w:pPr>
      <w:r>
        <w:rPr/>
        <w:pict>
          <v:rect style="position:absolute;margin-left:561.926025pt;margin-top:11.98841pt;width:40.186pt;height:122.344pt;mso-position-horizontal-relative:page;mso-position-vertical-relative:paragraph;z-index:-687088" filled="true" fillcolor="#e3e5bd" stroked="false">
            <v:fill type="solid"/>
            <w10:wrap type="none"/>
          </v:rect>
        </w:pict>
      </w:r>
      <w:r>
        <w:rPr>
          <w:b/>
          <w:color w:val="475B29"/>
          <w:sz w:val="19"/>
        </w:rPr>
        <w:t>11.85</w:t>
        <w:tab/>
      </w:r>
      <w:r>
        <w:rPr>
          <w:b/>
          <w:color w:val="475B29"/>
          <w:position w:val="-11"/>
          <w:sz w:val="19"/>
        </w:rPr>
        <w:t>11.58</w:t>
      </w:r>
    </w:p>
    <w:p>
      <w:pPr>
        <w:spacing w:line="207" w:lineRule="exact" w:before="0"/>
        <w:ind w:left="0" w:right="856" w:firstLine="0"/>
        <w:jc w:val="right"/>
        <w:rPr>
          <w:b/>
          <w:sz w:val="10"/>
        </w:rPr>
      </w:pPr>
      <w:r>
        <w:rPr/>
        <w:pict>
          <v:rect style="position:absolute;margin-left:612.366028pt;margin-top:1.540263pt;width:40.186pt;height:116.742pt;mso-position-horizontal-relative:page;mso-position-vertical-relative:paragraph;z-index:25360" filled="true" fillcolor="#e3e5bd" stroked="false">
            <v:fill type="solid"/>
            <w10:wrap type="none"/>
          </v:rect>
        </w:pict>
      </w:r>
      <w:r>
        <w:rPr/>
        <w:pict>
          <v:rect style="position:absolute;margin-left:763.185974pt;margin-top:12.540263pt;width:40.186pt;height:105.742pt;mso-position-horizontal-relative:page;mso-position-vertical-relative:paragraph;z-index:25384" filled="true" fillcolor="#806b85" stroked="false">
            <v:fill type="solid"/>
            <w10:wrap type="none"/>
          </v:rect>
        </w:pict>
      </w:r>
      <w:r>
        <w:rPr>
          <w:b/>
          <w:color w:val="360F41"/>
          <w:sz w:val="19"/>
        </w:rPr>
        <w:t>10.84 </w:t>
      </w:r>
      <w:r>
        <w:rPr>
          <w:b/>
          <w:color w:val="360F41"/>
          <w:position w:val="6"/>
          <w:sz w:val="10"/>
        </w:rPr>
        <w:t>(2)</w:t>
      </w:r>
    </w:p>
    <w:p>
      <w:pPr>
        <w:tabs>
          <w:tab w:pos="3563" w:val="left" w:leader="none"/>
        </w:tabs>
        <w:spacing w:before="100"/>
        <w:ind w:left="2556" w:right="0" w:firstLine="0"/>
        <w:jc w:val="left"/>
        <w:rPr>
          <w:b/>
          <w:sz w:val="19"/>
        </w:rPr>
      </w:pPr>
      <w:r>
        <w:rPr>
          <w:b/>
          <w:color w:val="475B29"/>
          <w:position w:val="-4"/>
          <w:sz w:val="19"/>
        </w:rPr>
        <w:t>10.52</w:t>
        <w:tab/>
      </w:r>
      <w:r>
        <w:rPr>
          <w:b/>
          <w:color w:val="6F2770"/>
          <w:sz w:val="19"/>
        </w:rPr>
        <w:t>10.53</w:t>
      </w:r>
    </w:p>
    <w:p>
      <w:pPr>
        <w:spacing w:line="240" w:lineRule="auto"/>
        <w:ind w:left="2397" w:right="0" w:firstLine="0"/>
        <w:rPr>
          <w:sz w:val="20"/>
        </w:rPr>
      </w:pPr>
      <w:r>
        <w:rPr>
          <w:sz w:val="20"/>
        </w:rPr>
        <w:pict>
          <v:group style="width:40.2pt;height:88pt;mso-position-horizontal-relative:char;mso-position-vertical-relative:line" coordorigin="0,0" coordsize="804,1760">
            <v:rect style="position:absolute;left:0;top:0;width:804;height:1760" filled="true" fillcolor="#e3e5bd" stroked="false">
              <v:fill type="solid"/>
            </v:rect>
          </v:group>
        </w:pict>
      </w:r>
      <w:r>
        <w:rPr>
          <w:sz w:val="20"/>
        </w:rPr>
      </w:r>
      <w:r>
        <w:rPr>
          <w:rFonts w:ascii="Times New Roman"/>
          <w:spacing w:val="126"/>
          <w:sz w:val="20"/>
        </w:rPr>
        <w:t> </w:t>
      </w:r>
      <w:r>
        <w:rPr>
          <w:spacing w:val="126"/>
          <w:sz w:val="20"/>
        </w:rPr>
        <w:pict>
          <v:group style="width:40.2pt;height:90.55pt;mso-position-horizontal-relative:char;mso-position-vertical-relative:line" coordorigin="0,0" coordsize="804,1811">
            <v:rect style="position:absolute;left:0;top:0;width:804;height:1811" filled="true" fillcolor="#a682a6" stroked="false">
              <v:fill type="solid"/>
            </v:rect>
          </v:group>
        </w:pict>
      </w:r>
      <w:r>
        <w:rPr>
          <w:spacing w:val="126"/>
          <w:sz w:val="20"/>
        </w:rPr>
      </w:r>
    </w:p>
    <w:p>
      <w:pPr>
        <w:tabs>
          <w:tab w:pos="1436" w:val="left" w:leader="none"/>
          <w:tab w:pos="2442" w:val="left" w:leader="none"/>
          <w:tab w:pos="3448" w:val="left" w:leader="none"/>
          <w:tab w:pos="4454" w:val="left" w:leader="none"/>
        </w:tabs>
        <w:spacing w:before="0"/>
        <w:ind w:left="429" w:right="0" w:firstLine="0"/>
        <w:jc w:val="left"/>
        <w:rPr>
          <w:b/>
          <w:sz w:val="19"/>
        </w:rPr>
      </w:pPr>
      <w:r>
        <w:rPr>
          <w:b/>
          <w:w w:val="105"/>
          <w:sz w:val="19"/>
        </w:rPr>
        <w:t>2014/15</w:t>
        <w:tab/>
        <w:t>2015/16</w:t>
        <w:tab/>
        <w:t>2016/17</w:t>
        <w:tab/>
        <w:t>2017/18</w:t>
        <w:tab/>
        <w:t>2017/18</w:t>
      </w:r>
    </w:p>
    <w:p>
      <w:pPr>
        <w:tabs>
          <w:tab w:pos="1391" w:val="left" w:leader="none"/>
          <w:tab w:pos="2397" w:val="left" w:leader="none"/>
          <w:tab w:pos="3404" w:val="left" w:leader="none"/>
          <w:tab w:pos="4410" w:val="left" w:leader="none"/>
        </w:tabs>
        <w:spacing w:before="89"/>
        <w:ind w:left="385"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z w:val="15"/>
        </w:rPr>
        <w:tab/>
      </w:r>
      <w:r>
        <w:rPr>
          <w:b/>
          <w:color w:val="FFFFFF"/>
          <w:sz w:val="15"/>
          <w:shd w:fill="727D54" w:color="auto" w:val="clear"/>
        </w:rPr>
        <w:t>ACTUAL</w:t>
      </w:r>
      <w:r>
        <w:rPr>
          <w:b/>
          <w:color w:val="FFFFFF"/>
          <w:sz w:val="15"/>
        </w:rPr>
        <w:tab/>
      </w:r>
      <w:r>
        <w:rPr>
          <w:b/>
          <w:color w:val="FFFFFF"/>
          <w:sz w:val="15"/>
          <w:shd w:fill="727D54" w:color="auto" w:val="clear"/>
        </w:rPr>
        <w:t>ACTUAL</w:t>
      </w:r>
      <w:r>
        <w:rPr>
          <w:b/>
          <w:color w:val="FFFFFF"/>
          <w:sz w:val="15"/>
        </w:rPr>
        <w:tab/>
      </w:r>
      <w:r>
        <w:rPr>
          <w:b/>
          <w:color w:val="FFFFFF"/>
          <w:sz w:val="15"/>
          <w:shd w:fill="8E5F8E" w:color="auto" w:val="clear"/>
        </w:rPr>
        <w:t>TARGET</w:t>
      </w:r>
      <w:r>
        <w:rPr>
          <w:b/>
          <w:color w:val="FFFFFF"/>
          <w:sz w:val="15"/>
        </w:rPr>
        <w:tab/>
      </w:r>
      <w:r>
        <w:rPr>
          <w:b/>
          <w:color w:val="FFFFFF"/>
          <w:sz w:val="15"/>
          <w:shd w:fill="5F4665" w:color="auto" w:val="clear"/>
        </w:rPr>
        <w:t>ACTUAL</w:t>
      </w:r>
      <w:r>
        <w:rPr>
          <w:b/>
          <w:color w:val="FFFFFF"/>
          <w:spacing w:val="9"/>
          <w:sz w:val="15"/>
          <w:shd w:fill="5F4665" w:color="auto" w:val="clear"/>
        </w:rPr>
        <w:t> </w:t>
      </w:r>
    </w:p>
    <w:p>
      <w:pPr>
        <w:pStyle w:val="BodyText"/>
        <w:spacing w:before="6"/>
        <w:rPr>
          <w:b/>
          <w:sz w:val="25"/>
        </w:rPr>
      </w:pPr>
    </w:p>
    <w:p>
      <w:pPr>
        <w:pStyle w:val="ListParagraph"/>
        <w:numPr>
          <w:ilvl w:val="0"/>
          <w:numId w:val="29"/>
        </w:numPr>
        <w:tabs>
          <w:tab w:pos="581" w:val="left" w:leader="none"/>
        </w:tabs>
        <w:spacing w:line="278" w:lineRule="auto" w:before="0" w:after="0"/>
        <w:ind w:left="588" w:right="994" w:hanging="208"/>
        <w:jc w:val="left"/>
        <w:rPr>
          <w:sz w:val="15"/>
        </w:rPr>
      </w:pPr>
      <w:r>
        <w:rPr>
          <w:sz w:val="15"/>
        </w:rPr>
        <w:t>Calculated</w:t>
      </w:r>
      <w:r>
        <w:rPr>
          <w:spacing w:val="-11"/>
          <w:sz w:val="15"/>
        </w:rPr>
        <w:t> </w:t>
      </w:r>
      <w:r>
        <w:rPr>
          <w:sz w:val="15"/>
        </w:rPr>
        <w:t>as</w:t>
      </w:r>
      <w:r>
        <w:rPr>
          <w:spacing w:val="-10"/>
          <w:sz w:val="15"/>
        </w:rPr>
        <w:t> </w:t>
      </w:r>
      <w:r>
        <w:rPr>
          <w:sz w:val="15"/>
        </w:rPr>
        <w:t>the</w:t>
      </w:r>
      <w:r>
        <w:rPr>
          <w:spacing w:val="-10"/>
          <w:sz w:val="15"/>
        </w:rPr>
        <w:t> </w:t>
      </w:r>
      <w:r>
        <w:rPr>
          <w:sz w:val="15"/>
        </w:rPr>
        <w:t>total</w:t>
      </w:r>
      <w:r>
        <w:rPr>
          <w:spacing w:val="-10"/>
          <w:sz w:val="15"/>
        </w:rPr>
        <w:t> </w:t>
      </w:r>
      <w:r>
        <w:rPr>
          <w:sz w:val="15"/>
        </w:rPr>
        <w:t>of</w:t>
      </w:r>
      <w:r>
        <w:rPr>
          <w:spacing w:val="-10"/>
          <w:sz w:val="15"/>
        </w:rPr>
        <w:t> </w:t>
      </w:r>
      <w:r>
        <w:rPr>
          <w:sz w:val="15"/>
        </w:rPr>
        <w:t>State</w:t>
      </w:r>
      <w:r>
        <w:rPr>
          <w:spacing w:val="-10"/>
          <w:sz w:val="15"/>
        </w:rPr>
        <w:t> </w:t>
      </w:r>
      <w:r>
        <w:rPr>
          <w:sz w:val="15"/>
        </w:rPr>
        <w:t>Revenue</w:t>
      </w:r>
      <w:r>
        <w:rPr>
          <w:spacing w:val="-10"/>
          <w:sz w:val="15"/>
        </w:rPr>
        <w:t> </w:t>
      </w:r>
      <w:r>
        <w:rPr>
          <w:sz w:val="15"/>
        </w:rPr>
        <w:t>costs</w:t>
      </w:r>
      <w:r>
        <w:rPr>
          <w:spacing w:val="-10"/>
          <w:sz w:val="15"/>
        </w:rPr>
        <w:t> </w:t>
      </w:r>
      <w:r>
        <w:rPr>
          <w:sz w:val="15"/>
        </w:rPr>
        <w:t>by</w:t>
      </w:r>
      <w:r>
        <w:rPr>
          <w:spacing w:val="-10"/>
          <w:sz w:val="15"/>
        </w:rPr>
        <w:t> </w:t>
      </w:r>
      <w:r>
        <w:rPr>
          <w:sz w:val="15"/>
        </w:rPr>
        <w:t>the</w:t>
      </w:r>
      <w:r>
        <w:rPr>
          <w:spacing w:val="-10"/>
          <w:sz w:val="15"/>
        </w:rPr>
        <w:t> </w:t>
      </w:r>
      <w:r>
        <w:rPr>
          <w:sz w:val="15"/>
        </w:rPr>
        <w:t>number</w:t>
      </w:r>
      <w:r>
        <w:rPr>
          <w:spacing w:val="-10"/>
          <w:sz w:val="15"/>
        </w:rPr>
        <w:t> </w:t>
      </w:r>
      <w:r>
        <w:rPr>
          <w:sz w:val="15"/>
        </w:rPr>
        <w:t>of</w:t>
      </w:r>
      <w:r>
        <w:rPr>
          <w:spacing w:val="-10"/>
          <w:sz w:val="15"/>
        </w:rPr>
        <w:t> </w:t>
      </w:r>
      <w:r>
        <w:rPr>
          <w:spacing w:val="-4"/>
          <w:sz w:val="15"/>
        </w:rPr>
        <w:t>first </w:t>
      </w:r>
      <w:r>
        <w:rPr>
          <w:sz w:val="15"/>
        </w:rPr>
        <w:t>home owner grant applications, pensioner concession claims and minor</w:t>
      </w:r>
      <w:r>
        <w:rPr>
          <w:spacing w:val="-13"/>
          <w:sz w:val="15"/>
        </w:rPr>
        <w:t> </w:t>
      </w:r>
      <w:r>
        <w:rPr>
          <w:sz w:val="15"/>
        </w:rPr>
        <w:t>energy</w:t>
      </w:r>
      <w:r>
        <w:rPr>
          <w:spacing w:val="-13"/>
          <w:sz w:val="15"/>
        </w:rPr>
        <w:t> </w:t>
      </w:r>
      <w:r>
        <w:rPr>
          <w:sz w:val="15"/>
        </w:rPr>
        <w:t>subsidy</w:t>
      </w:r>
      <w:r>
        <w:rPr>
          <w:spacing w:val="-13"/>
          <w:sz w:val="15"/>
        </w:rPr>
        <w:t> </w:t>
      </w:r>
      <w:r>
        <w:rPr>
          <w:sz w:val="15"/>
        </w:rPr>
        <w:t>scheme</w:t>
      </w:r>
      <w:r>
        <w:rPr>
          <w:spacing w:val="-12"/>
          <w:sz w:val="15"/>
        </w:rPr>
        <w:t> </w:t>
      </w:r>
      <w:r>
        <w:rPr>
          <w:sz w:val="15"/>
        </w:rPr>
        <w:t>applications.</w:t>
      </w:r>
      <w:r>
        <w:rPr>
          <w:spacing w:val="-13"/>
          <w:sz w:val="15"/>
        </w:rPr>
        <w:t> </w:t>
      </w:r>
      <w:r>
        <w:rPr>
          <w:sz w:val="15"/>
        </w:rPr>
        <w:t>A</w:t>
      </w:r>
      <w:r>
        <w:rPr>
          <w:spacing w:val="-13"/>
          <w:sz w:val="15"/>
        </w:rPr>
        <w:t> </w:t>
      </w:r>
      <w:r>
        <w:rPr>
          <w:sz w:val="15"/>
        </w:rPr>
        <w:t>cost</w:t>
      </w:r>
      <w:r>
        <w:rPr>
          <w:spacing w:val="-12"/>
          <w:sz w:val="15"/>
        </w:rPr>
        <w:t> </w:t>
      </w:r>
      <w:r>
        <w:rPr>
          <w:sz w:val="15"/>
        </w:rPr>
        <w:t>allocation</w:t>
      </w:r>
      <w:r>
        <w:rPr>
          <w:spacing w:val="-13"/>
          <w:sz w:val="15"/>
        </w:rPr>
        <w:t> </w:t>
      </w:r>
      <w:r>
        <w:rPr>
          <w:sz w:val="15"/>
        </w:rPr>
        <w:t>model</w:t>
      </w:r>
    </w:p>
    <w:p>
      <w:pPr>
        <w:spacing w:line="278" w:lineRule="auto" w:before="0"/>
        <w:ind w:left="588" w:right="742" w:firstLine="0"/>
        <w:jc w:val="left"/>
        <w:rPr>
          <w:sz w:val="15"/>
        </w:rPr>
      </w:pPr>
      <w:r>
        <w:rPr>
          <w:sz w:val="15"/>
        </w:rPr>
        <w:t>is used to apportion the costs of processing of applications and </w:t>
      </w:r>
      <w:r>
        <w:rPr>
          <w:spacing w:val="-3"/>
          <w:sz w:val="15"/>
        </w:rPr>
        <w:t>claims </w:t>
      </w:r>
      <w:r>
        <w:rPr>
          <w:sz w:val="15"/>
        </w:rPr>
        <w:t>based on full-time equivalent numbers and resource usage.</w:t>
      </w:r>
    </w:p>
    <w:p>
      <w:pPr>
        <w:spacing w:after="0" w:line="278" w:lineRule="auto"/>
        <w:jc w:val="left"/>
        <w:rPr>
          <w:sz w:val="15"/>
        </w:rPr>
        <w:sectPr>
          <w:type w:val="continuous"/>
          <w:pgSz w:w="16840" w:h="11910" w:orient="landscape"/>
          <w:pgMar w:top="1100" w:bottom="280" w:left="0" w:right="0"/>
          <w:cols w:num="3" w:equalWidth="0">
            <w:col w:w="5523" w:space="40"/>
            <w:col w:w="5261" w:space="39"/>
            <w:col w:w="5977"/>
          </w:cols>
        </w:sectPr>
      </w:pPr>
    </w:p>
    <w:p>
      <w:pPr>
        <w:pStyle w:val="BodyText"/>
        <w:spacing w:line="249" w:lineRule="auto" w:before="11"/>
        <w:ind w:left="755"/>
        <w:jc w:val="both"/>
      </w:pPr>
      <w:r>
        <w:rPr/>
        <w:t>taxation</w:t>
      </w:r>
      <w:r>
        <w:rPr>
          <w:spacing w:val="-22"/>
        </w:rPr>
        <w:t> </w:t>
      </w:r>
      <w:r>
        <w:rPr/>
        <w:t>raised</w:t>
      </w:r>
      <w:r>
        <w:rPr>
          <w:spacing w:val="-22"/>
        </w:rPr>
        <w:t> </w:t>
      </w:r>
      <w:r>
        <w:rPr/>
        <w:t>and</w:t>
      </w:r>
      <w:r>
        <w:rPr>
          <w:spacing w:val="-22"/>
        </w:rPr>
        <w:t> </w:t>
      </w:r>
      <w:r>
        <w:rPr/>
        <w:t>grant/subsidy</w:t>
      </w:r>
      <w:r>
        <w:rPr>
          <w:spacing w:val="-21"/>
        </w:rPr>
        <w:t> </w:t>
      </w:r>
      <w:r>
        <w:rPr/>
        <w:t>processed</w:t>
      </w:r>
      <w:r>
        <w:rPr>
          <w:spacing w:val="-22"/>
        </w:rPr>
        <w:t> </w:t>
      </w:r>
      <w:r>
        <w:rPr>
          <w:spacing w:val="-10"/>
        </w:rPr>
        <w:t>in </w:t>
      </w:r>
      <w:r>
        <w:rPr/>
        <w:t>a</w:t>
      </w:r>
      <w:r>
        <w:rPr>
          <w:spacing w:val="-16"/>
        </w:rPr>
        <w:t> </w:t>
      </w:r>
      <w:r>
        <w:rPr/>
        <w:t>given</w:t>
      </w:r>
      <w:r>
        <w:rPr>
          <w:spacing w:val="-15"/>
        </w:rPr>
        <w:t> </w:t>
      </w:r>
      <w:r>
        <w:rPr>
          <w:spacing w:val="-5"/>
        </w:rPr>
        <w:t>year.</w:t>
      </w:r>
      <w:r>
        <w:rPr>
          <w:spacing w:val="-15"/>
        </w:rPr>
        <w:t> </w:t>
      </w:r>
      <w:r>
        <w:rPr>
          <w:spacing w:val="-5"/>
        </w:rPr>
        <w:t>Taken</w:t>
      </w:r>
      <w:r>
        <w:rPr>
          <w:spacing w:val="-15"/>
        </w:rPr>
        <w:t> </w:t>
      </w:r>
      <w:r>
        <w:rPr/>
        <w:t>into</w:t>
      </w:r>
      <w:r>
        <w:rPr>
          <w:spacing w:val="-16"/>
        </w:rPr>
        <w:t> </w:t>
      </w:r>
      <w:r>
        <w:rPr/>
        <w:t>account</w:t>
      </w:r>
      <w:r>
        <w:rPr>
          <w:spacing w:val="-15"/>
        </w:rPr>
        <w:t> </w:t>
      </w:r>
      <w:r>
        <w:rPr/>
        <w:t>with</w:t>
      </w:r>
      <w:r>
        <w:rPr>
          <w:spacing w:val="-15"/>
        </w:rPr>
        <w:t> </w:t>
      </w:r>
      <w:r>
        <w:rPr/>
        <w:t>the</w:t>
      </w:r>
      <w:r>
        <w:rPr>
          <w:spacing w:val="-15"/>
        </w:rPr>
        <w:t> </w:t>
      </w:r>
      <w:r>
        <w:rPr>
          <w:spacing w:val="-4"/>
        </w:rPr>
        <w:t>notes </w:t>
      </w:r>
      <w:r>
        <w:rPr/>
        <w:t>explaining</w:t>
      </w:r>
      <w:r>
        <w:rPr>
          <w:spacing w:val="-30"/>
        </w:rPr>
        <w:t> </w:t>
      </w:r>
      <w:r>
        <w:rPr/>
        <w:t>any</w:t>
      </w:r>
      <w:r>
        <w:rPr>
          <w:spacing w:val="-30"/>
        </w:rPr>
        <w:t> </w:t>
      </w:r>
      <w:r>
        <w:rPr/>
        <w:t>variances</w:t>
      </w:r>
      <w:r>
        <w:rPr>
          <w:spacing w:val="-29"/>
        </w:rPr>
        <w:t> </w:t>
      </w:r>
      <w:r>
        <w:rPr/>
        <w:t>it</w:t>
      </w:r>
      <w:r>
        <w:rPr>
          <w:spacing w:val="-30"/>
        </w:rPr>
        <w:t> </w:t>
      </w:r>
      <w:r>
        <w:rPr/>
        <w:t>provides</w:t>
      </w:r>
      <w:r>
        <w:rPr>
          <w:spacing w:val="-29"/>
        </w:rPr>
        <w:t> </w:t>
      </w:r>
      <w:r>
        <w:rPr/>
        <w:t>a</w:t>
      </w:r>
      <w:r>
        <w:rPr>
          <w:spacing w:val="-30"/>
        </w:rPr>
        <w:t> </w:t>
      </w:r>
      <w:r>
        <w:rPr/>
        <w:t>measure of</w:t>
      </w:r>
      <w:r>
        <w:rPr>
          <w:spacing w:val="-1"/>
        </w:rPr>
        <w:t> </w:t>
      </w:r>
      <w:r>
        <w:rPr>
          <w:spacing w:val="-3"/>
        </w:rPr>
        <w:t>efficiency.</w:t>
      </w:r>
    </w:p>
    <w:p>
      <w:pPr>
        <w:pStyle w:val="ListParagraph"/>
        <w:numPr>
          <w:ilvl w:val="1"/>
          <w:numId w:val="29"/>
        </w:numPr>
        <w:tabs>
          <w:tab w:pos="1036" w:val="left" w:leader="none"/>
        </w:tabs>
        <w:spacing w:line="249" w:lineRule="auto" w:before="17" w:after="0"/>
        <w:ind w:left="1061" w:right="1018" w:hanging="306"/>
        <w:jc w:val="left"/>
        <w:rPr>
          <w:sz w:val="22"/>
        </w:rPr>
      </w:pPr>
      <w:r>
        <w:rPr>
          <w:w w:val="93"/>
          <w:sz w:val="22"/>
        </w:rPr>
        <w:br w:type="column"/>
      </w:r>
      <w:r>
        <w:rPr>
          <w:sz w:val="22"/>
        </w:rPr>
        <w:t>The</w:t>
      </w:r>
      <w:r>
        <w:rPr>
          <w:spacing w:val="-17"/>
          <w:sz w:val="22"/>
        </w:rPr>
        <w:t> </w:t>
      </w:r>
      <w:r>
        <w:rPr>
          <w:sz w:val="22"/>
        </w:rPr>
        <w:t>increase</w:t>
      </w:r>
      <w:r>
        <w:rPr>
          <w:spacing w:val="-16"/>
          <w:sz w:val="22"/>
        </w:rPr>
        <w:t> </w:t>
      </w:r>
      <w:r>
        <w:rPr>
          <w:sz w:val="22"/>
        </w:rPr>
        <w:t>in</w:t>
      </w:r>
      <w:r>
        <w:rPr>
          <w:spacing w:val="-16"/>
          <w:sz w:val="22"/>
        </w:rPr>
        <w:t> </w:t>
      </w:r>
      <w:r>
        <w:rPr>
          <w:sz w:val="22"/>
        </w:rPr>
        <w:t>the</w:t>
      </w:r>
      <w:r>
        <w:rPr>
          <w:spacing w:val="-16"/>
          <w:sz w:val="22"/>
        </w:rPr>
        <w:t> </w:t>
      </w:r>
      <w:r>
        <w:rPr>
          <w:sz w:val="22"/>
        </w:rPr>
        <w:t>2017-18</w:t>
      </w:r>
      <w:r>
        <w:rPr>
          <w:spacing w:val="-17"/>
          <w:sz w:val="22"/>
        </w:rPr>
        <w:t> </w:t>
      </w:r>
      <w:r>
        <w:rPr>
          <w:sz w:val="22"/>
        </w:rPr>
        <w:t>actual</w:t>
      </w:r>
      <w:r>
        <w:rPr>
          <w:spacing w:val="-16"/>
          <w:sz w:val="22"/>
        </w:rPr>
        <w:t> </w:t>
      </w:r>
      <w:r>
        <w:rPr>
          <w:sz w:val="22"/>
        </w:rPr>
        <w:t>cost</w:t>
      </w:r>
      <w:r>
        <w:rPr>
          <w:spacing w:val="-16"/>
          <w:sz w:val="22"/>
        </w:rPr>
        <w:t> </w:t>
      </w:r>
      <w:r>
        <w:rPr>
          <w:sz w:val="22"/>
        </w:rPr>
        <w:t>compared</w:t>
      </w:r>
      <w:r>
        <w:rPr>
          <w:spacing w:val="-16"/>
          <w:sz w:val="22"/>
        </w:rPr>
        <w:t> </w:t>
      </w:r>
      <w:r>
        <w:rPr>
          <w:sz w:val="22"/>
        </w:rPr>
        <w:t>with</w:t>
      </w:r>
      <w:r>
        <w:rPr>
          <w:spacing w:val="-16"/>
          <w:sz w:val="22"/>
        </w:rPr>
        <w:t> </w:t>
      </w:r>
      <w:r>
        <w:rPr>
          <w:sz w:val="22"/>
        </w:rPr>
        <w:t>2016-17</w:t>
      </w:r>
      <w:r>
        <w:rPr>
          <w:spacing w:val="-17"/>
          <w:sz w:val="22"/>
        </w:rPr>
        <w:t> </w:t>
      </w:r>
      <w:r>
        <w:rPr>
          <w:sz w:val="22"/>
        </w:rPr>
        <w:t>actual</w:t>
      </w:r>
      <w:r>
        <w:rPr>
          <w:spacing w:val="-16"/>
          <w:sz w:val="22"/>
        </w:rPr>
        <w:t> </w:t>
      </w:r>
      <w:r>
        <w:rPr>
          <w:sz w:val="22"/>
        </w:rPr>
        <w:t>reflects</w:t>
      </w:r>
      <w:r>
        <w:rPr>
          <w:spacing w:val="-16"/>
          <w:sz w:val="22"/>
        </w:rPr>
        <w:t> </w:t>
      </w:r>
      <w:r>
        <w:rPr>
          <w:sz w:val="22"/>
        </w:rPr>
        <w:t>reduced</w:t>
      </w:r>
      <w:r>
        <w:rPr>
          <w:spacing w:val="-16"/>
          <w:sz w:val="22"/>
        </w:rPr>
        <w:t> </w:t>
      </w:r>
      <w:r>
        <w:rPr>
          <w:sz w:val="22"/>
        </w:rPr>
        <w:t>revenue</w:t>
      </w:r>
      <w:r>
        <w:rPr>
          <w:spacing w:val="-16"/>
          <w:sz w:val="22"/>
        </w:rPr>
        <w:t> </w:t>
      </w:r>
      <w:r>
        <w:rPr>
          <w:spacing w:val="-6"/>
          <w:sz w:val="22"/>
        </w:rPr>
        <w:t>due </w:t>
      </w:r>
      <w:r>
        <w:rPr>
          <w:sz w:val="22"/>
        </w:rPr>
        <w:t>to</w:t>
      </w:r>
      <w:r>
        <w:rPr>
          <w:spacing w:val="-5"/>
          <w:sz w:val="22"/>
        </w:rPr>
        <w:t> </w:t>
      </w:r>
      <w:r>
        <w:rPr>
          <w:sz w:val="22"/>
        </w:rPr>
        <w:t>a</w:t>
      </w:r>
      <w:r>
        <w:rPr>
          <w:spacing w:val="-5"/>
          <w:sz w:val="22"/>
        </w:rPr>
        <w:t> </w:t>
      </w:r>
      <w:r>
        <w:rPr>
          <w:sz w:val="22"/>
        </w:rPr>
        <w:t>decline</w:t>
      </w:r>
      <w:r>
        <w:rPr>
          <w:spacing w:val="-5"/>
          <w:sz w:val="22"/>
        </w:rPr>
        <w:t> </w:t>
      </w:r>
      <w:r>
        <w:rPr>
          <w:sz w:val="22"/>
        </w:rPr>
        <w:t>in</w:t>
      </w:r>
      <w:r>
        <w:rPr>
          <w:spacing w:val="-4"/>
          <w:sz w:val="22"/>
        </w:rPr>
        <w:t> </w:t>
      </w:r>
      <w:r>
        <w:rPr>
          <w:sz w:val="22"/>
        </w:rPr>
        <w:t>economic</w:t>
      </w:r>
      <w:r>
        <w:rPr>
          <w:spacing w:val="-5"/>
          <w:sz w:val="22"/>
        </w:rPr>
        <w:t> </w:t>
      </w:r>
      <w:r>
        <w:rPr>
          <w:sz w:val="22"/>
        </w:rPr>
        <w:t>activity</w:t>
      </w:r>
      <w:r>
        <w:rPr>
          <w:spacing w:val="-5"/>
          <w:sz w:val="22"/>
        </w:rPr>
        <w:t> </w:t>
      </w:r>
      <w:r>
        <w:rPr>
          <w:sz w:val="22"/>
        </w:rPr>
        <w:t>and</w:t>
      </w:r>
      <w:r>
        <w:rPr>
          <w:spacing w:val="-5"/>
          <w:sz w:val="22"/>
        </w:rPr>
        <w:t> </w:t>
      </w:r>
      <w:r>
        <w:rPr>
          <w:sz w:val="22"/>
        </w:rPr>
        <w:t>slight</w:t>
      </w:r>
      <w:r>
        <w:rPr>
          <w:spacing w:val="-4"/>
          <w:sz w:val="22"/>
        </w:rPr>
        <w:t> </w:t>
      </w:r>
      <w:r>
        <w:rPr>
          <w:sz w:val="22"/>
        </w:rPr>
        <w:t>increases</w:t>
      </w:r>
      <w:r>
        <w:rPr>
          <w:spacing w:val="-5"/>
          <w:sz w:val="22"/>
        </w:rPr>
        <w:t> </w:t>
      </w:r>
      <w:r>
        <w:rPr>
          <w:sz w:val="22"/>
        </w:rPr>
        <w:t>in</w:t>
      </w:r>
      <w:r>
        <w:rPr>
          <w:spacing w:val="-5"/>
          <w:sz w:val="22"/>
        </w:rPr>
        <w:t> </w:t>
      </w:r>
      <w:r>
        <w:rPr>
          <w:sz w:val="22"/>
        </w:rPr>
        <w:t>administrative</w:t>
      </w:r>
      <w:r>
        <w:rPr>
          <w:spacing w:val="-4"/>
          <w:sz w:val="22"/>
        </w:rPr>
        <w:t> </w:t>
      </w:r>
      <w:r>
        <w:rPr>
          <w:sz w:val="22"/>
        </w:rPr>
        <w:t>costs.</w:t>
      </w:r>
    </w:p>
    <w:p>
      <w:pPr>
        <w:pStyle w:val="ListParagraph"/>
        <w:numPr>
          <w:ilvl w:val="1"/>
          <w:numId w:val="29"/>
        </w:numPr>
        <w:tabs>
          <w:tab w:pos="1036" w:val="left" w:leader="none"/>
        </w:tabs>
        <w:spacing w:line="249" w:lineRule="auto" w:before="1" w:after="0"/>
        <w:ind w:left="1061" w:right="1247" w:hanging="306"/>
        <w:jc w:val="left"/>
        <w:rPr>
          <w:sz w:val="22"/>
        </w:rPr>
      </w:pPr>
      <w:r>
        <w:rPr>
          <w:sz w:val="22"/>
        </w:rPr>
        <w:t>The</w:t>
      </w:r>
      <w:r>
        <w:rPr>
          <w:spacing w:val="-16"/>
          <w:sz w:val="22"/>
        </w:rPr>
        <w:t> </w:t>
      </w:r>
      <w:r>
        <w:rPr>
          <w:sz w:val="22"/>
        </w:rPr>
        <w:t>3%</w:t>
      </w:r>
      <w:r>
        <w:rPr>
          <w:spacing w:val="-16"/>
          <w:sz w:val="22"/>
        </w:rPr>
        <w:t> </w:t>
      </w:r>
      <w:r>
        <w:rPr>
          <w:sz w:val="22"/>
        </w:rPr>
        <w:t>increase</w:t>
      </w:r>
      <w:r>
        <w:rPr>
          <w:spacing w:val="-15"/>
          <w:sz w:val="22"/>
        </w:rPr>
        <w:t> </w:t>
      </w:r>
      <w:r>
        <w:rPr>
          <w:sz w:val="22"/>
        </w:rPr>
        <w:t>in</w:t>
      </w:r>
      <w:r>
        <w:rPr>
          <w:spacing w:val="-16"/>
          <w:sz w:val="22"/>
        </w:rPr>
        <w:t> </w:t>
      </w:r>
      <w:r>
        <w:rPr>
          <w:sz w:val="22"/>
        </w:rPr>
        <w:t>the</w:t>
      </w:r>
      <w:r>
        <w:rPr>
          <w:spacing w:val="-15"/>
          <w:sz w:val="22"/>
        </w:rPr>
        <w:t> </w:t>
      </w:r>
      <w:r>
        <w:rPr>
          <w:sz w:val="22"/>
        </w:rPr>
        <w:t>average</w:t>
      </w:r>
      <w:r>
        <w:rPr>
          <w:spacing w:val="-16"/>
          <w:sz w:val="22"/>
        </w:rPr>
        <w:t> </w:t>
      </w:r>
      <w:r>
        <w:rPr>
          <w:sz w:val="22"/>
        </w:rPr>
        <w:t>cost</w:t>
      </w:r>
      <w:r>
        <w:rPr>
          <w:spacing w:val="-15"/>
          <w:sz w:val="22"/>
        </w:rPr>
        <w:t> </w:t>
      </w:r>
      <w:r>
        <w:rPr>
          <w:sz w:val="22"/>
        </w:rPr>
        <w:t>per</w:t>
      </w:r>
      <w:r>
        <w:rPr>
          <w:spacing w:val="-16"/>
          <w:sz w:val="22"/>
        </w:rPr>
        <w:t> </w:t>
      </w:r>
      <w:r>
        <w:rPr>
          <w:sz w:val="22"/>
        </w:rPr>
        <w:t>application/claim</w:t>
      </w:r>
      <w:r>
        <w:rPr>
          <w:spacing w:val="-16"/>
          <w:sz w:val="22"/>
        </w:rPr>
        <w:t> </w:t>
      </w:r>
      <w:r>
        <w:rPr>
          <w:sz w:val="22"/>
        </w:rPr>
        <w:t>processed</w:t>
      </w:r>
      <w:r>
        <w:rPr>
          <w:spacing w:val="-15"/>
          <w:sz w:val="22"/>
        </w:rPr>
        <w:t> </w:t>
      </w:r>
      <w:r>
        <w:rPr>
          <w:sz w:val="22"/>
        </w:rPr>
        <w:t>is</w:t>
      </w:r>
      <w:r>
        <w:rPr>
          <w:spacing w:val="-16"/>
          <w:sz w:val="22"/>
        </w:rPr>
        <w:t> </w:t>
      </w:r>
      <w:r>
        <w:rPr>
          <w:sz w:val="22"/>
        </w:rPr>
        <w:t>higher</w:t>
      </w:r>
      <w:r>
        <w:rPr>
          <w:spacing w:val="-15"/>
          <w:sz w:val="22"/>
        </w:rPr>
        <w:t> </w:t>
      </w:r>
      <w:r>
        <w:rPr>
          <w:sz w:val="22"/>
        </w:rPr>
        <w:t>in</w:t>
      </w:r>
      <w:r>
        <w:rPr>
          <w:spacing w:val="-16"/>
          <w:sz w:val="22"/>
        </w:rPr>
        <w:t> </w:t>
      </w:r>
      <w:r>
        <w:rPr>
          <w:sz w:val="22"/>
        </w:rPr>
        <w:t>2017-18</w:t>
      </w:r>
      <w:r>
        <w:rPr>
          <w:spacing w:val="-15"/>
          <w:sz w:val="22"/>
        </w:rPr>
        <w:t> </w:t>
      </w:r>
      <w:r>
        <w:rPr>
          <w:sz w:val="22"/>
        </w:rPr>
        <w:t>due</w:t>
      </w:r>
      <w:r>
        <w:rPr>
          <w:spacing w:val="-16"/>
          <w:sz w:val="22"/>
        </w:rPr>
        <w:t> </w:t>
      </w:r>
      <w:r>
        <w:rPr>
          <w:sz w:val="22"/>
        </w:rPr>
        <w:t>to</w:t>
      </w:r>
      <w:r>
        <w:rPr>
          <w:spacing w:val="-15"/>
          <w:sz w:val="22"/>
        </w:rPr>
        <w:t> </w:t>
      </w:r>
      <w:r>
        <w:rPr>
          <w:spacing w:val="-17"/>
          <w:sz w:val="22"/>
        </w:rPr>
        <w:t>a </w:t>
      </w:r>
      <w:r>
        <w:rPr>
          <w:sz w:val="22"/>
        </w:rPr>
        <w:t>slight increase in costs while the number of applications remain</w:t>
      </w:r>
      <w:r>
        <w:rPr>
          <w:spacing w:val="-42"/>
          <w:sz w:val="22"/>
        </w:rPr>
        <w:t> </w:t>
      </w:r>
      <w:r>
        <w:rPr>
          <w:sz w:val="22"/>
        </w:rPr>
        <w:t>stable.</w:t>
      </w:r>
    </w:p>
    <w:p>
      <w:pPr>
        <w:spacing w:after="0" w:line="249" w:lineRule="auto"/>
        <w:jc w:val="left"/>
        <w:rPr>
          <w:sz w:val="22"/>
        </w:rPr>
        <w:sectPr>
          <w:type w:val="continuous"/>
          <w:pgSz w:w="16840" w:h="11910" w:orient="landscape"/>
          <w:pgMar w:top="1100" w:bottom="280" w:left="0" w:right="0"/>
          <w:cols w:num="2" w:equalWidth="0">
            <w:col w:w="5177" w:space="67"/>
            <w:col w:w="11596"/>
          </w:cols>
        </w:sectPr>
      </w:pPr>
    </w:p>
    <w:p>
      <w:pPr>
        <w:tabs>
          <w:tab w:pos="4810" w:val="left" w:leader="none"/>
          <w:tab w:pos="9621" w:val="left" w:leader="none"/>
          <w:tab w:pos="14432" w:val="left" w:leader="none"/>
        </w:tabs>
        <w:spacing w:line="240" w:lineRule="auto"/>
        <w:ind w:left="0" w:right="-58" w:firstLine="0"/>
        <w:rPr>
          <w:sz w:val="20"/>
        </w:rPr>
      </w:pPr>
      <w:bookmarkStart w:name="_bookmark41" w:id="42"/>
      <w:bookmarkEnd w:id="42"/>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1"/>
        </w:rPr>
      </w:pPr>
    </w:p>
    <w:p>
      <w:pPr>
        <w:pStyle w:val="Heading1"/>
      </w:pPr>
      <w:r>
        <w:rPr/>
        <w:pict>
          <v:group style="position:absolute;margin-left:240.539398pt;margin-top:-67.373512pt;width:601.4pt;height:484.65pt;mso-position-horizontal-relative:page;mso-position-vertical-relative:paragraph;z-index:-686824" coordorigin="4811,-1347" coordsize="12028,9693">
            <v:shape style="position:absolute;left:5611;top:-1348;width:11227;height:9693" type="#_x0000_t75" stroked="false">
              <v:imagedata r:id="rId34" o:title=""/>
            </v:shape>
            <v:shape style="position:absolute;left:5999;top:3032;width:8066;height:2255" coordorigin="5999,3032" coordsize="8066,2255" path="m6803,4052l5999,4052,5999,5287,6803,5287,6803,4052m12057,3335l11254,3335,11254,5287,12057,5287,12057,3335m13064,3032l12260,3032,12260,5287,13064,5287,13064,3032m14065,3032l13261,3032,13261,5287,14065,5287,14065,3032e" filled="true" fillcolor="#e3e5bd" stroked="false">
              <v:path arrowok="t"/>
              <v:fill type="solid"/>
            </v:shape>
            <v:rect style="position:absolute;left:14258;top:3138;width:804;height:2149" filled="true" fillcolor="#a682a6" stroked="false">
              <v:fill type="solid"/>
            </v:rect>
            <v:rect style="position:absolute;left:15261;top:3018;width:804;height:2269" filled="true" fillcolor="#806b85" stroked="false">
              <v:fill type="solid"/>
            </v:rect>
            <v:shape style="position:absolute;left:7010;top:2792;width:1808;height:2495" coordorigin="7011,2792" coordsize="1808,2495" path="m7814,2792l7011,2792,7011,5287,7814,5287,7814,2792m8818,2872l8015,2872,8015,5287,8818,5287,8818,2872e" filled="true" fillcolor="#e3e5bd" stroked="false">
              <v:path arrowok="t"/>
              <v:fill type="solid"/>
            </v:shape>
            <v:rect style="position:absolute;left:9018;top:3292;width:804;height:1995" filled="true" fillcolor="#a682a6" stroked="false">
              <v:fill type="solid"/>
            </v:rect>
            <v:rect style="position:absolute;left:10022;top:3072;width:804;height:2215" filled="true" fillcolor="#806b85" stroked="false">
              <v:fill type="solid"/>
            </v:rect>
            <v:rect style="position:absolute;left:4810;top:-1348;width:2406;height:851" filled="true" fillcolor="#cbb8cc" stroked="false">
              <v:fill type="solid"/>
            </v:rect>
            <w10:wrap type="none"/>
          </v:group>
        </w:pict>
      </w:r>
      <w:r>
        <w:rPr/>
        <w:pict>
          <v:shape style="position:absolute;margin-left:601.348999pt;margin-top:-67.374214pt;width:120.3pt;height:42.55pt;mso-position-horizontal-relative:page;mso-position-vertical-relative:paragraph;z-index:25696"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25720"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5744"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Effectiveness Indicators</w:t>
      </w:r>
    </w:p>
    <w:p>
      <w:pPr>
        <w:pStyle w:val="Heading4"/>
        <w:spacing w:before="110"/>
      </w:pPr>
      <w:r>
        <w:rPr>
          <w:color w:val="6F2770"/>
        </w:rPr>
        <w:t>Government Procurement</w:t>
      </w:r>
    </w:p>
    <w:p>
      <w:pPr>
        <w:pStyle w:val="BodyText"/>
        <w:rPr>
          <w:sz w:val="12"/>
        </w:rPr>
      </w:pPr>
    </w:p>
    <w:p>
      <w:pPr>
        <w:spacing w:after="0"/>
        <w:rPr>
          <w:sz w:val="12"/>
        </w:rPr>
        <w:sectPr>
          <w:footerReference w:type="default" r:id="rId208"/>
          <w:pgSz w:w="16840" w:h="11910" w:orient="landscape"/>
          <w:pgMar w:footer="774" w:header="0" w:top="0" w:bottom="960" w:left="0" w:right="0"/>
        </w:sectPr>
      </w:pPr>
    </w:p>
    <w:p>
      <w:pPr>
        <w:pStyle w:val="Heading6"/>
        <w:spacing w:line="249" w:lineRule="auto" w:before="109"/>
        <w:ind w:right="6"/>
      </w:pPr>
      <w:r>
        <w:rPr/>
        <w:t>Outcome 2: Value-for-money from public sector procurement</w:t>
      </w:r>
    </w:p>
    <w:p>
      <w:pPr>
        <w:spacing w:line="249" w:lineRule="auto" w:before="109"/>
        <w:ind w:left="765" w:right="0" w:firstLine="0"/>
        <w:jc w:val="left"/>
        <w:rPr>
          <w:b/>
          <w:sz w:val="10"/>
        </w:rPr>
      </w:pPr>
      <w:r>
        <w:rPr/>
        <w:br w:type="column"/>
      </w:r>
      <w:r>
        <w:rPr>
          <w:b/>
          <w:sz w:val="22"/>
        </w:rPr>
        <w:t>Profitability of the </w:t>
      </w:r>
      <w:r>
        <w:rPr>
          <w:b/>
          <w:spacing w:val="-3"/>
          <w:sz w:val="22"/>
        </w:rPr>
        <w:t>State’s </w:t>
      </w:r>
      <w:r>
        <w:rPr>
          <w:b/>
          <w:sz w:val="22"/>
        </w:rPr>
        <w:t>light vehicle </w:t>
      </w:r>
      <w:r>
        <w:rPr>
          <w:b/>
          <w:spacing w:val="-4"/>
          <w:sz w:val="22"/>
        </w:rPr>
        <w:t>fleet </w:t>
      </w:r>
      <w:r>
        <w:rPr>
          <w:b/>
          <w:sz w:val="22"/>
        </w:rPr>
        <w:t>($000) </w:t>
      </w:r>
      <w:r>
        <w:rPr>
          <w:b/>
          <w:position w:val="8"/>
          <w:sz w:val="10"/>
        </w:rPr>
        <w:t>(a)</w:t>
      </w:r>
    </w:p>
    <w:p>
      <w:pPr>
        <w:spacing w:line="249" w:lineRule="auto" w:before="109"/>
        <w:ind w:left="727" w:right="1112" w:firstLine="0"/>
        <w:jc w:val="left"/>
        <w:rPr>
          <w:b/>
          <w:sz w:val="10"/>
        </w:rPr>
      </w:pPr>
      <w:r>
        <w:rPr/>
        <w:br w:type="column"/>
      </w:r>
      <w:r>
        <w:rPr>
          <w:b/>
          <w:sz w:val="22"/>
        </w:rPr>
        <w:t>Extent to which client agencies agree that their agency contracts and CUAs achieved value-for-money (%) </w:t>
      </w:r>
      <w:r>
        <w:rPr>
          <w:b/>
          <w:position w:val="8"/>
          <w:sz w:val="10"/>
        </w:rPr>
        <w:t>(b)</w:t>
      </w:r>
    </w:p>
    <w:p>
      <w:pPr>
        <w:spacing w:after="0" w:line="249" w:lineRule="auto"/>
        <w:jc w:val="left"/>
        <w:rPr>
          <w:sz w:val="10"/>
        </w:rPr>
        <w:sectPr>
          <w:type w:val="continuous"/>
          <w:pgSz w:w="16840" w:h="11910" w:orient="landscape"/>
          <w:pgMar w:top="1100" w:bottom="280" w:left="0" w:right="0"/>
          <w:cols w:num="3" w:equalWidth="0">
            <w:col w:w="5058" w:space="186"/>
            <w:col w:w="5243" w:space="40"/>
            <w:col w:w="6313"/>
          </w:cols>
        </w:sectPr>
      </w:pPr>
    </w:p>
    <w:p>
      <w:pPr>
        <w:pStyle w:val="BodyText"/>
        <w:spacing w:line="249" w:lineRule="auto" w:before="2"/>
        <w:ind w:left="765" w:right="267"/>
        <w:jc w:val="both"/>
      </w:pPr>
      <w:r>
        <w:rPr/>
        <w:t>This</w:t>
      </w:r>
      <w:r>
        <w:rPr>
          <w:spacing w:val="-29"/>
        </w:rPr>
        <w:t> </w:t>
      </w:r>
      <w:r>
        <w:rPr/>
        <w:t>outcome</w:t>
      </w:r>
      <w:r>
        <w:rPr>
          <w:spacing w:val="-29"/>
        </w:rPr>
        <w:t> </w:t>
      </w:r>
      <w:r>
        <w:rPr/>
        <w:t>aims</w:t>
      </w:r>
      <w:r>
        <w:rPr>
          <w:spacing w:val="-29"/>
        </w:rPr>
        <w:t> </w:t>
      </w:r>
      <w:r>
        <w:rPr/>
        <w:t>to</w:t>
      </w:r>
      <w:r>
        <w:rPr>
          <w:spacing w:val="-29"/>
        </w:rPr>
        <w:t> </w:t>
      </w:r>
      <w:r>
        <w:rPr/>
        <w:t>deliver</w:t>
      </w:r>
      <w:r>
        <w:rPr>
          <w:spacing w:val="-29"/>
        </w:rPr>
        <w:t> </w:t>
      </w:r>
      <w:r>
        <w:rPr/>
        <w:t>value-for-money procurement</w:t>
      </w:r>
      <w:r>
        <w:rPr>
          <w:spacing w:val="-28"/>
        </w:rPr>
        <w:t> </w:t>
      </w:r>
      <w:r>
        <w:rPr/>
        <w:t>services</w:t>
      </w:r>
      <w:r>
        <w:rPr>
          <w:spacing w:val="-28"/>
        </w:rPr>
        <w:t> </w:t>
      </w:r>
      <w:r>
        <w:rPr/>
        <w:t>and</w:t>
      </w:r>
      <w:r>
        <w:rPr>
          <w:spacing w:val="-27"/>
        </w:rPr>
        <w:t> </w:t>
      </w:r>
      <w:r>
        <w:rPr/>
        <w:t>frameworks</w:t>
      </w:r>
      <w:r>
        <w:rPr>
          <w:spacing w:val="-28"/>
        </w:rPr>
        <w:t> </w:t>
      </w:r>
      <w:r>
        <w:rPr>
          <w:spacing w:val="-4"/>
        </w:rPr>
        <w:t>across </w:t>
      </w:r>
      <w:r>
        <w:rPr/>
        <w:t>the Western Australian public</w:t>
      </w:r>
      <w:r>
        <w:rPr>
          <w:spacing w:val="-25"/>
        </w:rPr>
        <w:t> </w:t>
      </w:r>
      <w:r>
        <w:rPr>
          <w:spacing w:val="-3"/>
        </w:rPr>
        <w:t>sector.</w:t>
      </w:r>
    </w:p>
    <w:p>
      <w:pPr>
        <w:pStyle w:val="BodyText"/>
        <w:spacing w:line="249" w:lineRule="auto" w:before="3"/>
        <w:ind w:left="765" w:right="328"/>
      </w:pPr>
      <w:r>
        <w:rPr/>
        <w:t>Value-for-money</w:t>
      </w:r>
      <w:r>
        <w:rPr>
          <w:spacing w:val="-27"/>
        </w:rPr>
        <w:t> </w:t>
      </w:r>
      <w:r>
        <w:rPr/>
        <w:t>is</w:t>
      </w:r>
      <w:r>
        <w:rPr>
          <w:spacing w:val="-28"/>
        </w:rPr>
        <w:t> </w:t>
      </w:r>
      <w:r>
        <w:rPr/>
        <w:t>a</w:t>
      </w:r>
      <w:r>
        <w:rPr>
          <w:spacing w:val="-27"/>
        </w:rPr>
        <w:t> </w:t>
      </w:r>
      <w:r>
        <w:rPr/>
        <w:t>key</w:t>
      </w:r>
      <w:r>
        <w:rPr>
          <w:spacing w:val="-27"/>
        </w:rPr>
        <w:t> </w:t>
      </w:r>
      <w:r>
        <w:rPr/>
        <w:t>policy</w:t>
      </w:r>
      <w:r>
        <w:rPr>
          <w:spacing w:val="-27"/>
        </w:rPr>
        <w:t> </w:t>
      </w:r>
      <w:r>
        <w:rPr/>
        <w:t>objective</w:t>
      </w:r>
      <w:r>
        <w:rPr>
          <w:spacing w:val="-27"/>
        </w:rPr>
        <w:t> </w:t>
      </w:r>
      <w:r>
        <w:rPr>
          <w:spacing w:val="-6"/>
        </w:rPr>
        <w:t>and </w:t>
      </w:r>
      <w:r>
        <w:rPr/>
        <w:t>ensures public authorities achieve the best possible outcome for the amount of money spent</w:t>
      </w:r>
      <w:r>
        <w:rPr>
          <w:spacing w:val="-17"/>
        </w:rPr>
        <w:t> </w:t>
      </w:r>
      <w:r>
        <w:rPr/>
        <w:t>when</w:t>
      </w:r>
      <w:r>
        <w:rPr>
          <w:spacing w:val="-17"/>
        </w:rPr>
        <w:t> </w:t>
      </w:r>
      <w:r>
        <w:rPr/>
        <w:t>purchasing</w:t>
      </w:r>
      <w:r>
        <w:rPr>
          <w:spacing w:val="-17"/>
        </w:rPr>
        <w:t> </w:t>
      </w:r>
      <w:r>
        <w:rPr/>
        <w:t>goods</w:t>
      </w:r>
      <w:r>
        <w:rPr>
          <w:spacing w:val="-17"/>
        </w:rPr>
        <w:t> </w:t>
      </w:r>
      <w:r>
        <w:rPr/>
        <w:t>and</w:t>
      </w:r>
      <w:r>
        <w:rPr>
          <w:spacing w:val="-17"/>
        </w:rPr>
        <w:t> </w:t>
      </w:r>
      <w:r>
        <w:rPr/>
        <w:t>services.</w:t>
      </w:r>
    </w:p>
    <w:p>
      <w:pPr>
        <w:pStyle w:val="BodyText"/>
        <w:spacing w:before="6"/>
      </w:pPr>
    </w:p>
    <w:p>
      <w:pPr>
        <w:pStyle w:val="BodyText"/>
        <w:spacing w:line="249" w:lineRule="auto"/>
        <w:ind w:left="765" w:right="-9"/>
      </w:pPr>
      <w:r>
        <w:rPr/>
        <w:t>Value-for-money</w:t>
      </w:r>
      <w:r>
        <w:rPr>
          <w:spacing w:val="-29"/>
        </w:rPr>
        <w:t> </w:t>
      </w:r>
      <w:r>
        <w:rPr/>
        <w:t>from</w:t>
      </w:r>
      <w:r>
        <w:rPr>
          <w:spacing w:val="-29"/>
        </w:rPr>
        <w:t> </w:t>
      </w:r>
      <w:r>
        <w:rPr/>
        <w:t>public</w:t>
      </w:r>
      <w:r>
        <w:rPr>
          <w:spacing w:val="-29"/>
        </w:rPr>
        <w:t> </w:t>
      </w:r>
      <w:r>
        <w:rPr/>
        <w:t>sector</w:t>
      </w:r>
      <w:r>
        <w:rPr>
          <w:spacing w:val="-29"/>
        </w:rPr>
        <w:t> </w:t>
      </w:r>
      <w:r>
        <w:rPr>
          <w:spacing w:val="-3"/>
        </w:rPr>
        <w:t>procurement </w:t>
      </w:r>
      <w:r>
        <w:rPr/>
        <w:t>is considered effective</w:t>
      </w:r>
      <w:r>
        <w:rPr>
          <w:spacing w:val="-8"/>
        </w:rPr>
        <w:t> </w:t>
      </w:r>
      <w:r>
        <w:rPr/>
        <w:t>if:</w:t>
      </w:r>
    </w:p>
    <w:p>
      <w:pPr>
        <w:pStyle w:val="BodyText"/>
      </w:pPr>
      <w:r>
        <w:rPr/>
        <w:br w:type="column"/>
      </w:r>
      <w:r>
        <w:rPr/>
      </w:r>
    </w:p>
    <w:p>
      <w:pPr>
        <w:pStyle w:val="BodyText"/>
      </w:pPr>
    </w:p>
    <w:p>
      <w:pPr>
        <w:pStyle w:val="BodyText"/>
      </w:pPr>
    </w:p>
    <w:p>
      <w:pPr>
        <w:pStyle w:val="BodyText"/>
      </w:pPr>
    </w:p>
    <w:p>
      <w:pPr>
        <w:pStyle w:val="BodyText"/>
        <w:spacing w:before="4"/>
        <w:rPr>
          <w:sz w:val="23"/>
        </w:rPr>
      </w:pPr>
    </w:p>
    <w:p>
      <w:pPr>
        <w:spacing w:before="1"/>
        <w:ind w:left="724" w:right="0" w:firstLine="0"/>
        <w:jc w:val="left"/>
        <w:rPr>
          <w:b/>
          <w:sz w:val="19"/>
        </w:rPr>
      </w:pPr>
      <w:r>
        <w:rPr>
          <w:b/>
          <w:color w:val="475B29"/>
          <w:sz w:val="19"/>
        </w:rPr>
        <w:t>11,495</w:t>
      </w:r>
    </w:p>
    <w:p>
      <w:pPr>
        <w:spacing w:before="21"/>
        <w:ind w:left="385" w:right="0" w:firstLine="0"/>
        <w:jc w:val="left"/>
        <w:rPr>
          <w:b/>
          <w:sz w:val="19"/>
        </w:rPr>
      </w:pPr>
      <w:r>
        <w:rPr/>
        <w:br w:type="column"/>
      </w:r>
      <w:r>
        <w:rPr>
          <w:b/>
          <w:color w:val="475B29"/>
          <w:sz w:val="19"/>
        </w:rPr>
        <w:t>16,871</w:t>
      </w:r>
    </w:p>
    <w:p>
      <w:pPr>
        <w:spacing w:before="101"/>
        <w:ind w:left="390" w:right="0" w:firstLine="0"/>
        <w:jc w:val="left"/>
        <w:rPr>
          <w:b/>
          <w:sz w:val="19"/>
        </w:rPr>
      </w:pPr>
      <w:r>
        <w:rPr/>
        <w:br w:type="column"/>
      </w:r>
      <w:r>
        <w:rPr>
          <w:b/>
          <w:color w:val="475B29"/>
          <w:sz w:val="19"/>
        </w:rPr>
        <w:t>16,671</w:t>
      </w:r>
    </w:p>
    <w:p>
      <w:pPr>
        <w:pStyle w:val="BodyText"/>
        <w:rPr>
          <w:b/>
        </w:rPr>
      </w:pPr>
      <w:r>
        <w:rPr/>
        <w:br w:type="column"/>
      </w:r>
      <w:r>
        <w:rPr>
          <w:b/>
        </w:rPr>
      </w:r>
    </w:p>
    <w:p>
      <w:pPr>
        <w:pStyle w:val="BodyText"/>
        <w:spacing w:before="1"/>
        <w:rPr>
          <w:b/>
          <w:sz w:val="24"/>
        </w:rPr>
      </w:pPr>
    </w:p>
    <w:p>
      <w:pPr>
        <w:spacing w:before="0"/>
        <w:ind w:left="380" w:right="0" w:firstLine="0"/>
        <w:jc w:val="left"/>
        <w:rPr>
          <w:b/>
          <w:sz w:val="19"/>
        </w:rPr>
      </w:pPr>
      <w:r>
        <w:rPr>
          <w:b/>
          <w:color w:val="6F2770"/>
          <w:sz w:val="19"/>
        </w:rPr>
        <w:t>15,000</w:t>
      </w:r>
    </w:p>
    <w:p>
      <w:pPr>
        <w:pStyle w:val="BodyText"/>
        <w:spacing w:before="10"/>
        <w:rPr>
          <w:b/>
        </w:rPr>
      </w:pPr>
      <w:r>
        <w:rPr/>
        <w:br w:type="column"/>
      </w:r>
      <w:r>
        <w:rPr>
          <w:b/>
        </w:rPr>
      </w:r>
    </w:p>
    <w:p>
      <w:pPr>
        <w:spacing w:before="0"/>
        <w:ind w:left="284" w:right="0" w:firstLine="0"/>
        <w:jc w:val="left"/>
        <w:rPr>
          <w:b/>
          <w:sz w:val="19"/>
        </w:rPr>
      </w:pPr>
      <w:r>
        <w:rPr>
          <w:b/>
          <w:color w:val="360F41"/>
          <w:sz w:val="19"/>
        </w:rPr>
        <w:t>15,910</w:t>
      </w:r>
      <w:r>
        <w:rPr>
          <w:b/>
          <w:color w:val="360F41"/>
          <w:position w:val="4"/>
          <w:sz w:val="19"/>
        </w:rPr>
        <w:t>(1)</w:t>
      </w:r>
    </w:p>
    <w:p>
      <w:pPr>
        <w:spacing w:before="33"/>
        <w:ind w:left="0" w:right="0" w:firstLine="0"/>
        <w:jc w:val="right"/>
        <w:rPr>
          <w:b/>
          <w:sz w:val="19"/>
        </w:rPr>
      </w:pPr>
      <w:r>
        <w:rPr>
          <w:b/>
          <w:color w:val="475B29"/>
          <w:w w:val="95"/>
          <w:sz w:val="19"/>
        </w:rPr>
        <w:t>87</w:t>
      </w:r>
    </w:p>
    <w:p>
      <w:pPr>
        <w:pStyle w:val="BodyText"/>
        <w:spacing w:before="9"/>
        <w:rPr>
          <w:b/>
          <w:sz w:val="23"/>
        </w:rPr>
      </w:pPr>
      <w:r>
        <w:rPr/>
        <w:br w:type="column"/>
      </w:r>
      <w:r>
        <w:rPr>
          <w:b/>
          <w:sz w:val="23"/>
        </w:rPr>
      </w:r>
    </w:p>
    <w:p>
      <w:pPr>
        <w:tabs>
          <w:tab w:pos="1781" w:val="left" w:leader="none"/>
        </w:tabs>
        <w:spacing w:before="1"/>
        <w:ind w:left="765" w:right="0" w:firstLine="0"/>
        <w:jc w:val="left"/>
        <w:rPr>
          <w:b/>
          <w:sz w:val="19"/>
        </w:rPr>
      </w:pPr>
      <w:r>
        <w:rPr>
          <w:b/>
          <w:color w:val="475B29"/>
          <w:sz w:val="19"/>
        </w:rPr>
        <w:t>93</w:t>
        <w:tab/>
      </w:r>
      <w:r>
        <w:rPr>
          <w:b/>
          <w:color w:val="475B29"/>
          <w:spacing w:val="-10"/>
          <w:sz w:val="19"/>
        </w:rPr>
        <w:t>93</w:t>
      </w:r>
    </w:p>
    <w:p>
      <w:pPr>
        <w:tabs>
          <w:tab w:pos="1738" w:val="left" w:leader="none"/>
        </w:tabs>
        <w:spacing w:before="243"/>
        <w:ind w:left="735" w:right="0" w:firstLine="0"/>
        <w:jc w:val="left"/>
        <w:rPr>
          <w:b/>
          <w:sz w:val="19"/>
        </w:rPr>
      </w:pPr>
      <w:r>
        <w:rPr/>
        <w:br w:type="column"/>
      </w:r>
      <w:r>
        <w:rPr>
          <w:b/>
          <w:color w:val="6F2770"/>
          <w:position w:val="-12"/>
          <w:sz w:val="19"/>
        </w:rPr>
        <w:t>92</w:t>
        <w:tab/>
      </w:r>
      <w:r>
        <w:rPr>
          <w:b/>
          <w:color w:val="360F41"/>
          <w:sz w:val="19"/>
        </w:rPr>
        <w:t>93</w:t>
      </w:r>
    </w:p>
    <w:p>
      <w:pPr>
        <w:spacing w:after="0"/>
        <w:jc w:val="left"/>
        <w:rPr>
          <w:sz w:val="19"/>
        </w:rPr>
        <w:sectPr>
          <w:type w:val="continuous"/>
          <w:pgSz w:w="16840" w:h="11910" w:orient="landscape"/>
          <w:pgMar w:top="1100" w:bottom="280" w:left="0" w:right="0"/>
          <w:cols w:num="8" w:equalWidth="0">
            <w:col w:w="5347" w:space="40"/>
            <w:col w:w="1306" w:space="39"/>
            <w:col w:w="967" w:space="40"/>
            <w:col w:w="972" w:space="39"/>
            <w:col w:w="962" w:space="39"/>
            <w:col w:w="2001" w:space="39"/>
            <w:col w:w="1993" w:space="40"/>
            <w:col w:w="3016"/>
          </w:cols>
        </w:sectPr>
      </w:pPr>
    </w:p>
    <w:p>
      <w:pPr>
        <w:pStyle w:val="BodyText"/>
        <w:spacing w:before="1"/>
        <w:rPr>
          <w:b/>
          <w:sz w:val="23"/>
        </w:rPr>
      </w:pPr>
    </w:p>
    <w:p>
      <w:pPr>
        <w:pStyle w:val="BodyText"/>
        <w:spacing w:line="249" w:lineRule="auto"/>
        <w:ind w:left="1071" w:right="30" w:hanging="306"/>
      </w:pPr>
      <w:r>
        <w:rPr>
          <w:position w:val="-2"/>
        </w:rPr>
        <w:drawing>
          <wp:inline distT="0" distB="0" distL="0" distR="0">
            <wp:extent cx="125999" cy="125999"/>
            <wp:effectExtent l="0" t="0" r="0" b="0"/>
            <wp:docPr id="93" name="image102.png" descr=""/>
            <wp:cNvGraphicFramePr>
              <a:graphicFrameLocks noChangeAspect="1"/>
            </wp:cNvGraphicFramePr>
            <a:graphic>
              <a:graphicData uri="http://schemas.openxmlformats.org/drawingml/2006/picture">
                <pic:pic>
                  <pic:nvPicPr>
                    <pic:cNvPr id="94" name="image102.png"/>
                    <pic:cNvPicPr/>
                  </pic:nvPicPr>
                  <pic:blipFill>
                    <a:blip r:embed="rId209"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Client</w:t>
      </w:r>
      <w:r>
        <w:rPr>
          <w:spacing w:val="-25"/>
        </w:rPr>
        <w:t> </w:t>
      </w:r>
      <w:r>
        <w:rPr/>
        <w:t>agencies</w:t>
      </w:r>
      <w:r>
        <w:rPr>
          <w:spacing w:val="-24"/>
        </w:rPr>
        <w:t> </w:t>
      </w:r>
      <w:r>
        <w:rPr/>
        <w:t>agree</w:t>
      </w:r>
      <w:r>
        <w:rPr>
          <w:spacing w:val="-25"/>
        </w:rPr>
        <w:t> </w:t>
      </w:r>
      <w:r>
        <w:rPr/>
        <w:t>that</w:t>
      </w:r>
      <w:r>
        <w:rPr>
          <w:spacing w:val="-24"/>
        </w:rPr>
        <w:t> </w:t>
      </w:r>
      <w:r>
        <w:rPr/>
        <w:t>Common</w:t>
      </w:r>
      <w:r>
        <w:rPr>
          <w:spacing w:val="-25"/>
        </w:rPr>
        <w:t> </w:t>
      </w:r>
      <w:r>
        <w:rPr>
          <w:spacing w:val="-6"/>
        </w:rPr>
        <w:t>Use </w:t>
      </w:r>
      <w:r>
        <w:rPr/>
        <w:t>Arrangements</w:t>
      </w:r>
      <w:r>
        <w:rPr>
          <w:spacing w:val="-28"/>
        </w:rPr>
        <w:t> </w:t>
      </w:r>
      <w:r>
        <w:rPr/>
        <w:t>(CUAs)</w:t>
      </w:r>
      <w:r>
        <w:rPr>
          <w:spacing w:val="-28"/>
        </w:rPr>
        <w:t> </w:t>
      </w:r>
      <w:r>
        <w:rPr/>
        <w:t>are</w:t>
      </w:r>
      <w:r>
        <w:rPr>
          <w:spacing w:val="-28"/>
        </w:rPr>
        <w:t> </w:t>
      </w:r>
      <w:r>
        <w:rPr/>
        <w:t>awarded</w:t>
      </w:r>
      <w:r>
        <w:rPr>
          <w:spacing w:val="-28"/>
        </w:rPr>
        <w:t> </w:t>
      </w:r>
      <w:r>
        <w:rPr/>
        <w:t>and managed</w:t>
      </w:r>
      <w:r>
        <w:rPr>
          <w:spacing w:val="-15"/>
        </w:rPr>
        <w:t> </w:t>
      </w:r>
      <w:r>
        <w:rPr/>
        <w:t>on</w:t>
      </w:r>
      <w:r>
        <w:rPr>
          <w:spacing w:val="-15"/>
        </w:rPr>
        <w:t> </w:t>
      </w:r>
      <w:r>
        <w:rPr/>
        <w:t>a</w:t>
      </w:r>
      <w:r>
        <w:rPr>
          <w:spacing w:val="-14"/>
        </w:rPr>
        <w:t> </w:t>
      </w:r>
      <w:r>
        <w:rPr/>
        <w:t>value-for-money</w:t>
      </w:r>
      <w:r>
        <w:rPr>
          <w:spacing w:val="-15"/>
        </w:rPr>
        <w:t> </w:t>
      </w:r>
      <w:r>
        <w:rPr/>
        <w:t>basis.</w:t>
      </w:r>
    </w:p>
    <w:p>
      <w:pPr>
        <w:pStyle w:val="BodyText"/>
        <w:spacing w:before="2"/>
        <w:rPr>
          <w:sz w:val="17"/>
        </w:rPr>
      </w:pPr>
      <w:r>
        <w:rPr/>
        <w:br w:type="column"/>
      </w:r>
      <w:r>
        <w:rPr>
          <w:sz w:val="17"/>
        </w:rPr>
      </w:r>
    </w:p>
    <w:p>
      <w:pPr>
        <w:spacing w:before="1"/>
        <w:ind w:left="810" w:right="0" w:firstLine="0"/>
        <w:jc w:val="left"/>
        <w:rPr>
          <w:b/>
          <w:sz w:val="19"/>
        </w:rPr>
      </w:pPr>
      <w:r>
        <w:rPr>
          <w:b/>
          <w:w w:val="105"/>
          <w:sz w:val="19"/>
        </w:rPr>
        <w:t>2014/15</w:t>
      </w:r>
    </w:p>
    <w:p>
      <w:pPr>
        <w:spacing w:before="88"/>
        <w:ind w:left="765"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spacing w:before="2"/>
        <w:rPr>
          <w:b/>
          <w:sz w:val="17"/>
        </w:rPr>
      </w:pPr>
      <w:r>
        <w:rPr/>
        <w:br w:type="column"/>
      </w:r>
      <w:r>
        <w:rPr>
          <w:b/>
          <w:sz w:val="17"/>
        </w:rPr>
      </w:r>
    </w:p>
    <w:p>
      <w:pPr>
        <w:spacing w:before="1"/>
        <w:ind w:left="217" w:right="0" w:firstLine="0"/>
        <w:jc w:val="left"/>
        <w:rPr>
          <w:b/>
          <w:sz w:val="19"/>
        </w:rPr>
      </w:pPr>
      <w:r>
        <w:rPr>
          <w:b/>
          <w:w w:val="105"/>
          <w:sz w:val="19"/>
        </w:rPr>
        <w:t>2015/16</w:t>
      </w:r>
    </w:p>
    <w:p>
      <w:pPr>
        <w:spacing w:before="88"/>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spacing w:before="2"/>
        <w:rPr>
          <w:b/>
          <w:sz w:val="17"/>
        </w:rPr>
      </w:pPr>
      <w:r>
        <w:rPr/>
        <w:br w:type="column"/>
      </w:r>
      <w:r>
        <w:rPr>
          <w:b/>
          <w:sz w:val="17"/>
        </w:rPr>
      </w:r>
    </w:p>
    <w:p>
      <w:pPr>
        <w:spacing w:before="1"/>
        <w:ind w:left="222" w:right="0" w:firstLine="0"/>
        <w:jc w:val="left"/>
        <w:rPr>
          <w:b/>
          <w:sz w:val="19"/>
        </w:rPr>
      </w:pPr>
      <w:r>
        <w:rPr>
          <w:b/>
          <w:w w:val="105"/>
          <w:sz w:val="19"/>
        </w:rPr>
        <w:t>2016/17</w:t>
      </w:r>
    </w:p>
    <w:p>
      <w:pPr>
        <w:spacing w:before="88"/>
        <w:ind w:left="172" w:right="0" w:firstLine="0"/>
        <w:jc w:val="left"/>
        <w:rPr>
          <w:b/>
          <w:sz w:val="15"/>
        </w:rPr>
      </w:pPr>
      <w:r>
        <w:rPr>
          <w:b/>
          <w:color w:val="FFFFFF"/>
          <w:w w:val="100"/>
          <w:sz w:val="15"/>
          <w:shd w:fill="727D54" w:color="auto" w:val="clear"/>
        </w:rPr>
        <w:t> </w:t>
      </w:r>
      <w:r>
        <w:rPr>
          <w:b/>
          <w:color w:val="FFFFFF"/>
          <w:spacing w:val="14"/>
          <w:sz w:val="15"/>
          <w:shd w:fill="727D54" w:color="auto" w:val="clear"/>
        </w:rPr>
        <w:t> </w:t>
      </w:r>
      <w:r>
        <w:rPr>
          <w:b/>
          <w:color w:val="FFFFFF"/>
          <w:sz w:val="15"/>
          <w:shd w:fill="727D54" w:color="auto" w:val="clear"/>
        </w:rPr>
        <w:t>ACTUAL</w:t>
      </w:r>
      <w:r>
        <w:rPr>
          <w:b/>
          <w:color w:val="FFFFFF"/>
          <w:spacing w:val="4"/>
          <w:sz w:val="15"/>
          <w:shd w:fill="727D54" w:color="auto" w:val="clear"/>
        </w:rPr>
        <w:t> </w:t>
      </w:r>
    </w:p>
    <w:p>
      <w:pPr>
        <w:pStyle w:val="BodyText"/>
        <w:spacing w:before="2"/>
        <w:rPr>
          <w:b/>
          <w:sz w:val="17"/>
        </w:rPr>
      </w:pPr>
      <w:r>
        <w:rPr/>
        <w:br w:type="column"/>
      </w:r>
      <w:r>
        <w:rPr>
          <w:b/>
          <w:sz w:val="17"/>
        </w:rPr>
      </w:r>
    </w:p>
    <w:p>
      <w:pPr>
        <w:spacing w:before="1"/>
        <w:ind w:left="217" w:right="0" w:firstLine="0"/>
        <w:jc w:val="left"/>
        <w:rPr>
          <w:b/>
          <w:sz w:val="19"/>
        </w:rPr>
      </w:pPr>
      <w:r>
        <w:rPr>
          <w:b/>
          <w:w w:val="105"/>
          <w:sz w:val="19"/>
        </w:rPr>
        <w:t>2017/18</w:t>
      </w:r>
    </w:p>
    <w:p>
      <w:pPr>
        <w:spacing w:before="88"/>
        <w:ind w:left="172" w:right="0" w:firstLine="0"/>
        <w:jc w:val="left"/>
        <w:rPr>
          <w:b/>
          <w:sz w:val="15"/>
        </w:rPr>
      </w:pPr>
      <w:r>
        <w:rPr>
          <w:b/>
          <w:color w:val="FFFFFF"/>
          <w:w w:val="100"/>
          <w:sz w:val="15"/>
          <w:shd w:fill="8E5F8E" w:color="auto" w:val="clear"/>
        </w:rPr>
        <w:t> </w:t>
      </w:r>
      <w:r>
        <w:rPr>
          <w:b/>
          <w:color w:val="FFFFFF"/>
          <w:spacing w:val="16"/>
          <w:sz w:val="15"/>
          <w:shd w:fill="8E5F8E" w:color="auto" w:val="clear"/>
        </w:rPr>
        <w:t> </w:t>
      </w:r>
      <w:r>
        <w:rPr>
          <w:b/>
          <w:color w:val="FFFFFF"/>
          <w:sz w:val="15"/>
          <w:shd w:fill="8E5F8E" w:color="auto" w:val="clear"/>
        </w:rPr>
        <w:t>TARGET</w:t>
      </w:r>
      <w:r>
        <w:rPr>
          <w:b/>
          <w:color w:val="FFFFFF"/>
          <w:spacing w:val="16"/>
          <w:sz w:val="15"/>
          <w:shd w:fill="8E5F8E" w:color="auto" w:val="clear"/>
        </w:rPr>
        <w:t> </w:t>
      </w:r>
    </w:p>
    <w:p>
      <w:pPr>
        <w:pStyle w:val="BodyText"/>
        <w:spacing w:before="2"/>
        <w:rPr>
          <w:b/>
          <w:sz w:val="17"/>
        </w:rPr>
      </w:pPr>
      <w:r>
        <w:rPr/>
        <w:br w:type="column"/>
      </w:r>
      <w:r>
        <w:rPr>
          <w:b/>
          <w:sz w:val="17"/>
        </w:rPr>
      </w:r>
    </w:p>
    <w:p>
      <w:pPr>
        <w:spacing w:before="1"/>
        <w:ind w:left="222" w:right="0" w:firstLine="0"/>
        <w:jc w:val="left"/>
        <w:rPr>
          <w:b/>
          <w:sz w:val="19"/>
        </w:rPr>
      </w:pPr>
      <w:r>
        <w:rPr>
          <w:b/>
          <w:w w:val="105"/>
          <w:sz w:val="19"/>
        </w:rPr>
        <w:t>2017/18</w:t>
      </w:r>
    </w:p>
    <w:p>
      <w:pPr>
        <w:spacing w:before="88"/>
        <w:ind w:left="172" w:right="0" w:firstLine="0"/>
        <w:jc w:val="left"/>
        <w:rPr>
          <w:b/>
          <w:sz w:val="15"/>
        </w:rPr>
      </w:pPr>
      <w:r>
        <w:rPr>
          <w:b/>
          <w:color w:val="FFFFFF"/>
          <w:w w:val="100"/>
          <w:sz w:val="15"/>
          <w:shd w:fill="5F4665" w:color="auto" w:val="clear"/>
        </w:rPr>
        <w:t> </w:t>
      </w:r>
      <w:r>
        <w:rPr>
          <w:b/>
          <w:color w:val="FFFFFF"/>
          <w:spacing w:val="14"/>
          <w:sz w:val="15"/>
          <w:shd w:fill="5F4665" w:color="auto" w:val="clear"/>
        </w:rPr>
        <w:t> </w:t>
      </w:r>
      <w:r>
        <w:rPr>
          <w:b/>
          <w:color w:val="FFFFFF"/>
          <w:sz w:val="15"/>
          <w:shd w:fill="5F4665" w:color="auto" w:val="clear"/>
        </w:rPr>
        <w:t>ACTUAL</w:t>
      </w:r>
      <w:r>
        <w:rPr>
          <w:b/>
          <w:color w:val="FFFFFF"/>
          <w:spacing w:val="4"/>
          <w:sz w:val="15"/>
          <w:shd w:fill="5F4665" w:color="auto" w:val="clear"/>
        </w:rPr>
        <w:t> </w:t>
      </w:r>
    </w:p>
    <w:p>
      <w:pPr>
        <w:pStyle w:val="BodyText"/>
        <w:spacing w:before="2"/>
        <w:rPr>
          <w:b/>
          <w:sz w:val="17"/>
        </w:rPr>
      </w:pPr>
      <w:r>
        <w:rPr/>
        <w:br w:type="column"/>
      </w:r>
      <w:r>
        <w:rPr>
          <w:b/>
          <w:sz w:val="17"/>
        </w:rPr>
      </w:r>
    </w:p>
    <w:p>
      <w:pPr>
        <w:spacing w:before="1"/>
        <w:ind w:left="449" w:right="0" w:firstLine="0"/>
        <w:jc w:val="left"/>
        <w:rPr>
          <w:b/>
          <w:sz w:val="19"/>
        </w:rPr>
      </w:pPr>
      <w:r>
        <w:rPr>
          <w:b/>
          <w:w w:val="105"/>
          <w:sz w:val="19"/>
        </w:rPr>
        <w:t>2014/15</w:t>
      </w:r>
    </w:p>
    <w:p>
      <w:pPr>
        <w:spacing w:before="88"/>
        <w:ind w:left="395" w:right="0" w:firstLine="0"/>
        <w:jc w:val="left"/>
        <w:rPr>
          <w:b/>
          <w:sz w:val="15"/>
        </w:rPr>
      </w:pPr>
      <w:r>
        <w:rPr>
          <w:b/>
          <w:color w:val="FFFFFF"/>
          <w:w w:val="100"/>
          <w:sz w:val="15"/>
          <w:shd w:fill="727D54" w:color="auto" w:val="clear"/>
        </w:rPr>
        <w:t> </w:t>
      </w:r>
      <w:r>
        <w:rPr>
          <w:b/>
          <w:color w:val="FFFFFF"/>
          <w:spacing w:val="19"/>
          <w:sz w:val="15"/>
          <w:shd w:fill="727D54" w:color="auto" w:val="clear"/>
        </w:rPr>
        <w:t> </w:t>
      </w:r>
      <w:r>
        <w:rPr>
          <w:b/>
          <w:color w:val="FFFFFF"/>
          <w:sz w:val="15"/>
          <w:shd w:fill="727D54" w:color="auto" w:val="clear"/>
        </w:rPr>
        <w:t>ACTUAL</w:t>
      </w:r>
      <w:r>
        <w:rPr>
          <w:b/>
          <w:color w:val="FFFFFF"/>
          <w:spacing w:val="-1"/>
          <w:sz w:val="15"/>
          <w:shd w:fill="727D54" w:color="auto" w:val="clear"/>
        </w:rPr>
        <w:t> </w:t>
      </w:r>
    </w:p>
    <w:p>
      <w:pPr>
        <w:pStyle w:val="BodyText"/>
        <w:spacing w:before="2"/>
        <w:rPr>
          <w:b/>
          <w:sz w:val="17"/>
        </w:rPr>
      </w:pPr>
      <w:r>
        <w:rPr/>
        <w:br w:type="column"/>
      </w:r>
      <w:r>
        <w:rPr>
          <w:b/>
          <w:sz w:val="17"/>
        </w:rPr>
      </w:r>
    </w:p>
    <w:p>
      <w:pPr>
        <w:spacing w:before="1"/>
        <w:ind w:left="217" w:right="0" w:firstLine="0"/>
        <w:jc w:val="left"/>
        <w:rPr>
          <w:b/>
          <w:sz w:val="19"/>
        </w:rPr>
      </w:pPr>
      <w:r>
        <w:rPr>
          <w:b/>
          <w:w w:val="105"/>
          <w:sz w:val="19"/>
        </w:rPr>
        <w:t>2015/16</w:t>
      </w:r>
    </w:p>
    <w:p>
      <w:pPr>
        <w:spacing w:before="88"/>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spacing w:before="2"/>
        <w:rPr>
          <w:b/>
          <w:sz w:val="17"/>
        </w:rPr>
      </w:pPr>
      <w:r>
        <w:rPr/>
        <w:br w:type="column"/>
      </w:r>
      <w:r>
        <w:rPr>
          <w:b/>
          <w:sz w:val="17"/>
        </w:rPr>
      </w:r>
    </w:p>
    <w:p>
      <w:pPr>
        <w:spacing w:before="1"/>
        <w:ind w:left="229" w:right="0" w:firstLine="0"/>
        <w:jc w:val="left"/>
        <w:rPr>
          <w:b/>
          <w:sz w:val="19"/>
        </w:rPr>
      </w:pPr>
      <w:r>
        <w:rPr>
          <w:b/>
          <w:w w:val="105"/>
          <w:sz w:val="19"/>
        </w:rPr>
        <w:t>2016/17</w:t>
      </w:r>
    </w:p>
    <w:p>
      <w:pPr>
        <w:spacing w:before="88"/>
        <w:ind w:left="185"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pStyle w:val="BodyText"/>
        <w:spacing w:before="2"/>
        <w:rPr>
          <w:b/>
          <w:sz w:val="17"/>
        </w:rPr>
      </w:pPr>
      <w:r>
        <w:rPr/>
        <w:br w:type="column"/>
      </w:r>
      <w:r>
        <w:rPr>
          <w:b/>
          <w:sz w:val="17"/>
        </w:rPr>
      </w:r>
    </w:p>
    <w:p>
      <w:pPr>
        <w:spacing w:before="1"/>
        <w:ind w:left="194" w:right="0" w:firstLine="0"/>
        <w:jc w:val="left"/>
        <w:rPr>
          <w:b/>
          <w:sz w:val="19"/>
        </w:rPr>
      </w:pPr>
      <w:r>
        <w:rPr>
          <w:b/>
          <w:w w:val="105"/>
          <w:sz w:val="19"/>
        </w:rPr>
        <w:t>2017/18</w:t>
      </w:r>
    </w:p>
    <w:p>
      <w:pPr>
        <w:spacing w:before="88"/>
        <w:ind w:left="150" w:right="0" w:firstLine="0"/>
        <w:jc w:val="left"/>
        <w:rPr>
          <w:b/>
          <w:sz w:val="15"/>
        </w:rPr>
      </w:pPr>
      <w:r>
        <w:rPr>
          <w:b/>
          <w:color w:val="FFFFFF"/>
          <w:w w:val="100"/>
          <w:sz w:val="15"/>
          <w:shd w:fill="8E5F8E" w:color="auto" w:val="clear"/>
        </w:rPr>
        <w:t> </w:t>
      </w:r>
      <w:r>
        <w:rPr>
          <w:b/>
          <w:color w:val="FFFFFF"/>
          <w:spacing w:val="16"/>
          <w:sz w:val="15"/>
          <w:shd w:fill="8E5F8E" w:color="auto" w:val="clear"/>
        </w:rPr>
        <w:t> </w:t>
      </w:r>
      <w:r>
        <w:rPr>
          <w:b/>
          <w:color w:val="FFFFFF"/>
          <w:sz w:val="15"/>
          <w:shd w:fill="8E5F8E" w:color="auto" w:val="clear"/>
        </w:rPr>
        <w:t>TARGET</w:t>
      </w:r>
      <w:r>
        <w:rPr>
          <w:b/>
          <w:color w:val="FFFFFF"/>
          <w:spacing w:val="16"/>
          <w:sz w:val="15"/>
          <w:shd w:fill="8E5F8E" w:color="auto" w:val="clear"/>
        </w:rPr>
        <w:t> </w:t>
      </w:r>
    </w:p>
    <w:p>
      <w:pPr>
        <w:pStyle w:val="BodyText"/>
        <w:spacing w:before="2"/>
        <w:rPr>
          <w:b/>
          <w:sz w:val="17"/>
        </w:rPr>
      </w:pPr>
      <w:r>
        <w:rPr/>
        <w:br w:type="column"/>
      </w:r>
      <w:r>
        <w:rPr>
          <w:b/>
          <w:sz w:val="17"/>
        </w:rPr>
      </w:r>
    </w:p>
    <w:p>
      <w:pPr>
        <w:spacing w:before="1"/>
        <w:ind w:left="217" w:right="0" w:firstLine="0"/>
        <w:jc w:val="left"/>
        <w:rPr>
          <w:b/>
          <w:sz w:val="19"/>
        </w:rPr>
      </w:pPr>
      <w:r>
        <w:rPr>
          <w:b/>
          <w:w w:val="105"/>
          <w:sz w:val="19"/>
        </w:rPr>
        <w:t>2017/18</w:t>
      </w:r>
    </w:p>
    <w:p>
      <w:pPr>
        <w:spacing w:before="88"/>
        <w:ind w:left="172" w:right="0" w:firstLine="0"/>
        <w:jc w:val="left"/>
        <w:rPr>
          <w:b/>
          <w:sz w:val="15"/>
        </w:rPr>
      </w:pPr>
      <w:r>
        <w:rPr>
          <w:b/>
          <w:color w:val="FFFFFF"/>
          <w:w w:val="100"/>
          <w:sz w:val="15"/>
          <w:shd w:fill="5F4665" w:color="auto" w:val="clear"/>
        </w:rPr>
        <w:t> </w:t>
      </w:r>
      <w:r>
        <w:rPr>
          <w:b/>
          <w:color w:val="FFFFFF"/>
          <w:spacing w:val="9"/>
          <w:sz w:val="15"/>
          <w:shd w:fill="5F4665" w:color="auto" w:val="clear"/>
        </w:rPr>
        <w:t> </w:t>
      </w:r>
      <w:r>
        <w:rPr>
          <w:b/>
          <w:color w:val="FFFFFF"/>
          <w:sz w:val="15"/>
          <w:shd w:fill="5F4665" w:color="auto" w:val="clear"/>
        </w:rPr>
        <w:t>ACTUAL</w:t>
      </w:r>
      <w:r>
        <w:rPr>
          <w:b/>
          <w:color w:val="FFFFFF"/>
          <w:spacing w:val="9"/>
          <w:sz w:val="15"/>
          <w:shd w:fill="5F4665" w:color="auto" w:val="clear"/>
        </w:rPr>
        <w:t> </w:t>
      </w:r>
    </w:p>
    <w:p>
      <w:pPr>
        <w:spacing w:after="0"/>
        <w:jc w:val="left"/>
        <w:rPr>
          <w:sz w:val="15"/>
        </w:rPr>
        <w:sectPr>
          <w:type w:val="continuous"/>
          <w:pgSz w:w="16840" w:h="11910" w:orient="landscape"/>
          <w:pgMar w:top="1100" w:bottom="280" w:left="0" w:right="0"/>
          <w:cols w:num="11" w:equalWidth="0">
            <w:col w:w="4942" w:space="297"/>
            <w:col w:w="1560" w:space="40"/>
            <w:col w:w="967" w:space="39"/>
            <w:col w:w="967" w:space="39"/>
            <w:col w:w="967" w:space="39"/>
            <w:col w:w="967" w:space="40"/>
            <w:col w:w="1189" w:space="39"/>
            <w:col w:w="967" w:space="40"/>
            <w:col w:w="979" w:space="39"/>
            <w:col w:w="944" w:space="40"/>
            <w:col w:w="1739"/>
          </w:cols>
        </w:sectPr>
      </w:pPr>
    </w:p>
    <w:p>
      <w:pPr>
        <w:pStyle w:val="BodyText"/>
        <w:spacing w:line="249" w:lineRule="auto" w:before="3"/>
        <w:ind w:left="1071" w:right="-8"/>
      </w:pPr>
      <w:r>
        <w:rPr/>
        <w:t>This</w:t>
      </w:r>
      <w:r>
        <w:rPr>
          <w:spacing w:val="-27"/>
        </w:rPr>
        <w:t> </w:t>
      </w:r>
      <w:r>
        <w:rPr/>
        <w:t>includes</w:t>
      </w:r>
      <w:r>
        <w:rPr>
          <w:spacing w:val="-26"/>
        </w:rPr>
        <w:t> </w:t>
      </w:r>
      <w:r>
        <w:rPr/>
        <w:t>the</w:t>
      </w:r>
      <w:r>
        <w:rPr>
          <w:spacing w:val="-27"/>
        </w:rPr>
        <w:t> </w:t>
      </w:r>
      <w:r>
        <w:rPr/>
        <w:t>value-for-money</w:t>
      </w:r>
      <w:r>
        <w:rPr>
          <w:spacing w:val="-26"/>
        </w:rPr>
        <w:t> </w:t>
      </w:r>
      <w:r>
        <w:rPr/>
        <w:t>results from</w:t>
      </w:r>
      <w:r>
        <w:rPr>
          <w:spacing w:val="-25"/>
        </w:rPr>
        <w:t> </w:t>
      </w:r>
      <w:r>
        <w:rPr/>
        <w:t>the</w:t>
      </w:r>
      <w:r>
        <w:rPr>
          <w:spacing w:val="-25"/>
        </w:rPr>
        <w:t> </w:t>
      </w:r>
      <w:r>
        <w:rPr/>
        <w:t>State</w:t>
      </w:r>
      <w:r>
        <w:rPr>
          <w:spacing w:val="-24"/>
        </w:rPr>
        <w:t> </w:t>
      </w:r>
      <w:r>
        <w:rPr/>
        <w:t>Fleet</w:t>
      </w:r>
      <w:r>
        <w:rPr>
          <w:spacing w:val="-25"/>
        </w:rPr>
        <w:t> </w:t>
      </w:r>
      <w:r>
        <w:rPr/>
        <w:t>surveys.</w:t>
      </w:r>
      <w:r>
        <w:rPr>
          <w:spacing w:val="-24"/>
        </w:rPr>
        <w:t> </w:t>
      </w:r>
      <w:r>
        <w:rPr/>
        <w:t>State</w:t>
      </w:r>
      <w:r>
        <w:rPr>
          <w:spacing w:val="-25"/>
        </w:rPr>
        <w:t> </w:t>
      </w:r>
      <w:r>
        <w:rPr/>
        <w:t>Fleet</w:t>
      </w:r>
      <w:r>
        <w:rPr>
          <w:spacing w:val="-24"/>
        </w:rPr>
        <w:t> </w:t>
      </w:r>
      <w:r>
        <w:rPr>
          <w:spacing w:val="-10"/>
        </w:rPr>
        <w:t>is </w:t>
      </w:r>
      <w:r>
        <w:rPr/>
        <w:t>surveyed annually using a</w:t>
      </w:r>
      <w:r>
        <w:rPr>
          <w:spacing w:val="-36"/>
        </w:rPr>
        <w:t> </w:t>
      </w:r>
      <w:r>
        <w:rPr/>
        <w:t>similar</w:t>
      </w:r>
    </w:p>
    <w:p>
      <w:pPr>
        <w:pStyle w:val="BodyText"/>
        <w:spacing w:line="249" w:lineRule="auto" w:before="3"/>
        <w:ind w:left="1071" w:right="150"/>
      </w:pPr>
      <w:r>
        <w:rPr/>
        <w:t>value-for-money method to other </w:t>
      </w:r>
      <w:r>
        <w:rPr>
          <w:spacing w:val="-5"/>
        </w:rPr>
        <w:t>CUAs </w:t>
      </w:r>
      <w:r>
        <w:rPr/>
        <w:t>and agency specific contract surveys;</w:t>
      </w:r>
    </w:p>
    <w:p>
      <w:pPr>
        <w:pStyle w:val="ListParagraph"/>
        <w:numPr>
          <w:ilvl w:val="2"/>
          <w:numId w:val="29"/>
        </w:numPr>
        <w:tabs>
          <w:tab w:pos="1113" w:val="left" w:leader="none"/>
        </w:tabs>
        <w:spacing w:line="154" w:lineRule="exact" w:before="0" w:after="0"/>
        <w:ind w:left="1112" w:right="0" w:hanging="191"/>
        <w:jc w:val="left"/>
        <w:rPr>
          <w:sz w:val="15"/>
        </w:rPr>
      </w:pPr>
      <w:r>
        <w:rPr>
          <w:w w:val="93"/>
          <w:sz w:val="15"/>
        </w:rPr>
        <w:br w:type="column"/>
      </w:r>
      <w:r>
        <w:rPr>
          <w:sz w:val="15"/>
        </w:rPr>
        <w:t>KPI</w:t>
      </w:r>
      <w:r>
        <w:rPr>
          <w:spacing w:val="-14"/>
          <w:sz w:val="15"/>
        </w:rPr>
        <w:t> </w:t>
      </w:r>
      <w:r>
        <w:rPr>
          <w:sz w:val="15"/>
        </w:rPr>
        <w:t>is</w:t>
      </w:r>
      <w:r>
        <w:rPr>
          <w:spacing w:val="-14"/>
          <w:sz w:val="15"/>
        </w:rPr>
        <w:t> </w:t>
      </w:r>
      <w:r>
        <w:rPr>
          <w:sz w:val="15"/>
        </w:rPr>
        <w:t>calculated</w:t>
      </w:r>
      <w:r>
        <w:rPr>
          <w:spacing w:val="-13"/>
          <w:sz w:val="15"/>
        </w:rPr>
        <w:t> </w:t>
      </w:r>
      <w:r>
        <w:rPr>
          <w:sz w:val="15"/>
        </w:rPr>
        <w:t>by</w:t>
      </w:r>
      <w:r>
        <w:rPr>
          <w:spacing w:val="-14"/>
          <w:sz w:val="15"/>
        </w:rPr>
        <w:t> </w:t>
      </w:r>
      <w:r>
        <w:rPr>
          <w:sz w:val="15"/>
        </w:rPr>
        <w:t>subtracting</w:t>
      </w:r>
      <w:r>
        <w:rPr>
          <w:spacing w:val="-13"/>
          <w:sz w:val="15"/>
        </w:rPr>
        <w:t> </w:t>
      </w:r>
      <w:r>
        <w:rPr>
          <w:sz w:val="15"/>
        </w:rPr>
        <w:t>the</w:t>
      </w:r>
      <w:r>
        <w:rPr>
          <w:spacing w:val="-14"/>
          <w:sz w:val="15"/>
        </w:rPr>
        <w:t> </w:t>
      </w:r>
      <w:r>
        <w:rPr>
          <w:sz w:val="15"/>
        </w:rPr>
        <w:t>operating</w:t>
      </w:r>
      <w:r>
        <w:rPr>
          <w:spacing w:val="-13"/>
          <w:sz w:val="15"/>
        </w:rPr>
        <w:t> </w:t>
      </w:r>
      <w:r>
        <w:rPr>
          <w:sz w:val="15"/>
        </w:rPr>
        <w:t>expenses</w:t>
      </w:r>
      <w:r>
        <w:rPr>
          <w:spacing w:val="-14"/>
          <w:sz w:val="15"/>
        </w:rPr>
        <w:t> </w:t>
      </w:r>
      <w:r>
        <w:rPr>
          <w:sz w:val="15"/>
        </w:rPr>
        <w:t>of</w:t>
      </w:r>
      <w:r>
        <w:rPr>
          <w:spacing w:val="-13"/>
          <w:sz w:val="15"/>
        </w:rPr>
        <w:t> </w:t>
      </w:r>
      <w:r>
        <w:rPr>
          <w:sz w:val="15"/>
        </w:rPr>
        <w:t>the</w:t>
      </w:r>
      <w:r>
        <w:rPr>
          <w:spacing w:val="-14"/>
          <w:sz w:val="15"/>
        </w:rPr>
        <w:t> </w:t>
      </w:r>
      <w:r>
        <w:rPr>
          <w:sz w:val="15"/>
        </w:rPr>
        <w:t>fleet</w:t>
      </w:r>
      <w:r>
        <w:rPr>
          <w:spacing w:val="-13"/>
          <w:sz w:val="15"/>
        </w:rPr>
        <w:t> </w:t>
      </w:r>
      <w:r>
        <w:rPr>
          <w:sz w:val="15"/>
        </w:rPr>
        <w:t>from</w:t>
      </w:r>
    </w:p>
    <w:p>
      <w:pPr>
        <w:spacing w:before="27"/>
        <w:ind w:left="1129" w:right="0" w:firstLine="0"/>
        <w:jc w:val="left"/>
        <w:rPr>
          <w:sz w:val="15"/>
        </w:rPr>
      </w:pPr>
      <w:r>
        <w:rPr>
          <w:sz w:val="15"/>
        </w:rPr>
        <w:t>the operating revenue.</w:t>
      </w:r>
    </w:p>
    <w:p>
      <w:pPr>
        <w:pStyle w:val="ListParagraph"/>
        <w:numPr>
          <w:ilvl w:val="2"/>
          <w:numId w:val="29"/>
        </w:numPr>
        <w:tabs>
          <w:tab w:pos="586" w:val="left" w:leader="none"/>
        </w:tabs>
        <w:spacing w:line="154" w:lineRule="exact" w:before="0" w:after="0"/>
        <w:ind w:left="585" w:right="0" w:hanging="200"/>
        <w:jc w:val="left"/>
        <w:rPr>
          <w:sz w:val="15"/>
        </w:rPr>
      </w:pPr>
      <w:r>
        <w:rPr>
          <w:w w:val="93"/>
          <w:sz w:val="15"/>
        </w:rPr>
        <w:br w:type="column"/>
      </w:r>
      <w:r>
        <w:rPr>
          <w:sz w:val="15"/>
        </w:rPr>
        <w:t>This</w:t>
      </w:r>
      <w:r>
        <w:rPr>
          <w:spacing w:val="-4"/>
          <w:sz w:val="15"/>
        </w:rPr>
        <w:t> </w:t>
      </w:r>
      <w:r>
        <w:rPr>
          <w:sz w:val="15"/>
        </w:rPr>
        <w:t>indicator</w:t>
      </w:r>
      <w:r>
        <w:rPr>
          <w:spacing w:val="-4"/>
          <w:sz w:val="15"/>
        </w:rPr>
        <w:t> </w:t>
      </w:r>
      <w:r>
        <w:rPr>
          <w:sz w:val="15"/>
        </w:rPr>
        <w:t>is</w:t>
      </w:r>
      <w:r>
        <w:rPr>
          <w:spacing w:val="-3"/>
          <w:sz w:val="15"/>
        </w:rPr>
        <w:t> </w:t>
      </w:r>
      <w:r>
        <w:rPr>
          <w:sz w:val="15"/>
        </w:rPr>
        <w:t>calculated</w:t>
      </w:r>
      <w:r>
        <w:rPr>
          <w:spacing w:val="-4"/>
          <w:sz w:val="15"/>
        </w:rPr>
        <w:t> </w:t>
      </w:r>
      <w:r>
        <w:rPr>
          <w:sz w:val="15"/>
        </w:rPr>
        <w:t>by</w:t>
      </w:r>
      <w:r>
        <w:rPr>
          <w:spacing w:val="-4"/>
          <w:sz w:val="15"/>
        </w:rPr>
        <w:t> </w:t>
      </w:r>
      <w:r>
        <w:rPr>
          <w:sz w:val="15"/>
        </w:rPr>
        <w:t>dividing</w:t>
      </w:r>
      <w:r>
        <w:rPr>
          <w:spacing w:val="-3"/>
          <w:sz w:val="15"/>
        </w:rPr>
        <w:t> </w:t>
      </w:r>
      <w:r>
        <w:rPr>
          <w:sz w:val="15"/>
        </w:rPr>
        <w:t>the</w:t>
      </w:r>
      <w:r>
        <w:rPr>
          <w:spacing w:val="-4"/>
          <w:sz w:val="15"/>
        </w:rPr>
        <w:t> </w:t>
      </w:r>
      <w:r>
        <w:rPr>
          <w:sz w:val="15"/>
        </w:rPr>
        <w:t>total</w:t>
      </w:r>
      <w:r>
        <w:rPr>
          <w:spacing w:val="-4"/>
          <w:sz w:val="15"/>
        </w:rPr>
        <w:t> </w:t>
      </w:r>
      <w:r>
        <w:rPr>
          <w:sz w:val="15"/>
        </w:rPr>
        <w:t>number</w:t>
      </w:r>
      <w:r>
        <w:rPr>
          <w:spacing w:val="-3"/>
          <w:sz w:val="15"/>
        </w:rPr>
        <w:t> </w:t>
      </w:r>
      <w:r>
        <w:rPr>
          <w:sz w:val="15"/>
        </w:rPr>
        <w:t>of</w:t>
      </w:r>
      <w:r>
        <w:rPr>
          <w:spacing w:val="-4"/>
          <w:sz w:val="15"/>
        </w:rPr>
        <w:t> </w:t>
      </w:r>
      <w:r>
        <w:rPr>
          <w:sz w:val="15"/>
        </w:rPr>
        <w:t>satisfied</w:t>
      </w:r>
    </w:p>
    <w:p>
      <w:pPr>
        <w:spacing w:line="278" w:lineRule="auto" w:before="27"/>
        <w:ind w:left="593" w:right="763" w:firstLine="0"/>
        <w:jc w:val="left"/>
        <w:rPr>
          <w:sz w:val="15"/>
        </w:rPr>
      </w:pPr>
      <w:r>
        <w:rPr>
          <w:sz w:val="15"/>
        </w:rPr>
        <w:t>responses by the total number of survey respondents for users of CUAs and clients of agency specific contracts (827 surveys issued; 709 responses; 86 per cent response rate; 1.4 per cent at 95 per </w:t>
      </w:r>
      <w:r>
        <w:rPr>
          <w:spacing w:val="-4"/>
          <w:sz w:val="15"/>
        </w:rPr>
        <w:t>cent </w:t>
      </w:r>
      <w:r>
        <w:rPr>
          <w:sz w:val="15"/>
        </w:rPr>
        <w:t>confidence level).</w:t>
      </w:r>
    </w:p>
    <w:p>
      <w:pPr>
        <w:spacing w:after="0" w:line="278" w:lineRule="auto"/>
        <w:jc w:val="left"/>
        <w:rPr>
          <w:sz w:val="15"/>
        </w:rPr>
        <w:sectPr>
          <w:type w:val="continuous"/>
          <w:pgSz w:w="16840" w:h="11910" w:orient="landscape"/>
          <w:pgMar w:top="1100" w:bottom="280" w:left="0" w:right="0"/>
          <w:cols w:num="3" w:equalWidth="0">
            <w:col w:w="5049" w:space="40"/>
            <w:col w:w="5740" w:space="39"/>
            <w:col w:w="5972"/>
          </w:cols>
        </w:sectPr>
      </w:pPr>
    </w:p>
    <w:p>
      <w:pPr>
        <w:pStyle w:val="BodyText"/>
        <w:spacing w:line="249" w:lineRule="auto" w:before="1"/>
        <w:ind w:left="1071" w:right="407" w:hanging="306"/>
      </w:pPr>
      <w:r>
        <w:rPr>
          <w:position w:val="-1"/>
        </w:rPr>
        <w:drawing>
          <wp:inline distT="0" distB="0" distL="0" distR="0">
            <wp:extent cx="125999" cy="125999"/>
            <wp:effectExtent l="0" t="0" r="0" b="0"/>
            <wp:docPr id="95" name="image103.png" descr=""/>
            <wp:cNvGraphicFramePr>
              <a:graphicFrameLocks noChangeAspect="1"/>
            </wp:cNvGraphicFramePr>
            <a:graphic>
              <a:graphicData uri="http://schemas.openxmlformats.org/drawingml/2006/picture">
                <pic:pic>
                  <pic:nvPicPr>
                    <pic:cNvPr id="96" name="image103.png"/>
                    <pic:cNvPicPr/>
                  </pic:nvPicPr>
                  <pic:blipFill>
                    <a:blip r:embed="rId210"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Client</w:t>
      </w:r>
      <w:r>
        <w:rPr>
          <w:spacing w:val="-27"/>
        </w:rPr>
        <w:t> </w:t>
      </w:r>
      <w:r>
        <w:rPr/>
        <w:t>agencies</w:t>
      </w:r>
      <w:r>
        <w:rPr>
          <w:spacing w:val="-27"/>
        </w:rPr>
        <w:t> </w:t>
      </w:r>
      <w:r>
        <w:rPr/>
        <w:t>agree</w:t>
      </w:r>
      <w:r>
        <w:rPr>
          <w:spacing w:val="-27"/>
        </w:rPr>
        <w:t> </w:t>
      </w:r>
      <w:r>
        <w:rPr/>
        <w:t>that</w:t>
      </w:r>
      <w:r>
        <w:rPr>
          <w:spacing w:val="-27"/>
        </w:rPr>
        <w:t> </w:t>
      </w:r>
      <w:r>
        <w:rPr/>
        <w:t>their</w:t>
      </w:r>
      <w:r>
        <w:rPr>
          <w:spacing w:val="-27"/>
        </w:rPr>
        <w:t> </w:t>
      </w:r>
      <w:r>
        <w:rPr/>
        <w:t>contracts are</w:t>
      </w:r>
      <w:r>
        <w:rPr>
          <w:spacing w:val="-27"/>
        </w:rPr>
        <w:t> </w:t>
      </w:r>
      <w:r>
        <w:rPr/>
        <w:t>awarded</w:t>
      </w:r>
      <w:r>
        <w:rPr>
          <w:spacing w:val="-27"/>
        </w:rPr>
        <w:t> </w:t>
      </w:r>
      <w:r>
        <w:rPr/>
        <w:t>on</w:t>
      </w:r>
      <w:r>
        <w:rPr>
          <w:spacing w:val="-26"/>
        </w:rPr>
        <w:t> </w:t>
      </w:r>
      <w:r>
        <w:rPr/>
        <w:t>a</w:t>
      </w:r>
      <w:r>
        <w:rPr>
          <w:spacing w:val="-27"/>
        </w:rPr>
        <w:t> </w:t>
      </w:r>
      <w:r>
        <w:rPr/>
        <w:t>value-for-money</w:t>
      </w:r>
      <w:r>
        <w:rPr>
          <w:spacing w:val="-27"/>
        </w:rPr>
        <w:t> </w:t>
      </w:r>
      <w:r>
        <w:rPr/>
        <w:t>basis;</w:t>
      </w:r>
    </w:p>
    <w:p>
      <w:pPr>
        <w:pStyle w:val="BodyText"/>
        <w:spacing w:line="249" w:lineRule="auto" w:before="2"/>
        <w:ind w:left="1071" w:right="388" w:hanging="306"/>
      </w:pPr>
      <w:r>
        <w:rPr>
          <w:position w:val="-2"/>
        </w:rPr>
        <w:drawing>
          <wp:inline distT="0" distB="0" distL="0" distR="0">
            <wp:extent cx="125999" cy="125999"/>
            <wp:effectExtent l="0" t="0" r="0" b="0"/>
            <wp:docPr id="97" name="image103.png" descr=""/>
            <wp:cNvGraphicFramePr>
              <a:graphicFrameLocks noChangeAspect="1"/>
            </wp:cNvGraphicFramePr>
            <a:graphic>
              <a:graphicData uri="http://schemas.openxmlformats.org/drawingml/2006/picture">
                <pic:pic>
                  <pic:nvPicPr>
                    <pic:cNvPr id="98" name="image103.png"/>
                    <pic:cNvPicPr/>
                  </pic:nvPicPr>
                  <pic:blipFill>
                    <a:blip r:embed="rId210"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Economies</w:t>
      </w:r>
      <w:r>
        <w:rPr>
          <w:spacing w:val="-25"/>
        </w:rPr>
        <w:t> </w:t>
      </w:r>
      <w:r>
        <w:rPr/>
        <w:t>of</w:t>
      </w:r>
      <w:r>
        <w:rPr>
          <w:spacing w:val="-25"/>
        </w:rPr>
        <w:t> </w:t>
      </w:r>
      <w:r>
        <w:rPr/>
        <w:t>scale</w:t>
      </w:r>
      <w:r>
        <w:rPr>
          <w:spacing w:val="-25"/>
        </w:rPr>
        <w:t> </w:t>
      </w:r>
      <w:r>
        <w:rPr/>
        <w:t>are</w:t>
      </w:r>
      <w:r>
        <w:rPr>
          <w:spacing w:val="-24"/>
        </w:rPr>
        <w:t> </w:t>
      </w:r>
      <w:r>
        <w:rPr/>
        <w:t>achieved</w:t>
      </w:r>
      <w:r>
        <w:rPr>
          <w:spacing w:val="-25"/>
        </w:rPr>
        <w:t> </w:t>
      </w:r>
      <w:r>
        <w:rPr>
          <w:spacing w:val="-4"/>
        </w:rPr>
        <w:t>through </w:t>
      </w:r>
      <w:r>
        <w:rPr/>
        <w:t>the aggregation of the</w:t>
      </w:r>
      <w:r>
        <w:rPr>
          <w:spacing w:val="-25"/>
        </w:rPr>
        <w:t> </w:t>
      </w:r>
      <w:r>
        <w:rPr/>
        <w:t>acquisition,</w:t>
      </w:r>
    </w:p>
    <w:p>
      <w:pPr>
        <w:pStyle w:val="BodyText"/>
        <w:spacing w:line="249" w:lineRule="auto" w:before="2"/>
        <w:ind w:left="1071" w:right="-8"/>
      </w:pPr>
      <w:r>
        <w:rPr/>
        <w:t>fleet management and disposal activities related</w:t>
      </w:r>
      <w:r>
        <w:rPr>
          <w:spacing w:val="-27"/>
        </w:rPr>
        <w:t> </w:t>
      </w:r>
      <w:r>
        <w:rPr/>
        <w:t>to</w:t>
      </w:r>
      <w:r>
        <w:rPr>
          <w:spacing w:val="-27"/>
        </w:rPr>
        <w:t> </w:t>
      </w:r>
      <w:r>
        <w:rPr/>
        <w:t>the</w:t>
      </w:r>
      <w:r>
        <w:rPr>
          <w:spacing w:val="-26"/>
        </w:rPr>
        <w:t> </w:t>
      </w:r>
      <w:r>
        <w:rPr/>
        <w:t>Government’s</w:t>
      </w:r>
      <w:r>
        <w:rPr>
          <w:spacing w:val="-27"/>
        </w:rPr>
        <w:t> </w:t>
      </w:r>
      <w:r>
        <w:rPr/>
        <w:t>light</w:t>
      </w:r>
      <w:r>
        <w:rPr>
          <w:spacing w:val="-26"/>
        </w:rPr>
        <w:t> </w:t>
      </w:r>
      <w:r>
        <w:rPr/>
        <w:t>vehicle</w:t>
      </w:r>
      <w:r>
        <w:rPr>
          <w:spacing w:val="-27"/>
        </w:rPr>
        <w:t> </w:t>
      </w:r>
      <w:r>
        <w:rPr>
          <w:spacing w:val="-4"/>
        </w:rPr>
        <w:t>fleet.</w:t>
      </w:r>
    </w:p>
    <w:p>
      <w:pPr>
        <w:pStyle w:val="ListParagraph"/>
        <w:numPr>
          <w:ilvl w:val="3"/>
          <w:numId w:val="29"/>
        </w:numPr>
        <w:tabs>
          <w:tab w:pos="888" w:val="left" w:leader="none"/>
        </w:tabs>
        <w:spacing w:line="249" w:lineRule="auto" w:before="10" w:after="0"/>
        <w:ind w:left="891" w:right="1201" w:hanging="284"/>
        <w:jc w:val="left"/>
        <w:rPr>
          <w:sz w:val="22"/>
        </w:rPr>
      </w:pPr>
      <w:r>
        <w:rPr>
          <w:w w:val="96"/>
          <w:sz w:val="22"/>
        </w:rPr>
        <w:br w:type="column"/>
      </w:r>
      <w:r>
        <w:rPr>
          <w:sz w:val="22"/>
        </w:rPr>
        <w:t>State</w:t>
      </w:r>
      <w:r>
        <w:rPr>
          <w:spacing w:val="-16"/>
          <w:sz w:val="22"/>
        </w:rPr>
        <w:t> </w:t>
      </w:r>
      <w:r>
        <w:rPr>
          <w:spacing w:val="-4"/>
          <w:sz w:val="22"/>
        </w:rPr>
        <w:t>Fleet’s</w:t>
      </w:r>
      <w:r>
        <w:rPr>
          <w:spacing w:val="-16"/>
          <w:sz w:val="22"/>
        </w:rPr>
        <w:t> </w:t>
      </w:r>
      <w:r>
        <w:rPr>
          <w:sz w:val="22"/>
        </w:rPr>
        <w:t>profitability</w:t>
      </w:r>
      <w:r>
        <w:rPr>
          <w:spacing w:val="-15"/>
          <w:sz w:val="22"/>
        </w:rPr>
        <w:t> </w:t>
      </w:r>
      <w:r>
        <w:rPr>
          <w:sz w:val="22"/>
        </w:rPr>
        <w:t>has</w:t>
      </w:r>
      <w:r>
        <w:rPr>
          <w:spacing w:val="-16"/>
          <w:sz w:val="22"/>
        </w:rPr>
        <w:t> </w:t>
      </w:r>
      <w:r>
        <w:rPr>
          <w:sz w:val="22"/>
        </w:rPr>
        <w:t>improved</w:t>
      </w:r>
      <w:r>
        <w:rPr>
          <w:spacing w:val="-15"/>
          <w:sz w:val="22"/>
        </w:rPr>
        <w:t> </w:t>
      </w:r>
      <w:r>
        <w:rPr>
          <w:sz w:val="22"/>
        </w:rPr>
        <w:t>compared</w:t>
      </w:r>
      <w:r>
        <w:rPr>
          <w:spacing w:val="-16"/>
          <w:sz w:val="22"/>
        </w:rPr>
        <w:t> </w:t>
      </w:r>
      <w:r>
        <w:rPr>
          <w:sz w:val="22"/>
        </w:rPr>
        <w:t>to</w:t>
      </w:r>
      <w:r>
        <w:rPr>
          <w:spacing w:val="-15"/>
          <w:sz w:val="22"/>
        </w:rPr>
        <w:t> </w:t>
      </w:r>
      <w:r>
        <w:rPr>
          <w:sz w:val="22"/>
        </w:rPr>
        <w:t>2017-18</w:t>
      </w:r>
      <w:r>
        <w:rPr>
          <w:spacing w:val="-16"/>
          <w:sz w:val="22"/>
        </w:rPr>
        <w:t> </w:t>
      </w:r>
      <w:r>
        <w:rPr>
          <w:sz w:val="22"/>
        </w:rPr>
        <w:t>target</w:t>
      </w:r>
      <w:r>
        <w:rPr>
          <w:spacing w:val="-16"/>
          <w:sz w:val="22"/>
        </w:rPr>
        <w:t> </w:t>
      </w:r>
      <w:r>
        <w:rPr>
          <w:sz w:val="22"/>
        </w:rPr>
        <w:t>because</w:t>
      </w:r>
      <w:r>
        <w:rPr>
          <w:spacing w:val="-15"/>
          <w:sz w:val="22"/>
        </w:rPr>
        <w:t> </w:t>
      </w:r>
      <w:r>
        <w:rPr>
          <w:sz w:val="22"/>
        </w:rPr>
        <w:t>of</w:t>
      </w:r>
      <w:r>
        <w:rPr>
          <w:spacing w:val="-16"/>
          <w:sz w:val="22"/>
        </w:rPr>
        <w:t> </w:t>
      </w:r>
      <w:r>
        <w:rPr>
          <w:sz w:val="22"/>
        </w:rPr>
        <w:t>better</w:t>
      </w:r>
      <w:r>
        <w:rPr>
          <w:spacing w:val="-15"/>
          <w:sz w:val="22"/>
        </w:rPr>
        <w:t> </w:t>
      </w:r>
      <w:r>
        <w:rPr>
          <w:sz w:val="22"/>
        </w:rPr>
        <w:t>than</w:t>
      </w:r>
      <w:r>
        <w:rPr>
          <w:spacing w:val="-16"/>
          <w:sz w:val="22"/>
        </w:rPr>
        <w:t> </w:t>
      </w:r>
      <w:r>
        <w:rPr>
          <w:spacing w:val="-3"/>
          <w:sz w:val="22"/>
        </w:rPr>
        <w:t>forecast </w:t>
      </w:r>
      <w:r>
        <w:rPr>
          <w:sz w:val="22"/>
        </w:rPr>
        <w:t>sales results from the disposal of State Fleet</w:t>
      </w:r>
      <w:r>
        <w:rPr>
          <w:spacing w:val="-22"/>
          <w:sz w:val="22"/>
        </w:rPr>
        <w:t> </w:t>
      </w:r>
      <w:r>
        <w:rPr>
          <w:sz w:val="22"/>
        </w:rPr>
        <w:t>vehicles.</w:t>
      </w:r>
    </w:p>
    <w:p>
      <w:pPr>
        <w:spacing w:after="0" w:line="249" w:lineRule="auto"/>
        <w:jc w:val="left"/>
        <w:rPr>
          <w:sz w:val="22"/>
        </w:rPr>
        <w:sectPr>
          <w:type w:val="continuous"/>
          <w:pgSz w:w="16840" w:h="11910" w:orient="landscape"/>
          <w:pgMar w:top="1100" w:bottom="280" w:left="0" w:right="0"/>
          <w:cols w:num="2" w:equalWidth="0">
            <w:col w:w="5363" w:space="40"/>
            <w:col w:w="11437"/>
          </w:cols>
        </w:sectPr>
      </w:pPr>
    </w:p>
    <w:p>
      <w:pPr>
        <w:tabs>
          <w:tab w:pos="4810" w:val="left" w:leader="none"/>
          <w:tab w:pos="9621" w:val="left" w:leader="none"/>
          <w:tab w:pos="14432" w:val="left" w:leader="none"/>
        </w:tabs>
        <w:spacing w:line="240" w:lineRule="auto"/>
        <w:ind w:left="0" w:right="-44" w:firstLine="0"/>
        <w:rPr>
          <w:sz w:val="20"/>
        </w:rPr>
      </w:pPr>
      <w:bookmarkStart w:name="_bookmark42" w:id="43"/>
      <w:bookmarkEnd w:id="43"/>
      <w:r>
        <w:rPr/>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sz w:val="20"/>
        </w:rPr>
      </w:pPr>
    </w:p>
    <w:p>
      <w:pPr>
        <w:pStyle w:val="BodyText"/>
        <w:rPr>
          <w:sz w:val="21"/>
        </w:rPr>
      </w:pPr>
    </w:p>
    <w:p>
      <w:pPr>
        <w:pStyle w:val="Heading1"/>
      </w:pPr>
      <w:r>
        <w:rPr/>
        <w:pict>
          <v:group style="position:absolute;margin-left:0pt;margin-top:-67.374214pt;width:120.3pt;height:239.35pt;mso-position-horizontal-relative:page;mso-position-vertical-relative:paragraph;z-index:-686560" coordorigin="0,-1347" coordsize="2406,4787">
            <v:shape style="position:absolute;left:0;top:-1348;width:1948;height:4787" type="#_x0000_t75" stroked="false">
              <v:imagedata r:id="rId37" o:title=""/>
            </v:shape>
            <v:rect style="position:absolute;left:0;top:-1348;width:2406;height:851" filled="true" fillcolor="#bba1bc" stroked="false">
              <v:fill type="solid"/>
            </v:rect>
            <v:line style="position:absolute" from="0,-1347" to="0,-497" stroked="true" strokeweight="0pt" strokecolor="#bba1bc">
              <v:stroke dashstyle="solid"/>
            </v:line>
            <w10:wrap type="none"/>
          </v:group>
        </w:pict>
      </w:r>
      <w:r>
        <w:rPr/>
        <w:pict>
          <v:group style="position:absolute;margin-left:481.080994pt;margin-top:-67.498230pt;width:360.85pt;height:119.85pt;mso-position-horizontal-relative:page;mso-position-vertical-relative:paragraph;z-index:-686248" coordorigin="9622,-1350" coordsize="7217,2397">
            <v:shape style="position:absolute;left:2923;top:20941;width:3553;height:2392" coordorigin="2923,20942" coordsize="3553,2392" path="m14903,-1347l15000,-1251m14793,-1347l15038,-1102m14683,-1347l15062,-968m14572,-1347l15073,-846m14462,-1347l15077,-732m14351,-1347l15074,-625m14241,-1347l15065,-524m14131,-1347l15051,-427m14020,-1347l15032,-335m13910,-1347l15010,-247m13800,-1347l14984,-163m13689,-1347l14955,-82m13579,-1347l14922,-5m13469,-1347l14886,70m13358,-1347l14848,142m13248,-1347l14806,211m13138,-1347l14763,278m13027,-1347l14716,342m12917,-1347l14667,403m12807,-1347l14616,462m12696,-1347l14562,518m12586,-1347l14506,573m12476,-1347l14448,624m12365,-1347l14387,674m12255,-1347l14323,721m12145,-1347l14257,765m12034,-1347l14189,807m11924,-1347l14117,846m11814,-1347l14043,882m11703,-1347l13966,915m11624,-1317l13886,946m11597,-1233l13802,973m11574,-1146l13715,996m11554,-1055l13624,1015m11539,-959l13529,1030m11530,-859l13428,1040m11525,-753l13322,1044m11527,-641l13210,1042m11537,-520l13089,1032m11558,-389l12958,1011m11593,-244l12813,976m11650,-77l12646,920m11750,134l12435,819e" filled="false" stroked="true" strokeweight=".25pt" strokecolor="#aebd37">
              <v:path arrowok="t"/>
              <v:stroke dashstyle="solid"/>
            </v:shape>
            <v:shape style="position:absolute;left:20;top:1562;width:1781;height:1527" coordorigin="21,1562" coordsize="1781,1527" path="m10907,60l10578,-268m11100,142l10496,-461m11239,171l10468,-600m11357,179l10460,-718m11460,172l10467,-821m11554,155l10484,-915m11640,131l10509,-1000m11718,99l10540,-1079m11791,62l10577,-1152m11859,19l10620,-1220m11921,-29l10668,-1283m11979,-82l10720,-1340m12032,-139l10823,-1347m12080,-201l10934,-1347m12123,-268l11044,-1347m12160,-342l11155,-1347m12192,-421l11265,-1347m12216,-506l11375,-1347m12234,-599l11486,-1347m12241,-703l11596,-1347m12235,-819l11706,-1347m12206,-958l11817,-1347m12126,-1149l11927,-1347e" filled="false" stroked="true" strokeweight=".25pt" strokecolor="#6f2770">
              <v:path arrowok="t"/>
              <v:stroke dashstyle="solid"/>
            </v:shape>
            <v:rect style="position:absolute;left:9621;top:-1348;width:2406;height:851" filled="true" fillcolor="#d4d896" stroked="false">
              <v:fill type="solid"/>
            </v:rect>
            <v:rect style="position:absolute;left:12026;top:-1348;width:2406;height:851" filled="true" fillcolor="#c3acc4" stroked="false">
              <v:fill type="solid"/>
            </v:rect>
            <v:rect style="position:absolute;left:14432;top:-1348;width:2406;height:851" filled="true" fillcolor="#bba1bc" stroked="false">
              <v:fill type="solid"/>
            </v:rect>
            <w10:wrap type="none"/>
          </v:group>
        </w:pict>
      </w:r>
      <w:r>
        <w:rPr/>
        <w:pict>
          <v:shape style="position:absolute;margin-left:601.348999pt;margin-top:-67.374214pt;width:120.3pt;height:42.55pt;mso-position-horizontal-relative:page;mso-position-vertical-relative:paragraph;z-index:26320"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67.374214pt;width:120.3pt;height:42.55pt;mso-position-horizontal-relative:page;mso-position-vertical-relative:paragraph;z-index:2634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636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Efficiency Indicators</w:t>
      </w:r>
    </w:p>
    <w:p>
      <w:pPr>
        <w:pStyle w:val="Heading4"/>
        <w:spacing w:before="110"/>
      </w:pPr>
      <w:r>
        <w:rPr>
          <w:color w:val="6F2770"/>
        </w:rPr>
        <w:t>Government Procurement</w:t>
      </w:r>
    </w:p>
    <w:p>
      <w:pPr>
        <w:pStyle w:val="Heading6"/>
        <w:spacing w:line="249" w:lineRule="auto" w:before="247"/>
        <w:ind w:right="1047"/>
      </w:pPr>
      <w:r>
        <w:rPr>
          <w:spacing w:val="-3"/>
        </w:rPr>
        <w:t>Service </w:t>
      </w:r>
      <w:r>
        <w:rPr/>
        <w:t>2: </w:t>
      </w:r>
      <w:r>
        <w:rPr>
          <w:spacing w:val="-3"/>
        </w:rPr>
        <w:t>Development </w:t>
      </w:r>
      <w:r>
        <w:rPr/>
        <w:t>and </w:t>
      </w:r>
      <w:r>
        <w:rPr>
          <w:spacing w:val="-3"/>
        </w:rPr>
        <w:t>management </w:t>
      </w:r>
      <w:r>
        <w:rPr/>
        <w:t>of </w:t>
      </w:r>
      <w:r>
        <w:rPr>
          <w:spacing w:val="-3"/>
        </w:rPr>
        <w:t>Common </w:t>
      </w:r>
      <w:r>
        <w:rPr/>
        <w:t>Use </w:t>
      </w:r>
      <w:r>
        <w:rPr>
          <w:spacing w:val="-3"/>
        </w:rPr>
        <w:t>Contract Arrangements, State Fleet Leasing </w:t>
      </w:r>
      <w:r>
        <w:rPr/>
        <w:t>and </w:t>
      </w:r>
      <w:r>
        <w:rPr>
          <w:spacing w:val="-3"/>
        </w:rPr>
        <w:t>Disposal </w:t>
      </w:r>
      <w:r>
        <w:rPr/>
        <w:t>and </w:t>
      </w:r>
      <w:r>
        <w:rPr>
          <w:spacing w:val="-4"/>
        </w:rPr>
        <w:t>Providing </w:t>
      </w:r>
      <w:r>
        <w:rPr>
          <w:spacing w:val="-3"/>
        </w:rPr>
        <w:t>Facilitation Service </w:t>
      </w:r>
      <w:r>
        <w:rPr/>
        <w:t>for </w:t>
      </w:r>
      <w:r>
        <w:rPr>
          <w:spacing w:val="-3"/>
        </w:rPr>
        <w:t>Agency Specific Contracts</w:t>
      </w:r>
    </w:p>
    <w:p>
      <w:pPr>
        <w:pStyle w:val="BodyText"/>
        <w:spacing w:before="1"/>
        <w:rPr>
          <w:b/>
          <w:sz w:val="23"/>
        </w:rPr>
      </w:pPr>
    </w:p>
    <w:p>
      <w:pPr>
        <w:pStyle w:val="BodyText"/>
        <w:spacing w:line="249" w:lineRule="auto"/>
        <w:ind w:left="765" w:right="1047"/>
      </w:pPr>
      <w:r>
        <w:rPr/>
        <w:t>The</w:t>
      </w:r>
      <w:r>
        <w:rPr>
          <w:spacing w:val="-29"/>
        </w:rPr>
        <w:t> </w:t>
      </w:r>
      <w:r>
        <w:rPr/>
        <w:t>Department</w:t>
      </w:r>
      <w:r>
        <w:rPr>
          <w:spacing w:val="-29"/>
        </w:rPr>
        <w:t> </w:t>
      </w:r>
      <w:r>
        <w:rPr>
          <w:spacing w:val="-3"/>
        </w:rPr>
        <w:t>provides</w:t>
      </w:r>
      <w:r>
        <w:rPr>
          <w:spacing w:val="-28"/>
        </w:rPr>
        <w:t> </w:t>
      </w:r>
      <w:r>
        <w:rPr/>
        <w:t>a</w:t>
      </w:r>
      <w:r>
        <w:rPr>
          <w:spacing w:val="-29"/>
        </w:rPr>
        <w:t> </w:t>
      </w:r>
      <w:r>
        <w:rPr/>
        <w:t>whole-of-government</w:t>
      </w:r>
      <w:r>
        <w:rPr>
          <w:spacing w:val="-29"/>
        </w:rPr>
        <w:t> </w:t>
      </w:r>
      <w:r>
        <w:rPr>
          <w:spacing w:val="-3"/>
        </w:rPr>
        <w:t>approach</w:t>
      </w:r>
      <w:r>
        <w:rPr>
          <w:spacing w:val="-28"/>
        </w:rPr>
        <w:t> </w:t>
      </w:r>
      <w:r>
        <w:rPr/>
        <w:t>to</w:t>
      </w:r>
      <w:r>
        <w:rPr>
          <w:spacing w:val="-29"/>
        </w:rPr>
        <w:t> </w:t>
      </w:r>
      <w:r>
        <w:rPr>
          <w:spacing w:val="-3"/>
        </w:rPr>
        <w:t>procurement</w:t>
      </w:r>
      <w:r>
        <w:rPr>
          <w:spacing w:val="-28"/>
        </w:rPr>
        <w:t> </w:t>
      </w:r>
      <w:r>
        <w:rPr/>
        <w:t>that</w:t>
      </w:r>
      <w:r>
        <w:rPr>
          <w:spacing w:val="-29"/>
        </w:rPr>
        <w:t> </w:t>
      </w:r>
      <w:r>
        <w:rPr>
          <w:spacing w:val="-3"/>
        </w:rPr>
        <w:t>efficiently</w:t>
      </w:r>
      <w:r>
        <w:rPr>
          <w:spacing w:val="-29"/>
        </w:rPr>
        <w:t> </w:t>
      </w:r>
      <w:r>
        <w:rPr/>
        <w:t>meets</w:t>
      </w:r>
      <w:r>
        <w:rPr>
          <w:spacing w:val="-28"/>
        </w:rPr>
        <w:t> </w:t>
      </w:r>
      <w:r>
        <w:rPr/>
        <w:t>the</w:t>
      </w:r>
      <w:r>
        <w:rPr>
          <w:spacing w:val="-29"/>
        </w:rPr>
        <w:t> </w:t>
      </w:r>
      <w:r>
        <w:rPr/>
        <w:t>business</w:t>
      </w:r>
      <w:r>
        <w:rPr>
          <w:spacing w:val="-28"/>
        </w:rPr>
        <w:t> </w:t>
      </w:r>
      <w:r>
        <w:rPr/>
        <w:t>needs</w:t>
      </w:r>
      <w:r>
        <w:rPr>
          <w:spacing w:val="-29"/>
        </w:rPr>
        <w:t> </w:t>
      </w:r>
      <w:r>
        <w:rPr/>
        <w:t>of</w:t>
      </w:r>
      <w:r>
        <w:rPr>
          <w:spacing w:val="-29"/>
        </w:rPr>
        <w:t> </w:t>
      </w:r>
      <w:r>
        <w:rPr/>
        <w:t>government</w:t>
      </w:r>
      <w:r>
        <w:rPr>
          <w:spacing w:val="-28"/>
        </w:rPr>
        <w:t> </w:t>
      </w:r>
      <w:r>
        <w:rPr/>
        <w:t>agencies,</w:t>
      </w:r>
      <w:r>
        <w:rPr>
          <w:spacing w:val="-29"/>
        </w:rPr>
        <w:t> </w:t>
      </w:r>
      <w:r>
        <w:rPr/>
        <w:t>manages</w:t>
      </w:r>
      <w:r>
        <w:rPr>
          <w:spacing w:val="-29"/>
        </w:rPr>
        <w:t> </w:t>
      </w:r>
      <w:r>
        <w:rPr/>
        <w:t>risk</w:t>
      </w:r>
      <w:r>
        <w:rPr>
          <w:spacing w:val="-28"/>
        </w:rPr>
        <w:t> </w:t>
      </w:r>
      <w:r>
        <w:rPr>
          <w:spacing w:val="-2"/>
        </w:rPr>
        <w:t>and </w:t>
      </w:r>
      <w:r>
        <w:rPr/>
        <w:t>delivers</w:t>
      </w:r>
      <w:r>
        <w:rPr>
          <w:spacing w:val="-4"/>
        </w:rPr>
        <w:t> value-for-money.</w:t>
      </w:r>
    </w:p>
    <w:p>
      <w:pPr>
        <w:pStyle w:val="BodyText"/>
        <w:spacing w:before="1"/>
        <w:rPr>
          <w:sz w:val="23"/>
        </w:rPr>
      </w:pPr>
    </w:p>
    <w:p>
      <w:pPr>
        <w:pStyle w:val="BodyText"/>
        <w:spacing w:line="249" w:lineRule="auto"/>
        <w:ind w:left="765" w:right="1047"/>
      </w:pPr>
      <w:r>
        <w:rPr/>
        <w:t>In</w:t>
      </w:r>
      <w:r>
        <w:rPr>
          <w:spacing w:val="-29"/>
        </w:rPr>
        <w:t> </w:t>
      </w:r>
      <w:r>
        <w:rPr/>
        <w:t>facilitating</w:t>
      </w:r>
      <w:r>
        <w:rPr>
          <w:spacing w:val="-29"/>
        </w:rPr>
        <w:t> </w:t>
      </w:r>
      <w:r>
        <w:rPr/>
        <w:t>the</w:t>
      </w:r>
      <w:r>
        <w:rPr>
          <w:spacing w:val="-29"/>
        </w:rPr>
        <w:t> </w:t>
      </w:r>
      <w:r>
        <w:rPr/>
        <w:t>development</w:t>
      </w:r>
      <w:r>
        <w:rPr>
          <w:spacing w:val="-29"/>
        </w:rPr>
        <w:t> </w:t>
      </w:r>
      <w:r>
        <w:rPr/>
        <w:t>and</w:t>
      </w:r>
      <w:r>
        <w:rPr>
          <w:spacing w:val="-29"/>
        </w:rPr>
        <w:t> </w:t>
      </w:r>
      <w:r>
        <w:rPr/>
        <w:t>management</w:t>
      </w:r>
      <w:r>
        <w:rPr>
          <w:spacing w:val="-29"/>
        </w:rPr>
        <w:t> </w:t>
      </w:r>
      <w:r>
        <w:rPr/>
        <w:t>of</w:t>
      </w:r>
      <w:r>
        <w:rPr>
          <w:spacing w:val="-29"/>
        </w:rPr>
        <w:t> </w:t>
      </w:r>
      <w:r>
        <w:rPr/>
        <w:t>client</w:t>
      </w:r>
      <w:r>
        <w:rPr>
          <w:spacing w:val="-29"/>
        </w:rPr>
        <w:t> </w:t>
      </w:r>
      <w:r>
        <w:rPr/>
        <w:t>agency</w:t>
      </w:r>
      <w:r>
        <w:rPr>
          <w:spacing w:val="-28"/>
        </w:rPr>
        <w:t> </w:t>
      </w:r>
      <w:r>
        <w:rPr/>
        <w:t>contracts,</w:t>
      </w:r>
      <w:r>
        <w:rPr>
          <w:spacing w:val="-29"/>
        </w:rPr>
        <w:t> </w:t>
      </w:r>
      <w:r>
        <w:rPr/>
        <w:t>State</w:t>
      </w:r>
      <w:r>
        <w:rPr>
          <w:spacing w:val="-29"/>
        </w:rPr>
        <w:t> </w:t>
      </w:r>
      <w:r>
        <w:rPr/>
        <w:t>Fleet</w:t>
      </w:r>
      <w:r>
        <w:rPr>
          <w:spacing w:val="-29"/>
        </w:rPr>
        <w:t> </w:t>
      </w:r>
      <w:r>
        <w:rPr/>
        <w:t>and</w:t>
      </w:r>
      <w:r>
        <w:rPr>
          <w:spacing w:val="-29"/>
        </w:rPr>
        <w:t> </w:t>
      </w:r>
      <w:r>
        <w:rPr/>
        <w:t>CUAs,</w:t>
      </w:r>
      <w:r>
        <w:rPr>
          <w:spacing w:val="-29"/>
        </w:rPr>
        <w:t> </w:t>
      </w:r>
      <w:r>
        <w:rPr/>
        <w:t>the</w:t>
      </w:r>
      <w:r>
        <w:rPr>
          <w:spacing w:val="-29"/>
        </w:rPr>
        <w:t> </w:t>
      </w:r>
      <w:r>
        <w:rPr/>
        <w:t>Department</w:t>
      </w:r>
      <w:r>
        <w:rPr>
          <w:spacing w:val="-29"/>
        </w:rPr>
        <w:t> </w:t>
      </w:r>
      <w:r>
        <w:rPr/>
        <w:t>needs</w:t>
      </w:r>
      <w:r>
        <w:rPr>
          <w:spacing w:val="-28"/>
        </w:rPr>
        <w:t> </w:t>
      </w:r>
      <w:r>
        <w:rPr/>
        <w:t>to</w:t>
      </w:r>
      <w:r>
        <w:rPr>
          <w:spacing w:val="-29"/>
        </w:rPr>
        <w:t> </w:t>
      </w:r>
      <w:r>
        <w:rPr>
          <w:spacing w:val="-3"/>
        </w:rPr>
        <w:t>effectively</w:t>
      </w:r>
      <w:r>
        <w:rPr>
          <w:spacing w:val="-29"/>
        </w:rPr>
        <w:t> </w:t>
      </w:r>
      <w:r>
        <w:rPr/>
        <w:t>manage</w:t>
      </w:r>
      <w:r>
        <w:rPr>
          <w:spacing w:val="-29"/>
        </w:rPr>
        <w:t> </w:t>
      </w:r>
      <w:r>
        <w:rPr/>
        <w:t>the</w:t>
      </w:r>
      <w:r>
        <w:rPr>
          <w:spacing w:val="-29"/>
        </w:rPr>
        <w:t> </w:t>
      </w:r>
      <w:r>
        <w:rPr/>
        <w:t>cost</w:t>
      </w:r>
      <w:r>
        <w:rPr>
          <w:spacing w:val="-29"/>
        </w:rPr>
        <w:t> </w:t>
      </w:r>
      <w:r>
        <w:rPr/>
        <w:t>of delivering this service which </w:t>
      </w:r>
      <w:r>
        <w:rPr>
          <w:spacing w:val="-3"/>
        </w:rPr>
        <w:t>ensures </w:t>
      </w:r>
      <w:r>
        <w:rPr/>
        <w:t>agencies achieve </w:t>
      </w:r>
      <w:r>
        <w:rPr>
          <w:spacing w:val="-3"/>
        </w:rPr>
        <w:t>value-for-money</w:t>
      </w:r>
      <w:r>
        <w:rPr>
          <w:spacing w:val="-45"/>
        </w:rPr>
        <w:t> </w:t>
      </w:r>
      <w:r>
        <w:rPr/>
        <w:t>outcomes.</w:t>
      </w:r>
    </w:p>
    <w:p>
      <w:pPr>
        <w:pStyle w:val="BodyText"/>
        <w:spacing w:before="1"/>
        <w:rPr>
          <w:sz w:val="23"/>
        </w:rPr>
      </w:pPr>
    </w:p>
    <w:p>
      <w:pPr>
        <w:pStyle w:val="BodyText"/>
        <w:spacing w:line="249" w:lineRule="auto" w:before="1"/>
        <w:ind w:left="765" w:right="799"/>
      </w:pPr>
      <w:r>
        <w:rPr/>
        <w:t>The</w:t>
      </w:r>
      <w:r>
        <w:rPr>
          <w:spacing w:val="-22"/>
        </w:rPr>
        <w:t> </w:t>
      </w:r>
      <w:r>
        <w:rPr/>
        <w:t>Department</w:t>
      </w:r>
      <w:r>
        <w:rPr>
          <w:spacing w:val="-22"/>
        </w:rPr>
        <w:t> </w:t>
      </w:r>
      <w:r>
        <w:rPr/>
        <w:t>is</w:t>
      </w:r>
      <w:r>
        <w:rPr>
          <w:spacing w:val="-22"/>
        </w:rPr>
        <w:t> </w:t>
      </w:r>
      <w:r>
        <w:rPr>
          <w:spacing w:val="-3"/>
        </w:rPr>
        <w:t>responsible</w:t>
      </w:r>
      <w:r>
        <w:rPr>
          <w:spacing w:val="-22"/>
        </w:rPr>
        <w:t> </w:t>
      </w:r>
      <w:r>
        <w:rPr/>
        <w:t>for</w:t>
      </w:r>
      <w:r>
        <w:rPr>
          <w:spacing w:val="-22"/>
        </w:rPr>
        <w:t> </w:t>
      </w:r>
      <w:r>
        <w:rPr/>
        <w:t>managing</w:t>
      </w:r>
      <w:r>
        <w:rPr>
          <w:spacing w:val="-21"/>
        </w:rPr>
        <w:t> </w:t>
      </w:r>
      <w:r>
        <w:rPr/>
        <w:t>the</w:t>
      </w:r>
      <w:r>
        <w:rPr>
          <w:spacing w:val="-22"/>
        </w:rPr>
        <w:t> </w:t>
      </w:r>
      <w:r>
        <w:rPr>
          <w:spacing w:val="-6"/>
        </w:rPr>
        <w:t>State’s</w:t>
      </w:r>
      <w:r>
        <w:rPr>
          <w:spacing w:val="-22"/>
        </w:rPr>
        <w:t> </w:t>
      </w:r>
      <w:r>
        <w:rPr/>
        <w:t>vehicle</w:t>
      </w:r>
      <w:r>
        <w:rPr>
          <w:spacing w:val="-22"/>
        </w:rPr>
        <w:t> </w:t>
      </w:r>
      <w:r>
        <w:rPr/>
        <w:t>fleet</w:t>
      </w:r>
      <w:r>
        <w:rPr>
          <w:spacing w:val="-22"/>
        </w:rPr>
        <w:t> </w:t>
      </w:r>
      <w:r>
        <w:rPr/>
        <w:t>to</w:t>
      </w:r>
      <w:r>
        <w:rPr>
          <w:spacing w:val="-21"/>
        </w:rPr>
        <w:t> </w:t>
      </w:r>
      <w:r>
        <w:rPr>
          <w:spacing w:val="-3"/>
        </w:rPr>
        <w:t>ensure</w:t>
      </w:r>
      <w:r>
        <w:rPr>
          <w:spacing w:val="-22"/>
        </w:rPr>
        <w:t> </w:t>
      </w:r>
      <w:r>
        <w:rPr/>
        <w:t>an</w:t>
      </w:r>
      <w:r>
        <w:rPr>
          <w:spacing w:val="-22"/>
        </w:rPr>
        <w:t> </w:t>
      </w:r>
      <w:r>
        <w:rPr>
          <w:spacing w:val="-3"/>
        </w:rPr>
        <w:t>efficient</w:t>
      </w:r>
      <w:r>
        <w:rPr>
          <w:spacing w:val="-22"/>
        </w:rPr>
        <w:t> </w:t>
      </w:r>
      <w:r>
        <w:rPr/>
        <w:t>and</w:t>
      </w:r>
      <w:r>
        <w:rPr>
          <w:spacing w:val="-22"/>
        </w:rPr>
        <w:t> </w:t>
      </w:r>
      <w:r>
        <w:rPr>
          <w:spacing w:val="-3"/>
        </w:rPr>
        <w:t>effective</w:t>
      </w:r>
      <w:r>
        <w:rPr>
          <w:spacing w:val="-21"/>
        </w:rPr>
        <w:t> </w:t>
      </w:r>
      <w:r>
        <w:rPr/>
        <w:t>use</w:t>
      </w:r>
      <w:r>
        <w:rPr>
          <w:spacing w:val="-22"/>
        </w:rPr>
        <w:t> </w:t>
      </w:r>
      <w:r>
        <w:rPr/>
        <w:t>of</w:t>
      </w:r>
      <w:r>
        <w:rPr>
          <w:spacing w:val="-22"/>
        </w:rPr>
        <w:t> </w:t>
      </w:r>
      <w:r>
        <w:rPr/>
        <w:t>government</w:t>
      </w:r>
      <w:r>
        <w:rPr>
          <w:spacing w:val="-22"/>
        </w:rPr>
        <w:t> </w:t>
      </w:r>
      <w:r>
        <w:rPr/>
        <w:t>vehicles</w:t>
      </w:r>
      <w:r>
        <w:rPr>
          <w:spacing w:val="-22"/>
        </w:rPr>
        <w:t> </w:t>
      </w:r>
      <w:r>
        <w:rPr/>
        <w:t>with</w:t>
      </w:r>
      <w:r>
        <w:rPr>
          <w:spacing w:val="-21"/>
        </w:rPr>
        <w:t> </w:t>
      </w:r>
      <w:r>
        <w:rPr/>
        <w:t>particular</w:t>
      </w:r>
      <w:r>
        <w:rPr>
          <w:spacing w:val="-22"/>
        </w:rPr>
        <w:t> </w:t>
      </w:r>
      <w:r>
        <w:rPr/>
        <w:t>focus</w:t>
      </w:r>
      <w:r>
        <w:rPr>
          <w:spacing w:val="-22"/>
        </w:rPr>
        <w:t> </w:t>
      </w:r>
      <w:r>
        <w:rPr/>
        <w:t>on</w:t>
      </w:r>
      <w:r>
        <w:rPr>
          <w:spacing w:val="-22"/>
        </w:rPr>
        <w:t> </w:t>
      </w:r>
      <w:r>
        <w:rPr>
          <w:spacing w:val="-2"/>
        </w:rPr>
        <w:t>the </w:t>
      </w:r>
      <w:r>
        <w:rPr/>
        <w:t>delivery</w:t>
      </w:r>
      <w:r>
        <w:rPr>
          <w:spacing w:val="-34"/>
        </w:rPr>
        <w:t> </w:t>
      </w:r>
      <w:r>
        <w:rPr/>
        <w:t>of</w:t>
      </w:r>
      <w:r>
        <w:rPr>
          <w:spacing w:val="-34"/>
        </w:rPr>
        <w:t> </w:t>
      </w:r>
      <w:r>
        <w:rPr/>
        <w:t>a</w:t>
      </w:r>
      <w:r>
        <w:rPr>
          <w:spacing w:val="-34"/>
        </w:rPr>
        <w:t> </w:t>
      </w:r>
      <w:r>
        <w:rPr/>
        <w:t>sustainable</w:t>
      </w:r>
      <w:r>
        <w:rPr>
          <w:spacing w:val="-34"/>
        </w:rPr>
        <w:t> </w:t>
      </w:r>
      <w:r>
        <w:rPr/>
        <w:t>vehicle</w:t>
      </w:r>
      <w:r>
        <w:rPr>
          <w:spacing w:val="-33"/>
        </w:rPr>
        <w:t> </w:t>
      </w:r>
      <w:r>
        <w:rPr/>
        <w:t>fleet.</w:t>
      </w:r>
      <w:r>
        <w:rPr>
          <w:spacing w:val="-34"/>
        </w:rPr>
        <w:t> </w:t>
      </w:r>
      <w:r>
        <w:rPr/>
        <w:t>The</w:t>
      </w:r>
      <w:r>
        <w:rPr>
          <w:spacing w:val="-34"/>
        </w:rPr>
        <w:t> </w:t>
      </w:r>
      <w:r>
        <w:rPr/>
        <w:t>indicator</w:t>
      </w:r>
      <w:r>
        <w:rPr>
          <w:spacing w:val="-34"/>
        </w:rPr>
        <w:t> </w:t>
      </w:r>
      <w:r>
        <w:rPr/>
        <w:t>demonstrates</w:t>
      </w:r>
      <w:r>
        <w:rPr>
          <w:spacing w:val="-33"/>
        </w:rPr>
        <w:t> </w:t>
      </w:r>
      <w:r>
        <w:rPr/>
        <w:t>the</w:t>
      </w:r>
      <w:r>
        <w:rPr>
          <w:spacing w:val="-34"/>
        </w:rPr>
        <w:t> </w:t>
      </w:r>
      <w:r>
        <w:rPr>
          <w:spacing w:val="-3"/>
        </w:rPr>
        <w:t>efficiency</w:t>
      </w:r>
      <w:r>
        <w:rPr>
          <w:spacing w:val="-34"/>
        </w:rPr>
        <w:t> </w:t>
      </w:r>
      <w:r>
        <w:rPr/>
        <w:t>of</w:t>
      </w:r>
      <w:r>
        <w:rPr>
          <w:spacing w:val="-34"/>
        </w:rPr>
        <w:t> </w:t>
      </w:r>
      <w:r>
        <w:rPr/>
        <w:t>managing</w:t>
      </w:r>
      <w:r>
        <w:rPr>
          <w:spacing w:val="-34"/>
        </w:rPr>
        <w:t> </w:t>
      </w:r>
      <w:r>
        <w:rPr/>
        <w:t>the</w:t>
      </w:r>
      <w:r>
        <w:rPr>
          <w:spacing w:val="-33"/>
        </w:rPr>
        <w:t> </w:t>
      </w:r>
      <w:r>
        <w:rPr/>
        <w:t>financing</w:t>
      </w:r>
      <w:r>
        <w:rPr>
          <w:spacing w:val="-34"/>
        </w:rPr>
        <w:t> </w:t>
      </w:r>
      <w:r>
        <w:rPr/>
        <w:t>and</w:t>
      </w:r>
      <w:r>
        <w:rPr>
          <w:spacing w:val="-34"/>
        </w:rPr>
        <w:t> </w:t>
      </w:r>
      <w:r>
        <w:rPr/>
        <w:t>administration</w:t>
      </w:r>
      <w:r>
        <w:rPr>
          <w:spacing w:val="-34"/>
        </w:rPr>
        <w:t> </w:t>
      </w:r>
      <w:r>
        <w:rPr/>
        <w:t>of</w:t>
      </w:r>
      <w:r>
        <w:rPr>
          <w:spacing w:val="-33"/>
        </w:rPr>
        <w:t> </w:t>
      </w:r>
      <w:r>
        <w:rPr/>
        <w:t>the</w:t>
      </w:r>
      <w:r>
        <w:rPr>
          <w:spacing w:val="-34"/>
        </w:rPr>
        <w:t> </w:t>
      </w:r>
      <w:r>
        <w:rPr>
          <w:spacing w:val="-4"/>
        </w:rPr>
        <w:t>Government’s</w:t>
      </w:r>
      <w:r>
        <w:rPr>
          <w:spacing w:val="-34"/>
        </w:rPr>
        <w:t> </w:t>
      </w:r>
      <w:r>
        <w:rPr/>
        <w:t>light</w:t>
      </w:r>
      <w:r>
        <w:rPr>
          <w:spacing w:val="-34"/>
        </w:rPr>
        <w:t> </w:t>
      </w:r>
      <w:r>
        <w:rPr/>
        <w:t>vehicle</w:t>
      </w:r>
      <w:r>
        <w:rPr>
          <w:spacing w:val="-34"/>
        </w:rPr>
        <w:t> </w:t>
      </w:r>
      <w:r>
        <w:rPr>
          <w:spacing w:val="-2"/>
        </w:rPr>
        <w:t>fleet.</w:t>
      </w:r>
    </w:p>
    <w:p>
      <w:pPr>
        <w:pStyle w:val="BodyText"/>
        <w:spacing w:before="1"/>
        <w:rPr>
          <w:sz w:val="14"/>
        </w:rPr>
      </w:pPr>
    </w:p>
    <w:p>
      <w:pPr>
        <w:spacing w:after="0"/>
        <w:rPr>
          <w:sz w:val="14"/>
        </w:rPr>
        <w:sectPr>
          <w:footerReference w:type="default" r:id="rId211"/>
          <w:pgSz w:w="16840" w:h="11910" w:orient="landscape"/>
          <w:pgMar w:footer="0" w:header="0" w:top="0" w:bottom="0" w:left="0" w:right="0"/>
        </w:sectPr>
      </w:pPr>
    </w:p>
    <w:p>
      <w:pPr>
        <w:pStyle w:val="Heading6"/>
        <w:spacing w:line="260" w:lineRule="atLeast" w:before="101"/>
        <w:ind w:right="206"/>
        <w:rPr>
          <w:sz w:val="10"/>
        </w:rPr>
      </w:pPr>
      <w:r>
        <w:rPr/>
        <w:t>Average administrative cost per vehicle for financing and managing the State </w:t>
      </w:r>
      <w:r>
        <w:rPr>
          <w:spacing w:val="-4"/>
        </w:rPr>
        <w:t>Fleet </w:t>
      </w:r>
      <w:r>
        <w:rPr/>
        <w:t>service ($)</w:t>
      </w:r>
      <w:r>
        <w:rPr>
          <w:spacing w:val="-35"/>
        </w:rPr>
        <w:t> </w:t>
      </w:r>
      <w:r>
        <w:rPr>
          <w:position w:val="8"/>
          <w:sz w:val="10"/>
        </w:rPr>
        <w:t>(a)</w:t>
      </w:r>
    </w:p>
    <w:p>
      <w:pPr>
        <w:tabs>
          <w:tab w:pos="922" w:val="left" w:leader="none"/>
        </w:tabs>
        <w:spacing w:line="120" w:lineRule="auto" w:before="0"/>
        <w:ind w:left="0" w:right="0" w:firstLine="0"/>
        <w:jc w:val="right"/>
        <w:rPr>
          <w:b/>
          <w:sz w:val="10"/>
        </w:rPr>
      </w:pPr>
      <w:r>
        <w:rPr>
          <w:b/>
          <w:color w:val="6F2770"/>
          <w:sz w:val="19"/>
        </w:rPr>
        <w:t>118</w:t>
        <w:tab/>
      </w:r>
      <w:r>
        <w:rPr>
          <w:b/>
          <w:color w:val="360F41"/>
          <w:position w:val="-8"/>
          <w:sz w:val="19"/>
        </w:rPr>
        <w:t>112</w:t>
      </w:r>
      <w:r>
        <w:rPr>
          <w:b/>
          <w:color w:val="360F41"/>
          <w:spacing w:val="-8"/>
          <w:position w:val="-8"/>
          <w:sz w:val="19"/>
        </w:rPr>
        <w:t> </w:t>
      </w:r>
      <w:r>
        <w:rPr>
          <w:b/>
          <w:color w:val="360F41"/>
          <w:position w:val="-2"/>
          <w:sz w:val="10"/>
        </w:rPr>
        <w:t>(1)</w:t>
      </w:r>
    </w:p>
    <w:p>
      <w:pPr>
        <w:spacing w:line="159" w:lineRule="exact" w:before="8"/>
        <w:ind w:left="2996" w:right="2077" w:firstLine="0"/>
        <w:jc w:val="center"/>
        <w:rPr>
          <w:b/>
          <w:sz w:val="19"/>
        </w:rPr>
      </w:pPr>
      <w:r>
        <w:rPr/>
        <w:pict>
          <v:rect style="position:absolute;margin-left:189.462997pt;margin-top:-.470117pt;width:40.186pt;height:86.492pt;mso-position-horizontal-relative:page;mso-position-vertical-relative:paragraph;z-index:26032" filled="true" fillcolor="#a682a6" stroked="false">
            <v:fill type="solid"/>
            <w10:wrap type="none"/>
          </v:rect>
        </w:pict>
      </w:r>
      <w:r>
        <w:rPr/>
        <w:pict>
          <v:rect style="position:absolute;margin-left:239.776993pt;margin-top:4.529883pt;width:40.186pt;height:81.492pt;mso-position-horizontal-relative:page;mso-position-vertical-relative:paragraph;z-index:26056" filled="true" fillcolor="#806b85" stroked="false">
            <v:fill type="solid"/>
            <w10:wrap type="none"/>
          </v:rect>
        </w:pict>
      </w:r>
      <w:r>
        <w:rPr>
          <w:b/>
          <w:color w:val="475B29"/>
          <w:sz w:val="19"/>
        </w:rPr>
        <w:t>104</w:t>
      </w:r>
    </w:p>
    <w:p>
      <w:pPr>
        <w:pStyle w:val="Heading6"/>
        <w:spacing w:line="249" w:lineRule="auto" w:before="108"/>
        <w:ind w:left="539" w:right="419"/>
      </w:pPr>
      <w:r>
        <w:rPr>
          <w:b w:val="0"/>
        </w:rPr>
        <w:br w:type="column"/>
      </w:r>
      <w:r>
        <w:rPr/>
        <w:t>Cost of developing and managing whole-of-government CUAs as a percentage of the total annual value of</w:t>
      </w:r>
    </w:p>
    <w:p>
      <w:pPr>
        <w:spacing w:before="3"/>
        <w:ind w:left="539" w:right="0" w:firstLine="0"/>
        <w:jc w:val="left"/>
        <w:rPr>
          <w:b/>
          <w:sz w:val="10"/>
        </w:rPr>
      </w:pPr>
      <w:r>
        <w:rPr>
          <w:b/>
          <w:sz w:val="22"/>
        </w:rPr>
        <w:t>purchases through the arrangements (%)</w:t>
      </w:r>
      <w:r>
        <w:rPr>
          <w:b/>
          <w:spacing w:val="-36"/>
          <w:sz w:val="22"/>
        </w:rPr>
        <w:t> </w:t>
      </w:r>
      <w:r>
        <w:rPr>
          <w:b/>
          <w:spacing w:val="-7"/>
          <w:position w:val="8"/>
          <w:sz w:val="10"/>
        </w:rPr>
        <w:t>(b)</w:t>
      </w:r>
    </w:p>
    <w:p>
      <w:pPr>
        <w:spacing w:line="249" w:lineRule="auto" w:before="108"/>
        <w:ind w:left="749" w:right="764" w:firstLine="0"/>
        <w:jc w:val="left"/>
        <w:rPr>
          <w:b/>
          <w:sz w:val="10"/>
        </w:rPr>
      </w:pPr>
      <w:r>
        <w:rPr/>
        <w:br w:type="column"/>
      </w:r>
      <w:r>
        <w:rPr>
          <w:b/>
          <w:sz w:val="22"/>
        </w:rPr>
        <w:t>Cost of facilitating the development </w:t>
      </w:r>
      <w:r>
        <w:rPr>
          <w:b/>
          <w:spacing w:val="-2"/>
          <w:sz w:val="22"/>
        </w:rPr>
        <w:t>and </w:t>
      </w:r>
      <w:r>
        <w:rPr>
          <w:b/>
          <w:sz w:val="22"/>
        </w:rPr>
        <w:t>management of agency specific contracts as a </w:t>
      </w:r>
      <w:r>
        <w:rPr>
          <w:b/>
          <w:spacing w:val="-3"/>
          <w:sz w:val="22"/>
        </w:rPr>
        <w:t>percentage </w:t>
      </w:r>
      <w:r>
        <w:rPr>
          <w:b/>
          <w:sz w:val="22"/>
        </w:rPr>
        <w:t>of the contract </w:t>
      </w:r>
      <w:r>
        <w:rPr>
          <w:b/>
          <w:spacing w:val="-3"/>
          <w:sz w:val="22"/>
        </w:rPr>
        <w:t>award </w:t>
      </w:r>
      <w:r>
        <w:rPr>
          <w:b/>
          <w:sz w:val="22"/>
        </w:rPr>
        <w:t>value (%)</w:t>
      </w:r>
      <w:r>
        <w:rPr>
          <w:b/>
          <w:spacing w:val="-20"/>
          <w:sz w:val="22"/>
        </w:rPr>
        <w:t> </w:t>
      </w:r>
      <w:r>
        <w:rPr>
          <w:b/>
          <w:position w:val="8"/>
          <w:sz w:val="10"/>
        </w:rPr>
        <w:t>(c)</w:t>
      </w:r>
    </w:p>
    <w:p>
      <w:pPr>
        <w:tabs>
          <w:tab w:pos="2009" w:val="left" w:leader="none"/>
          <w:tab w:pos="3026" w:val="left" w:leader="none"/>
        </w:tabs>
        <w:spacing w:line="108" w:lineRule="auto" w:before="110"/>
        <w:ind w:left="1013" w:right="0" w:firstLine="0"/>
        <w:jc w:val="left"/>
        <w:rPr>
          <w:b/>
          <w:sz w:val="19"/>
        </w:rPr>
      </w:pPr>
      <w:r>
        <w:rPr/>
        <w:pict>
          <v:rect style="position:absolute;margin-left:562.677002pt;margin-top:17.233013pt;width:40.186pt;height:77.949pt;mso-position-horizontal-relative:page;mso-position-vertical-relative:paragraph;z-index:26128" filled="true" fillcolor="#e3e5bd" stroked="false">
            <v:fill type="solid"/>
            <w10:wrap type="none"/>
          </v:rect>
        </w:pict>
      </w:r>
      <w:r>
        <w:rPr/>
        <w:pict>
          <v:rect style="position:absolute;margin-left:612.491028pt;margin-top:25.002014pt;width:40.186pt;height:70.430pt;mso-position-horizontal-relative:page;mso-position-vertical-relative:paragraph;z-index:26152" filled="true" fillcolor="#e3e5bd" stroked="false">
            <v:fill type="solid"/>
            <w10:wrap type="none"/>
          </v:rect>
        </w:pict>
      </w:r>
      <w:r>
        <w:rPr/>
        <w:pict>
          <v:rect style="position:absolute;margin-left:662.807983pt;margin-top:20.002014pt;width:40.186pt;height:75.430pt;mso-position-horizontal-relative:page;mso-position-vertical-relative:paragraph;z-index:26176" filled="true" fillcolor="#e3e5bd" stroked="false">
            <v:fill type="solid"/>
            <w10:wrap type="none"/>
          </v:rect>
        </w:pict>
      </w:r>
      <w:r>
        <w:rPr/>
        <w:pict>
          <v:rect style="position:absolute;margin-left:712.620972pt;margin-top:31.002014pt;width:40.186pt;height:64.430000pt;mso-position-horizontal-relative:page;mso-position-vertical-relative:paragraph;z-index:-686296" filled="true" fillcolor="#a682a6" stroked="false">
            <v:fill type="solid"/>
            <w10:wrap type="none"/>
          </v:rect>
        </w:pict>
      </w:r>
      <w:r>
        <w:rPr>
          <w:b/>
          <w:color w:val="475B29"/>
          <w:sz w:val="19"/>
        </w:rPr>
        <w:t>2.1</w:t>
        <w:tab/>
      </w:r>
      <w:r>
        <w:rPr>
          <w:b/>
          <w:color w:val="475B29"/>
          <w:position w:val="-13"/>
          <w:sz w:val="19"/>
        </w:rPr>
        <w:t>1.9</w:t>
        <w:tab/>
      </w:r>
      <w:r>
        <w:rPr>
          <w:b/>
          <w:color w:val="475B29"/>
          <w:position w:val="-5"/>
          <w:sz w:val="19"/>
        </w:rPr>
        <w:t>2.0</w:t>
      </w:r>
    </w:p>
    <w:p>
      <w:pPr>
        <w:spacing w:after="0" w:line="108" w:lineRule="auto"/>
        <w:jc w:val="left"/>
        <w:rPr>
          <w:sz w:val="19"/>
        </w:rPr>
        <w:sectPr>
          <w:type w:val="continuous"/>
          <w:pgSz w:w="16840" w:h="11910" w:orient="landscape"/>
          <w:pgMar w:top="1100" w:bottom="280" w:left="0" w:right="0"/>
          <w:cols w:num="3" w:equalWidth="0">
            <w:col w:w="5430" w:space="40"/>
            <w:col w:w="4995" w:space="39"/>
            <w:col w:w="6336"/>
          </w:cols>
        </w:sectPr>
      </w:pPr>
    </w:p>
    <w:p>
      <w:pPr>
        <w:tabs>
          <w:tab w:pos="2062" w:val="left" w:leader="none"/>
        </w:tabs>
        <w:spacing w:before="20"/>
        <w:ind w:left="1056" w:right="0" w:firstLine="0"/>
        <w:jc w:val="left"/>
        <w:rPr>
          <w:b/>
          <w:sz w:val="19"/>
        </w:rPr>
      </w:pPr>
      <w:r>
        <w:rPr/>
        <w:pict>
          <v:rect style="position:absolute;margin-left:38.266998pt;margin-top:13.219393pt;width:40.186pt;height:64.406000pt;mso-position-horizontal-relative:page;mso-position-vertical-relative:paragraph;z-index:25960" filled="true" fillcolor="#e3e5bd" stroked="false">
            <v:fill type="solid"/>
            <w10:wrap type="none"/>
          </v:rect>
        </w:pict>
      </w:r>
      <w:r>
        <w:rPr/>
        <w:pict>
          <v:rect style="position:absolute;margin-left:88.582001pt;margin-top:16.988392pt;width:40.186pt;height:60.637pt;mso-position-horizontal-relative:page;mso-position-vertical-relative:paragraph;z-index:25984" filled="true" fillcolor="#e3e5bd" stroked="false">
            <v:fill type="solid"/>
            <w10:wrap type="none"/>
          </v:rect>
        </w:pict>
      </w:r>
      <w:r>
        <w:rPr/>
        <w:pict>
          <v:rect style="position:absolute;margin-left:139.149002pt;margin-top:5.133392pt;width:40.186pt;height:72.492pt;mso-position-horizontal-relative:page;mso-position-vertical-relative:paragraph;z-index:26008" filled="true" fillcolor="#e3e5bd" stroked="false">
            <v:fill type="solid"/>
            <w10:wrap type="none"/>
          </v:rect>
        </w:pict>
      </w:r>
      <w:r>
        <w:rPr>
          <w:b/>
          <w:color w:val="475B29"/>
          <w:sz w:val="19"/>
        </w:rPr>
        <w:t>95</w:t>
        <w:tab/>
      </w:r>
      <w:r>
        <w:rPr>
          <w:b/>
          <w:color w:val="475B29"/>
          <w:position w:val="-5"/>
          <w:sz w:val="19"/>
        </w:rPr>
        <w:t>94</w:t>
      </w:r>
    </w:p>
    <w:p>
      <w:pPr>
        <w:spacing w:before="126"/>
        <w:ind w:left="0" w:right="0" w:firstLine="0"/>
        <w:jc w:val="right"/>
        <w:rPr>
          <w:b/>
          <w:sz w:val="19"/>
        </w:rPr>
      </w:pPr>
      <w:r>
        <w:rPr/>
        <w:br w:type="column"/>
      </w:r>
      <w:r>
        <w:rPr>
          <w:b/>
          <w:color w:val="475B29"/>
          <w:w w:val="95"/>
          <w:sz w:val="19"/>
        </w:rPr>
        <w:t>1.6</w:t>
      </w:r>
    </w:p>
    <w:p>
      <w:pPr>
        <w:pStyle w:val="BodyText"/>
        <w:spacing w:before="5"/>
        <w:rPr>
          <w:b/>
          <w:sz w:val="21"/>
        </w:rPr>
      </w:pPr>
      <w:r>
        <w:rPr/>
        <w:br w:type="column"/>
      </w:r>
      <w:r>
        <w:rPr>
          <w:b/>
          <w:sz w:val="21"/>
        </w:rPr>
      </w:r>
    </w:p>
    <w:p>
      <w:pPr>
        <w:spacing w:before="0"/>
        <w:ind w:left="0" w:right="0" w:firstLine="0"/>
        <w:jc w:val="right"/>
        <w:rPr>
          <w:b/>
          <w:sz w:val="19"/>
        </w:rPr>
      </w:pPr>
      <w:r>
        <w:rPr/>
        <w:pict>
          <v:rect style="position:absolute;margin-left:300.722992pt;margin-top:6.212087pt;width:40.186pt;height:59.094pt;mso-position-horizontal-relative:page;mso-position-vertical-relative:paragraph;z-index:26080" filled="true" fillcolor="#e3e5bd" stroked="false">
            <v:fill type="solid"/>
            <w10:wrap type="none"/>
          </v:rect>
        </w:pict>
      </w:r>
      <w:r>
        <w:rPr>
          <w:b/>
          <w:color w:val="475B29"/>
          <w:w w:val="95"/>
          <w:sz w:val="19"/>
        </w:rPr>
        <w:t>1.4</w:t>
      </w:r>
    </w:p>
    <w:p>
      <w:pPr>
        <w:pStyle w:val="BodyText"/>
        <w:spacing w:before="8"/>
        <w:rPr>
          <w:b/>
          <w:sz w:val="19"/>
        </w:rPr>
      </w:pPr>
      <w:r>
        <w:rPr/>
        <w:br w:type="column"/>
      </w:r>
      <w:r>
        <w:rPr>
          <w:b/>
          <w:sz w:val="19"/>
        </w:rPr>
      </w:r>
    </w:p>
    <w:p>
      <w:pPr>
        <w:spacing w:before="0"/>
        <w:ind w:left="0" w:right="0" w:firstLine="0"/>
        <w:jc w:val="right"/>
        <w:rPr>
          <w:b/>
          <w:sz w:val="19"/>
        </w:rPr>
      </w:pPr>
      <w:r>
        <w:rPr>
          <w:b/>
          <w:color w:val="475B29"/>
          <w:w w:val="95"/>
          <w:sz w:val="19"/>
        </w:rPr>
        <w:t>1.5</w:t>
      </w:r>
    </w:p>
    <w:p>
      <w:pPr>
        <w:tabs>
          <w:tab w:pos="1624" w:val="left" w:leader="none"/>
        </w:tabs>
        <w:spacing w:before="126"/>
        <w:ind w:left="702" w:right="0" w:firstLine="0"/>
        <w:jc w:val="left"/>
        <w:rPr>
          <w:b/>
          <w:sz w:val="10"/>
        </w:rPr>
      </w:pPr>
      <w:r>
        <w:rPr/>
        <w:br w:type="column"/>
      </w:r>
      <w:r>
        <w:rPr>
          <w:b/>
          <w:color w:val="6F2770"/>
          <w:position w:val="-15"/>
          <w:sz w:val="19"/>
        </w:rPr>
        <w:t>1.5</w:t>
        <w:tab/>
      </w:r>
      <w:r>
        <w:rPr>
          <w:b/>
          <w:color w:val="360F41"/>
          <w:position w:val="-5"/>
          <w:sz w:val="19"/>
        </w:rPr>
        <w:t>1.6</w:t>
      </w:r>
      <w:r>
        <w:rPr>
          <w:b/>
          <w:color w:val="360F41"/>
          <w:spacing w:val="-5"/>
          <w:position w:val="-5"/>
          <w:sz w:val="19"/>
        </w:rPr>
        <w:t> </w:t>
      </w:r>
      <w:r>
        <w:rPr>
          <w:b/>
          <w:color w:val="360F41"/>
          <w:sz w:val="10"/>
        </w:rPr>
        <w:t>(2)</w:t>
      </w:r>
    </w:p>
    <w:p>
      <w:pPr>
        <w:tabs>
          <w:tab w:pos="1978" w:val="left" w:leader="none"/>
        </w:tabs>
        <w:spacing w:before="6"/>
        <w:ind w:left="1056" w:right="0" w:firstLine="0"/>
        <w:jc w:val="left"/>
        <w:rPr>
          <w:b/>
          <w:sz w:val="10"/>
        </w:rPr>
      </w:pPr>
      <w:r>
        <w:rPr/>
        <w:br w:type="column"/>
      </w:r>
      <w:r>
        <w:rPr>
          <w:b/>
          <w:color w:val="6F2770"/>
          <w:sz w:val="19"/>
        </w:rPr>
        <w:t>1.7</w:t>
        <w:tab/>
      </w:r>
      <w:r>
        <w:rPr>
          <w:b/>
          <w:color w:val="360F41"/>
          <w:position w:val="-9"/>
          <w:sz w:val="19"/>
        </w:rPr>
        <w:t>1.6</w:t>
      </w:r>
      <w:r>
        <w:rPr>
          <w:b/>
          <w:color w:val="360F41"/>
          <w:spacing w:val="-1"/>
          <w:position w:val="-9"/>
          <w:sz w:val="19"/>
        </w:rPr>
        <w:t> </w:t>
      </w:r>
      <w:r>
        <w:rPr>
          <w:b/>
          <w:color w:val="360F41"/>
          <w:position w:val="-3"/>
          <w:sz w:val="10"/>
        </w:rPr>
        <w:t>(3)</w:t>
      </w:r>
    </w:p>
    <w:p>
      <w:pPr>
        <w:spacing w:after="0"/>
        <w:jc w:val="left"/>
        <w:rPr>
          <w:sz w:val="10"/>
        </w:rPr>
        <w:sectPr>
          <w:type w:val="continuous"/>
          <w:pgSz w:w="16840" w:h="11910" w:orient="landscape"/>
          <w:pgMar w:top="1100" w:bottom="280" w:left="0" w:right="0"/>
          <w:cols w:num="6" w:equalWidth="0">
            <w:col w:w="2315" w:space="2903"/>
            <w:col w:w="1321" w:space="39"/>
            <w:col w:w="967" w:space="40"/>
            <w:col w:w="967" w:space="39"/>
            <w:col w:w="2097" w:space="2783"/>
            <w:col w:w="3369"/>
          </w:cols>
        </w:sectPr>
      </w:pPr>
    </w:p>
    <w:p>
      <w:pPr>
        <w:spacing w:line="240" w:lineRule="auto"/>
        <w:ind w:left="7020" w:right="0" w:firstLine="0"/>
        <w:rPr>
          <w:sz w:val="20"/>
        </w:rPr>
      </w:pPr>
      <w:r>
        <w:rPr>
          <w:sz w:val="20"/>
        </w:rPr>
        <w:pict>
          <v:group style="width:40.2pt;height:49.15pt;mso-position-horizontal-relative:char;mso-position-vertical-relative:line" coordorigin="0,0" coordsize="804,983">
            <v:rect style="position:absolute;left:0;top:0;width:804;height:983" filled="true" fillcolor="#e3e5bd" stroked="false">
              <v:fill type="solid"/>
            </v:rect>
          </v:group>
        </w:pict>
      </w:r>
      <w:r>
        <w:rPr>
          <w:sz w:val="20"/>
        </w:rPr>
      </w:r>
      <w:r>
        <w:rPr>
          <w:rFonts w:ascii="Times New Roman"/>
          <w:spacing w:val="131"/>
          <w:sz w:val="20"/>
        </w:rPr>
        <w:t> </w:t>
      </w:r>
      <w:r>
        <w:rPr>
          <w:spacing w:val="131"/>
          <w:sz w:val="20"/>
        </w:rPr>
        <w:pict>
          <v:group style="width:40.2pt;height:54.75pt;mso-position-horizontal-relative:char;mso-position-vertical-relative:line" coordorigin="0,0" coordsize="804,1095">
            <v:rect style="position:absolute;left:0;top:0;width:804;height:1095" filled="true" fillcolor="#e3e5bd" stroked="false">
              <v:fill type="solid"/>
            </v:rect>
          </v:group>
        </w:pict>
      </w:r>
      <w:r>
        <w:rPr>
          <w:spacing w:val="131"/>
          <w:sz w:val="20"/>
        </w:rPr>
      </w:r>
      <w:r>
        <w:rPr>
          <w:rFonts w:ascii="Times New Roman"/>
          <w:spacing w:val="131"/>
          <w:sz w:val="20"/>
        </w:rPr>
        <w:t> </w:t>
      </w:r>
      <w:r>
        <w:rPr>
          <w:spacing w:val="131"/>
          <w:sz w:val="20"/>
        </w:rPr>
        <w:pict>
          <v:group style="width:40.2pt;height:54.75pt;mso-position-horizontal-relative:char;mso-position-vertical-relative:line" coordorigin="0,0" coordsize="804,1095">
            <v:rect style="position:absolute;left:0;top:0;width:804;height:1095" filled="true" fillcolor="#a682a6" stroked="false">
              <v:fill type="solid"/>
            </v:rect>
          </v:group>
        </w:pict>
      </w:r>
      <w:r>
        <w:rPr>
          <w:spacing w:val="131"/>
          <w:sz w:val="20"/>
        </w:rPr>
      </w:r>
    </w:p>
    <w:p>
      <w:pPr>
        <w:spacing w:after="0" w:line="240" w:lineRule="auto"/>
        <w:rPr>
          <w:sz w:val="20"/>
        </w:rPr>
        <w:sectPr>
          <w:type w:val="continuous"/>
          <w:pgSz w:w="16840" w:h="11910" w:orient="landscape"/>
          <w:pgMar w:top="1100" w:bottom="280" w:left="0" w:right="0"/>
        </w:sectPr>
      </w:pPr>
    </w:p>
    <w:p>
      <w:pPr>
        <w:spacing w:line="215" w:lineRule="exact" w:before="0"/>
        <w:ind w:left="810" w:right="0" w:firstLine="0"/>
        <w:jc w:val="left"/>
        <w:rPr>
          <w:b/>
          <w:sz w:val="19"/>
        </w:rPr>
      </w:pPr>
      <w:r>
        <w:rPr/>
        <w:pict>
          <v:rect style="position:absolute;margin-left:501.731995pt;margin-top:-60.692501pt;width:40.186pt;height:59.094pt;mso-position-horizontal-relative:page;mso-position-vertical-relative:paragraph;z-index:-686392" filled="true" fillcolor="#806b85" stroked="false">
            <v:fill type="solid"/>
            <w10:wrap type="none"/>
          </v:rect>
        </w:pict>
      </w:r>
      <w:r>
        <w:rPr/>
        <w:pict>
          <v:rect style="position:absolute;margin-left:763.687988pt;margin-top:-61.090504pt;width:40.186pt;height:59.742pt;mso-position-horizontal-relative:page;mso-position-vertical-relative:paragraph;z-index:26224" filled="true" fillcolor="#806b85" stroked="false">
            <v:fill type="solid"/>
            <w10:wrap type="none"/>
          </v:rect>
        </w:pict>
      </w:r>
      <w:r>
        <w:rPr>
          <w:b/>
          <w:w w:val="105"/>
          <w:sz w:val="19"/>
        </w:rPr>
        <w:t>2014/15</w:t>
      </w:r>
    </w:p>
    <w:p>
      <w:pPr>
        <w:spacing w:before="89"/>
        <w:ind w:left="770"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line="215"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line="215" w:lineRule="exact" w:before="0"/>
        <w:ind w:left="424" w:right="0" w:firstLine="0"/>
        <w:jc w:val="left"/>
        <w:rPr>
          <w:b/>
          <w:sz w:val="19"/>
        </w:rPr>
      </w:pPr>
      <w:r>
        <w:rPr/>
        <w:br w:type="column"/>
      </w:r>
      <w:r>
        <w:rPr>
          <w:b/>
          <w:w w:val="105"/>
          <w:sz w:val="19"/>
        </w:rPr>
        <w:t>2014/15</w:t>
      </w:r>
    </w:p>
    <w:p>
      <w:pPr>
        <w:spacing w:before="89"/>
        <w:ind w:left="385"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line="215"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line="215" w:lineRule="exact" w:before="0"/>
        <w:ind w:left="424" w:right="0" w:firstLine="0"/>
        <w:jc w:val="left"/>
        <w:rPr>
          <w:b/>
          <w:sz w:val="19"/>
        </w:rPr>
      </w:pPr>
      <w:r>
        <w:rPr/>
        <w:br w:type="column"/>
      </w:r>
      <w:r>
        <w:rPr>
          <w:b/>
          <w:w w:val="105"/>
          <w:sz w:val="19"/>
        </w:rPr>
        <w:t>2014/15</w:t>
      </w:r>
    </w:p>
    <w:p>
      <w:pPr>
        <w:spacing w:before="89"/>
        <w:ind w:left="385"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1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16"/>
        <w:ind w:left="212" w:right="0" w:firstLine="0"/>
        <w:jc w:val="left"/>
        <w:rPr>
          <w:b/>
          <w:sz w:val="19"/>
        </w:rPr>
      </w:pPr>
      <w:r>
        <w:rPr/>
        <w:br w:type="column"/>
      </w:r>
      <w:r>
        <w:rPr>
          <w:b/>
          <w:w w:val="105"/>
          <w:sz w:val="19"/>
        </w:rPr>
        <w:t>2016/17</w:t>
      </w:r>
    </w:p>
    <w:p>
      <w:pPr>
        <w:spacing w:before="6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5" w:lineRule="exact" w:before="0"/>
        <w:ind w:left="202" w:right="0" w:firstLine="0"/>
        <w:jc w:val="left"/>
        <w:rPr>
          <w:b/>
          <w:sz w:val="19"/>
        </w:rPr>
      </w:pPr>
      <w:r>
        <w:rPr/>
        <w:br w:type="column"/>
      </w:r>
      <w:r>
        <w:rPr>
          <w:b/>
          <w:w w:val="105"/>
          <w:sz w:val="19"/>
        </w:rPr>
        <w:t>2017/18</w:t>
      </w:r>
    </w:p>
    <w:p>
      <w:pPr>
        <w:spacing w:before="89"/>
        <w:ind w:left="16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before="16"/>
        <w:ind w:left="212" w:right="0" w:firstLine="0"/>
        <w:jc w:val="left"/>
        <w:rPr>
          <w:b/>
          <w:sz w:val="19"/>
        </w:rPr>
      </w:pPr>
      <w:r>
        <w:rPr/>
        <w:br w:type="column"/>
      </w:r>
      <w:r>
        <w:rPr>
          <w:b/>
          <w:w w:val="105"/>
          <w:sz w:val="19"/>
        </w:rPr>
        <w:t>2017/18</w:t>
      </w:r>
    </w:p>
    <w:p>
      <w:pPr>
        <w:spacing w:before="6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after="0"/>
        <w:jc w:val="left"/>
        <w:rPr>
          <w:sz w:val="15"/>
        </w:rPr>
        <w:sectPr>
          <w:type w:val="continuous"/>
          <w:pgSz w:w="16840" w:h="11910" w:orient="landscape"/>
          <w:pgMar w:top="1100" w:bottom="280" w:left="0" w:right="0"/>
          <w:cols w:num="15" w:equalWidth="0">
            <w:col w:w="1565" w:space="40"/>
            <w:col w:w="967" w:space="39"/>
            <w:col w:w="967" w:space="39"/>
            <w:col w:w="967" w:space="39"/>
            <w:col w:w="967" w:space="39"/>
            <w:col w:w="1179" w:space="40"/>
            <w:col w:w="967" w:space="40"/>
            <w:col w:w="967" w:space="39"/>
            <w:col w:w="967" w:space="39"/>
            <w:col w:w="967" w:space="40"/>
            <w:col w:w="1179" w:space="39"/>
            <w:col w:w="967" w:space="40"/>
            <w:col w:w="967" w:space="39"/>
            <w:col w:w="957" w:space="39"/>
            <w:col w:w="1739"/>
          </w:cols>
        </w:sectPr>
      </w:pPr>
    </w:p>
    <w:p>
      <w:pPr>
        <w:pStyle w:val="ListParagraph"/>
        <w:numPr>
          <w:ilvl w:val="4"/>
          <w:numId w:val="29"/>
        </w:numPr>
        <w:tabs>
          <w:tab w:pos="958" w:val="left" w:leader="none"/>
        </w:tabs>
        <w:spacing w:line="249" w:lineRule="auto" w:before="100" w:after="0"/>
        <w:ind w:left="973" w:right="0" w:hanging="208"/>
        <w:jc w:val="left"/>
        <w:rPr>
          <w:sz w:val="15"/>
        </w:rPr>
      </w:pPr>
      <w:r>
        <w:rPr>
          <w:sz w:val="15"/>
        </w:rPr>
        <w:t>This</w:t>
      </w:r>
      <w:r>
        <w:rPr>
          <w:spacing w:val="-14"/>
          <w:sz w:val="15"/>
        </w:rPr>
        <w:t> </w:t>
      </w:r>
      <w:r>
        <w:rPr>
          <w:sz w:val="15"/>
        </w:rPr>
        <w:t>indicator</w:t>
      </w:r>
      <w:r>
        <w:rPr>
          <w:spacing w:val="-14"/>
          <w:sz w:val="15"/>
        </w:rPr>
        <w:t> </w:t>
      </w:r>
      <w:r>
        <w:rPr>
          <w:sz w:val="15"/>
        </w:rPr>
        <w:t>is</w:t>
      </w:r>
      <w:r>
        <w:rPr>
          <w:spacing w:val="-13"/>
          <w:sz w:val="15"/>
        </w:rPr>
        <w:t> </w:t>
      </w:r>
      <w:r>
        <w:rPr>
          <w:sz w:val="15"/>
        </w:rPr>
        <w:t>calculated</w:t>
      </w:r>
      <w:r>
        <w:rPr>
          <w:spacing w:val="-14"/>
          <w:sz w:val="15"/>
        </w:rPr>
        <w:t> </w:t>
      </w:r>
      <w:r>
        <w:rPr>
          <w:sz w:val="15"/>
        </w:rPr>
        <w:t>by</w:t>
      </w:r>
      <w:r>
        <w:rPr>
          <w:spacing w:val="-13"/>
          <w:sz w:val="15"/>
        </w:rPr>
        <w:t> </w:t>
      </w:r>
      <w:r>
        <w:rPr>
          <w:sz w:val="15"/>
        </w:rPr>
        <w:t>dividing</w:t>
      </w:r>
      <w:r>
        <w:rPr>
          <w:spacing w:val="-14"/>
          <w:sz w:val="15"/>
        </w:rPr>
        <w:t> </w:t>
      </w:r>
      <w:r>
        <w:rPr>
          <w:sz w:val="15"/>
        </w:rPr>
        <w:t>the</w:t>
      </w:r>
      <w:r>
        <w:rPr>
          <w:spacing w:val="-13"/>
          <w:sz w:val="15"/>
        </w:rPr>
        <w:t> </w:t>
      </w:r>
      <w:r>
        <w:rPr>
          <w:sz w:val="15"/>
        </w:rPr>
        <w:t>State</w:t>
      </w:r>
      <w:r>
        <w:rPr>
          <w:spacing w:val="-14"/>
          <w:sz w:val="15"/>
        </w:rPr>
        <w:t> </w:t>
      </w:r>
      <w:r>
        <w:rPr>
          <w:sz w:val="15"/>
        </w:rPr>
        <w:t>Fleet</w:t>
      </w:r>
      <w:r>
        <w:rPr>
          <w:spacing w:val="-14"/>
          <w:sz w:val="15"/>
        </w:rPr>
        <w:t> </w:t>
      </w:r>
      <w:r>
        <w:rPr>
          <w:sz w:val="15"/>
        </w:rPr>
        <w:t>operating</w:t>
      </w:r>
      <w:r>
        <w:rPr>
          <w:spacing w:val="-13"/>
          <w:sz w:val="15"/>
        </w:rPr>
        <w:t> </w:t>
      </w:r>
      <w:r>
        <w:rPr>
          <w:spacing w:val="-4"/>
          <w:sz w:val="15"/>
        </w:rPr>
        <w:t>costs </w:t>
      </w:r>
      <w:r>
        <w:rPr>
          <w:sz w:val="15"/>
        </w:rPr>
        <w:t>by</w:t>
      </w:r>
      <w:r>
        <w:rPr>
          <w:spacing w:val="-4"/>
          <w:sz w:val="15"/>
        </w:rPr>
        <w:t> </w:t>
      </w:r>
      <w:r>
        <w:rPr>
          <w:sz w:val="15"/>
        </w:rPr>
        <w:t>the</w:t>
      </w:r>
      <w:r>
        <w:rPr>
          <w:spacing w:val="-4"/>
          <w:sz w:val="15"/>
        </w:rPr>
        <w:t> </w:t>
      </w:r>
      <w:r>
        <w:rPr>
          <w:sz w:val="15"/>
        </w:rPr>
        <w:t>number</w:t>
      </w:r>
      <w:r>
        <w:rPr>
          <w:spacing w:val="-4"/>
          <w:sz w:val="15"/>
        </w:rPr>
        <w:t> </w:t>
      </w:r>
      <w:r>
        <w:rPr>
          <w:sz w:val="15"/>
        </w:rPr>
        <w:t>of</w:t>
      </w:r>
      <w:r>
        <w:rPr>
          <w:spacing w:val="-3"/>
          <w:sz w:val="15"/>
        </w:rPr>
        <w:t> </w:t>
      </w:r>
      <w:r>
        <w:rPr>
          <w:sz w:val="15"/>
        </w:rPr>
        <w:t>vehicles</w:t>
      </w:r>
      <w:r>
        <w:rPr>
          <w:spacing w:val="-4"/>
          <w:sz w:val="15"/>
        </w:rPr>
        <w:t> </w:t>
      </w:r>
      <w:r>
        <w:rPr>
          <w:sz w:val="15"/>
        </w:rPr>
        <w:t>managed</w:t>
      </w:r>
      <w:r>
        <w:rPr>
          <w:spacing w:val="-4"/>
          <w:sz w:val="15"/>
        </w:rPr>
        <w:t> </w:t>
      </w:r>
      <w:r>
        <w:rPr>
          <w:sz w:val="15"/>
        </w:rPr>
        <w:t>by</w:t>
      </w:r>
      <w:r>
        <w:rPr>
          <w:spacing w:val="-4"/>
          <w:sz w:val="15"/>
        </w:rPr>
        <w:t> </w:t>
      </w:r>
      <w:r>
        <w:rPr>
          <w:sz w:val="15"/>
        </w:rPr>
        <w:t>the</w:t>
      </w:r>
      <w:r>
        <w:rPr>
          <w:spacing w:val="-3"/>
          <w:sz w:val="15"/>
        </w:rPr>
        <w:t> </w:t>
      </w:r>
      <w:r>
        <w:rPr>
          <w:sz w:val="15"/>
        </w:rPr>
        <w:t>State</w:t>
      </w:r>
      <w:r>
        <w:rPr>
          <w:spacing w:val="-4"/>
          <w:sz w:val="15"/>
        </w:rPr>
        <w:t> </w:t>
      </w:r>
      <w:r>
        <w:rPr>
          <w:sz w:val="15"/>
        </w:rPr>
        <w:t>Fleet.</w:t>
      </w:r>
    </w:p>
    <w:p>
      <w:pPr>
        <w:pStyle w:val="ListParagraph"/>
        <w:numPr>
          <w:ilvl w:val="4"/>
          <w:numId w:val="29"/>
        </w:numPr>
        <w:tabs>
          <w:tab w:pos="770" w:val="left" w:leader="none"/>
        </w:tabs>
        <w:spacing w:line="249" w:lineRule="auto" w:before="100" w:after="0"/>
        <w:ind w:left="778" w:right="38" w:hanging="209"/>
        <w:jc w:val="left"/>
        <w:rPr>
          <w:sz w:val="15"/>
        </w:rPr>
      </w:pPr>
      <w:r>
        <w:rPr>
          <w:w w:val="93"/>
          <w:sz w:val="15"/>
        </w:rPr>
        <w:br w:type="column"/>
      </w:r>
      <w:r>
        <w:rPr>
          <w:sz w:val="15"/>
        </w:rPr>
        <w:t>This</w:t>
      </w:r>
      <w:r>
        <w:rPr>
          <w:spacing w:val="-13"/>
          <w:sz w:val="15"/>
        </w:rPr>
        <w:t> </w:t>
      </w:r>
      <w:r>
        <w:rPr>
          <w:sz w:val="15"/>
        </w:rPr>
        <w:t>indicator</w:t>
      </w:r>
      <w:r>
        <w:rPr>
          <w:spacing w:val="-13"/>
          <w:sz w:val="15"/>
        </w:rPr>
        <w:t> </w:t>
      </w:r>
      <w:r>
        <w:rPr>
          <w:sz w:val="15"/>
        </w:rPr>
        <w:t>is</w:t>
      </w:r>
      <w:r>
        <w:rPr>
          <w:spacing w:val="-13"/>
          <w:sz w:val="15"/>
        </w:rPr>
        <w:t> </w:t>
      </w:r>
      <w:r>
        <w:rPr>
          <w:sz w:val="15"/>
        </w:rPr>
        <w:t>calculated</w:t>
      </w:r>
      <w:r>
        <w:rPr>
          <w:spacing w:val="-13"/>
          <w:sz w:val="15"/>
        </w:rPr>
        <w:t> </w:t>
      </w:r>
      <w:r>
        <w:rPr>
          <w:sz w:val="15"/>
        </w:rPr>
        <w:t>by</w:t>
      </w:r>
      <w:r>
        <w:rPr>
          <w:spacing w:val="-13"/>
          <w:sz w:val="15"/>
        </w:rPr>
        <w:t> </w:t>
      </w:r>
      <w:r>
        <w:rPr>
          <w:sz w:val="15"/>
        </w:rPr>
        <w:t>dividing</w:t>
      </w:r>
      <w:r>
        <w:rPr>
          <w:spacing w:val="-13"/>
          <w:sz w:val="15"/>
        </w:rPr>
        <w:t> </w:t>
      </w:r>
      <w:r>
        <w:rPr>
          <w:sz w:val="15"/>
        </w:rPr>
        <w:t>the</w:t>
      </w:r>
      <w:r>
        <w:rPr>
          <w:spacing w:val="-13"/>
          <w:sz w:val="15"/>
        </w:rPr>
        <w:t> </w:t>
      </w:r>
      <w:r>
        <w:rPr>
          <w:sz w:val="15"/>
        </w:rPr>
        <w:t>costs</w:t>
      </w:r>
      <w:r>
        <w:rPr>
          <w:spacing w:val="-13"/>
          <w:sz w:val="15"/>
        </w:rPr>
        <w:t> </w:t>
      </w:r>
      <w:r>
        <w:rPr>
          <w:sz w:val="15"/>
        </w:rPr>
        <w:t>of</w:t>
      </w:r>
      <w:r>
        <w:rPr>
          <w:spacing w:val="-12"/>
          <w:sz w:val="15"/>
        </w:rPr>
        <w:t> </w:t>
      </w:r>
      <w:r>
        <w:rPr>
          <w:sz w:val="15"/>
        </w:rPr>
        <w:t>delivering</w:t>
      </w:r>
      <w:r>
        <w:rPr>
          <w:spacing w:val="-13"/>
          <w:sz w:val="15"/>
        </w:rPr>
        <w:t> </w:t>
      </w:r>
      <w:r>
        <w:rPr>
          <w:spacing w:val="-5"/>
          <w:sz w:val="15"/>
        </w:rPr>
        <w:t>this </w:t>
      </w:r>
      <w:r>
        <w:rPr>
          <w:sz w:val="15"/>
        </w:rPr>
        <w:t>service by the total CUAs</w:t>
      </w:r>
      <w:r>
        <w:rPr>
          <w:spacing w:val="-9"/>
          <w:sz w:val="15"/>
        </w:rPr>
        <w:t> </w:t>
      </w:r>
      <w:r>
        <w:rPr>
          <w:sz w:val="15"/>
        </w:rPr>
        <w:t>turnover.</w:t>
      </w:r>
    </w:p>
    <w:p>
      <w:pPr>
        <w:pStyle w:val="ListParagraph"/>
        <w:numPr>
          <w:ilvl w:val="4"/>
          <w:numId w:val="29"/>
        </w:numPr>
        <w:tabs>
          <w:tab w:pos="958" w:val="left" w:leader="none"/>
        </w:tabs>
        <w:spacing w:line="249" w:lineRule="auto" w:before="100" w:after="0"/>
        <w:ind w:left="966" w:right="815" w:hanging="201"/>
        <w:jc w:val="left"/>
        <w:rPr>
          <w:sz w:val="15"/>
        </w:rPr>
      </w:pPr>
      <w:r>
        <w:rPr>
          <w:spacing w:val="-2"/>
          <w:w w:val="93"/>
          <w:sz w:val="15"/>
        </w:rPr>
        <w:br w:type="column"/>
      </w:r>
      <w:r>
        <w:rPr>
          <w:sz w:val="15"/>
        </w:rPr>
        <w:t>This</w:t>
      </w:r>
      <w:r>
        <w:rPr>
          <w:spacing w:val="-24"/>
          <w:sz w:val="15"/>
        </w:rPr>
        <w:t> </w:t>
      </w:r>
      <w:r>
        <w:rPr>
          <w:sz w:val="15"/>
        </w:rPr>
        <w:t>indicator</w:t>
      </w:r>
      <w:r>
        <w:rPr>
          <w:spacing w:val="-23"/>
          <w:sz w:val="15"/>
        </w:rPr>
        <w:t> </w:t>
      </w:r>
      <w:r>
        <w:rPr>
          <w:sz w:val="15"/>
        </w:rPr>
        <w:t>is</w:t>
      </w:r>
      <w:r>
        <w:rPr>
          <w:spacing w:val="-24"/>
          <w:sz w:val="15"/>
        </w:rPr>
        <w:t> </w:t>
      </w:r>
      <w:r>
        <w:rPr>
          <w:sz w:val="15"/>
        </w:rPr>
        <w:t>calculated</w:t>
      </w:r>
      <w:r>
        <w:rPr>
          <w:spacing w:val="-23"/>
          <w:sz w:val="15"/>
        </w:rPr>
        <w:t> </w:t>
      </w:r>
      <w:r>
        <w:rPr>
          <w:sz w:val="15"/>
        </w:rPr>
        <w:t>by</w:t>
      </w:r>
      <w:r>
        <w:rPr>
          <w:spacing w:val="-24"/>
          <w:sz w:val="15"/>
        </w:rPr>
        <w:t> </w:t>
      </w:r>
      <w:r>
        <w:rPr>
          <w:sz w:val="15"/>
        </w:rPr>
        <w:t>dividing</w:t>
      </w:r>
      <w:r>
        <w:rPr>
          <w:spacing w:val="-23"/>
          <w:sz w:val="15"/>
        </w:rPr>
        <w:t> </w:t>
      </w:r>
      <w:r>
        <w:rPr>
          <w:sz w:val="15"/>
        </w:rPr>
        <w:t>the</w:t>
      </w:r>
      <w:r>
        <w:rPr>
          <w:spacing w:val="-23"/>
          <w:sz w:val="15"/>
        </w:rPr>
        <w:t> </w:t>
      </w:r>
      <w:r>
        <w:rPr>
          <w:sz w:val="15"/>
        </w:rPr>
        <w:t>costs</w:t>
      </w:r>
      <w:r>
        <w:rPr>
          <w:spacing w:val="-24"/>
          <w:sz w:val="15"/>
        </w:rPr>
        <w:t> </w:t>
      </w:r>
      <w:r>
        <w:rPr>
          <w:sz w:val="15"/>
        </w:rPr>
        <w:t>of</w:t>
      </w:r>
      <w:r>
        <w:rPr>
          <w:spacing w:val="-23"/>
          <w:sz w:val="15"/>
        </w:rPr>
        <w:t> </w:t>
      </w:r>
      <w:r>
        <w:rPr>
          <w:sz w:val="15"/>
        </w:rPr>
        <w:t>delivering</w:t>
      </w:r>
      <w:r>
        <w:rPr>
          <w:spacing w:val="-24"/>
          <w:sz w:val="15"/>
        </w:rPr>
        <w:t> </w:t>
      </w:r>
      <w:r>
        <w:rPr>
          <w:sz w:val="15"/>
        </w:rPr>
        <w:t>this</w:t>
      </w:r>
      <w:r>
        <w:rPr>
          <w:spacing w:val="-23"/>
          <w:sz w:val="15"/>
        </w:rPr>
        <w:t> </w:t>
      </w:r>
      <w:r>
        <w:rPr>
          <w:sz w:val="15"/>
        </w:rPr>
        <w:t>service by</w:t>
      </w:r>
      <w:r>
        <w:rPr>
          <w:spacing w:val="-19"/>
          <w:sz w:val="15"/>
        </w:rPr>
        <w:t> </w:t>
      </w:r>
      <w:r>
        <w:rPr>
          <w:sz w:val="15"/>
        </w:rPr>
        <w:t>the</w:t>
      </w:r>
      <w:r>
        <w:rPr>
          <w:spacing w:val="-19"/>
          <w:sz w:val="15"/>
        </w:rPr>
        <w:t> </w:t>
      </w:r>
      <w:r>
        <w:rPr>
          <w:sz w:val="15"/>
        </w:rPr>
        <w:t>total</w:t>
      </w:r>
      <w:r>
        <w:rPr>
          <w:spacing w:val="-18"/>
          <w:sz w:val="15"/>
        </w:rPr>
        <w:t> </w:t>
      </w:r>
      <w:r>
        <w:rPr>
          <w:sz w:val="15"/>
        </w:rPr>
        <w:t>contract</w:t>
      </w:r>
      <w:r>
        <w:rPr>
          <w:spacing w:val="-19"/>
          <w:sz w:val="15"/>
        </w:rPr>
        <w:t> </w:t>
      </w:r>
      <w:r>
        <w:rPr>
          <w:sz w:val="15"/>
        </w:rPr>
        <w:t>value</w:t>
      </w:r>
      <w:r>
        <w:rPr>
          <w:spacing w:val="-18"/>
          <w:sz w:val="15"/>
        </w:rPr>
        <w:t> </w:t>
      </w:r>
      <w:r>
        <w:rPr>
          <w:sz w:val="15"/>
        </w:rPr>
        <w:t>for</w:t>
      </w:r>
      <w:r>
        <w:rPr>
          <w:spacing w:val="-19"/>
          <w:sz w:val="15"/>
        </w:rPr>
        <w:t> </w:t>
      </w:r>
      <w:r>
        <w:rPr>
          <w:sz w:val="15"/>
        </w:rPr>
        <w:t>agency</w:t>
      </w:r>
      <w:r>
        <w:rPr>
          <w:spacing w:val="-18"/>
          <w:sz w:val="15"/>
        </w:rPr>
        <w:t> </w:t>
      </w:r>
      <w:r>
        <w:rPr>
          <w:sz w:val="15"/>
        </w:rPr>
        <w:t>contracts</w:t>
      </w:r>
      <w:r>
        <w:rPr>
          <w:spacing w:val="-19"/>
          <w:sz w:val="15"/>
        </w:rPr>
        <w:t> </w:t>
      </w:r>
      <w:r>
        <w:rPr>
          <w:spacing w:val="-3"/>
          <w:sz w:val="15"/>
        </w:rPr>
        <w:t>awarded</w:t>
      </w:r>
      <w:r>
        <w:rPr>
          <w:spacing w:val="-18"/>
          <w:sz w:val="15"/>
        </w:rPr>
        <w:t> </w:t>
      </w:r>
      <w:r>
        <w:rPr>
          <w:sz w:val="15"/>
        </w:rPr>
        <w:t>during</w:t>
      </w:r>
      <w:r>
        <w:rPr>
          <w:spacing w:val="-19"/>
          <w:sz w:val="15"/>
        </w:rPr>
        <w:t> </w:t>
      </w:r>
      <w:r>
        <w:rPr>
          <w:sz w:val="15"/>
        </w:rPr>
        <w:t>the</w:t>
      </w:r>
      <w:r>
        <w:rPr>
          <w:spacing w:val="-19"/>
          <w:sz w:val="15"/>
        </w:rPr>
        <w:t> </w:t>
      </w:r>
      <w:r>
        <w:rPr>
          <w:spacing w:val="-5"/>
          <w:sz w:val="15"/>
        </w:rPr>
        <w:t>year.</w:t>
      </w:r>
    </w:p>
    <w:p>
      <w:pPr>
        <w:spacing w:after="0" w:line="249" w:lineRule="auto"/>
        <w:jc w:val="left"/>
        <w:rPr>
          <w:sz w:val="15"/>
        </w:rPr>
        <w:sectPr>
          <w:type w:val="continuous"/>
          <w:pgSz w:w="16840" w:h="11910" w:orient="landscape"/>
          <w:pgMar w:top="1100" w:bottom="280" w:left="0" w:right="0"/>
          <w:cols w:num="3" w:equalWidth="0">
            <w:col w:w="5400" w:space="40"/>
            <w:col w:w="4950" w:space="98"/>
            <w:col w:w="6352"/>
          </w:cols>
        </w:sectPr>
      </w:pPr>
    </w:p>
    <w:p>
      <w:pPr>
        <w:pStyle w:val="BodyText"/>
        <w:spacing w:before="10"/>
        <w:rPr>
          <w:sz w:val="8"/>
        </w:rPr>
      </w:pPr>
    </w:p>
    <w:p>
      <w:pPr>
        <w:spacing w:after="0"/>
        <w:rPr>
          <w:sz w:val="8"/>
        </w:rPr>
        <w:sectPr>
          <w:type w:val="continuous"/>
          <w:pgSz w:w="16840" w:h="11910" w:orient="landscape"/>
          <w:pgMar w:top="1100" w:bottom="280" w:left="0" w:right="0"/>
        </w:sectPr>
      </w:pPr>
    </w:p>
    <w:p>
      <w:pPr>
        <w:pStyle w:val="ListParagraph"/>
        <w:numPr>
          <w:ilvl w:val="0"/>
          <w:numId w:val="30"/>
        </w:numPr>
        <w:tabs>
          <w:tab w:pos="1046" w:val="left" w:leader="none"/>
        </w:tabs>
        <w:spacing w:line="249" w:lineRule="auto" w:before="107" w:after="0"/>
        <w:ind w:left="1071" w:right="336" w:hanging="306"/>
        <w:jc w:val="left"/>
        <w:rPr>
          <w:sz w:val="22"/>
        </w:rPr>
      </w:pPr>
      <w:r>
        <w:rPr>
          <w:sz w:val="22"/>
        </w:rPr>
        <w:t>Average</w:t>
      </w:r>
      <w:r>
        <w:rPr>
          <w:spacing w:val="-19"/>
          <w:sz w:val="22"/>
        </w:rPr>
        <w:t> </w:t>
      </w:r>
      <w:r>
        <w:rPr>
          <w:sz w:val="22"/>
        </w:rPr>
        <w:t>administrative</w:t>
      </w:r>
      <w:r>
        <w:rPr>
          <w:spacing w:val="-19"/>
          <w:sz w:val="22"/>
        </w:rPr>
        <w:t> </w:t>
      </w:r>
      <w:r>
        <w:rPr>
          <w:sz w:val="22"/>
        </w:rPr>
        <w:t>cost</w:t>
      </w:r>
      <w:r>
        <w:rPr>
          <w:spacing w:val="-19"/>
          <w:sz w:val="22"/>
        </w:rPr>
        <w:t> </w:t>
      </w:r>
      <w:r>
        <w:rPr>
          <w:sz w:val="22"/>
        </w:rPr>
        <w:t>per</w:t>
      </w:r>
      <w:r>
        <w:rPr>
          <w:spacing w:val="-19"/>
          <w:sz w:val="22"/>
        </w:rPr>
        <w:t> </w:t>
      </w:r>
      <w:r>
        <w:rPr>
          <w:sz w:val="22"/>
        </w:rPr>
        <w:t>vehicle</w:t>
      </w:r>
      <w:r>
        <w:rPr>
          <w:spacing w:val="-19"/>
          <w:sz w:val="22"/>
        </w:rPr>
        <w:t> </w:t>
      </w:r>
      <w:r>
        <w:rPr>
          <w:sz w:val="22"/>
        </w:rPr>
        <w:t>is</w:t>
      </w:r>
      <w:r>
        <w:rPr>
          <w:spacing w:val="-19"/>
          <w:sz w:val="22"/>
        </w:rPr>
        <w:t> </w:t>
      </w:r>
      <w:r>
        <w:rPr>
          <w:sz w:val="22"/>
        </w:rPr>
        <w:t>lower</w:t>
      </w:r>
      <w:r>
        <w:rPr>
          <w:spacing w:val="-19"/>
          <w:sz w:val="22"/>
        </w:rPr>
        <w:t> </w:t>
      </w:r>
      <w:r>
        <w:rPr>
          <w:sz w:val="22"/>
        </w:rPr>
        <w:t>than</w:t>
      </w:r>
      <w:r>
        <w:rPr>
          <w:spacing w:val="-18"/>
          <w:sz w:val="22"/>
        </w:rPr>
        <w:t> </w:t>
      </w:r>
      <w:r>
        <w:rPr>
          <w:sz w:val="22"/>
        </w:rPr>
        <w:t>budget</w:t>
      </w:r>
      <w:r>
        <w:rPr>
          <w:spacing w:val="-19"/>
          <w:sz w:val="22"/>
        </w:rPr>
        <w:t> </w:t>
      </w:r>
      <w:r>
        <w:rPr>
          <w:sz w:val="22"/>
        </w:rPr>
        <w:t>as</w:t>
      </w:r>
      <w:r>
        <w:rPr>
          <w:spacing w:val="-19"/>
          <w:sz w:val="22"/>
        </w:rPr>
        <w:t> </w:t>
      </w:r>
      <w:r>
        <w:rPr>
          <w:sz w:val="22"/>
        </w:rPr>
        <w:t>a</w:t>
      </w:r>
      <w:r>
        <w:rPr>
          <w:spacing w:val="-19"/>
          <w:sz w:val="22"/>
        </w:rPr>
        <w:t> </w:t>
      </w:r>
      <w:r>
        <w:rPr>
          <w:sz w:val="22"/>
        </w:rPr>
        <w:t>result</w:t>
      </w:r>
      <w:r>
        <w:rPr>
          <w:spacing w:val="-19"/>
          <w:sz w:val="22"/>
        </w:rPr>
        <w:t> </w:t>
      </w:r>
      <w:r>
        <w:rPr>
          <w:sz w:val="22"/>
        </w:rPr>
        <w:t>of</w:t>
      </w:r>
      <w:r>
        <w:rPr>
          <w:spacing w:val="-19"/>
          <w:sz w:val="22"/>
        </w:rPr>
        <w:t> </w:t>
      </w:r>
      <w:r>
        <w:rPr>
          <w:sz w:val="22"/>
        </w:rPr>
        <w:t>both</w:t>
      </w:r>
      <w:r>
        <w:rPr>
          <w:spacing w:val="-19"/>
          <w:sz w:val="22"/>
        </w:rPr>
        <w:t> </w:t>
      </w:r>
      <w:r>
        <w:rPr>
          <w:sz w:val="22"/>
        </w:rPr>
        <w:t>operational</w:t>
      </w:r>
      <w:r>
        <w:rPr>
          <w:spacing w:val="-19"/>
          <w:sz w:val="22"/>
        </w:rPr>
        <w:t> </w:t>
      </w:r>
      <w:r>
        <w:rPr>
          <w:sz w:val="22"/>
        </w:rPr>
        <w:t>and</w:t>
      </w:r>
      <w:r>
        <w:rPr>
          <w:spacing w:val="-18"/>
          <w:sz w:val="22"/>
        </w:rPr>
        <w:t> </w:t>
      </w:r>
      <w:r>
        <w:rPr>
          <w:sz w:val="22"/>
        </w:rPr>
        <w:t>fleet</w:t>
      </w:r>
      <w:r>
        <w:rPr>
          <w:spacing w:val="-19"/>
          <w:sz w:val="22"/>
        </w:rPr>
        <w:t> </w:t>
      </w:r>
      <w:r>
        <w:rPr>
          <w:sz w:val="22"/>
        </w:rPr>
        <w:t>efficiencies.</w:t>
      </w:r>
      <w:r>
        <w:rPr>
          <w:spacing w:val="-19"/>
          <w:sz w:val="22"/>
        </w:rPr>
        <w:t> </w:t>
      </w:r>
      <w:r>
        <w:rPr>
          <w:sz w:val="22"/>
        </w:rPr>
        <w:t>The</w:t>
      </w:r>
      <w:r>
        <w:rPr>
          <w:spacing w:val="-19"/>
          <w:sz w:val="22"/>
        </w:rPr>
        <w:t> </w:t>
      </w:r>
      <w:r>
        <w:rPr>
          <w:sz w:val="22"/>
        </w:rPr>
        <w:t>increase</w:t>
      </w:r>
      <w:r>
        <w:rPr>
          <w:spacing w:val="-19"/>
          <w:sz w:val="22"/>
        </w:rPr>
        <w:t> </w:t>
      </w:r>
      <w:r>
        <w:rPr>
          <w:sz w:val="22"/>
        </w:rPr>
        <w:t>in</w:t>
      </w:r>
      <w:r>
        <w:rPr>
          <w:spacing w:val="-19"/>
          <w:sz w:val="22"/>
        </w:rPr>
        <w:t> </w:t>
      </w:r>
      <w:r>
        <w:rPr>
          <w:sz w:val="22"/>
        </w:rPr>
        <w:t>costs</w:t>
      </w:r>
      <w:r>
        <w:rPr>
          <w:spacing w:val="-19"/>
          <w:sz w:val="22"/>
        </w:rPr>
        <w:t> </w:t>
      </w:r>
      <w:r>
        <w:rPr>
          <w:sz w:val="22"/>
        </w:rPr>
        <w:t>from</w:t>
      </w:r>
      <w:r>
        <w:rPr>
          <w:spacing w:val="-19"/>
          <w:sz w:val="22"/>
        </w:rPr>
        <w:t> </w:t>
      </w:r>
      <w:r>
        <w:rPr>
          <w:sz w:val="22"/>
        </w:rPr>
        <w:t>2016-17</w:t>
      </w:r>
      <w:r>
        <w:rPr>
          <w:spacing w:val="-18"/>
          <w:sz w:val="22"/>
        </w:rPr>
        <w:t> </w:t>
      </w:r>
      <w:r>
        <w:rPr>
          <w:spacing w:val="-9"/>
          <w:sz w:val="22"/>
        </w:rPr>
        <w:t>to </w:t>
      </w:r>
      <w:r>
        <w:rPr>
          <w:sz w:val="22"/>
        </w:rPr>
        <w:t>2017-18 is attributable to the overall reduction in the fleet</w:t>
      </w:r>
      <w:r>
        <w:rPr>
          <w:spacing w:val="-13"/>
          <w:sz w:val="22"/>
        </w:rPr>
        <w:t> </w:t>
      </w:r>
      <w:r>
        <w:rPr>
          <w:sz w:val="22"/>
        </w:rPr>
        <w:t>size.</w:t>
      </w:r>
    </w:p>
    <w:p>
      <w:pPr>
        <w:pStyle w:val="ListParagraph"/>
        <w:numPr>
          <w:ilvl w:val="0"/>
          <w:numId w:val="30"/>
        </w:numPr>
        <w:tabs>
          <w:tab w:pos="1046" w:val="left" w:leader="none"/>
        </w:tabs>
        <w:spacing w:line="240" w:lineRule="auto" w:before="1" w:after="0"/>
        <w:ind w:left="1045" w:right="0" w:hanging="280"/>
        <w:jc w:val="left"/>
        <w:rPr>
          <w:sz w:val="22"/>
        </w:rPr>
      </w:pPr>
      <w:r>
        <w:rPr>
          <w:sz w:val="22"/>
        </w:rPr>
        <w:t>The</w:t>
      </w:r>
      <w:r>
        <w:rPr>
          <w:spacing w:val="-6"/>
          <w:sz w:val="22"/>
        </w:rPr>
        <w:t> </w:t>
      </w:r>
      <w:r>
        <w:rPr>
          <w:sz w:val="22"/>
        </w:rPr>
        <w:t>higher</w:t>
      </w:r>
      <w:r>
        <w:rPr>
          <w:spacing w:val="-5"/>
          <w:sz w:val="22"/>
        </w:rPr>
        <w:t> </w:t>
      </w:r>
      <w:r>
        <w:rPr>
          <w:sz w:val="22"/>
        </w:rPr>
        <w:t>than</w:t>
      </w:r>
      <w:r>
        <w:rPr>
          <w:spacing w:val="-5"/>
          <w:sz w:val="22"/>
        </w:rPr>
        <w:t> </w:t>
      </w:r>
      <w:r>
        <w:rPr>
          <w:sz w:val="22"/>
        </w:rPr>
        <w:t>target</w:t>
      </w:r>
      <w:r>
        <w:rPr>
          <w:spacing w:val="-5"/>
          <w:sz w:val="22"/>
        </w:rPr>
        <w:t> </w:t>
      </w:r>
      <w:r>
        <w:rPr>
          <w:sz w:val="22"/>
        </w:rPr>
        <w:t>result</w:t>
      </w:r>
      <w:r>
        <w:rPr>
          <w:spacing w:val="-5"/>
          <w:sz w:val="22"/>
        </w:rPr>
        <w:t> </w:t>
      </w:r>
      <w:r>
        <w:rPr>
          <w:sz w:val="22"/>
        </w:rPr>
        <w:t>is</w:t>
      </w:r>
      <w:r>
        <w:rPr>
          <w:spacing w:val="-5"/>
          <w:sz w:val="22"/>
        </w:rPr>
        <w:t> </w:t>
      </w:r>
      <w:r>
        <w:rPr>
          <w:sz w:val="22"/>
        </w:rPr>
        <w:t>due</w:t>
      </w:r>
      <w:r>
        <w:rPr>
          <w:spacing w:val="-5"/>
          <w:sz w:val="22"/>
        </w:rPr>
        <w:t> </w:t>
      </w:r>
      <w:r>
        <w:rPr>
          <w:sz w:val="22"/>
        </w:rPr>
        <w:t>to</w:t>
      </w:r>
      <w:r>
        <w:rPr>
          <w:spacing w:val="-5"/>
          <w:sz w:val="22"/>
        </w:rPr>
        <w:t> </w:t>
      </w:r>
      <w:r>
        <w:rPr>
          <w:sz w:val="22"/>
        </w:rPr>
        <w:t>a</w:t>
      </w:r>
      <w:r>
        <w:rPr>
          <w:spacing w:val="-5"/>
          <w:sz w:val="22"/>
        </w:rPr>
        <w:t> </w:t>
      </w:r>
      <w:r>
        <w:rPr>
          <w:sz w:val="22"/>
        </w:rPr>
        <w:t>reduction</w:t>
      </w:r>
      <w:r>
        <w:rPr>
          <w:spacing w:val="-5"/>
          <w:sz w:val="22"/>
        </w:rPr>
        <w:t> </w:t>
      </w:r>
      <w:r>
        <w:rPr>
          <w:sz w:val="22"/>
        </w:rPr>
        <w:t>in</w:t>
      </w:r>
      <w:r>
        <w:rPr>
          <w:spacing w:val="-5"/>
          <w:sz w:val="22"/>
        </w:rPr>
        <w:t> </w:t>
      </w:r>
      <w:r>
        <w:rPr>
          <w:sz w:val="22"/>
        </w:rPr>
        <w:t>CUA</w:t>
      </w:r>
      <w:r>
        <w:rPr>
          <w:spacing w:val="-5"/>
          <w:sz w:val="22"/>
        </w:rPr>
        <w:t> </w:t>
      </w:r>
      <w:r>
        <w:rPr>
          <w:sz w:val="22"/>
        </w:rPr>
        <w:t>turnover</w:t>
      </w:r>
      <w:r>
        <w:rPr>
          <w:spacing w:val="-5"/>
          <w:sz w:val="22"/>
        </w:rPr>
        <w:t> </w:t>
      </w:r>
      <w:r>
        <w:rPr>
          <w:sz w:val="22"/>
        </w:rPr>
        <w:t>which</w:t>
      </w:r>
      <w:r>
        <w:rPr>
          <w:spacing w:val="-5"/>
          <w:sz w:val="22"/>
        </w:rPr>
        <w:t> </w:t>
      </w:r>
      <w:r>
        <w:rPr>
          <w:sz w:val="22"/>
        </w:rPr>
        <w:t>was</w:t>
      </w:r>
      <w:r>
        <w:rPr>
          <w:spacing w:val="-5"/>
          <w:sz w:val="22"/>
        </w:rPr>
        <w:t> </w:t>
      </w:r>
      <w:r>
        <w:rPr>
          <w:sz w:val="22"/>
        </w:rPr>
        <w:t>partially</w:t>
      </w:r>
      <w:r>
        <w:rPr>
          <w:spacing w:val="-5"/>
          <w:sz w:val="22"/>
        </w:rPr>
        <w:t> </w:t>
      </w:r>
      <w:r>
        <w:rPr>
          <w:sz w:val="22"/>
        </w:rPr>
        <w:t>offset</w:t>
      </w:r>
      <w:r>
        <w:rPr>
          <w:spacing w:val="-5"/>
          <w:sz w:val="22"/>
        </w:rPr>
        <w:t> </w:t>
      </w:r>
      <w:r>
        <w:rPr>
          <w:sz w:val="22"/>
        </w:rPr>
        <w:t>by</w:t>
      </w:r>
      <w:r>
        <w:rPr>
          <w:spacing w:val="-5"/>
          <w:sz w:val="22"/>
        </w:rPr>
        <w:t> </w:t>
      </w:r>
      <w:r>
        <w:rPr>
          <w:sz w:val="22"/>
        </w:rPr>
        <w:t>lower</w:t>
      </w:r>
      <w:r>
        <w:rPr>
          <w:spacing w:val="-5"/>
          <w:sz w:val="22"/>
        </w:rPr>
        <w:t> </w:t>
      </w:r>
      <w:r>
        <w:rPr>
          <w:sz w:val="22"/>
        </w:rPr>
        <w:t>than</w:t>
      </w:r>
      <w:r>
        <w:rPr>
          <w:spacing w:val="-5"/>
          <w:sz w:val="22"/>
        </w:rPr>
        <w:t> </w:t>
      </w:r>
      <w:r>
        <w:rPr>
          <w:sz w:val="22"/>
        </w:rPr>
        <w:t>estimated</w:t>
      </w:r>
      <w:r>
        <w:rPr>
          <w:spacing w:val="-6"/>
          <w:sz w:val="22"/>
        </w:rPr>
        <w:t> </w:t>
      </w:r>
      <w:r>
        <w:rPr>
          <w:sz w:val="22"/>
        </w:rPr>
        <w:t>costs.</w:t>
      </w:r>
    </w:p>
    <w:p>
      <w:pPr>
        <w:pStyle w:val="ListParagraph"/>
        <w:numPr>
          <w:ilvl w:val="0"/>
          <w:numId w:val="30"/>
        </w:numPr>
        <w:tabs>
          <w:tab w:pos="1046" w:val="left" w:leader="none"/>
        </w:tabs>
        <w:spacing w:line="240" w:lineRule="auto" w:before="11" w:after="0"/>
        <w:ind w:left="1045" w:right="0" w:hanging="280"/>
        <w:jc w:val="left"/>
        <w:rPr>
          <w:sz w:val="22"/>
        </w:rPr>
      </w:pPr>
      <w:r>
        <w:rPr/>
        <w:pict>
          <v:group style="position:absolute;margin-left:0pt;margin-top:3.58687pt;width:24.1pt;height:41.55pt;mso-position-horizontal-relative:page;mso-position-vertical-relative:paragraph;z-index:26296" coordorigin="0,72" coordsize="482,831">
            <v:shape style="position:absolute;left:0;top:71;width:482;height:831" coordorigin="0,72" coordsize="482,831" path="m66,72l49,72,33,73,16,75,0,77,0,896,16,899,33,901,49,902,66,902,140,895,211,876,275,845,333,804,383,754,424,697,455,632,474,562,481,487,474,412,455,342,424,277,383,219,333,169,275,128,211,98,140,78,66,72xe" filled="true" fillcolor="#ffffff" stroked="false">
              <v:path arrowok="t"/>
              <v:fill type="solid"/>
            </v:shape>
            <v:shape style="position:absolute;left:0;top:71;width:482;height:831" coordorigin="0,72" coordsize="482,831" path="m66,72l49,72,33,73,16,75,0,77,0,896,16,899,33,901,49,902,66,902,140,895,211,876,275,845,333,804,383,754,424,697,455,632,474,562,481,487,474,412,455,342,424,277,383,219,333,169,275,128,211,98,140,78,66,72xe" filled="true" fillcolor="#aebd37" stroked="false">
              <v:path arrowok="t"/>
              <v:fill opacity="13107f" type="solid"/>
            </v:shape>
            <v:shape style="position:absolute;left:174;top:400;width:93;height:171" coordorigin="174,401" coordsize="93,171" path="m256,401l248,401,182,467,176,476,174,486,174,488,176,498,182,507,245,570,249,572,256,572,259,570,267,563,267,554,200,488,200,486,267,419,267,411,256,401xe" filled="true" fillcolor="#000000" stroked="false">
              <v:path arrowok="t"/>
              <v:fill type="solid"/>
            </v:shape>
            <w10:wrap type="none"/>
          </v:group>
        </w:pict>
      </w:r>
      <w:r>
        <w:rPr>
          <w:sz w:val="22"/>
        </w:rPr>
        <w:t>The</w:t>
      </w:r>
      <w:r>
        <w:rPr>
          <w:spacing w:val="-9"/>
          <w:sz w:val="22"/>
        </w:rPr>
        <w:t> </w:t>
      </w:r>
      <w:r>
        <w:rPr>
          <w:sz w:val="22"/>
        </w:rPr>
        <w:t>decrease</w:t>
      </w:r>
      <w:r>
        <w:rPr>
          <w:spacing w:val="-8"/>
          <w:sz w:val="22"/>
        </w:rPr>
        <w:t> </w:t>
      </w:r>
      <w:r>
        <w:rPr>
          <w:sz w:val="22"/>
        </w:rPr>
        <w:t>in</w:t>
      </w:r>
      <w:r>
        <w:rPr>
          <w:spacing w:val="-9"/>
          <w:sz w:val="22"/>
        </w:rPr>
        <w:t> </w:t>
      </w:r>
      <w:r>
        <w:rPr>
          <w:sz w:val="22"/>
        </w:rPr>
        <w:t>costs</w:t>
      </w:r>
      <w:r>
        <w:rPr>
          <w:spacing w:val="-8"/>
          <w:sz w:val="22"/>
        </w:rPr>
        <w:t> </w:t>
      </w:r>
      <w:r>
        <w:rPr>
          <w:sz w:val="22"/>
        </w:rPr>
        <w:t>from</w:t>
      </w:r>
      <w:r>
        <w:rPr>
          <w:spacing w:val="-9"/>
          <w:sz w:val="22"/>
        </w:rPr>
        <w:t> </w:t>
      </w:r>
      <w:r>
        <w:rPr>
          <w:sz w:val="22"/>
        </w:rPr>
        <w:t>2016-17</w:t>
      </w:r>
      <w:r>
        <w:rPr>
          <w:spacing w:val="-8"/>
          <w:sz w:val="22"/>
        </w:rPr>
        <w:t> </w:t>
      </w:r>
      <w:r>
        <w:rPr>
          <w:sz w:val="22"/>
        </w:rPr>
        <w:t>to</w:t>
      </w:r>
      <w:r>
        <w:rPr>
          <w:spacing w:val="-9"/>
          <w:sz w:val="22"/>
        </w:rPr>
        <w:t> </w:t>
      </w:r>
      <w:r>
        <w:rPr>
          <w:sz w:val="22"/>
        </w:rPr>
        <w:t>2017-18</w:t>
      </w:r>
      <w:r>
        <w:rPr>
          <w:spacing w:val="-8"/>
          <w:sz w:val="22"/>
        </w:rPr>
        <w:t> </w:t>
      </w:r>
      <w:r>
        <w:rPr>
          <w:sz w:val="22"/>
        </w:rPr>
        <w:t>was</w:t>
      </w:r>
      <w:r>
        <w:rPr>
          <w:spacing w:val="-9"/>
          <w:sz w:val="22"/>
        </w:rPr>
        <w:t> </w:t>
      </w:r>
      <w:r>
        <w:rPr>
          <w:sz w:val="22"/>
        </w:rPr>
        <w:t>due</w:t>
      </w:r>
      <w:r>
        <w:rPr>
          <w:spacing w:val="-8"/>
          <w:sz w:val="22"/>
        </w:rPr>
        <w:t> </w:t>
      </w:r>
      <w:r>
        <w:rPr>
          <w:sz w:val="22"/>
        </w:rPr>
        <w:t>to</w:t>
      </w:r>
      <w:r>
        <w:rPr>
          <w:spacing w:val="-9"/>
          <w:sz w:val="22"/>
        </w:rPr>
        <w:t> </w:t>
      </w:r>
      <w:r>
        <w:rPr>
          <w:sz w:val="22"/>
        </w:rPr>
        <w:t>an</w:t>
      </w:r>
      <w:r>
        <w:rPr>
          <w:spacing w:val="-8"/>
          <w:sz w:val="22"/>
        </w:rPr>
        <w:t> </w:t>
      </w:r>
      <w:r>
        <w:rPr>
          <w:sz w:val="22"/>
        </w:rPr>
        <w:t>increase</w:t>
      </w:r>
      <w:r>
        <w:rPr>
          <w:spacing w:val="-8"/>
          <w:sz w:val="22"/>
        </w:rPr>
        <w:t> </w:t>
      </w:r>
      <w:r>
        <w:rPr>
          <w:sz w:val="22"/>
        </w:rPr>
        <w:t>in</w:t>
      </w:r>
      <w:r>
        <w:rPr>
          <w:spacing w:val="-9"/>
          <w:sz w:val="22"/>
        </w:rPr>
        <w:t> </w:t>
      </w:r>
      <w:r>
        <w:rPr>
          <w:sz w:val="22"/>
        </w:rPr>
        <w:t>total</w:t>
      </w:r>
      <w:r>
        <w:rPr>
          <w:spacing w:val="-8"/>
          <w:sz w:val="22"/>
        </w:rPr>
        <w:t> </w:t>
      </w:r>
      <w:r>
        <w:rPr>
          <w:sz w:val="22"/>
        </w:rPr>
        <w:t>awarded</w:t>
      </w:r>
      <w:r>
        <w:rPr>
          <w:spacing w:val="-9"/>
          <w:sz w:val="22"/>
        </w:rPr>
        <w:t> </w:t>
      </w:r>
      <w:r>
        <w:rPr>
          <w:sz w:val="22"/>
        </w:rPr>
        <w:t>contract</w:t>
      </w:r>
      <w:r>
        <w:rPr>
          <w:spacing w:val="-8"/>
          <w:sz w:val="22"/>
        </w:rPr>
        <w:t> </w:t>
      </w:r>
      <w:r>
        <w:rPr>
          <w:sz w:val="22"/>
        </w:rPr>
        <w:t>value</w:t>
      </w:r>
      <w:r>
        <w:rPr>
          <w:spacing w:val="-9"/>
          <w:sz w:val="22"/>
        </w:rPr>
        <w:t> </w:t>
      </w:r>
      <w:r>
        <w:rPr>
          <w:sz w:val="22"/>
        </w:rPr>
        <w:t>while</w:t>
      </w:r>
      <w:r>
        <w:rPr>
          <w:spacing w:val="-8"/>
          <w:sz w:val="22"/>
        </w:rPr>
        <w:t> </w:t>
      </w:r>
      <w:r>
        <w:rPr>
          <w:sz w:val="22"/>
        </w:rPr>
        <w:t>costs</w:t>
      </w:r>
      <w:r>
        <w:rPr>
          <w:spacing w:val="-9"/>
          <w:sz w:val="22"/>
        </w:rPr>
        <w:t> </w:t>
      </w:r>
      <w:r>
        <w:rPr>
          <w:sz w:val="22"/>
        </w:rPr>
        <w:t>remained</w:t>
      </w:r>
      <w:r>
        <w:rPr>
          <w:spacing w:val="-8"/>
          <w:sz w:val="22"/>
        </w:rPr>
        <w:t> </w:t>
      </w:r>
      <w:r>
        <w:rPr>
          <w:sz w:val="22"/>
        </w:rPr>
        <w:t>relatively</w:t>
      </w:r>
      <w:r>
        <w:rPr>
          <w:spacing w:val="-9"/>
          <w:sz w:val="22"/>
        </w:rPr>
        <w:t> </w:t>
      </w:r>
      <w:r>
        <w:rPr>
          <w:sz w:val="22"/>
        </w:rPr>
        <w:t>static.</w:t>
      </w:r>
    </w:p>
    <w:p>
      <w:pPr>
        <w:tabs>
          <w:tab w:pos="10886" w:val="left" w:leader="none"/>
          <w:tab w:pos="11199" w:val="left" w:leader="none"/>
        </w:tabs>
        <w:spacing w:before="105"/>
        <w:ind w:left="765" w:right="0" w:firstLine="0"/>
        <w:jc w:val="left"/>
        <w:rPr>
          <w:b/>
          <w:sz w:val="20"/>
        </w:rPr>
      </w:pPr>
      <w:r>
        <w:rPr>
          <w:b/>
          <w:color w:val="6D6E71"/>
          <w:w w:val="100"/>
          <w:sz w:val="20"/>
          <w:u w:val="single" w:color="939598"/>
        </w:rPr>
        <w:t> </w:t>
      </w:r>
      <w:r>
        <w:rPr>
          <w:b/>
          <w:color w:val="6D6E71"/>
          <w:sz w:val="20"/>
          <w:u w:val="single" w:color="939598"/>
        </w:rPr>
        <w:tab/>
      </w:r>
      <w:r>
        <w:rPr>
          <w:b/>
          <w:color w:val="6D6E71"/>
          <w:sz w:val="20"/>
        </w:rPr>
        <w:tab/>
        <w:t>Department of Finance Annual Report</w:t>
      </w:r>
      <w:r>
        <w:rPr>
          <w:b/>
          <w:color w:val="6D6E71"/>
          <w:spacing w:val="21"/>
          <w:sz w:val="20"/>
        </w:rPr>
        <w:t> </w:t>
      </w:r>
      <w:r>
        <w:rPr>
          <w:b/>
          <w:color w:val="6D6E71"/>
          <w:spacing w:val="-3"/>
          <w:sz w:val="20"/>
        </w:rPr>
        <w:t>2017-18</w:t>
      </w:r>
    </w:p>
    <w:p>
      <w:pPr>
        <w:pStyle w:val="BodyText"/>
        <w:rPr>
          <w:b/>
          <w:sz w:val="24"/>
        </w:rPr>
      </w:pPr>
      <w:r>
        <w:rPr/>
        <w:br w:type="column"/>
      </w:r>
      <w:r>
        <w:rPr>
          <w:b/>
          <w:sz w:val="24"/>
        </w:rPr>
      </w:r>
    </w:p>
    <w:p>
      <w:pPr>
        <w:pStyle w:val="BodyText"/>
        <w:rPr>
          <w:b/>
          <w:sz w:val="24"/>
        </w:rPr>
      </w:pPr>
    </w:p>
    <w:p>
      <w:pPr>
        <w:pStyle w:val="BodyText"/>
        <w:rPr>
          <w:b/>
          <w:sz w:val="24"/>
        </w:rPr>
      </w:pPr>
    </w:p>
    <w:p>
      <w:pPr>
        <w:pStyle w:val="BodyText"/>
        <w:rPr>
          <w:b/>
          <w:sz w:val="24"/>
        </w:rPr>
      </w:pPr>
    </w:p>
    <w:p>
      <w:pPr>
        <w:spacing w:before="153"/>
        <w:ind w:left="88" w:right="0" w:firstLine="0"/>
        <w:jc w:val="left"/>
        <w:rPr>
          <w:b/>
          <w:sz w:val="20"/>
        </w:rPr>
      </w:pPr>
      <w:r>
        <w:rPr/>
        <w:pict>
          <v:group style="position:absolute;margin-left:817.839111pt;margin-top:-7.205017pt;width:24.1pt;height:41.55pt;mso-position-horizontal-relative:page;mso-position-vertical-relative:paragraph;z-index:26272" coordorigin="16357,-144" coordsize="482,831">
            <v:shape style="position:absolute;left:16356;top:-145;width:482;height:831" coordorigin="16357,-144" coordsize="482,831" path="m16772,-144l16697,-137,16627,-118,16562,-87,16504,-46,16454,4,16413,62,16383,126,16363,196,16357,271,16363,346,16383,416,16413,481,16454,539,16504,589,16562,630,16627,660,16697,680,16772,686,16789,686,16805,685,16822,683,16838,681,16838,-138,16822,-141,16805,-143,16789,-144,16772,-144xe" filled="true" fillcolor="#ffffff" stroked="false">
              <v:path arrowok="t"/>
              <v:fill type="solid"/>
            </v:shape>
            <v:shape style="position:absolute;left:16356;top:-145;width:482;height:831" coordorigin="16357,-144" coordsize="482,831" path="m16772,-144l16697,-137,16627,-118,16562,-87,16504,-46,16454,4,16413,62,16383,126,16363,196,16357,271,16363,346,16383,416,16413,481,16454,539,16504,589,16562,630,16627,660,16697,680,16772,686,16789,686,16805,685,16822,683,16838,681,16838,-138,16822,-141,16805,-143,16789,-144,16772,-144xe" filled="true" fillcolor="#aebd37" stroked="false">
              <v:path arrowok="t"/>
              <v:fill opacity="13107f" type="solid"/>
            </v:shape>
            <v:shape style="position:absolute;left:16571;top:185;width:93;height:171" coordorigin="16571,185" coordsize="93,171" path="m16590,185l16582,185,16571,195,16571,204,16638,270,16638,272,16571,339,16571,347,16579,355,16582,356,16589,356,16592,355,16655,291,16662,282,16664,272,16664,270,16662,260,16655,251,16590,185xe" filled="true" fillcolor="#000000" stroked="false">
              <v:path arrowok="t"/>
              <v:fill type="solid"/>
            </v:shape>
            <w10:wrap type="none"/>
          </v:group>
        </w:pict>
      </w:r>
      <w:r>
        <w:rPr>
          <w:b/>
          <w:color w:val="6F2770"/>
          <w:sz w:val="20"/>
        </w:rPr>
        <w:t>103</w:t>
      </w:r>
    </w:p>
    <w:p>
      <w:pPr>
        <w:spacing w:after="0"/>
        <w:jc w:val="left"/>
        <w:rPr>
          <w:sz w:val="20"/>
        </w:rPr>
        <w:sectPr>
          <w:type w:val="continuous"/>
          <w:pgSz w:w="16840" w:h="11910" w:orient="landscape"/>
          <w:pgMar w:top="1100" w:bottom="280" w:left="0" w:right="0"/>
          <w:cols w:num="2" w:equalWidth="0">
            <w:col w:w="15611" w:space="40"/>
            <w:col w:w="1189"/>
          </w:cols>
        </w:sectPr>
      </w:pPr>
    </w:p>
    <w:p>
      <w:pPr>
        <w:tabs>
          <w:tab w:pos="4810" w:val="left" w:leader="none"/>
          <w:tab w:pos="9621" w:val="left" w:leader="none"/>
          <w:tab w:pos="14432" w:val="left" w:leader="none"/>
        </w:tabs>
        <w:spacing w:line="240" w:lineRule="auto"/>
        <w:ind w:left="0" w:right="-58" w:firstLine="0"/>
        <w:rPr>
          <w:sz w:val="20"/>
        </w:rPr>
      </w:pPr>
      <w:bookmarkStart w:name="_bookmark43" w:id="44"/>
      <w:bookmarkEnd w:id="44"/>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rPr>
          <w:b/>
          <w:sz w:val="21"/>
        </w:rPr>
      </w:pPr>
    </w:p>
    <w:p>
      <w:pPr>
        <w:spacing w:after="0"/>
        <w:rPr>
          <w:sz w:val="21"/>
        </w:rPr>
        <w:sectPr>
          <w:footerReference w:type="default" r:id="rId212"/>
          <w:pgSz w:w="16840" w:h="11910" w:orient="landscape"/>
          <w:pgMar w:footer="0" w:header="0" w:top="0" w:bottom="0" w:left="0" w:right="0"/>
        </w:sectPr>
      </w:pPr>
    </w:p>
    <w:p>
      <w:pPr>
        <w:pStyle w:val="Heading1"/>
        <w:spacing w:line="860" w:lineRule="atLeast" w:before="60"/>
      </w:pPr>
      <w:r>
        <w:rPr/>
        <w:pict>
          <v:shape style="position:absolute;margin-left:601.348999pt;margin-top:-67.370697pt;width:120.3pt;height:42.55pt;mso-position-horizontal-relative:page;mso-position-vertical-relative:paragraph;z-index:26824" type="#_x0000_t202" filled="true" fillcolor="#c3acc4"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0697pt;width:120.3pt;height:42.55pt;mso-position-horizontal-relative:page;mso-position-vertical-relative:paragraph;z-index:2684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0697pt;width:120.3pt;height:42.55pt;mso-position-horizontal-relative:page;mso-position-vertical-relative:paragraph;z-index:2687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Efficiency </w:t>
      </w:r>
      <w:r>
        <w:rPr>
          <w:color w:val="6F2770"/>
          <w:w w:val="90"/>
        </w:rPr>
        <w:t>&amp;</w:t>
      </w:r>
      <w:r>
        <w:rPr>
          <w:color w:val="6F2770"/>
          <w:spacing w:val="97"/>
          <w:w w:val="90"/>
        </w:rPr>
        <w:t> </w:t>
      </w:r>
      <w:r>
        <w:rPr>
          <w:color w:val="6F2770"/>
          <w:spacing w:val="-2"/>
          <w:w w:val="90"/>
        </w:rPr>
        <w:t>Effectiveness</w:t>
      </w:r>
    </w:p>
    <w:p>
      <w:pPr>
        <w:spacing w:before="92"/>
        <w:ind w:left="638" w:right="0" w:firstLine="0"/>
        <w:jc w:val="left"/>
        <w:rPr>
          <w:sz w:val="72"/>
        </w:rPr>
      </w:pPr>
      <w:r>
        <w:rPr/>
        <w:br w:type="column"/>
      </w:r>
      <w:r>
        <w:rPr>
          <w:color w:val="6F2770"/>
          <w:sz w:val="72"/>
        </w:rPr>
        <w:t>Key Effectiveness</w:t>
      </w:r>
      <w:r>
        <w:rPr>
          <w:color w:val="6F2770"/>
          <w:spacing w:val="-98"/>
          <w:sz w:val="72"/>
        </w:rPr>
        <w:t> </w:t>
      </w:r>
      <w:r>
        <w:rPr>
          <w:color w:val="6F2770"/>
          <w:sz w:val="72"/>
        </w:rPr>
        <w:t>Indicators</w:t>
      </w:r>
    </w:p>
    <w:p>
      <w:pPr>
        <w:pStyle w:val="Heading4"/>
        <w:spacing w:before="110"/>
        <w:ind w:left="638"/>
      </w:pPr>
      <w:r>
        <w:rPr>
          <w:color w:val="6F2770"/>
        </w:rPr>
        <w:t>Building Management and Works</w:t>
      </w:r>
    </w:p>
    <w:p>
      <w:pPr>
        <w:spacing w:after="0"/>
        <w:sectPr>
          <w:type w:val="continuous"/>
          <w:pgSz w:w="16840" w:h="11910" w:orient="landscape"/>
          <w:pgMar w:top="1100" w:bottom="280" w:left="0" w:right="0"/>
          <w:cols w:num="2" w:equalWidth="0">
            <w:col w:w="5331" w:space="40"/>
            <w:col w:w="11469"/>
          </w:cols>
        </w:sectPr>
      </w:pPr>
    </w:p>
    <w:p>
      <w:pPr>
        <w:spacing w:before="40"/>
        <w:ind w:left="765" w:right="0" w:firstLine="0"/>
        <w:jc w:val="left"/>
        <w:rPr>
          <w:sz w:val="72"/>
        </w:rPr>
      </w:pPr>
      <w:r>
        <w:rPr>
          <w:color w:val="6F2770"/>
          <w:sz w:val="72"/>
        </w:rPr>
        <w:t>Indicators</w:t>
      </w:r>
    </w:p>
    <w:p>
      <w:pPr>
        <w:spacing w:before="110"/>
        <w:ind w:left="765" w:right="0" w:firstLine="0"/>
        <w:jc w:val="left"/>
        <w:rPr>
          <w:sz w:val="36"/>
        </w:rPr>
      </w:pPr>
      <w:r>
        <w:rPr>
          <w:color w:val="6F2770"/>
          <w:w w:val="95"/>
          <w:sz w:val="36"/>
        </w:rPr>
        <w:t>Corporate</w:t>
      </w:r>
      <w:r>
        <w:rPr>
          <w:color w:val="6F2770"/>
          <w:spacing w:val="47"/>
          <w:w w:val="95"/>
          <w:sz w:val="36"/>
        </w:rPr>
        <w:t> </w:t>
      </w:r>
      <w:r>
        <w:rPr>
          <w:color w:val="6F2770"/>
          <w:w w:val="95"/>
          <w:sz w:val="36"/>
        </w:rPr>
        <w:t>Services</w:t>
      </w:r>
    </w:p>
    <w:p>
      <w:pPr>
        <w:pStyle w:val="Heading6"/>
        <w:spacing w:line="249" w:lineRule="auto" w:before="268"/>
        <w:ind w:right="63"/>
      </w:pPr>
      <w:r>
        <w:rPr/>
        <w:t>Outcome 3: Efficient and effective corporate services to client agencies</w:t>
      </w:r>
    </w:p>
    <w:p>
      <w:pPr>
        <w:pStyle w:val="BodyText"/>
        <w:spacing w:before="1"/>
        <w:rPr>
          <w:b/>
          <w:sz w:val="23"/>
        </w:rPr>
      </w:pPr>
    </w:p>
    <w:p>
      <w:pPr>
        <w:spacing w:line="249" w:lineRule="auto" w:before="0"/>
        <w:ind w:left="765" w:right="0" w:firstLine="0"/>
        <w:jc w:val="left"/>
        <w:rPr>
          <w:b/>
          <w:sz w:val="22"/>
        </w:rPr>
      </w:pPr>
      <w:r>
        <w:rPr>
          <w:b/>
          <w:sz w:val="22"/>
        </w:rPr>
        <w:t>Service 3: Corporate services to client agencies</w:t>
      </w:r>
    </w:p>
    <w:p>
      <w:pPr>
        <w:pStyle w:val="BodyText"/>
        <w:spacing w:before="1"/>
        <w:rPr>
          <w:b/>
          <w:sz w:val="23"/>
        </w:rPr>
      </w:pPr>
    </w:p>
    <w:p>
      <w:pPr>
        <w:pStyle w:val="BodyText"/>
        <w:spacing w:line="249" w:lineRule="auto" w:before="1"/>
        <w:ind w:left="765"/>
      </w:pPr>
      <w:r>
        <w:rPr>
          <w:spacing w:val="-4"/>
        </w:rPr>
        <w:t>Effectiveness </w:t>
      </w:r>
      <w:r>
        <w:rPr/>
        <w:t>and </w:t>
      </w:r>
      <w:r>
        <w:rPr>
          <w:spacing w:val="-4"/>
        </w:rPr>
        <w:t>efficiency </w:t>
      </w:r>
      <w:r>
        <w:rPr>
          <w:spacing w:val="-3"/>
        </w:rPr>
        <w:t>indicators </w:t>
      </w:r>
      <w:r>
        <w:rPr>
          <w:spacing w:val="-4"/>
        </w:rPr>
        <w:t>are </w:t>
      </w:r>
      <w:r>
        <w:rPr>
          <w:spacing w:val="-3"/>
        </w:rPr>
        <w:t>not </w:t>
      </w:r>
      <w:r>
        <w:rPr>
          <w:spacing w:val="-4"/>
        </w:rPr>
        <w:t>reported </w:t>
      </w:r>
      <w:r>
        <w:rPr/>
        <w:t>for </w:t>
      </w:r>
      <w:r>
        <w:rPr>
          <w:spacing w:val="-3"/>
        </w:rPr>
        <w:t>this outcome </w:t>
      </w:r>
      <w:r>
        <w:rPr/>
        <w:t>as it </w:t>
      </w:r>
      <w:r>
        <w:rPr>
          <w:spacing w:val="-4"/>
        </w:rPr>
        <w:t>relates </w:t>
      </w:r>
      <w:r>
        <w:rPr/>
        <w:t>to </w:t>
      </w:r>
      <w:r>
        <w:rPr>
          <w:spacing w:val="-3"/>
        </w:rPr>
        <w:t>the corporate services </w:t>
      </w:r>
      <w:r>
        <w:rPr>
          <w:spacing w:val="-4"/>
        </w:rPr>
        <w:t>provided directly </w:t>
      </w:r>
      <w:r>
        <w:rPr/>
        <w:t>by </w:t>
      </w:r>
      <w:r>
        <w:rPr>
          <w:spacing w:val="-3"/>
        </w:rPr>
        <w:t>the Department</w:t>
      </w:r>
      <w:r>
        <w:rPr>
          <w:spacing w:val="-20"/>
        </w:rPr>
        <w:t> </w:t>
      </w:r>
      <w:r>
        <w:rPr/>
        <w:t>to</w:t>
      </w:r>
      <w:r>
        <w:rPr>
          <w:spacing w:val="-20"/>
        </w:rPr>
        <w:t> </w:t>
      </w:r>
      <w:r>
        <w:rPr>
          <w:spacing w:val="-3"/>
        </w:rPr>
        <w:t>support</w:t>
      </w:r>
      <w:r>
        <w:rPr>
          <w:spacing w:val="-20"/>
        </w:rPr>
        <w:t> </w:t>
      </w:r>
      <w:r>
        <w:rPr/>
        <w:t>the</w:t>
      </w:r>
      <w:r>
        <w:rPr>
          <w:spacing w:val="-20"/>
        </w:rPr>
        <w:t> </w:t>
      </w:r>
      <w:r>
        <w:rPr>
          <w:spacing w:val="-3"/>
        </w:rPr>
        <w:t>outcomes</w:t>
      </w:r>
      <w:r>
        <w:rPr>
          <w:spacing w:val="-20"/>
        </w:rPr>
        <w:t> </w:t>
      </w:r>
      <w:r>
        <w:rPr/>
        <w:t>and</w:t>
      </w:r>
      <w:r>
        <w:rPr>
          <w:spacing w:val="-19"/>
        </w:rPr>
        <w:t> </w:t>
      </w:r>
      <w:r>
        <w:rPr>
          <w:spacing w:val="-3"/>
        </w:rPr>
        <w:t>activities </w:t>
      </w:r>
      <w:r>
        <w:rPr/>
        <w:t>of the </w:t>
      </w:r>
      <w:r>
        <w:rPr>
          <w:spacing w:val="-3"/>
        </w:rPr>
        <w:t>Department </w:t>
      </w:r>
      <w:r>
        <w:rPr/>
        <w:t>of </w:t>
      </w:r>
      <w:r>
        <w:rPr>
          <w:spacing w:val="-8"/>
        </w:rPr>
        <w:t>Treasury, </w:t>
      </w:r>
      <w:r>
        <w:rPr/>
        <w:t>the </w:t>
      </w:r>
      <w:r>
        <w:rPr>
          <w:spacing w:val="-4"/>
        </w:rPr>
        <w:t>Office </w:t>
      </w:r>
      <w:r>
        <w:rPr/>
        <w:t>of </w:t>
      </w:r>
      <w:r>
        <w:rPr>
          <w:spacing w:val="-3"/>
        </w:rPr>
        <w:t>the Government</w:t>
      </w:r>
      <w:r>
        <w:rPr>
          <w:spacing w:val="-22"/>
        </w:rPr>
        <w:t> </w:t>
      </w:r>
      <w:r>
        <w:rPr>
          <w:spacing w:val="-3"/>
        </w:rPr>
        <w:t>Chief</w:t>
      </w:r>
      <w:r>
        <w:rPr>
          <w:spacing w:val="-22"/>
        </w:rPr>
        <w:t> </w:t>
      </w:r>
      <w:r>
        <w:rPr>
          <w:spacing w:val="-3"/>
        </w:rPr>
        <w:t>Information</w:t>
      </w:r>
      <w:r>
        <w:rPr>
          <w:spacing w:val="-22"/>
        </w:rPr>
        <w:t> </w:t>
      </w:r>
      <w:r>
        <w:rPr>
          <w:spacing w:val="-4"/>
        </w:rPr>
        <w:t>Officer</w:t>
      </w:r>
      <w:r>
        <w:rPr>
          <w:spacing w:val="-22"/>
        </w:rPr>
        <w:t> </w:t>
      </w:r>
      <w:r>
        <w:rPr>
          <w:spacing w:val="-3"/>
        </w:rPr>
        <w:t>(OGCIO)</w:t>
      </w:r>
    </w:p>
    <w:p>
      <w:pPr>
        <w:pStyle w:val="BodyText"/>
        <w:spacing w:line="249" w:lineRule="auto" w:before="5"/>
        <w:ind w:left="765" w:right="180"/>
      </w:pPr>
      <w:r>
        <w:rPr/>
        <w:t>and</w:t>
      </w:r>
      <w:r>
        <w:rPr>
          <w:spacing w:val="-42"/>
        </w:rPr>
        <w:t> </w:t>
      </w:r>
      <w:r>
        <w:rPr/>
        <w:t>the</w:t>
      </w:r>
      <w:r>
        <w:rPr>
          <w:spacing w:val="-41"/>
        </w:rPr>
        <w:t> </w:t>
      </w:r>
      <w:r>
        <w:rPr>
          <w:spacing w:val="-3"/>
        </w:rPr>
        <w:t>Government</w:t>
      </w:r>
      <w:r>
        <w:rPr>
          <w:spacing w:val="-42"/>
        </w:rPr>
        <w:t> </w:t>
      </w:r>
      <w:r>
        <w:rPr>
          <w:spacing w:val="-3"/>
        </w:rPr>
        <w:t>Employees</w:t>
      </w:r>
      <w:r>
        <w:rPr>
          <w:spacing w:val="-41"/>
        </w:rPr>
        <w:t> </w:t>
      </w:r>
      <w:r>
        <w:rPr>
          <w:spacing w:val="-3"/>
        </w:rPr>
        <w:t>Superannuation </w:t>
      </w:r>
      <w:r>
        <w:rPr>
          <w:spacing w:val="-4"/>
        </w:rPr>
        <w:t>Board </w:t>
      </w:r>
      <w:r>
        <w:rPr>
          <w:spacing w:val="-3"/>
        </w:rPr>
        <w:t>(GESB). </w:t>
      </w:r>
      <w:r>
        <w:rPr/>
        <w:t>An </w:t>
      </w:r>
      <w:r>
        <w:rPr>
          <w:spacing w:val="-3"/>
        </w:rPr>
        <w:t>exemption </w:t>
      </w:r>
      <w:r>
        <w:rPr>
          <w:spacing w:val="-4"/>
        </w:rPr>
        <w:t>from </w:t>
      </w:r>
      <w:r>
        <w:rPr>
          <w:spacing w:val="-3"/>
        </w:rPr>
        <w:t>the </w:t>
      </w:r>
      <w:r>
        <w:rPr>
          <w:spacing w:val="-4"/>
        </w:rPr>
        <w:t>requirements</w:t>
      </w:r>
      <w:r>
        <w:rPr>
          <w:spacing w:val="-37"/>
        </w:rPr>
        <w:t> </w:t>
      </w:r>
      <w:r>
        <w:rPr/>
        <w:t>of</w:t>
      </w:r>
      <w:r>
        <w:rPr>
          <w:spacing w:val="-36"/>
        </w:rPr>
        <w:t> </w:t>
      </w:r>
      <w:r>
        <w:rPr>
          <w:spacing w:val="-8"/>
        </w:rPr>
        <w:t>Treasurer’s</w:t>
      </w:r>
      <w:r>
        <w:rPr>
          <w:spacing w:val="-37"/>
        </w:rPr>
        <w:t> </w:t>
      </w:r>
      <w:r>
        <w:rPr>
          <w:spacing w:val="-3"/>
        </w:rPr>
        <w:t>Instruction</w:t>
      </w:r>
      <w:r>
        <w:rPr>
          <w:spacing w:val="-36"/>
        </w:rPr>
        <w:t> </w:t>
      </w:r>
      <w:r>
        <w:rPr/>
        <w:t>904</w:t>
      </w:r>
      <w:r>
        <w:rPr>
          <w:spacing w:val="-37"/>
        </w:rPr>
        <w:t> </w:t>
      </w:r>
      <w:r>
        <w:rPr>
          <w:spacing w:val="-3"/>
        </w:rPr>
        <w:t>(2)(iv) </w:t>
      </w:r>
      <w:r>
        <w:rPr/>
        <w:t>Key</w:t>
      </w:r>
      <w:r>
        <w:rPr>
          <w:spacing w:val="-24"/>
        </w:rPr>
        <w:t> </w:t>
      </w:r>
      <w:r>
        <w:rPr>
          <w:spacing w:val="-3"/>
        </w:rPr>
        <w:t>Performance</w:t>
      </w:r>
      <w:r>
        <w:rPr>
          <w:spacing w:val="-24"/>
        </w:rPr>
        <w:t> </w:t>
      </w:r>
      <w:r>
        <w:rPr>
          <w:spacing w:val="-3"/>
        </w:rPr>
        <w:t>Indicators,</w:t>
      </w:r>
      <w:r>
        <w:rPr>
          <w:spacing w:val="-24"/>
        </w:rPr>
        <w:t> </w:t>
      </w:r>
      <w:r>
        <w:rPr/>
        <w:t>has</w:t>
      </w:r>
      <w:r>
        <w:rPr>
          <w:spacing w:val="-23"/>
        </w:rPr>
        <w:t> </w:t>
      </w:r>
      <w:r>
        <w:rPr>
          <w:spacing w:val="-3"/>
        </w:rPr>
        <w:t>been</w:t>
      </w:r>
      <w:r>
        <w:rPr>
          <w:spacing w:val="-24"/>
        </w:rPr>
        <w:t> </w:t>
      </w:r>
      <w:r>
        <w:rPr>
          <w:spacing w:val="-4"/>
        </w:rPr>
        <w:t>provided </w:t>
      </w:r>
      <w:r>
        <w:rPr/>
        <w:t>by the </w:t>
      </w:r>
      <w:r>
        <w:rPr>
          <w:spacing w:val="-3"/>
        </w:rPr>
        <w:t>Under </w:t>
      </w:r>
      <w:r>
        <w:rPr>
          <w:spacing w:val="-6"/>
        </w:rPr>
        <w:t>Treasurer </w:t>
      </w:r>
      <w:r>
        <w:rPr/>
        <w:t>in</w:t>
      </w:r>
      <w:r>
        <w:rPr>
          <w:spacing w:val="-35"/>
        </w:rPr>
        <w:t> </w:t>
      </w:r>
      <w:r>
        <w:rPr>
          <w:spacing w:val="-3"/>
        </w:rPr>
        <w:t>2016-17.</w:t>
      </w:r>
    </w:p>
    <w:p>
      <w:pPr>
        <w:pStyle w:val="Heading6"/>
        <w:spacing w:line="164" w:lineRule="exact"/>
        <w:ind w:left="499"/>
      </w:pPr>
      <w:r>
        <w:rPr>
          <w:b w:val="0"/>
        </w:rPr>
        <w:br w:type="column"/>
      </w:r>
      <w:r>
        <w:rPr/>
        <w:t>Outcome 4: Value-for-money from</w:t>
      </w:r>
    </w:p>
    <w:p>
      <w:pPr>
        <w:spacing w:before="11"/>
        <w:ind w:left="499" w:right="0" w:firstLine="0"/>
        <w:jc w:val="left"/>
        <w:rPr>
          <w:b/>
          <w:sz w:val="22"/>
        </w:rPr>
      </w:pPr>
      <w:r>
        <w:rPr>
          <w:b/>
          <w:sz w:val="22"/>
        </w:rPr>
        <w:t>the management of the Government’s</w:t>
      </w:r>
    </w:p>
    <w:p>
      <w:pPr>
        <w:spacing w:before="11"/>
        <w:ind w:left="499" w:right="0" w:firstLine="0"/>
        <w:jc w:val="left"/>
        <w:rPr>
          <w:b/>
          <w:sz w:val="22"/>
        </w:rPr>
      </w:pPr>
      <w:r>
        <w:rPr>
          <w:b/>
          <w:sz w:val="22"/>
        </w:rPr>
        <w:t>non-residential buildings and public works</w:t>
      </w:r>
    </w:p>
    <w:p>
      <w:pPr>
        <w:pStyle w:val="BodyText"/>
        <w:spacing w:before="10"/>
        <w:rPr>
          <w:b/>
          <w:sz w:val="23"/>
        </w:rPr>
      </w:pPr>
    </w:p>
    <w:p>
      <w:pPr>
        <w:pStyle w:val="BodyText"/>
        <w:spacing w:line="249" w:lineRule="auto"/>
        <w:ind w:left="499" w:right="28"/>
      </w:pPr>
      <w:r>
        <w:rPr/>
        <w:t>The Department, through Building Management and</w:t>
      </w:r>
      <w:r>
        <w:rPr>
          <w:spacing w:val="-19"/>
        </w:rPr>
        <w:t> </w:t>
      </w:r>
      <w:r>
        <w:rPr/>
        <w:t>Works,</w:t>
      </w:r>
      <w:r>
        <w:rPr>
          <w:spacing w:val="-19"/>
        </w:rPr>
        <w:t> </w:t>
      </w:r>
      <w:r>
        <w:rPr/>
        <w:t>delivers</w:t>
      </w:r>
      <w:r>
        <w:rPr>
          <w:spacing w:val="-19"/>
        </w:rPr>
        <w:t> </w:t>
      </w:r>
      <w:r>
        <w:rPr/>
        <w:t>a</w:t>
      </w:r>
      <w:r>
        <w:rPr>
          <w:spacing w:val="-18"/>
        </w:rPr>
        <w:t> </w:t>
      </w:r>
      <w:r>
        <w:rPr/>
        <w:t>range</w:t>
      </w:r>
      <w:r>
        <w:rPr>
          <w:spacing w:val="-19"/>
        </w:rPr>
        <w:t> </w:t>
      </w:r>
      <w:r>
        <w:rPr/>
        <w:t>of</w:t>
      </w:r>
      <w:r>
        <w:rPr>
          <w:spacing w:val="-19"/>
        </w:rPr>
        <w:t> </w:t>
      </w:r>
      <w:r>
        <w:rPr/>
        <w:t>services</w:t>
      </w:r>
      <w:r>
        <w:rPr>
          <w:spacing w:val="-19"/>
        </w:rPr>
        <w:t> </w:t>
      </w:r>
      <w:r>
        <w:rPr/>
        <w:t>to</w:t>
      </w:r>
      <w:r>
        <w:rPr>
          <w:spacing w:val="-18"/>
        </w:rPr>
        <w:t> </w:t>
      </w:r>
      <w:r>
        <w:rPr/>
        <w:t>lead</w:t>
      </w:r>
      <w:r>
        <w:rPr>
          <w:spacing w:val="-19"/>
        </w:rPr>
        <w:t> </w:t>
      </w:r>
      <w:r>
        <w:rPr>
          <w:spacing w:val="-6"/>
        </w:rPr>
        <w:t>the </w:t>
      </w:r>
      <w:r>
        <w:rPr/>
        <w:t>planning and delivery of a property portfolio that supports the delivery of government services to the</w:t>
      </w:r>
      <w:r>
        <w:rPr>
          <w:spacing w:val="-1"/>
        </w:rPr>
        <w:t> </w:t>
      </w:r>
      <w:r>
        <w:rPr>
          <w:spacing w:val="-3"/>
        </w:rPr>
        <w:t>community.</w:t>
      </w:r>
    </w:p>
    <w:p>
      <w:pPr>
        <w:pStyle w:val="BodyText"/>
        <w:spacing w:before="4"/>
        <w:rPr>
          <w:sz w:val="23"/>
        </w:rPr>
      </w:pPr>
    </w:p>
    <w:p>
      <w:pPr>
        <w:pStyle w:val="BodyText"/>
        <w:spacing w:line="249" w:lineRule="auto"/>
        <w:ind w:left="499" w:right="-6"/>
      </w:pPr>
      <w:r>
        <w:rPr/>
        <w:t>This indicator demonstrates the ability of Building Management</w:t>
      </w:r>
      <w:r>
        <w:rPr>
          <w:spacing w:val="-24"/>
        </w:rPr>
        <w:t> </w:t>
      </w:r>
      <w:r>
        <w:rPr/>
        <w:t>and</w:t>
      </w:r>
      <w:r>
        <w:rPr>
          <w:spacing w:val="-24"/>
        </w:rPr>
        <w:t> </w:t>
      </w:r>
      <w:r>
        <w:rPr/>
        <w:t>Works</w:t>
      </w:r>
      <w:r>
        <w:rPr>
          <w:spacing w:val="-24"/>
        </w:rPr>
        <w:t> </w:t>
      </w:r>
      <w:r>
        <w:rPr/>
        <w:t>to</w:t>
      </w:r>
      <w:r>
        <w:rPr>
          <w:spacing w:val="-23"/>
        </w:rPr>
        <w:t> </w:t>
      </w:r>
      <w:r>
        <w:rPr/>
        <w:t>deliver</w:t>
      </w:r>
      <w:r>
        <w:rPr>
          <w:spacing w:val="-24"/>
        </w:rPr>
        <w:t> </w:t>
      </w:r>
      <w:r>
        <w:rPr/>
        <w:t>non-residential buildings for its client agencies within 10 per cent of</w:t>
      </w:r>
      <w:r>
        <w:rPr>
          <w:spacing w:val="-14"/>
        </w:rPr>
        <w:t> </w:t>
      </w:r>
      <w:r>
        <w:rPr/>
        <w:t>the</w:t>
      </w:r>
      <w:r>
        <w:rPr>
          <w:spacing w:val="-14"/>
        </w:rPr>
        <w:t> </w:t>
      </w:r>
      <w:r>
        <w:rPr/>
        <w:t>approved</w:t>
      </w:r>
      <w:r>
        <w:rPr>
          <w:spacing w:val="-14"/>
        </w:rPr>
        <w:t> </w:t>
      </w:r>
      <w:r>
        <w:rPr/>
        <w:t>budget</w:t>
      </w:r>
      <w:r>
        <w:rPr>
          <w:spacing w:val="-13"/>
        </w:rPr>
        <w:t> </w:t>
      </w:r>
      <w:r>
        <w:rPr/>
        <w:t>and</w:t>
      </w:r>
      <w:r>
        <w:rPr>
          <w:spacing w:val="-14"/>
        </w:rPr>
        <w:t> </w:t>
      </w:r>
      <w:r>
        <w:rPr/>
        <w:t>focuses</w:t>
      </w:r>
      <w:r>
        <w:rPr>
          <w:spacing w:val="-14"/>
        </w:rPr>
        <w:t> </w:t>
      </w:r>
      <w:r>
        <w:rPr/>
        <w:t>on</w:t>
      </w:r>
      <w:r>
        <w:rPr>
          <w:spacing w:val="-14"/>
        </w:rPr>
        <w:t> </w:t>
      </w:r>
      <w:r>
        <w:rPr/>
        <w:t>significant projects</w:t>
      </w:r>
      <w:r>
        <w:rPr>
          <w:spacing w:val="-18"/>
        </w:rPr>
        <w:t> </w:t>
      </w:r>
      <w:r>
        <w:rPr/>
        <w:t>within</w:t>
      </w:r>
      <w:r>
        <w:rPr>
          <w:spacing w:val="-18"/>
        </w:rPr>
        <w:t> </w:t>
      </w:r>
      <w:r>
        <w:rPr/>
        <w:t>the</w:t>
      </w:r>
      <w:r>
        <w:rPr>
          <w:spacing w:val="-18"/>
        </w:rPr>
        <w:t> </w:t>
      </w:r>
      <w:r>
        <w:rPr/>
        <w:t>works</w:t>
      </w:r>
      <w:r>
        <w:rPr>
          <w:spacing w:val="-18"/>
        </w:rPr>
        <w:t> </w:t>
      </w:r>
      <w:r>
        <w:rPr/>
        <w:t>program.</w:t>
      </w:r>
      <w:r>
        <w:rPr>
          <w:spacing w:val="-18"/>
        </w:rPr>
        <w:t> </w:t>
      </w:r>
      <w:r>
        <w:rPr/>
        <w:t>Achievement</w:t>
      </w:r>
      <w:r>
        <w:rPr>
          <w:spacing w:val="-18"/>
        </w:rPr>
        <w:t> </w:t>
      </w:r>
      <w:r>
        <w:rPr>
          <w:spacing w:val="-10"/>
        </w:rPr>
        <w:t>of </w:t>
      </w:r>
      <w:r>
        <w:rPr/>
        <w:t>projects</w:t>
      </w:r>
      <w:r>
        <w:rPr>
          <w:spacing w:val="-10"/>
        </w:rPr>
        <w:t> </w:t>
      </w:r>
      <w:r>
        <w:rPr/>
        <w:t>on-budget</w:t>
      </w:r>
      <w:r>
        <w:rPr>
          <w:spacing w:val="-9"/>
        </w:rPr>
        <w:t> </w:t>
      </w:r>
      <w:r>
        <w:rPr/>
        <w:t>is</w:t>
      </w:r>
      <w:r>
        <w:rPr>
          <w:spacing w:val="-10"/>
        </w:rPr>
        <w:t> </w:t>
      </w:r>
      <w:r>
        <w:rPr/>
        <w:t>an</w:t>
      </w:r>
      <w:r>
        <w:rPr>
          <w:spacing w:val="-9"/>
        </w:rPr>
        <w:t> </w:t>
      </w:r>
      <w:r>
        <w:rPr/>
        <w:t>important</w:t>
      </w:r>
      <w:r>
        <w:rPr>
          <w:spacing w:val="-10"/>
        </w:rPr>
        <w:t> </w:t>
      </w:r>
      <w:r>
        <w:rPr/>
        <w:t>requirement</w:t>
      </w:r>
    </w:p>
    <w:p>
      <w:pPr>
        <w:pStyle w:val="BodyText"/>
        <w:spacing w:line="249" w:lineRule="auto" w:before="6"/>
        <w:ind w:left="499" w:right="560"/>
      </w:pPr>
      <w:r>
        <w:rPr/>
        <w:t>for</w:t>
      </w:r>
      <w:r>
        <w:rPr>
          <w:spacing w:val="-14"/>
        </w:rPr>
        <w:t> </w:t>
      </w:r>
      <w:r>
        <w:rPr/>
        <w:t>client</w:t>
      </w:r>
      <w:r>
        <w:rPr>
          <w:spacing w:val="-14"/>
        </w:rPr>
        <w:t> </w:t>
      </w:r>
      <w:r>
        <w:rPr/>
        <w:t>agencies</w:t>
      </w:r>
      <w:r>
        <w:rPr>
          <w:spacing w:val="-14"/>
        </w:rPr>
        <w:t> </w:t>
      </w:r>
      <w:r>
        <w:rPr/>
        <w:t>and</w:t>
      </w:r>
      <w:r>
        <w:rPr>
          <w:spacing w:val="-13"/>
        </w:rPr>
        <w:t> </w:t>
      </w:r>
      <w:r>
        <w:rPr/>
        <w:t>is</w:t>
      </w:r>
      <w:r>
        <w:rPr>
          <w:spacing w:val="-14"/>
        </w:rPr>
        <w:t> </w:t>
      </w:r>
      <w:r>
        <w:rPr/>
        <w:t>a</w:t>
      </w:r>
      <w:r>
        <w:rPr>
          <w:spacing w:val="-14"/>
        </w:rPr>
        <w:t> </w:t>
      </w:r>
      <w:r>
        <w:rPr/>
        <w:t>key</w:t>
      </w:r>
      <w:r>
        <w:rPr>
          <w:spacing w:val="-13"/>
        </w:rPr>
        <w:t> </w:t>
      </w:r>
      <w:r>
        <w:rPr/>
        <w:t>contributor</w:t>
      </w:r>
      <w:r>
        <w:rPr>
          <w:spacing w:val="-14"/>
        </w:rPr>
        <w:t> </w:t>
      </w:r>
      <w:r>
        <w:rPr>
          <w:spacing w:val="-9"/>
        </w:rPr>
        <w:t>to </w:t>
      </w:r>
      <w:r>
        <w:rPr/>
        <w:t>value-for-money</w:t>
      </w:r>
      <w:r>
        <w:rPr>
          <w:spacing w:val="-3"/>
        </w:rPr>
        <w:t> </w:t>
      </w:r>
      <w:r>
        <w:rPr/>
        <w:t>outcomes.</w:t>
      </w:r>
    </w:p>
    <w:p>
      <w:pPr>
        <w:pStyle w:val="Heading6"/>
        <w:spacing w:line="164" w:lineRule="exact"/>
        <w:ind w:left="403"/>
      </w:pPr>
      <w:r>
        <w:rPr>
          <w:b w:val="0"/>
        </w:rPr>
        <w:br w:type="column"/>
      </w:r>
      <w:r>
        <w:rPr/>
        <w:t>Percentage of significant projects in the New</w:t>
      </w:r>
    </w:p>
    <w:p>
      <w:pPr>
        <w:spacing w:line="249" w:lineRule="auto" w:before="11"/>
        <w:ind w:left="403" w:right="1117" w:firstLine="0"/>
        <w:jc w:val="left"/>
        <w:rPr>
          <w:b/>
          <w:sz w:val="10"/>
        </w:rPr>
      </w:pPr>
      <w:r>
        <w:rPr>
          <w:b/>
          <w:sz w:val="22"/>
        </w:rPr>
        <w:t>Buildings program delivered within 10% of approved budget (%) </w:t>
      </w:r>
      <w:r>
        <w:rPr>
          <w:b/>
          <w:position w:val="8"/>
          <w:sz w:val="10"/>
        </w:rPr>
        <w:t>(a)</w:t>
      </w:r>
    </w:p>
    <w:p>
      <w:pPr>
        <w:pStyle w:val="BodyText"/>
        <w:spacing w:before="4"/>
        <w:rPr>
          <w:b/>
          <w:sz w:val="34"/>
        </w:rPr>
      </w:pPr>
    </w:p>
    <w:p>
      <w:pPr>
        <w:tabs>
          <w:tab w:pos="1648" w:val="left" w:leader="none"/>
          <w:tab w:pos="2654" w:val="left" w:leader="none"/>
          <w:tab w:pos="3660" w:val="left" w:leader="none"/>
          <w:tab w:pos="4666" w:val="left" w:leader="none"/>
        </w:tabs>
        <w:spacing w:before="0"/>
        <w:ind w:left="641" w:right="0" w:firstLine="0"/>
        <w:jc w:val="left"/>
        <w:rPr>
          <w:b/>
          <w:sz w:val="19"/>
        </w:rPr>
      </w:pPr>
      <w:r>
        <w:rPr>
          <w:b/>
          <w:color w:val="475B29"/>
          <w:sz w:val="19"/>
        </w:rPr>
        <w:t>100</w:t>
        <w:tab/>
        <w:t>100</w:t>
        <w:tab/>
        <w:t>100</w:t>
        <w:tab/>
      </w:r>
      <w:r>
        <w:rPr>
          <w:b/>
          <w:color w:val="6F2770"/>
          <w:sz w:val="19"/>
        </w:rPr>
        <w:t>100</w:t>
        <w:tab/>
      </w:r>
      <w:r>
        <w:rPr>
          <w:b/>
          <w:color w:val="360F41"/>
          <w:sz w:val="19"/>
        </w:rPr>
        <w:t>100</w:t>
      </w:r>
    </w:p>
    <w:p>
      <w:pPr>
        <w:pStyle w:val="BodyText"/>
        <w:spacing w:before="1"/>
        <w:rPr>
          <w:b/>
          <w:sz w:val="5"/>
        </w:rPr>
      </w:pPr>
    </w:p>
    <w:p>
      <w:pPr>
        <w:spacing w:line="240" w:lineRule="auto"/>
        <w:ind w:left="398" w:right="0" w:firstLine="0"/>
        <w:rPr>
          <w:sz w:val="20"/>
        </w:rPr>
      </w:pPr>
      <w:r>
        <w:rPr>
          <w:sz w:val="20"/>
        </w:rPr>
        <w:pict>
          <v:group style="width:40.2pt;height:121.25pt;mso-position-horizontal-relative:char;mso-position-vertical-relative:line" coordorigin="0,0" coordsize="804,2425">
            <v:rect style="position:absolute;left:0;top:0;width:804;height:2425" filled="true" fillcolor="#e3e5bd" stroked="false">
              <v:fill type="solid"/>
            </v:rect>
          </v:group>
        </w:pict>
      </w:r>
      <w:r>
        <w:rPr>
          <w:sz w:val="20"/>
        </w:rPr>
      </w:r>
      <w:r>
        <w:rPr>
          <w:rFonts w:ascii="Times New Roman"/>
          <w:spacing w:val="136"/>
          <w:sz w:val="20"/>
        </w:rPr>
        <w:t> </w:t>
      </w:r>
      <w:r>
        <w:rPr>
          <w:spacing w:val="136"/>
          <w:sz w:val="20"/>
        </w:rPr>
        <w:pict>
          <v:group style="width:40.2pt;height:121.25pt;mso-position-horizontal-relative:char;mso-position-vertical-relative:line" coordorigin="0,0" coordsize="804,2425">
            <v:rect style="position:absolute;left:0;top:0;width:804;height:2425" filled="true" fillcolor="#e3e5bd" stroked="false">
              <v:fill type="solid"/>
            </v:rect>
          </v:group>
        </w:pict>
      </w:r>
      <w:r>
        <w:rPr>
          <w:spacing w:val="136"/>
          <w:sz w:val="20"/>
        </w:rPr>
      </w:r>
      <w:r>
        <w:rPr>
          <w:rFonts w:ascii="Times New Roman"/>
          <w:spacing w:val="136"/>
          <w:sz w:val="20"/>
        </w:rPr>
        <w:t> </w:t>
      </w:r>
      <w:r>
        <w:rPr>
          <w:spacing w:val="136"/>
          <w:sz w:val="20"/>
        </w:rPr>
        <w:pict>
          <v:group style="width:40.2pt;height:121.25pt;mso-position-horizontal-relative:char;mso-position-vertical-relative:line" coordorigin="0,0" coordsize="804,2425">
            <v:rect style="position:absolute;left:0;top:0;width:804;height:2425" filled="true" fillcolor="#e3e5bd" stroked="false">
              <v:fill type="solid"/>
            </v:rect>
          </v:group>
        </w:pict>
      </w:r>
      <w:r>
        <w:rPr>
          <w:spacing w:val="136"/>
          <w:sz w:val="20"/>
        </w:rPr>
      </w:r>
      <w:r>
        <w:rPr>
          <w:rFonts w:ascii="Times New Roman"/>
          <w:spacing w:val="141"/>
          <w:sz w:val="20"/>
        </w:rPr>
        <w:t> </w:t>
      </w:r>
      <w:r>
        <w:rPr>
          <w:spacing w:val="141"/>
          <w:sz w:val="20"/>
        </w:rPr>
        <w:pict>
          <v:group style="width:40.2pt;height:121.25pt;mso-position-horizontal-relative:char;mso-position-vertical-relative:line" coordorigin="0,0" coordsize="804,2425">
            <v:rect style="position:absolute;left:0;top:0;width:804;height:2425" filled="true" fillcolor="#a682a6" stroked="false">
              <v:fill type="solid"/>
            </v:rect>
          </v:group>
        </w:pict>
      </w:r>
      <w:r>
        <w:rPr>
          <w:spacing w:val="141"/>
          <w:sz w:val="20"/>
        </w:rPr>
      </w:r>
      <w:r>
        <w:rPr>
          <w:rFonts w:ascii="Times New Roman"/>
          <w:spacing w:val="136"/>
          <w:sz w:val="20"/>
        </w:rPr>
        <w:t> </w:t>
      </w:r>
      <w:r>
        <w:rPr>
          <w:spacing w:val="136"/>
          <w:sz w:val="20"/>
        </w:rPr>
        <w:pict>
          <v:group style="width:40.2pt;height:121.25pt;mso-position-horizontal-relative:char;mso-position-vertical-relative:line" coordorigin="0,0" coordsize="804,2425">
            <v:rect style="position:absolute;left:0;top:0;width:804;height:2425" filled="true" fillcolor="#806b85" stroked="false">
              <v:fill type="solid"/>
            </v:rect>
          </v:group>
        </w:pict>
      </w:r>
      <w:r>
        <w:rPr>
          <w:spacing w:val="136"/>
          <w:sz w:val="20"/>
        </w:rPr>
      </w:r>
    </w:p>
    <w:p>
      <w:pPr>
        <w:tabs>
          <w:tab w:pos="1454" w:val="left" w:leader="none"/>
          <w:tab w:pos="2460" w:val="left" w:leader="none"/>
          <w:tab w:pos="3466" w:val="left" w:leader="none"/>
          <w:tab w:pos="4473" w:val="left" w:leader="none"/>
        </w:tabs>
        <w:spacing w:before="2"/>
        <w:ind w:left="448" w:right="0" w:firstLine="0"/>
        <w:jc w:val="left"/>
        <w:rPr>
          <w:b/>
          <w:sz w:val="19"/>
        </w:rPr>
      </w:pPr>
      <w:r>
        <w:rPr>
          <w:b/>
          <w:w w:val="105"/>
          <w:sz w:val="19"/>
        </w:rPr>
        <w:t>2014/15</w:t>
        <w:tab/>
        <w:t>2015/16</w:t>
        <w:tab/>
        <w:t>2016/17</w:t>
        <w:tab/>
        <w:t>2017/18</w:t>
        <w:tab/>
        <w:t>2017/18</w:t>
      </w:r>
    </w:p>
    <w:p>
      <w:pPr>
        <w:pStyle w:val="BodyText"/>
        <w:spacing w:before="3"/>
        <w:rPr>
          <w:b/>
          <w:sz w:val="3"/>
        </w:rPr>
      </w:pPr>
    </w:p>
    <w:p>
      <w:pPr>
        <w:tabs>
          <w:tab w:pos="1414" w:val="left" w:leader="none"/>
          <w:tab w:pos="2421" w:val="left" w:leader="none"/>
          <w:tab w:pos="3427" w:val="left" w:leader="none"/>
          <w:tab w:pos="4433" w:val="left" w:leader="none"/>
        </w:tabs>
        <w:spacing w:line="240" w:lineRule="auto"/>
        <w:ind w:left="408" w:right="0" w:firstLine="0"/>
        <w:rPr>
          <w:sz w:val="20"/>
        </w:rPr>
      </w:pPr>
      <w:r>
        <w:rPr>
          <w:sz w:val="20"/>
        </w:rPr>
        <w:pict>
          <v:shape style="width:39.7pt;height:14.2pt;mso-position-horizontal-relative:char;mso-position-vertical-relative:line" type="#_x0000_t202" filled="true" fillcolor="#727d54" stroked="false">
            <w10:anchorlock/>
            <v:textbox inset="0,0,0,0">
              <w:txbxContent>
                <w:p>
                  <w:pPr>
                    <w:spacing w:before="51"/>
                    <w:ind w:left="87" w:right="0" w:firstLine="0"/>
                    <w:jc w:val="left"/>
                    <w:rPr>
                      <w:b/>
                      <w:sz w:val="15"/>
                    </w:rPr>
                  </w:pPr>
                  <w:r>
                    <w:rPr>
                      <w:b/>
                      <w:color w:val="FFFFFF"/>
                      <w:sz w:val="15"/>
                    </w:rPr>
                    <w:t>ACTUAL</w:t>
                  </w:r>
                </w:p>
              </w:txbxContent>
            </v:textbox>
            <v:fill type="solid"/>
          </v:shape>
        </w:pict>
      </w:r>
      <w:r>
        <w:rPr>
          <w:sz w:val="20"/>
        </w:rPr>
      </w:r>
      <w:r>
        <w:rPr>
          <w:sz w:val="20"/>
        </w:rPr>
        <w:tab/>
      </w:r>
      <w:r>
        <w:rPr>
          <w:sz w:val="20"/>
        </w:rPr>
        <w:pict>
          <v:shape style="width:39.7pt;height:14.2pt;mso-position-horizontal-relative:char;mso-position-vertical-relative:line" type="#_x0000_t202" filled="true" fillcolor="#727d54" stroked="false">
            <w10:anchorlock/>
            <v:textbox inset="0,0,0,0">
              <w:txbxContent>
                <w:p>
                  <w:pPr>
                    <w:spacing w:before="51"/>
                    <w:ind w:left="87" w:right="0" w:firstLine="0"/>
                    <w:jc w:val="left"/>
                    <w:rPr>
                      <w:b/>
                      <w:sz w:val="15"/>
                    </w:rPr>
                  </w:pPr>
                  <w:r>
                    <w:rPr>
                      <w:b/>
                      <w:color w:val="FFFFFF"/>
                      <w:sz w:val="15"/>
                    </w:rPr>
                    <w:t>ACTUAL</w:t>
                  </w:r>
                </w:p>
              </w:txbxContent>
            </v:textbox>
            <v:fill type="solid"/>
          </v:shape>
        </w:pict>
      </w:r>
      <w:r>
        <w:rPr>
          <w:sz w:val="20"/>
        </w:rPr>
      </w:r>
      <w:r>
        <w:rPr>
          <w:sz w:val="20"/>
        </w:rPr>
        <w:tab/>
      </w:r>
      <w:r>
        <w:rPr>
          <w:sz w:val="20"/>
        </w:rPr>
        <w:pict>
          <v:shape style="width:39.7pt;height:14.2pt;mso-position-horizontal-relative:char;mso-position-vertical-relative:line" type="#_x0000_t202" filled="true" fillcolor="#727d54" stroked="false">
            <w10:anchorlock/>
            <v:textbox inset="0,0,0,0">
              <w:txbxContent>
                <w:p>
                  <w:pPr>
                    <w:spacing w:before="51"/>
                    <w:ind w:left="87" w:right="0" w:firstLine="0"/>
                    <w:jc w:val="left"/>
                    <w:rPr>
                      <w:b/>
                      <w:sz w:val="15"/>
                    </w:rPr>
                  </w:pPr>
                  <w:r>
                    <w:rPr>
                      <w:b/>
                      <w:color w:val="FFFFFF"/>
                      <w:sz w:val="15"/>
                    </w:rPr>
                    <w:t>ACTUAL</w:t>
                  </w:r>
                </w:p>
              </w:txbxContent>
            </v:textbox>
            <v:fill type="solid"/>
          </v:shape>
        </w:pict>
      </w:r>
      <w:r>
        <w:rPr>
          <w:sz w:val="20"/>
        </w:rPr>
      </w:r>
      <w:r>
        <w:rPr>
          <w:sz w:val="20"/>
        </w:rPr>
        <w:tab/>
      </w:r>
      <w:r>
        <w:rPr>
          <w:sz w:val="20"/>
        </w:rPr>
        <w:pict>
          <v:shape style="width:39.7pt;height:14.2pt;mso-position-horizontal-relative:char;mso-position-vertical-relative:line" type="#_x0000_t202" filled="true" fillcolor="#8e5f8e" stroked="false">
            <w10:anchorlock/>
            <v:textbox inset="0,0,0,0">
              <w:txbxContent>
                <w:p>
                  <w:pPr>
                    <w:spacing w:before="51"/>
                    <w:ind w:left="94" w:right="0" w:firstLine="0"/>
                    <w:jc w:val="left"/>
                    <w:rPr>
                      <w:b/>
                      <w:sz w:val="15"/>
                    </w:rPr>
                  </w:pPr>
                  <w:r>
                    <w:rPr>
                      <w:b/>
                      <w:color w:val="FFFFFF"/>
                      <w:sz w:val="15"/>
                    </w:rPr>
                    <w:t>TARGET</w:t>
                  </w:r>
                </w:p>
              </w:txbxContent>
            </v:textbox>
            <v:fill type="solid"/>
          </v:shape>
        </w:pict>
      </w:r>
      <w:r>
        <w:rPr>
          <w:sz w:val="20"/>
        </w:rPr>
      </w:r>
      <w:r>
        <w:rPr>
          <w:sz w:val="20"/>
        </w:rPr>
        <w:tab/>
      </w:r>
      <w:r>
        <w:rPr>
          <w:sz w:val="20"/>
        </w:rPr>
        <w:pict>
          <v:shape style="width:39.7pt;height:14.2pt;mso-position-horizontal-relative:char;mso-position-vertical-relative:line" type="#_x0000_t202" filled="true" fillcolor="#5f4665" stroked="false">
            <w10:anchorlock/>
            <v:textbox inset="0,0,0,0">
              <w:txbxContent>
                <w:p>
                  <w:pPr>
                    <w:spacing w:before="51"/>
                    <w:ind w:left="87" w:right="0" w:firstLine="0"/>
                    <w:jc w:val="left"/>
                    <w:rPr>
                      <w:b/>
                      <w:sz w:val="15"/>
                    </w:rPr>
                  </w:pPr>
                  <w:r>
                    <w:rPr>
                      <w:b/>
                      <w:color w:val="FFFFFF"/>
                      <w:sz w:val="15"/>
                    </w:rPr>
                    <w:t>ACTUAL</w:t>
                  </w:r>
                </w:p>
              </w:txbxContent>
            </v:textbox>
            <v:fill type="solid"/>
          </v:shape>
        </w:pict>
      </w:r>
      <w:r>
        <w:rPr>
          <w:sz w:val="20"/>
        </w:rPr>
      </w:r>
    </w:p>
    <w:p>
      <w:pPr>
        <w:pStyle w:val="BodyText"/>
        <w:spacing w:before="5"/>
        <w:rPr>
          <w:b/>
          <w:sz w:val="21"/>
        </w:rPr>
      </w:pPr>
    </w:p>
    <w:p>
      <w:pPr>
        <w:pStyle w:val="ListParagraph"/>
        <w:numPr>
          <w:ilvl w:val="0"/>
          <w:numId w:val="31"/>
        </w:numPr>
        <w:tabs>
          <w:tab w:pos="596" w:val="left" w:leader="none"/>
        </w:tabs>
        <w:spacing w:line="278" w:lineRule="auto" w:before="0" w:after="0"/>
        <w:ind w:left="612" w:right="953" w:hanging="209"/>
        <w:jc w:val="left"/>
        <w:rPr>
          <w:sz w:val="15"/>
        </w:rPr>
      </w:pPr>
      <w:r>
        <w:rPr>
          <w:sz w:val="15"/>
        </w:rPr>
        <w:t>This indicator measures the percentage of projects with current approved</w:t>
      </w:r>
      <w:r>
        <w:rPr>
          <w:spacing w:val="-11"/>
          <w:sz w:val="15"/>
        </w:rPr>
        <w:t> </w:t>
      </w:r>
      <w:r>
        <w:rPr>
          <w:sz w:val="15"/>
        </w:rPr>
        <w:t>budgets</w:t>
      </w:r>
      <w:r>
        <w:rPr>
          <w:spacing w:val="-10"/>
          <w:sz w:val="15"/>
        </w:rPr>
        <w:t> </w:t>
      </w:r>
      <w:r>
        <w:rPr>
          <w:sz w:val="15"/>
        </w:rPr>
        <w:t>of</w:t>
      </w:r>
      <w:r>
        <w:rPr>
          <w:spacing w:val="-10"/>
          <w:sz w:val="15"/>
        </w:rPr>
        <w:t> </w:t>
      </w:r>
      <w:r>
        <w:rPr>
          <w:sz w:val="15"/>
        </w:rPr>
        <w:t>$5</w:t>
      </w:r>
      <w:r>
        <w:rPr>
          <w:spacing w:val="-10"/>
          <w:sz w:val="15"/>
        </w:rPr>
        <w:t> </w:t>
      </w:r>
      <w:r>
        <w:rPr>
          <w:sz w:val="15"/>
        </w:rPr>
        <w:t>million</w:t>
      </w:r>
      <w:r>
        <w:rPr>
          <w:spacing w:val="-10"/>
          <w:sz w:val="15"/>
        </w:rPr>
        <w:t> </w:t>
      </w:r>
      <w:r>
        <w:rPr>
          <w:sz w:val="15"/>
        </w:rPr>
        <w:t>or</w:t>
      </w:r>
      <w:r>
        <w:rPr>
          <w:spacing w:val="-10"/>
          <w:sz w:val="15"/>
        </w:rPr>
        <w:t> </w:t>
      </w:r>
      <w:r>
        <w:rPr>
          <w:sz w:val="15"/>
        </w:rPr>
        <w:t>more</w:t>
      </w:r>
      <w:r>
        <w:rPr>
          <w:spacing w:val="-10"/>
          <w:sz w:val="15"/>
        </w:rPr>
        <w:t> </w:t>
      </w:r>
      <w:r>
        <w:rPr>
          <w:sz w:val="15"/>
        </w:rPr>
        <w:t>that</w:t>
      </w:r>
      <w:r>
        <w:rPr>
          <w:spacing w:val="-10"/>
          <w:sz w:val="15"/>
        </w:rPr>
        <w:t> </w:t>
      </w:r>
      <w:r>
        <w:rPr>
          <w:sz w:val="15"/>
        </w:rPr>
        <w:t>have</w:t>
      </w:r>
      <w:r>
        <w:rPr>
          <w:spacing w:val="-10"/>
          <w:sz w:val="15"/>
        </w:rPr>
        <w:t> </w:t>
      </w:r>
      <w:r>
        <w:rPr>
          <w:sz w:val="15"/>
        </w:rPr>
        <w:t>been</w:t>
      </w:r>
      <w:r>
        <w:rPr>
          <w:spacing w:val="-11"/>
          <w:sz w:val="15"/>
        </w:rPr>
        <w:t> </w:t>
      </w:r>
      <w:r>
        <w:rPr>
          <w:sz w:val="15"/>
        </w:rPr>
        <w:t>handed</w:t>
      </w:r>
      <w:r>
        <w:rPr>
          <w:spacing w:val="-10"/>
          <w:sz w:val="15"/>
        </w:rPr>
        <w:t> </w:t>
      </w:r>
      <w:r>
        <w:rPr>
          <w:sz w:val="15"/>
        </w:rPr>
        <w:t>over to the client agency in the financial </w:t>
      </w:r>
      <w:r>
        <w:rPr>
          <w:spacing w:val="-3"/>
          <w:sz w:val="15"/>
        </w:rPr>
        <w:t>year. </w:t>
      </w:r>
      <w:r>
        <w:rPr>
          <w:sz w:val="15"/>
        </w:rPr>
        <w:t>The calculation compares the anticipated final cost for each project with its current approved budget.</w:t>
      </w:r>
      <w:r>
        <w:rPr>
          <w:spacing w:val="-12"/>
          <w:sz w:val="15"/>
        </w:rPr>
        <w:t> </w:t>
      </w:r>
      <w:r>
        <w:rPr>
          <w:sz w:val="15"/>
        </w:rPr>
        <w:t>Each</w:t>
      </w:r>
      <w:r>
        <w:rPr>
          <w:spacing w:val="-12"/>
          <w:sz w:val="15"/>
        </w:rPr>
        <w:t> </w:t>
      </w:r>
      <w:r>
        <w:rPr>
          <w:sz w:val="15"/>
        </w:rPr>
        <w:t>project</w:t>
      </w:r>
      <w:r>
        <w:rPr>
          <w:spacing w:val="-11"/>
          <w:sz w:val="15"/>
        </w:rPr>
        <w:t> </w:t>
      </w:r>
      <w:r>
        <w:rPr>
          <w:sz w:val="15"/>
        </w:rPr>
        <w:t>is</w:t>
      </w:r>
      <w:r>
        <w:rPr>
          <w:spacing w:val="-12"/>
          <w:sz w:val="15"/>
        </w:rPr>
        <w:t> </w:t>
      </w:r>
      <w:r>
        <w:rPr>
          <w:sz w:val="15"/>
        </w:rPr>
        <w:t>deemed</w:t>
      </w:r>
      <w:r>
        <w:rPr>
          <w:spacing w:val="-12"/>
          <w:sz w:val="15"/>
        </w:rPr>
        <w:t> </w:t>
      </w:r>
      <w:r>
        <w:rPr>
          <w:sz w:val="15"/>
        </w:rPr>
        <w:t>to</w:t>
      </w:r>
      <w:r>
        <w:rPr>
          <w:spacing w:val="-11"/>
          <w:sz w:val="15"/>
        </w:rPr>
        <w:t> </w:t>
      </w:r>
      <w:r>
        <w:rPr>
          <w:sz w:val="15"/>
        </w:rPr>
        <w:t>meet</w:t>
      </w:r>
      <w:r>
        <w:rPr>
          <w:spacing w:val="-12"/>
          <w:sz w:val="15"/>
        </w:rPr>
        <w:t> </w:t>
      </w:r>
      <w:r>
        <w:rPr>
          <w:sz w:val="15"/>
        </w:rPr>
        <w:t>the</w:t>
      </w:r>
      <w:r>
        <w:rPr>
          <w:spacing w:val="-12"/>
          <w:sz w:val="15"/>
        </w:rPr>
        <w:t> </w:t>
      </w:r>
      <w:r>
        <w:rPr>
          <w:sz w:val="15"/>
        </w:rPr>
        <w:t>effectiveness</w:t>
      </w:r>
      <w:r>
        <w:rPr>
          <w:spacing w:val="-11"/>
          <w:sz w:val="15"/>
        </w:rPr>
        <w:t> </w:t>
      </w:r>
      <w:r>
        <w:rPr>
          <w:sz w:val="15"/>
        </w:rPr>
        <w:t>indicator</w:t>
      </w:r>
      <w:r>
        <w:rPr>
          <w:spacing w:val="-12"/>
          <w:sz w:val="15"/>
        </w:rPr>
        <w:t> </w:t>
      </w:r>
      <w:r>
        <w:rPr>
          <w:spacing w:val="-9"/>
          <w:sz w:val="15"/>
        </w:rPr>
        <w:t>if</w:t>
      </w:r>
    </w:p>
    <w:p>
      <w:pPr>
        <w:spacing w:line="278" w:lineRule="auto" w:before="0"/>
        <w:ind w:left="611" w:right="698" w:firstLine="0"/>
        <w:jc w:val="left"/>
        <w:rPr>
          <w:sz w:val="15"/>
        </w:rPr>
      </w:pPr>
      <w:r>
        <w:rPr>
          <w:sz w:val="15"/>
        </w:rPr>
        <w:t>the anticipated final cost does not exceed the current approved </w:t>
      </w:r>
      <w:r>
        <w:rPr>
          <w:spacing w:val="-3"/>
          <w:sz w:val="15"/>
        </w:rPr>
        <w:t>budget </w:t>
      </w:r>
      <w:r>
        <w:rPr>
          <w:sz w:val="15"/>
        </w:rPr>
        <w:t>by more than 10 per cent.</w:t>
      </w:r>
    </w:p>
    <w:p>
      <w:pPr>
        <w:spacing w:after="0" w:line="278" w:lineRule="auto"/>
        <w:jc w:val="left"/>
        <w:rPr>
          <w:sz w:val="15"/>
        </w:rPr>
        <w:sectPr>
          <w:type w:val="continuous"/>
          <w:pgSz w:w="16840" w:h="11910" w:orient="landscape"/>
          <w:pgMar w:top="1100" w:bottom="280" w:left="0" w:right="0"/>
          <w:cols w:num="3" w:equalWidth="0">
            <w:col w:w="5470" w:space="40"/>
            <w:col w:w="5301" w:space="39"/>
            <w:col w:w="5990"/>
          </w:cols>
        </w:sectPr>
      </w:pPr>
    </w:p>
    <w:p>
      <w:pPr>
        <w:pStyle w:val="BodyText"/>
        <w:rPr>
          <w:sz w:val="20"/>
        </w:rPr>
      </w:pPr>
    </w:p>
    <w:p>
      <w:pPr>
        <w:pStyle w:val="BodyText"/>
        <w:spacing w:before="9"/>
        <w:rPr>
          <w:sz w:val="11"/>
        </w:rPr>
      </w:pPr>
    </w:p>
    <w:p>
      <w:pPr>
        <w:pStyle w:val="BodyText"/>
        <w:ind w:left="13917"/>
        <w:rPr>
          <w:sz w:val="20"/>
        </w:rPr>
      </w:pPr>
      <w:r>
        <w:rPr>
          <w:sz w:val="20"/>
        </w:rPr>
        <w:pict>
          <v:group style="width:58.2pt;height:58.2pt;mso-position-horizontal-relative:char;mso-position-vertical-relative:line" coordorigin="0,0" coordsize="1164,1164">
            <v:line style="position:absolute" from="848,66" to="1097,316" stroked="true" strokeweight=".25pt" strokecolor="#bbbcbb">
              <v:stroke dashstyle="solid"/>
            </v:line>
            <v:line style="position:absolute" from="682,11" to="1153,482" stroked="true" strokeweight=".25pt" strokecolor="#bbbcbb">
              <v:stroke dashstyle="solid"/>
            </v:line>
            <v:line style="position:absolute" from="563,3" to="1161,601" stroked="true" strokeweight=".25pt" strokecolor="#bbbcbb">
              <v:stroke dashstyle="solid"/>
            </v:line>
            <v:line style="position:absolute" from="464,14" to="1150,699" stroked="true" strokeweight=".25pt" strokecolor="#bbbcbb">
              <v:stroke dashstyle="solid"/>
            </v:line>
            <v:line style="position:absolute" from="378,38" to="1126,786" stroked="true" strokeweight=".25pt" strokecolor="#bbbcbb">
              <v:stroke dashstyle="solid"/>
            </v:line>
            <v:line style="position:absolute" from="303,73" to="1091,861" stroked="true" strokeweight=".25pt" strokecolor="#bbbcbb">
              <v:stroke dashstyle="solid"/>
            </v:line>
            <v:line style="position:absolute" from="236,116" to="1047,928" stroked="true" strokeweight=".25pt" strokecolor="#bbbcbb">
              <v:stroke dashstyle="solid"/>
            </v:line>
            <v:line style="position:absolute" from="176,167" to="997,988" stroked="true" strokeweight=".25pt" strokecolor="#bbbcbb">
              <v:stroke dashstyle="solid"/>
            </v:line>
            <v:line style="position:absolute" from="124,225" to="938,1040" stroked="true" strokeweight=".25pt" strokecolor="#bbbcbb">
              <v:stroke dashstyle="solid"/>
            </v:line>
            <v:line style="position:absolute" from="79,291" to="873,1084" stroked="true" strokeweight=".25pt" strokecolor="#bbbcbb">
              <v:stroke dashstyle="solid"/>
            </v:line>
            <v:line style="position:absolute" from="43,365" to="799,1121" stroked="true" strokeweight=".25pt" strokecolor="#bbbcbb">
              <v:stroke dashstyle="solid"/>
            </v:line>
            <v:line style="position:absolute" from="16,449" to="715,1148" stroked="true" strokeweight=".25pt" strokecolor="#bbbcbb">
              <v:stroke dashstyle="solid"/>
            </v:line>
            <v:line style="position:absolute" from="3,545" to="618,1161" stroked="true" strokeweight=".25pt" strokecolor="#bbbcbb">
              <v:stroke dashstyle="solid"/>
            </v:line>
            <v:line style="position:absolute" from="5,658" to="505,1158" stroked="true" strokeweight=".25pt" strokecolor="#bbbcbb">
              <v:stroke dashstyle="solid"/>
            </v:line>
            <v:line style="position:absolute" from="48,812" to="352,1116" stroked="true" strokeweight=".25pt" strokecolor="#bbbcbb">
              <v:stroke dashstyle="solid"/>
            </v:line>
          </v:group>
        </w:pict>
      </w:r>
      <w:r>
        <w:rPr>
          <w:sz w:val="20"/>
        </w:rPr>
      </w:r>
    </w:p>
    <w:p>
      <w:pPr>
        <w:pStyle w:val="BodyText"/>
        <w:spacing w:before="9"/>
        <w:rPr>
          <w:sz w:val="24"/>
        </w:rPr>
      </w:pPr>
    </w:p>
    <w:p>
      <w:pPr>
        <w:tabs>
          <w:tab w:pos="5951" w:val="left" w:leader="none"/>
          <w:tab w:pos="16072" w:val="left" w:leader="none"/>
        </w:tabs>
        <w:spacing w:before="108"/>
        <w:ind w:left="765" w:right="0" w:firstLine="0"/>
        <w:jc w:val="left"/>
        <w:rPr>
          <w:b/>
          <w:sz w:val="20"/>
        </w:rPr>
      </w:pPr>
      <w:r>
        <w:rPr/>
        <w:pict>
          <v:group style="position:absolute;margin-left:298.699432pt;margin-top:-130.322861pt;width:228.6pt;height:169.7pt;mso-position-horizontal-relative:page;mso-position-vertical-relative:paragraph;z-index:-685744" coordorigin="5974,-2606" coordsize="4572,3394">
            <v:shape style="position:absolute;left:2973;top:10108;width:3452;height:3389" coordorigin="2973,10108" coordsize="3452,3389" path="m9730,-2343l10283,-1791m9500,-2464l10403,-1560m9325,-2528l10468,-1385m9176,-2567l10506,-1237m9043,-2590l10529,-1103m8921,-2601l10540,-982m8808,-2604l10543,-868m8701,-2600l10539,-762m8600,-2590l10530,-661m8505,-2576l10515,-565m8414,-2556l10496,-474m8327,-2533l10472,-387m8243,-2506l10445,-304m8163,-2476l10415,-224m8087,-2442l10382,-147m8013,-2405l10345,-73m7942,-2366l10305,-3m7874,-2323l10263,65m7809,-2279l10218,131m7746,-2231l10170,193m7686,-2181l10120,254m7628,-2129l10068,311m7572,-2074l10013,367m7520,-2016l9955,420m7469,-1956l9895,470m7422,-1893l9833,518m7376,-1828l9768,563m7334,-1760l9700,606m7294,-1690l9630,646m7257,-1617l9556,682m7223,-1540l9480,716m7192,-1461l9400,747m7165,-1378l9317,774m7141,-1291l9217,785m7122,-1200l9107,785m7106,-1105l8996,785m7096,-1005l8886,785m7092,-899l8776,785m7094,-787l8665,785m7104,-666l8555,785m7126,-534l8445,785m7162,-387l8326,777m7223,-216l8156,716m7335,6l7934,605e" filled="false" stroked="true" strokeweight=".25pt" strokecolor="#aebd37">
              <v:path arrowok="t"/>
              <v:stroke dashstyle="solid"/>
            </v:shape>
            <v:shape style="position:absolute;left:20;top:-8447;width:1781;height:1762" coordorigin="20,-8446" coordsize="1781,1762" path="m6424,-136l6095,-465m6616,-54l6013,-657m6755,-25l5984,-796m6873,-17l5976,-914m6976,-25l5984,-1017m7070,-41l6000,-1111m7156,-65l6025,-1197m7235,-97l6056,-1276m7308,-134l6093,-1349m7375,-177l6136,-1417m7438,-225l6184,-1479m7495,-278l6237,-1537m7548,-335l6294,-1589m7596,-397l6357,-1637m7640,-465l6424,-1680m7677,-538l6497,-1717m7708,-617l6576,-1749m7733,-702l6661,-1774m7750,-796l6766,-1779m7757,-899l6877,-1779m7751,-1015l6987,-1779m7723,-1154l7113,-1763m7642,-1344l7304,-1683e" filled="false" stroked="true" strokeweight=".25pt" strokecolor="#6f2770">
              <v:path arrowok="t"/>
              <v:stroke dashstyle="solid"/>
            </v:shape>
            <w10:wrap type="none"/>
          </v:group>
        </w:pict>
      </w:r>
      <w:r>
        <w:rPr/>
        <w:pict>
          <v:group style="position:absolute;margin-left:817.839111pt;margin-top:-9.455017pt;width:24.1pt;height:41.55pt;mso-position-horizontal-relative:page;mso-position-vertical-relative:paragraph;z-index:26776"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26800"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F2770"/>
          <w:sz w:val="20"/>
        </w:rPr>
        <w:t>104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bookmarkStart w:name="_bookmark44" w:id="45"/>
      <w:bookmarkEnd w:id="45"/>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b/>
          <w:sz w:val="20"/>
        </w:rPr>
      </w:pPr>
    </w:p>
    <w:p>
      <w:pPr>
        <w:pStyle w:val="BodyText"/>
        <w:rPr>
          <w:b/>
          <w:sz w:val="21"/>
        </w:rPr>
      </w:pPr>
    </w:p>
    <w:p>
      <w:pPr>
        <w:pStyle w:val="Heading1"/>
      </w:pPr>
      <w:r>
        <w:rPr/>
        <w:pict>
          <v:group style="position:absolute;margin-left:481.080994pt;margin-top:-67.498230pt;width:360.85pt;height:119.85pt;mso-position-horizontal-relative:page;mso-position-vertical-relative:paragraph;z-index:-685144" coordorigin="9622,-1350" coordsize="7217,2397">
            <v:shape style="position:absolute;left:2923;top:20941;width:3553;height:2392" coordorigin="2923,20942" coordsize="3553,2392" path="m14903,-1347l15000,-1251m14793,-1347l15038,-1102m14683,-1347l15062,-968m14572,-1347l15073,-846m14462,-1347l15077,-732m14351,-1347l15074,-625m14241,-1347l15065,-524m14131,-1347l15051,-427m14020,-1347l15032,-335m13910,-1347l15010,-247m13800,-1347l14984,-163m13689,-1347l14955,-82m13579,-1347l14922,-5m13469,-1347l14886,70m13358,-1347l14848,142m13248,-1347l14806,211m13138,-1347l14763,278m13027,-1347l14716,342m12917,-1347l14667,403m12807,-1347l14616,462m12696,-1347l14562,518m12586,-1347l14506,573m12476,-1347l14448,624m12365,-1347l14387,674m12255,-1347l14323,721m12145,-1347l14257,765m12034,-1347l14189,807m11924,-1347l14117,846m11814,-1347l14043,882m11703,-1347l13966,915m11624,-1317l13886,946m11597,-1233l13802,973m11574,-1146l13715,996m11554,-1055l13624,1015m11539,-959l13529,1030m11530,-859l13428,1040m11525,-753l13322,1044m11527,-641l13210,1042m11537,-520l13089,1032m11558,-389l12958,1011m11593,-244l12813,976m11650,-77l12646,920m11750,134l12435,819e" filled="false" stroked="true" strokeweight=".25pt" strokecolor="#aebd37">
              <v:path arrowok="t"/>
              <v:stroke dashstyle="solid"/>
            </v:shape>
            <v:shape style="position:absolute;left:20;top:1562;width:1781;height:1527" coordorigin="21,1562" coordsize="1781,1527" path="m10907,60l10578,-268m11100,142l10496,-461m11239,171l10468,-600m11357,179l10460,-718m11460,172l10467,-821m11554,155l10484,-915m11640,131l10509,-1000m11718,99l10540,-1079m11791,62l10577,-1152m11859,19l10620,-1220m11921,-29l10668,-1283m11979,-82l10720,-1340m12032,-139l10823,-1347m12080,-201l10934,-1347m12123,-268l11044,-1347m12160,-342l11155,-1347m12192,-421l11265,-1347m12216,-506l11375,-1347m12234,-599l11486,-1347m12241,-703l11596,-1347m12235,-819l11706,-1347m12206,-958l11817,-1347m12126,-1149l11927,-1347e" filled="false" stroked="true" strokeweight=".25pt" strokecolor="#6f2770">
              <v:path arrowok="t"/>
              <v:stroke dashstyle="solid"/>
            </v:shape>
            <v:rect style="position:absolute;left:9621;top:-1348;width:2406;height:851" filled="true" fillcolor="#d4d896" stroked="false">
              <v:fill type="solid"/>
            </v:rect>
            <v:rect style="position:absolute;left:12026;top:-1348;width:2406;height:851" filled="true" fillcolor="#c3acc4" stroked="false">
              <v:fill type="solid"/>
            </v:rect>
            <v:rect style="position:absolute;left:14432;top:-1348;width:2406;height:851" filled="true" fillcolor="#bba1bc" stroked="false">
              <v:fill type="solid"/>
            </v:rect>
            <w10:wrap type="none"/>
          </v:group>
        </w:pict>
      </w:r>
      <w:r>
        <w:rPr/>
        <w:pict>
          <v:shape style="position:absolute;margin-left:601.348999pt;margin-top:-67.374214pt;width:120.3pt;height:42.55pt;mso-position-horizontal-relative:page;mso-position-vertical-relative:paragraph;z-index:27424"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67.374214pt;width:120.3pt;height:42.55pt;mso-position-horizontal-relative:page;mso-position-vertical-relative:paragraph;z-index:2744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747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Efficiency Indicators</w:t>
      </w:r>
    </w:p>
    <w:p>
      <w:pPr>
        <w:pStyle w:val="Heading4"/>
        <w:spacing w:before="110"/>
      </w:pPr>
      <w:r>
        <w:rPr>
          <w:color w:val="6F2770"/>
        </w:rPr>
        <w:t>Building Management and Works</w:t>
      </w:r>
    </w:p>
    <w:p>
      <w:pPr>
        <w:pStyle w:val="Heading6"/>
        <w:spacing w:before="247"/>
      </w:pPr>
      <w:r>
        <w:rPr/>
        <w:t>Service 4: Leads the planning, delivery, management and maintenance of government buildings, projects and office accommodation</w:t>
      </w:r>
    </w:p>
    <w:p>
      <w:pPr>
        <w:pStyle w:val="BodyText"/>
        <w:spacing w:before="10"/>
        <w:rPr>
          <w:b/>
          <w:sz w:val="23"/>
        </w:rPr>
      </w:pPr>
    </w:p>
    <w:p>
      <w:pPr>
        <w:pStyle w:val="BodyText"/>
        <w:spacing w:line="249" w:lineRule="auto"/>
        <w:ind w:left="765" w:right="799"/>
      </w:pPr>
      <w:r>
        <w:rPr/>
        <w:t>This</w:t>
      </w:r>
      <w:r>
        <w:rPr>
          <w:spacing w:val="-30"/>
        </w:rPr>
        <w:t> </w:t>
      </w:r>
      <w:r>
        <w:rPr/>
        <w:t>service</w:t>
      </w:r>
      <w:r>
        <w:rPr>
          <w:spacing w:val="-30"/>
        </w:rPr>
        <w:t> </w:t>
      </w:r>
      <w:r>
        <w:rPr/>
        <w:t>leads</w:t>
      </w:r>
      <w:r>
        <w:rPr>
          <w:spacing w:val="-29"/>
        </w:rPr>
        <w:t> </w:t>
      </w:r>
      <w:r>
        <w:rPr/>
        <w:t>the</w:t>
      </w:r>
      <w:r>
        <w:rPr>
          <w:spacing w:val="-30"/>
        </w:rPr>
        <w:t> </w:t>
      </w:r>
      <w:r>
        <w:rPr/>
        <w:t>planning,</w:t>
      </w:r>
      <w:r>
        <w:rPr>
          <w:spacing w:val="-30"/>
        </w:rPr>
        <w:t> </w:t>
      </w:r>
      <w:r>
        <w:rPr/>
        <w:t>delivery</w:t>
      </w:r>
      <w:r>
        <w:rPr>
          <w:spacing w:val="-29"/>
        </w:rPr>
        <w:t> </w:t>
      </w:r>
      <w:r>
        <w:rPr/>
        <w:t>and</w:t>
      </w:r>
      <w:r>
        <w:rPr>
          <w:spacing w:val="-30"/>
        </w:rPr>
        <w:t> </w:t>
      </w:r>
      <w:r>
        <w:rPr/>
        <w:t>management</w:t>
      </w:r>
      <w:r>
        <w:rPr>
          <w:spacing w:val="-29"/>
        </w:rPr>
        <w:t> </w:t>
      </w:r>
      <w:r>
        <w:rPr/>
        <w:t>of</w:t>
      </w:r>
      <w:r>
        <w:rPr>
          <w:spacing w:val="-30"/>
        </w:rPr>
        <w:t> </w:t>
      </w:r>
      <w:r>
        <w:rPr/>
        <w:t>a</w:t>
      </w:r>
      <w:r>
        <w:rPr>
          <w:spacing w:val="-30"/>
        </w:rPr>
        <w:t> </w:t>
      </w:r>
      <w:r>
        <w:rPr>
          <w:spacing w:val="-3"/>
        </w:rPr>
        <w:t>property</w:t>
      </w:r>
      <w:r>
        <w:rPr>
          <w:spacing w:val="-29"/>
        </w:rPr>
        <w:t> </w:t>
      </w:r>
      <w:r>
        <w:rPr/>
        <w:t>portfolio</w:t>
      </w:r>
      <w:r>
        <w:rPr>
          <w:spacing w:val="-30"/>
        </w:rPr>
        <w:t> </w:t>
      </w:r>
      <w:r>
        <w:rPr/>
        <w:t>that</w:t>
      </w:r>
      <w:r>
        <w:rPr>
          <w:spacing w:val="-29"/>
        </w:rPr>
        <w:t> </w:t>
      </w:r>
      <w:r>
        <w:rPr/>
        <w:t>supports</w:t>
      </w:r>
      <w:r>
        <w:rPr>
          <w:spacing w:val="-30"/>
        </w:rPr>
        <w:t> </w:t>
      </w:r>
      <w:r>
        <w:rPr/>
        <w:t>the</w:t>
      </w:r>
      <w:r>
        <w:rPr>
          <w:spacing w:val="-30"/>
        </w:rPr>
        <w:t> </w:t>
      </w:r>
      <w:r>
        <w:rPr/>
        <w:t>delivery</w:t>
      </w:r>
      <w:r>
        <w:rPr>
          <w:spacing w:val="-29"/>
        </w:rPr>
        <w:t> </w:t>
      </w:r>
      <w:r>
        <w:rPr/>
        <w:t>of</w:t>
      </w:r>
      <w:r>
        <w:rPr>
          <w:spacing w:val="-30"/>
        </w:rPr>
        <w:t> </w:t>
      </w:r>
      <w:r>
        <w:rPr/>
        <w:t>government</w:t>
      </w:r>
      <w:r>
        <w:rPr>
          <w:spacing w:val="-30"/>
        </w:rPr>
        <w:t> </w:t>
      </w:r>
      <w:r>
        <w:rPr/>
        <w:t>services</w:t>
      </w:r>
      <w:r>
        <w:rPr>
          <w:spacing w:val="-29"/>
        </w:rPr>
        <w:t> </w:t>
      </w:r>
      <w:r>
        <w:rPr/>
        <w:t>to</w:t>
      </w:r>
      <w:r>
        <w:rPr>
          <w:spacing w:val="-30"/>
        </w:rPr>
        <w:t> </w:t>
      </w:r>
      <w:r>
        <w:rPr/>
        <w:t>the</w:t>
      </w:r>
      <w:r>
        <w:rPr>
          <w:spacing w:val="-29"/>
        </w:rPr>
        <w:t> </w:t>
      </w:r>
      <w:r>
        <w:rPr/>
        <w:t>community</w:t>
      </w:r>
      <w:r>
        <w:rPr>
          <w:spacing w:val="-30"/>
        </w:rPr>
        <w:t> </w:t>
      </w:r>
      <w:r>
        <w:rPr/>
        <w:t>including</w:t>
      </w:r>
      <w:r>
        <w:rPr>
          <w:spacing w:val="-30"/>
        </w:rPr>
        <w:t> </w:t>
      </w:r>
      <w:r>
        <w:rPr>
          <w:spacing w:val="-2"/>
        </w:rPr>
        <w:t>the </w:t>
      </w:r>
      <w:r>
        <w:rPr/>
        <w:t>delivery</w:t>
      </w:r>
      <w:r>
        <w:rPr>
          <w:spacing w:val="-7"/>
        </w:rPr>
        <w:t> </w:t>
      </w:r>
      <w:r>
        <w:rPr/>
        <w:t>of</w:t>
      </w:r>
      <w:r>
        <w:rPr>
          <w:spacing w:val="-7"/>
        </w:rPr>
        <w:t> </w:t>
      </w:r>
      <w:r>
        <w:rPr/>
        <w:t>new</w:t>
      </w:r>
      <w:r>
        <w:rPr>
          <w:spacing w:val="-6"/>
        </w:rPr>
        <w:t> </w:t>
      </w:r>
      <w:r>
        <w:rPr/>
        <w:t>building</w:t>
      </w:r>
      <w:r>
        <w:rPr>
          <w:spacing w:val="-7"/>
        </w:rPr>
        <w:t> </w:t>
      </w:r>
      <w:r>
        <w:rPr/>
        <w:t>works,</w:t>
      </w:r>
      <w:r>
        <w:rPr>
          <w:spacing w:val="-7"/>
        </w:rPr>
        <w:t> </w:t>
      </w:r>
      <w:r>
        <w:rPr/>
        <w:t>maintenance</w:t>
      </w:r>
      <w:r>
        <w:rPr>
          <w:spacing w:val="-6"/>
        </w:rPr>
        <w:t> </w:t>
      </w:r>
      <w:r>
        <w:rPr>
          <w:spacing w:val="-3"/>
        </w:rPr>
        <w:t>programs</w:t>
      </w:r>
      <w:r>
        <w:rPr>
          <w:spacing w:val="-7"/>
        </w:rPr>
        <w:t> </w:t>
      </w:r>
      <w:r>
        <w:rPr/>
        <w:t>for</w:t>
      </w:r>
      <w:r>
        <w:rPr>
          <w:spacing w:val="-6"/>
        </w:rPr>
        <w:t> </w:t>
      </w:r>
      <w:r>
        <w:rPr/>
        <w:t>existing</w:t>
      </w:r>
      <w:r>
        <w:rPr>
          <w:spacing w:val="-7"/>
        </w:rPr>
        <w:t> </w:t>
      </w:r>
      <w:r>
        <w:rPr/>
        <w:t>buildings</w:t>
      </w:r>
      <w:r>
        <w:rPr>
          <w:spacing w:val="-7"/>
        </w:rPr>
        <w:t> </w:t>
      </w:r>
      <w:r>
        <w:rPr/>
        <w:t>and</w:t>
      </w:r>
      <w:r>
        <w:rPr>
          <w:spacing w:val="-6"/>
        </w:rPr>
        <w:t> </w:t>
      </w:r>
      <w:r>
        <w:rPr>
          <w:spacing w:val="-3"/>
        </w:rPr>
        <w:t>office</w:t>
      </w:r>
      <w:r>
        <w:rPr>
          <w:spacing w:val="-7"/>
        </w:rPr>
        <w:t> </w:t>
      </w:r>
      <w:r>
        <w:rPr/>
        <w:t>accommodation.</w:t>
      </w:r>
    </w:p>
    <w:p>
      <w:pPr>
        <w:pStyle w:val="BodyText"/>
        <w:spacing w:before="1"/>
        <w:rPr>
          <w:sz w:val="23"/>
        </w:rPr>
      </w:pPr>
    </w:p>
    <w:p>
      <w:pPr>
        <w:pStyle w:val="BodyText"/>
        <w:spacing w:line="249" w:lineRule="auto" w:before="1"/>
        <w:ind w:left="765" w:right="799"/>
      </w:pPr>
      <w:r>
        <w:rPr/>
        <w:t>These</w:t>
      </w:r>
      <w:r>
        <w:rPr>
          <w:spacing w:val="-29"/>
        </w:rPr>
        <w:t> </w:t>
      </w:r>
      <w:r>
        <w:rPr/>
        <w:t>indicators</w:t>
      </w:r>
      <w:r>
        <w:rPr>
          <w:spacing w:val="-29"/>
        </w:rPr>
        <w:t> </w:t>
      </w:r>
      <w:r>
        <w:rPr/>
        <w:t>demonstrate</w:t>
      </w:r>
      <w:r>
        <w:rPr>
          <w:spacing w:val="-29"/>
        </w:rPr>
        <w:t> </w:t>
      </w:r>
      <w:r>
        <w:rPr/>
        <w:t>the</w:t>
      </w:r>
      <w:r>
        <w:rPr>
          <w:spacing w:val="-29"/>
        </w:rPr>
        <w:t> </w:t>
      </w:r>
      <w:r>
        <w:rPr/>
        <w:t>ability</w:t>
      </w:r>
      <w:r>
        <w:rPr>
          <w:spacing w:val="-29"/>
        </w:rPr>
        <w:t> </w:t>
      </w:r>
      <w:r>
        <w:rPr/>
        <w:t>of</w:t>
      </w:r>
      <w:r>
        <w:rPr>
          <w:spacing w:val="-29"/>
        </w:rPr>
        <w:t> </w:t>
      </w:r>
      <w:r>
        <w:rPr/>
        <w:t>Building</w:t>
      </w:r>
      <w:r>
        <w:rPr>
          <w:spacing w:val="-29"/>
        </w:rPr>
        <w:t> </w:t>
      </w:r>
      <w:r>
        <w:rPr/>
        <w:t>Management</w:t>
      </w:r>
      <w:r>
        <w:rPr>
          <w:spacing w:val="-29"/>
        </w:rPr>
        <w:t> </w:t>
      </w:r>
      <w:r>
        <w:rPr/>
        <w:t>and</w:t>
      </w:r>
      <w:r>
        <w:rPr>
          <w:spacing w:val="-28"/>
        </w:rPr>
        <w:t> </w:t>
      </w:r>
      <w:r>
        <w:rPr>
          <w:spacing w:val="-3"/>
        </w:rPr>
        <w:t>Works</w:t>
      </w:r>
      <w:r>
        <w:rPr>
          <w:spacing w:val="-29"/>
        </w:rPr>
        <w:t> </w:t>
      </w:r>
      <w:r>
        <w:rPr/>
        <w:t>to</w:t>
      </w:r>
      <w:r>
        <w:rPr>
          <w:spacing w:val="-29"/>
        </w:rPr>
        <w:t> </w:t>
      </w:r>
      <w:r>
        <w:rPr/>
        <w:t>achieve</w:t>
      </w:r>
      <w:r>
        <w:rPr>
          <w:spacing w:val="-29"/>
        </w:rPr>
        <w:t> </w:t>
      </w:r>
      <w:r>
        <w:rPr/>
        <w:t>a</w:t>
      </w:r>
      <w:r>
        <w:rPr>
          <w:spacing w:val="-29"/>
        </w:rPr>
        <w:t> </w:t>
      </w:r>
      <w:r>
        <w:rPr>
          <w:spacing w:val="-3"/>
        </w:rPr>
        <w:t>reduced</w:t>
      </w:r>
      <w:r>
        <w:rPr>
          <w:spacing w:val="-29"/>
        </w:rPr>
        <w:t> </w:t>
      </w:r>
      <w:r>
        <w:rPr/>
        <w:t>accommodation</w:t>
      </w:r>
      <w:r>
        <w:rPr>
          <w:spacing w:val="-29"/>
        </w:rPr>
        <w:t> </w:t>
      </w:r>
      <w:r>
        <w:rPr/>
        <w:t>footprint</w:t>
      </w:r>
      <w:r>
        <w:rPr>
          <w:spacing w:val="-29"/>
        </w:rPr>
        <w:t> </w:t>
      </w:r>
      <w:r>
        <w:rPr/>
        <w:t>for</w:t>
      </w:r>
      <w:r>
        <w:rPr>
          <w:spacing w:val="-28"/>
        </w:rPr>
        <w:t> </w:t>
      </w:r>
      <w:r>
        <w:rPr/>
        <w:t>government</w:t>
      </w:r>
      <w:r>
        <w:rPr>
          <w:spacing w:val="-29"/>
        </w:rPr>
        <w:t> </w:t>
      </w:r>
      <w:r>
        <w:rPr/>
        <w:t>use,</w:t>
      </w:r>
      <w:r>
        <w:rPr>
          <w:spacing w:val="-29"/>
        </w:rPr>
        <w:t> </w:t>
      </w:r>
      <w:r>
        <w:rPr>
          <w:spacing w:val="-3"/>
        </w:rPr>
        <w:t>ensure</w:t>
      </w:r>
      <w:r>
        <w:rPr>
          <w:spacing w:val="-29"/>
        </w:rPr>
        <w:t> </w:t>
      </w:r>
      <w:r>
        <w:rPr/>
        <w:t>the</w:t>
      </w:r>
      <w:r>
        <w:rPr>
          <w:spacing w:val="-29"/>
        </w:rPr>
        <w:t> </w:t>
      </w:r>
      <w:r>
        <w:rPr>
          <w:spacing w:val="-2"/>
        </w:rPr>
        <w:t>timely </w:t>
      </w:r>
      <w:r>
        <w:rPr>
          <w:spacing w:val="-3"/>
        </w:rPr>
        <w:t>response</w:t>
      </w:r>
      <w:r>
        <w:rPr>
          <w:spacing w:val="-9"/>
        </w:rPr>
        <w:t> </w:t>
      </w:r>
      <w:r>
        <w:rPr/>
        <w:t>to</w:t>
      </w:r>
      <w:r>
        <w:rPr>
          <w:spacing w:val="-8"/>
        </w:rPr>
        <w:t> </w:t>
      </w:r>
      <w:r>
        <w:rPr/>
        <w:t>maintenance</w:t>
      </w:r>
      <w:r>
        <w:rPr>
          <w:spacing w:val="-8"/>
        </w:rPr>
        <w:t> </w:t>
      </w:r>
      <w:r>
        <w:rPr/>
        <w:t>issues,</w:t>
      </w:r>
      <w:r>
        <w:rPr>
          <w:spacing w:val="-8"/>
        </w:rPr>
        <w:t> </w:t>
      </w:r>
      <w:r>
        <w:rPr/>
        <w:t>and</w:t>
      </w:r>
      <w:r>
        <w:rPr>
          <w:spacing w:val="-8"/>
        </w:rPr>
        <w:t> </w:t>
      </w:r>
      <w:r>
        <w:rPr/>
        <w:t>deliver</w:t>
      </w:r>
      <w:r>
        <w:rPr>
          <w:spacing w:val="-8"/>
        </w:rPr>
        <w:t> </w:t>
      </w:r>
      <w:r>
        <w:rPr/>
        <w:t>capital</w:t>
      </w:r>
      <w:r>
        <w:rPr>
          <w:spacing w:val="-8"/>
        </w:rPr>
        <w:t> </w:t>
      </w:r>
      <w:r>
        <w:rPr/>
        <w:t>works</w:t>
      </w:r>
      <w:r>
        <w:rPr>
          <w:spacing w:val="-8"/>
        </w:rPr>
        <w:t> </w:t>
      </w:r>
      <w:r>
        <w:rPr>
          <w:spacing w:val="-3"/>
        </w:rPr>
        <w:t>programs</w:t>
      </w:r>
      <w:r>
        <w:rPr>
          <w:spacing w:val="-8"/>
        </w:rPr>
        <w:t> </w:t>
      </w:r>
      <w:r>
        <w:rPr/>
        <w:t>on</w:t>
      </w:r>
      <w:r>
        <w:rPr>
          <w:spacing w:val="-8"/>
        </w:rPr>
        <w:t> </w:t>
      </w:r>
      <w:r>
        <w:rPr/>
        <w:t>behalf</w:t>
      </w:r>
      <w:r>
        <w:rPr>
          <w:spacing w:val="-8"/>
        </w:rPr>
        <w:t> </w:t>
      </w:r>
      <w:r>
        <w:rPr/>
        <w:t>of</w:t>
      </w:r>
      <w:r>
        <w:rPr>
          <w:spacing w:val="-8"/>
        </w:rPr>
        <w:t> </w:t>
      </w:r>
      <w:r>
        <w:rPr/>
        <w:t>client</w:t>
      </w:r>
      <w:r>
        <w:rPr>
          <w:spacing w:val="-8"/>
        </w:rPr>
        <w:t> </w:t>
      </w:r>
      <w:r>
        <w:rPr/>
        <w:t>agencies</w:t>
      </w:r>
      <w:r>
        <w:rPr>
          <w:spacing w:val="-8"/>
        </w:rPr>
        <w:t> </w:t>
      </w:r>
      <w:r>
        <w:rPr/>
        <w:t>in</w:t>
      </w:r>
      <w:r>
        <w:rPr>
          <w:spacing w:val="-8"/>
        </w:rPr>
        <w:t> </w:t>
      </w:r>
      <w:r>
        <w:rPr/>
        <w:t>a</w:t>
      </w:r>
      <w:r>
        <w:rPr>
          <w:spacing w:val="-8"/>
        </w:rPr>
        <w:t> </w:t>
      </w:r>
      <w:r>
        <w:rPr/>
        <w:t>timely</w:t>
      </w:r>
      <w:r>
        <w:rPr>
          <w:spacing w:val="-8"/>
        </w:rPr>
        <w:t> </w:t>
      </w:r>
      <w:r>
        <w:rPr>
          <w:spacing w:val="-5"/>
        </w:rPr>
        <w:t>manner.</w:t>
      </w:r>
    </w:p>
    <w:p>
      <w:pPr>
        <w:pStyle w:val="BodyText"/>
        <w:spacing w:before="8"/>
        <w:rPr>
          <w:sz w:val="13"/>
        </w:rPr>
      </w:pPr>
    </w:p>
    <w:p>
      <w:pPr>
        <w:spacing w:after="0"/>
        <w:rPr>
          <w:sz w:val="13"/>
        </w:rPr>
        <w:sectPr>
          <w:footerReference w:type="default" r:id="rId213"/>
          <w:pgSz w:w="16840" w:h="11910" w:orient="landscape"/>
          <w:pgMar w:footer="0" w:header="0" w:top="0" w:bottom="0" w:left="0" w:right="0"/>
        </w:sectPr>
      </w:pPr>
    </w:p>
    <w:p>
      <w:pPr>
        <w:pStyle w:val="Heading6"/>
        <w:spacing w:line="249" w:lineRule="auto" w:before="108"/>
        <w:rPr>
          <w:sz w:val="10"/>
        </w:rPr>
      </w:pPr>
      <w:r>
        <w:rPr/>
        <w:t>Average office accommodation floor space </w:t>
      </w:r>
      <w:r>
        <w:rPr>
          <w:w w:val="101"/>
        </w:rPr>
        <w:t>per</w:t>
      </w:r>
      <w:r>
        <w:rPr/>
        <w:t> </w:t>
      </w:r>
      <w:r>
        <w:rPr>
          <w:w w:val="102"/>
        </w:rPr>
        <w:t>work</w:t>
      </w:r>
      <w:r>
        <w:rPr/>
        <w:t> </w:t>
      </w:r>
      <w:r>
        <w:rPr>
          <w:w w:val="99"/>
        </w:rPr>
        <w:t>point</w:t>
      </w:r>
      <w:r>
        <w:rPr/>
        <w:t> </w:t>
      </w:r>
      <w:r>
        <w:rPr>
          <w:w w:val="98"/>
        </w:rPr>
        <w:t>(m</w:t>
      </w:r>
      <w:r>
        <w:rPr>
          <w:w w:val="99"/>
          <w:position w:val="8"/>
          <w:sz w:val="10"/>
        </w:rPr>
        <w:t>2</w:t>
      </w:r>
      <w:r>
        <w:rPr>
          <w:w w:val="88"/>
        </w:rPr>
        <w:t>)</w:t>
      </w:r>
      <w:r>
        <w:rPr/>
        <w:t> </w:t>
      </w:r>
      <w:r>
        <w:rPr>
          <w:w w:val="95"/>
          <w:position w:val="8"/>
          <w:sz w:val="10"/>
        </w:rPr>
        <w:t>(a)</w:t>
      </w:r>
    </w:p>
    <w:p>
      <w:pPr>
        <w:spacing w:line="249" w:lineRule="auto" w:before="221"/>
        <w:ind w:left="688" w:right="0" w:firstLine="0"/>
        <w:jc w:val="left"/>
        <w:rPr>
          <w:b/>
          <w:sz w:val="10"/>
        </w:rPr>
      </w:pPr>
      <w:r>
        <w:rPr/>
        <w:br w:type="column"/>
      </w:r>
      <w:r>
        <w:rPr>
          <w:b/>
          <w:spacing w:val="-3"/>
          <w:sz w:val="22"/>
        </w:rPr>
        <w:t>Percentage </w:t>
      </w:r>
      <w:r>
        <w:rPr>
          <w:b/>
          <w:sz w:val="22"/>
        </w:rPr>
        <w:t>of maintenance services </w:t>
      </w:r>
      <w:r>
        <w:rPr>
          <w:b/>
          <w:spacing w:val="-3"/>
          <w:sz w:val="22"/>
        </w:rPr>
        <w:t>delivered </w:t>
      </w:r>
      <w:r>
        <w:rPr>
          <w:b/>
          <w:sz w:val="22"/>
        </w:rPr>
        <w:t>within 10% of </w:t>
      </w:r>
      <w:r>
        <w:rPr>
          <w:b/>
          <w:spacing w:val="-3"/>
          <w:sz w:val="22"/>
        </w:rPr>
        <w:t>approved </w:t>
      </w:r>
      <w:r>
        <w:rPr>
          <w:b/>
          <w:sz w:val="22"/>
        </w:rPr>
        <w:t>timeframe (%) </w:t>
      </w:r>
      <w:r>
        <w:rPr>
          <w:b/>
          <w:position w:val="8"/>
          <w:sz w:val="10"/>
        </w:rPr>
        <w:t>(b)</w:t>
      </w:r>
    </w:p>
    <w:p>
      <w:pPr>
        <w:spacing w:line="249" w:lineRule="auto" w:before="108"/>
        <w:ind w:left="407" w:right="521" w:firstLine="0"/>
        <w:jc w:val="left"/>
        <w:rPr>
          <w:b/>
          <w:sz w:val="10"/>
        </w:rPr>
      </w:pPr>
      <w:r>
        <w:rPr/>
        <w:br w:type="column"/>
      </w:r>
      <w:r>
        <w:rPr>
          <w:b/>
          <w:sz w:val="22"/>
        </w:rPr>
        <w:t>Percentage of significant projects in New Buildings Program delivered within three months of approved timeframe (%) </w:t>
      </w:r>
      <w:r>
        <w:rPr>
          <w:b/>
          <w:position w:val="8"/>
          <w:sz w:val="10"/>
        </w:rPr>
        <w:t>(c)</w:t>
      </w:r>
    </w:p>
    <w:p>
      <w:pPr>
        <w:spacing w:after="0" w:line="249" w:lineRule="auto"/>
        <w:jc w:val="left"/>
        <w:rPr>
          <w:sz w:val="10"/>
        </w:rPr>
        <w:sectPr>
          <w:type w:val="continuous"/>
          <w:pgSz w:w="16840" w:h="11910" w:orient="landscape"/>
          <w:pgMar w:top="1100" w:bottom="280" w:left="0" w:right="0"/>
          <w:cols w:num="3" w:equalWidth="0">
            <w:col w:w="5287" w:space="40"/>
            <w:col w:w="5480" w:space="39"/>
            <w:col w:w="5994"/>
          </w:cols>
        </w:sectPr>
      </w:pPr>
    </w:p>
    <w:p>
      <w:pPr>
        <w:pStyle w:val="BodyText"/>
        <w:spacing w:before="3"/>
        <w:rPr>
          <w:b/>
          <w:sz w:val="11"/>
        </w:rPr>
      </w:pPr>
    </w:p>
    <w:p>
      <w:pPr>
        <w:spacing w:after="0"/>
        <w:rPr>
          <w:sz w:val="11"/>
        </w:rPr>
        <w:sectPr>
          <w:type w:val="continuous"/>
          <w:pgSz w:w="16840" w:h="11910" w:orient="landscape"/>
          <w:pgMar w:top="1100" w:bottom="280" w:left="0" w:right="0"/>
        </w:sectPr>
      </w:pPr>
    </w:p>
    <w:p>
      <w:pPr>
        <w:tabs>
          <w:tab w:pos="1983" w:val="left" w:leader="none"/>
        </w:tabs>
        <w:spacing w:before="167"/>
        <w:ind w:left="977" w:right="0" w:firstLine="0"/>
        <w:jc w:val="left"/>
        <w:rPr>
          <w:b/>
          <w:sz w:val="19"/>
        </w:rPr>
      </w:pPr>
      <w:r>
        <w:rPr/>
        <w:pict>
          <v:rect style="position:absolute;margin-left:38.268002pt;margin-top:23.169579pt;width:40.186pt;height:103.742pt;mso-position-horizontal-relative:page;mso-position-vertical-relative:paragraph;z-index:27040" filled="true" fillcolor="#e3e5bd" stroked="false">
            <v:fill type="solid"/>
            <w10:wrap type="none"/>
          </v:rect>
        </w:pict>
      </w:r>
      <w:r>
        <w:rPr>
          <w:b/>
          <w:color w:val="475B29"/>
          <w:sz w:val="19"/>
        </w:rPr>
        <w:t>15.3</w:t>
        <w:tab/>
      </w:r>
      <w:r>
        <w:rPr>
          <w:b/>
          <w:color w:val="475B29"/>
          <w:spacing w:val="-5"/>
          <w:position w:val="-7"/>
          <w:sz w:val="19"/>
        </w:rPr>
        <w:t>15.2</w:t>
      </w:r>
    </w:p>
    <w:p>
      <w:pPr>
        <w:pStyle w:val="BodyText"/>
        <w:rPr>
          <w:b/>
        </w:rPr>
      </w:pPr>
      <w:r>
        <w:rPr/>
        <w:br w:type="column"/>
      </w:r>
      <w:r>
        <w:rPr>
          <w:b/>
        </w:rPr>
      </w:r>
    </w:p>
    <w:p>
      <w:pPr>
        <w:spacing w:before="154"/>
        <w:ind w:left="596" w:right="0" w:firstLine="0"/>
        <w:jc w:val="left"/>
        <w:rPr>
          <w:b/>
          <w:sz w:val="19"/>
        </w:rPr>
      </w:pPr>
      <w:r>
        <w:rPr/>
        <w:pict>
          <v:rect style="position:absolute;margin-left:88.833pt;margin-top:13.521074pt;width:40.186pt;height:100.742pt;mso-position-horizontal-relative:page;mso-position-vertical-relative:paragraph;z-index:27064" filled="true" fillcolor="#e3e5bd" stroked="false">
            <v:fill type="solid"/>
            <w10:wrap type="none"/>
          </v:rect>
        </w:pict>
      </w:r>
      <w:r>
        <w:rPr/>
        <w:pict>
          <v:rect style="position:absolute;margin-left:139.399002pt;margin-top:20.122074pt;width:40.186pt;height:94.141pt;mso-position-horizontal-relative:page;mso-position-vertical-relative:paragraph;z-index:27088" filled="true" fillcolor="#e3e5bd" stroked="false">
            <v:fill type="solid"/>
            <w10:wrap type="none"/>
          </v:rect>
        </w:pict>
      </w:r>
      <w:r>
        <w:rPr>
          <w:b/>
          <w:color w:val="475B29"/>
          <w:sz w:val="19"/>
        </w:rPr>
        <w:t>15.0</w:t>
      </w:r>
    </w:p>
    <w:p>
      <w:pPr>
        <w:pStyle w:val="BodyText"/>
        <w:rPr>
          <w:b/>
        </w:rPr>
      </w:pPr>
      <w:r>
        <w:rPr/>
        <w:br w:type="column"/>
      </w:r>
      <w:r>
        <w:rPr>
          <w:b/>
        </w:rPr>
      </w:r>
    </w:p>
    <w:p>
      <w:pPr>
        <w:spacing w:before="154"/>
        <w:ind w:left="596" w:right="0" w:firstLine="0"/>
        <w:jc w:val="left"/>
        <w:rPr>
          <w:b/>
          <w:sz w:val="19"/>
        </w:rPr>
      </w:pPr>
      <w:r>
        <w:rPr>
          <w:b/>
          <w:color w:val="6F2770"/>
          <w:sz w:val="19"/>
        </w:rPr>
        <w:t>15.0</w:t>
      </w:r>
    </w:p>
    <w:p>
      <w:pPr>
        <w:pStyle w:val="BodyText"/>
        <w:rPr>
          <w:b/>
        </w:rPr>
      </w:pPr>
      <w:r>
        <w:rPr/>
        <w:br w:type="column"/>
      </w:r>
      <w:r>
        <w:rPr>
          <w:b/>
        </w:rPr>
      </w:r>
    </w:p>
    <w:p>
      <w:pPr>
        <w:pStyle w:val="BodyText"/>
        <w:rPr>
          <w:b/>
          <w:sz w:val="29"/>
        </w:rPr>
      </w:pPr>
    </w:p>
    <w:p>
      <w:pPr>
        <w:spacing w:before="1"/>
        <w:ind w:left="485" w:right="0" w:firstLine="0"/>
        <w:jc w:val="left"/>
        <w:rPr>
          <w:b/>
          <w:sz w:val="10"/>
        </w:rPr>
      </w:pPr>
      <w:r>
        <w:rPr/>
        <w:pict>
          <v:rect style="position:absolute;margin-left:189.712006pt;margin-top:3.46739pt;width:40.186pt;height:94.141pt;mso-position-horizontal-relative:page;mso-position-vertical-relative:paragraph;z-index:27112" filled="true" fillcolor="#a682a6" stroked="false">
            <v:fill type="solid"/>
            <w10:wrap type="none"/>
          </v:rect>
        </w:pict>
      </w:r>
      <w:r>
        <w:rPr>
          <w:b/>
          <w:color w:val="360F41"/>
          <w:w w:val="95"/>
          <w:sz w:val="19"/>
        </w:rPr>
        <w:t>14.65</w:t>
      </w:r>
      <w:r>
        <w:rPr>
          <w:b/>
          <w:color w:val="360F41"/>
          <w:w w:val="95"/>
          <w:position w:val="6"/>
          <w:sz w:val="10"/>
        </w:rPr>
        <w:t>(1)</w:t>
      </w:r>
    </w:p>
    <w:p>
      <w:pPr>
        <w:pStyle w:val="BodyText"/>
        <w:rPr>
          <w:b/>
          <w:sz w:val="34"/>
        </w:rPr>
      </w:pPr>
      <w:r>
        <w:rPr/>
        <w:br w:type="column"/>
      </w:r>
      <w:r>
        <w:rPr>
          <w:b/>
          <w:sz w:val="34"/>
        </w:rPr>
      </w:r>
    </w:p>
    <w:p>
      <w:pPr>
        <w:pStyle w:val="BodyText"/>
        <w:spacing w:before="5"/>
        <w:rPr>
          <w:b/>
          <w:sz w:val="41"/>
        </w:rPr>
      </w:pPr>
    </w:p>
    <w:p>
      <w:pPr>
        <w:tabs>
          <w:tab w:pos="1783" w:val="left" w:leader="none"/>
          <w:tab w:pos="2789" w:val="left" w:leader="none"/>
        </w:tabs>
        <w:spacing w:before="0"/>
        <w:ind w:left="777" w:right="0" w:firstLine="0"/>
        <w:jc w:val="left"/>
        <w:rPr>
          <w:b/>
          <w:sz w:val="19"/>
        </w:rPr>
      </w:pPr>
      <w:r>
        <w:rPr/>
        <w:pict>
          <v:rect style="position:absolute;margin-left:239.528pt;margin-top:-.557614pt;width:40.186pt;height:84.109pt;mso-position-horizontal-relative:page;mso-position-vertical-relative:paragraph;z-index:27136" filled="true" fillcolor="#806b85" stroked="false">
            <v:fill type="solid"/>
            <w10:wrap type="none"/>
          </v:rect>
        </w:pict>
      </w:r>
      <w:r>
        <w:rPr/>
        <w:pict>
          <v:rect style="position:absolute;margin-left:400.85199pt;margin-top:12.809386pt;width:40.186pt;height:70.742pt;mso-position-horizontal-relative:page;mso-position-vertical-relative:paragraph;z-index:-685336" filled="true" fillcolor="#e3e5bd" stroked="false">
            <v:fill type="solid"/>
            <w10:wrap type="none"/>
          </v:rect>
        </w:pict>
      </w:r>
      <w:r>
        <w:rPr>
          <w:b/>
          <w:color w:val="475B29"/>
          <w:sz w:val="19"/>
        </w:rPr>
        <w:t>75</w:t>
        <w:tab/>
        <w:t>75</w:t>
        <w:tab/>
      </w:r>
      <w:r>
        <w:rPr>
          <w:b/>
          <w:color w:val="475B29"/>
          <w:spacing w:val="-10"/>
          <w:position w:val="12"/>
          <w:sz w:val="19"/>
        </w:rPr>
        <w:t>78</w:t>
      </w:r>
    </w:p>
    <w:p>
      <w:pPr>
        <w:pStyle w:val="BodyText"/>
        <w:rPr>
          <w:b/>
          <w:sz w:val="36"/>
        </w:rPr>
      </w:pPr>
      <w:r>
        <w:rPr/>
        <w:br w:type="column"/>
      </w:r>
      <w:r>
        <w:rPr>
          <w:b/>
          <w:sz w:val="36"/>
        </w:rPr>
      </w:r>
    </w:p>
    <w:p>
      <w:pPr>
        <w:pStyle w:val="BodyText"/>
        <w:rPr>
          <w:b/>
          <w:sz w:val="29"/>
        </w:rPr>
      </w:pPr>
    </w:p>
    <w:p>
      <w:pPr>
        <w:tabs>
          <w:tab w:pos="1761" w:val="left" w:leader="none"/>
        </w:tabs>
        <w:spacing w:before="0"/>
        <w:ind w:left="755" w:right="0" w:firstLine="0"/>
        <w:jc w:val="left"/>
        <w:rPr>
          <w:b/>
          <w:sz w:val="19"/>
        </w:rPr>
      </w:pPr>
      <w:r>
        <w:rPr/>
        <w:pict>
          <v:rect style="position:absolute;margin-left:501.231995pt;margin-top:19.408892pt;width:40.186pt;height:70.141pt;mso-position-horizontal-relative:page;mso-position-vertical-relative:paragraph;z-index:27208" filled="true" fillcolor="#806b85" stroked="false">
            <v:fill type="solid"/>
            <w10:wrap type="none"/>
          </v:rect>
        </w:pict>
      </w:r>
      <w:r>
        <w:rPr>
          <w:b/>
          <w:color w:val="6F2770"/>
          <w:sz w:val="19"/>
        </w:rPr>
        <w:t>80</w:t>
        <w:tab/>
      </w:r>
      <w:r>
        <w:rPr>
          <w:b/>
          <w:color w:val="360F41"/>
          <w:spacing w:val="-10"/>
          <w:position w:val="-13"/>
          <w:sz w:val="19"/>
        </w:rPr>
        <w:t>78</w:t>
      </w:r>
    </w:p>
    <w:p>
      <w:pPr>
        <w:tabs>
          <w:tab w:pos="1930" w:val="left" w:leader="none"/>
          <w:tab w:pos="2935" w:val="left" w:leader="none"/>
        </w:tabs>
        <w:spacing w:before="107"/>
        <w:ind w:left="977" w:right="0" w:firstLine="0"/>
        <w:jc w:val="left"/>
        <w:rPr>
          <w:b/>
          <w:sz w:val="19"/>
        </w:rPr>
      </w:pPr>
      <w:r>
        <w:rPr/>
        <w:br w:type="column"/>
      </w:r>
      <w:r>
        <w:rPr>
          <w:b/>
          <w:color w:val="475B29"/>
          <w:position w:val="-13"/>
          <w:sz w:val="19"/>
        </w:rPr>
        <w:t>96</w:t>
        <w:tab/>
      </w:r>
      <w:r>
        <w:rPr>
          <w:b/>
          <w:color w:val="475B29"/>
          <w:sz w:val="19"/>
        </w:rPr>
        <w:t>100</w:t>
        <w:tab/>
        <w:t>100</w:t>
      </w:r>
    </w:p>
    <w:p>
      <w:pPr>
        <w:spacing w:before="62"/>
        <w:ind w:left="0" w:right="0" w:firstLine="0"/>
        <w:jc w:val="right"/>
        <w:rPr>
          <w:b/>
          <w:sz w:val="19"/>
        </w:rPr>
      </w:pPr>
      <w:r>
        <w:rPr/>
        <w:pict>
          <v:rect style="position:absolute;margin-left:562.426025pt;margin-top:2.226389pt;width:40.186pt;height:101.434pt;mso-position-horizontal-relative:page;mso-position-vertical-relative:paragraph;z-index:27232" filled="true" fillcolor="#e3e5bd" stroked="false">
            <v:fill type="solid"/>
            <w10:wrap type="none"/>
          </v:rect>
        </w:pict>
      </w:r>
      <w:r>
        <w:rPr/>
        <w:pict>
          <v:rect style="position:absolute;margin-left:612.741028pt;margin-top:-5.081611pt;width:40.186pt;height:108.742pt;mso-position-horizontal-relative:page;mso-position-vertical-relative:paragraph;z-index:-685240" filled="true" fillcolor="#e3e5bd" stroked="false">
            <v:fill type="solid"/>
            <w10:wrap type="none"/>
          </v:rect>
        </w:pict>
      </w:r>
      <w:r>
        <w:rPr/>
        <w:pict>
          <v:rect style="position:absolute;margin-left:662.804016pt;margin-top:-5.081611pt;width:40.186pt;height:108.742pt;mso-position-horizontal-relative:page;mso-position-vertical-relative:paragraph;z-index:-685216" filled="true" fillcolor="#e3e5bd" stroked="false">
            <v:fill type="solid"/>
            <w10:wrap type="none"/>
          </v:rect>
        </w:pict>
      </w:r>
      <w:r>
        <w:rPr/>
        <w:pict>
          <v:rect style="position:absolute;margin-left:712.867981pt;margin-top:16.226389pt;width:40.186pt;height:87.434pt;mso-position-horizontal-relative:page;mso-position-vertical-relative:paragraph;z-index:27304" filled="true" fillcolor="#a682a6" stroked="false">
            <v:fill type="solid"/>
            <w10:wrap type="none"/>
          </v:rect>
        </w:pict>
      </w:r>
      <w:r>
        <w:rPr>
          <w:b/>
          <w:color w:val="6F2770"/>
          <w:w w:val="95"/>
          <w:sz w:val="19"/>
        </w:rPr>
        <w:t>90</w:t>
      </w:r>
    </w:p>
    <w:p>
      <w:pPr>
        <w:spacing w:before="127"/>
        <w:ind w:left="684" w:right="983" w:firstLine="0"/>
        <w:jc w:val="center"/>
        <w:rPr>
          <w:b/>
          <w:sz w:val="19"/>
        </w:rPr>
      </w:pPr>
      <w:r>
        <w:rPr/>
        <w:br w:type="column"/>
      </w:r>
      <w:r>
        <w:rPr>
          <w:b/>
          <w:color w:val="360F41"/>
          <w:sz w:val="19"/>
        </w:rPr>
        <w:t>100</w:t>
      </w:r>
    </w:p>
    <w:p>
      <w:pPr>
        <w:spacing w:after="0"/>
        <w:jc w:val="center"/>
        <w:rPr>
          <w:sz w:val="19"/>
        </w:rPr>
        <w:sectPr>
          <w:type w:val="continuous"/>
          <w:pgSz w:w="16840" w:h="11910" w:orient="landscape"/>
          <w:pgMar w:top="1100" w:bottom="280" w:left="0" w:right="0"/>
          <w:cols w:num="8" w:equalWidth="0">
            <w:col w:w="2354" w:space="40"/>
            <w:col w:w="967" w:space="39"/>
            <w:col w:w="967" w:space="39"/>
            <w:col w:w="1078" w:space="39"/>
            <w:col w:w="3002" w:space="40"/>
            <w:col w:w="1973" w:space="39"/>
            <w:col w:w="4198" w:space="40"/>
            <w:col w:w="2025"/>
          </w:cols>
        </w:sectPr>
      </w:pPr>
    </w:p>
    <w:p>
      <w:pPr>
        <w:pStyle w:val="BodyText"/>
        <w:spacing w:before="10"/>
        <w:rPr>
          <w:b/>
          <w:sz w:val="3"/>
        </w:rPr>
      </w:pPr>
    </w:p>
    <w:p>
      <w:pPr>
        <w:spacing w:line="240" w:lineRule="auto"/>
        <w:ind w:left="6009" w:right="0" w:firstLine="0"/>
        <w:rPr>
          <w:sz w:val="20"/>
        </w:rPr>
      </w:pPr>
      <w:r>
        <w:rPr>
          <w:sz w:val="20"/>
        </w:rPr>
        <w:pict>
          <v:group style="width:40.2pt;height:64.4pt;mso-position-horizontal-relative:char;mso-position-vertical-relative:line" coordorigin="0,0" coordsize="804,1288">
            <v:rect style="position:absolute;left:0;top:0;width:804;height:1288" filled="true" fillcolor="#e3e5bd" stroked="false">
              <v:fill type="solid"/>
            </v:rect>
          </v:group>
        </w:pict>
      </w:r>
      <w:r>
        <w:rPr>
          <w:sz w:val="20"/>
        </w:rPr>
      </w:r>
      <w:r>
        <w:rPr>
          <w:rFonts w:ascii="Times New Roman"/>
          <w:spacing w:val="136"/>
          <w:sz w:val="20"/>
        </w:rPr>
        <w:t> </w:t>
      </w:r>
      <w:r>
        <w:rPr>
          <w:spacing w:val="136"/>
          <w:sz w:val="20"/>
        </w:rPr>
        <w:pict>
          <v:group style="width:40.2pt;height:64.4pt;mso-position-horizontal-relative:char;mso-position-vertical-relative:line" coordorigin="0,0" coordsize="804,1288">
            <v:rect style="position:absolute;left:0;top:0;width:804;height:1288" filled="true" fillcolor="#e3e5bd" stroked="false">
              <v:fill type="solid"/>
            </v:rect>
          </v:group>
        </w:pict>
      </w:r>
      <w:r>
        <w:rPr>
          <w:spacing w:val="136"/>
          <w:sz w:val="20"/>
        </w:rPr>
      </w:r>
    </w:p>
    <w:p>
      <w:pPr>
        <w:spacing w:after="0" w:line="240" w:lineRule="auto"/>
        <w:rPr>
          <w:sz w:val="20"/>
        </w:rPr>
        <w:sectPr>
          <w:type w:val="continuous"/>
          <w:pgSz w:w="16840" w:h="11910" w:orient="landscape"/>
          <w:pgMar w:top="1100" w:bottom="280" w:left="0" w:right="0"/>
        </w:sectPr>
      </w:pPr>
    </w:p>
    <w:p>
      <w:pPr>
        <w:spacing w:line="212" w:lineRule="exact" w:before="0"/>
        <w:ind w:left="810" w:right="0" w:firstLine="0"/>
        <w:jc w:val="left"/>
        <w:rPr>
          <w:b/>
          <w:sz w:val="19"/>
        </w:rPr>
      </w:pPr>
      <w:r>
        <w:rPr/>
        <w:pict>
          <v:rect style="position:absolute;margin-left:451.667999pt;margin-top:-77.777679pt;width:40.186pt;height:76.434pt;mso-position-horizontal-relative:page;mso-position-vertical-relative:paragraph;z-index:-685312" filled="true" fillcolor="#a682a6" stroked="false">
            <v:fill type="solid"/>
            <w10:wrap type="none"/>
          </v:rect>
        </w:pict>
      </w:r>
      <w:r>
        <w:rPr/>
        <w:pict>
          <v:rect style="position:absolute;margin-left:763.687012pt;margin-top:-109.484673pt;width:40.186pt;height:108.141pt;mso-position-horizontal-relative:page;mso-position-vertical-relative:paragraph;z-index:27328" filled="true" fillcolor="#806b85" stroked="false">
            <v:fill type="solid"/>
            <w10:wrap type="none"/>
          </v:rect>
        </w:pict>
      </w:r>
      <w:r>
        <w:rPr>
          <w:b/>
          <w:w w:val="105"/>
          <w:sz w:val="19"/>
        </w:rPr>
        <w:t>2014/15</w:t>
      </w:r>
    </w:p>
    <w:p>
      <w:pPr>
        <w:spacing w:before="89"/>
        <w:ind w:left="770"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line="212"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line="212" w:lineRule="exact" w:before="0"/>
        <w:ind w:left="424" w:right="0" w:firstLine="0"/>
        <w:jc w:val="left"/>
        <w:rPr>
          <w:b/>
          <w:sz w:val="19"/>
        </w:rPr>
      </w:pPr>
      <w:r>
        <w:rPr/>
        <w:br w:type="column"/>
      </w:r>
      <w:r>
        <w:rPr>
          <w:b/>
          <w:w w:val="105"/>
          <w:sz w:val="19"/>
        </w:rPr>
        <w:t>2014/15</w:t>
      </w:r>
    </w:p>
    <w:p>
      <w:pPr>
        <w:spacing w:before="89"/>
        <w:ind w:left="385"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line="212"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line="212" w:lineRule="exact" w:before="0"/>
        <w:ind w:left="21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line="212" w:lineRule="exact" w:before="0"/>
        <w:ind w:left="434" w:right="0" w:firstLine="0"/>
        <w:jc w:val="left"/>
        <w:rPr>
          <w:b/>
          <w:sz w:val="19"/>
        </w:rPr>
      </w:pPr>
      <w:r>
        <w:rPr/>
        <w:br w:type="column"/>
      </w:r>
      <w:r>
        <w:rPr>
          <w:b/>
          <w:w w:val="105"/>
          <w:sz w:val="19"/>
        </w:rPr>
        <w:t>2014/15</w:t>
      </w:r>
    </w:p>
    <w:p>
      <w:pPr>
        <w:spacing w:before="89"/>
        <w:ind w:left="385" w:right="0" w:firstLine="0"/>
        <w:jc w:val="left"/>
        <w:rPr>
          <w:b/>
          <w:sz w:val="15"/>
        </w:rPr>
      </w:pPr>
      <w:r>
        <w:rPr>
          <w:b/>
          <w:color w:val="FFFFFF"/>
          <w:w w:val="100"/>
          <w:sz w:val="15"/>
          <w:shd w:fill="727D54" w:color="auto" w:val="clear"/>
        </w:rPr>
        <w:t> </w:t>
      </w:r>
      <w:r>
        <w:rPr>
          <w:b/>
          <w:color w:val="FFFFFF"/>
          <w:spacing w:val="14"/>
          <w:sz w:val="15"/>
          <w:shd w:fill="727D54" w:color="auto" w:val="clear"/>
        </w:rPr>
        <w:t> </w:t>
      </w:r>
      <w:r>
        <w:rPr>
          <w:b/>
          <w:color w:val="FFFFFF"/>
          <w:sz w:val="15"/>
          <w:shd w:fill="727D54" w:color="auto" w:val="clear"/>
        </w:rPr>
        <w:t>ACTUAL</w:t>
      </w:r>
      <w:r>
        <w:rPr>
          <w:b/>
          <w:color w:val="FFFFFF"/>
          <w:spacing w:val="4"/>
          <w:sz w:val="15"/>
          <w:shd w:fill="727D54" w:color="auto" w:val="clear"/>
        </w:rPr>
        <w:t> </w:t>
      </w:r>
    </w:p>
    <w:p>
      <w:pPr>
        <w:spacing w:line="212" w:lineRule="exact" w:before="0"/>
        <w:ind w:left="222"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14"/>
          <w:sz w:val="15"/>
          <w:shd w:fill="727D54" w:color="auto" w:val="clear"/>
        </w:rPr>
        <w:t> </w:t>
      </w:r>
      <w:r>
        <w:rPr>
          <w:b/>
          <w:color w:val="FFFFFF"/>
          <w:sz w:val="15"/>
          <w:shd w:fill="727D54" w:color="auto" w:val="clear"/>
        </w:rPr>
        <w:t>ACTUAL</w:t>
      </w:r>
      <w:r>
        <w:rPr>
          <w:b/>
          <w:color w:val="FFFFFF"/>
          <w:spacing w:val="4"/>
          <w:sz w:val="15"/>
          <w:shd w:fill="727D54" w:color="auto" w:val="clear"/>
        </w:rPr>
        <w:t> </w:t>
      </w:r>
    </w:p>
    <w:p>
      <w:pPr>
        <w:spacing w:line="212" w:lineRule="exact" w:before="0"/>
        <w:ind w:left="222"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14"/>
          <w:sz w:val="15"/>
          <w:shd w:fill="727D54" w:color="auto" w:val="clear"/>
        </w:rPr>
        <w:t> </w:t>
      </w:r>
      <w:r>
        <w:rPr>
          <w:b/>
          <w:color w:val="FFFFFF"/>
          <w:sz w:val="15"/>
          <w:shd w:fill="727D54" w:color="auto" w:val="clear"/>
        </w:rPr>
        <w:t>ACTUAL</w:t>
      </w:r>
      <w:r>
        <w:rPr>
          <w:b/>
          <w:color w:val="FFFFFF"/>
          <w:spacing w:val="4"/>
          <w:sz w:val="15"/>
          <w:shd w:fill="727D54" w:color="auto" w:val="clear"/>
        </w:rPr>
        <w:t> </w:t>
      </w:r>
    </w:p>
    <w:p>
      <w:pPr>
        <w:spacing w:line="212" w:lineRule="exact" w:before="0"/>
        <w:ind w:left="212" w:right="0" w:firstLine="0"/>
        <w:jc w:val="left"/>
        <w:rPr>
          <w:b/>
          <w:sz w:val="19"/>
        </w:rPr>
      </w:pPr>
      <w:r>
        <w:rPr/>
        <w:br w:type="column"/>
      </w:r>
      <w:r>
        <w:rPr>
          <w:b/>
          <w:w w:val="105"/>
          <w:sz w:val="19"/>
        </w:rPr>
        <w:t>2017/18</w:t>
      </w:r>
    </w:p>
    <w:p>
      <w:pPr>
        <w:spacing w:before="89"/>
        <w:ind w:left="162" w:right="0" w:firstLine="0"/>
        <w:jc w:val="left"/>
        <w:rPr>
          <w:b/>
          <w:sz w:val="15"/>
        </w:rPr>
      </w:pPr>
      <w:r>
        <w:rPr>
          <w:b/>
          <w:color w:val="FFFFFF"/>
          <w:w w:val="100"/>
          <w:sz w:val="15"/>
          <w:shd w:fill="8E5F8E" w:color="auto" w:val="clear"/>
        </w:rPr>
        <w:t> </w:t>
      </w:r>
      <w:r>
        <w:rPr>
          <w:b/>
          <w:color w:val="FFFFFF"/>
          <w:sz w:val="15"/>
          <w:shd w:fill="8E5F8E" w:color="auto" w:val="clear"/>
        </w:rPr>
        <w:t> </w:t>
      </w:r>
      <w:r>
        <w:rPr>
          <w:b/>
          <w:color w:val="FFFFFF"/>
          <w:spacing w:val="-21"/>
          <w:sz w:val="15"/>
          <w:shd w:fill="8E5F8E" w:color="auto" w:val="clear"/>
        </w:rPr>
        <w:t> </w:t>
      </w:r>
      <w:r>
        <w:rPr>
          <w:b/>
          <w:color w:val="FFFFFF"/>
          <w:sz w:val="15"/>
          <w:shd w:fill="8E5F8E" w:color="auto" w:val="clear"/>
        </w:rPr>
        <w:t>TARGET</w:t>
      </w:r>
      <w:r>
        <w:rPr>
          <w:b/>
          <w:color w:val="FFFFFF"/>
          <w:spacing w:val="11"/>
          <w:sz w:val="15"/>
          <w:shd w:fill="8E5F8E" w:color="auto" w:val="clear"/>
        </w:rPr>
        <w:t> </w:t>
      </w:r>
    </w:p>
    <w:p>
      <w:pPr>
        <w:spacing w:line="212" w:lineRule="exact" w:before="0"/>
        <w:ind w:left="222"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14"/>
          <w:sz w:val="15"/>
          <w:shd w:fill="5F4665" w:color="auto" w:val="clear"/>
        </w:rPr>
        <w:t> </w:t>
      </w:r>
      <w:r>
        <w:rPr>
          <w:b/>
          <w:color w:val="FFFFFF"/>
          <w:sz w:val="15"/>
          <w:shd w:fill="5F4665" w:color="auto" w:val="clear"/>
        </w:rPr>
        <w:t>ACTUAL</w:t>
      </w:r>
      <w:r>
        <w:rPr>
          <w:b/>
          <w:color w:val="FFFFFF"/>
          <w:spacing w:val="4"/>
          <w:sz w:val="15"/>
          <w:shd w:fill="5F4665" w:color="auto" w:val="clear"/>
        </w:rPr>
        <w:t> </w:t>
      </w:r>
    </w:p>
    <w:p>
      <w:pPr>
        <w:spacing w:after="0"/>
        <w:jc w:val="left"/>
        <w:rPr>
          <w:sz w:val="15"/>
        </w:rPr>
        <w:sectPr>
          <w:type w:val="continuous"/>
          <w:pgSz w:w="16840" w:h="11910" w:orient="landscape"/>
          <w:pgMar w:top="1100" w:bottom="280" w:left="0" w:right="0"/>
          <w:cols w:num="15" w:equalWidth="0">
            <w:col w:w="1565" w:space="40"/>
            <w:col w:w="967" w:space="39"/>
            <w:col w:w="967" w:space="39"/>
            <w:col w:w="967" w:space="39"/>
            <w:col w:w="967" w:space="39"/>
            <w:col w:w="1179" w:space="40"/>
            <w:col w:w="967" w:space="40"/>
            <w:col w:w="967" w:space="39"/>
            <w:col w:w="967" w:space="39"/>
            <w:col w:w="967" w:space="40"/>
            <w:col w:w="1179" w:space="39"/>
            <w:col w:w="967" w:space="40"/>
            <w:col w:w="967" w:space="39"/>
            <w:col w:w="957" w:space="39"/>
            <w:col w:w="1739"/>
          </w:cols>
        </w:sectPr>
      </w:pPr>
    </w:p>
    <w:p>
      <w:pPr>
        <w:pStyle w:val="ListParagraph"/>
        <w:numPr>
          <w:ilvl w:val="0"/>
          <w:numId w:val="32"/>
        </w:numPr>
        <w:tabs>
          <w:tab w:pos="958" w:val="left" w:leader="none"/>
        </w:tabs>
        <w:spacing w:line="249" w:lineRule="auto" w:before="144" w:after="0"/>
        <w:ind w:left="973" w:right="0" w:hanging="208"/>
        <w:jc w:val="left"/>
        <w:rPr>
          <w:sz w:val="15"/>
        </w:rPr>
      </w:pPr>
      <w:r>
        <w:rPr>
          <w:sz w:val="15"/>
        </w:rPr>
        <w:t>This indicator measures the utilisation of government office accommodation</w:t>
      </w:r>
      <w:r>
        <w:rPr>
          <w:spacing w:val="-14"/>
          <w:sz w:val="15"/>
        </w:rPr>
        <w:t> </w:t>
      </w:r>
      <w:r>
        <w:rPr>
          <w:sz w:val="15"/>
        </w:rPr>
        <w:t>through</w:t>
      </w:r>
      <w:r>
        <w:rPr>
          <w:spacing w:val="-13"/>
          <w:sz w:val="15"/>
        </w:rPr>
        <w:t> </w:t>
      </w:r>
      <w:r>
        <w:rPr>
          <w:sz w:val="15"/>
        </w:rPr>
        <w:t>determining</w:t>
      </w:r>
      <w:r>
        <w:rPr>
          <w:spacing w:val="-14"/>
          <w:sz w:val="15"/>
        </w:rPr>
        <w:t> </w:t>
      </w:r>
      <w:r>
        <w:rPr>
          <w:sz w:val="15"/>
        </w:rPr>
        <w:t>the</w:t>
      </w:r>
      <w:r>
        <w:rPr>
          <w:spacing w:val="-13"/>
          <w:sz w:val="15"/>
        </w:rPr>
        <w:t> </w:t>
      </w:r>
      <w:r>
        <w:rPr>
          <w:sz w:val="15"/>
        </w:rPr>
        <w:t>average</w:t>
      </w:r>
      <w:r>
        <w:rPr>
          <w:spacing w:val="-13"/>
          <w:sz w:val="15"/>
        </w:rPr>
        <w:t> </w:t>
      </w:r>
      <w:r>
        <w:rPr>
          <w:sz w:val="15"/>
        </w:rPr>
        <w:t>amount</w:t>
      </w:r>
      <w:r>
        <w:rPr>
          <w:spacing w:val="-14"/>
          <w:sz w:val="15"/>
        </w:rPr>
        <w:t> </w:t>
      </w:r>
      <w:r>
        <w:rPr>
          <w:sz w:val="15"/>
        </w:rPr>
        <w:t>of</w:t>
      </w:r>
      <w:r>
        <w:rPr>
          <w:spacing w:val="-13"/>
          <w:sz w:val="15"/>
        </w:rPr>
        <w:t> </w:t>
      </w:r>
      <w:r>
        <w:rPr>
          <w:sz w:val="15"/>
        </w:rPr>
        <w:t>floor</w:t>
      </w:r>
      <w:r>
        <w:rPr>
          <w:spacing w:val="-13"/>
          <w:sz w:val="15"/>
        </w:rPr>
        <w:t> </w:t>
      </w:r>
      <w:r>
        <w:rPr>
          <w:sz w:val="15"/>
        </w:rPr>
        <w:t>area allocated</w:t>
      </w:r>
      <w:r>
        <w:rPr>
          <w:spacing w:val="-13"/>
          <w:sz w:val="15"/>
        </w:rPr>
        <w:t> </w:t>
      </w:r>
      <w:r>
        <w:rPr>
          <w:sz w:val="15"/>
        </w:rPr>
        <w:t>per</w:t>
      </w:r>
      <w:r>
        <w:rPr>
          <w:spacing w:val="-12"/>
          <w:sz w:val="15"/>
        </w:rPr>
        <w:t> </w:t>
      </w:r>
      <w:r>
        <w:rPr>
          <w:sz w:val="15"/>
        </w:rPr>
        <w:t>workspace</w:t>
      </w:r>
      <w:r>
        <w:rPr>
          <w:spacing w:val="-12"/>
          <w:sz w:val="15"/>
        </w:rPr>
        <w:t> </w:t>
      </w:r>
      <w:r>
        <w:rPr>
          <w:sz w:val="15"/>
        </w:rPr>
        <w:t>across</w:t>
      </w:r>
      <w:r>
        <w:rPr>
          <w:spacing w:val="-12"/>
          <w:sz w:val="15"/>
        </w:rPr>
        <w:t> </w:t>
      </w:r>
      <w:r>
        <w:rPr>
          <w:sz w:val="15"/>
        </w:rPr>
        <w:t>the</w:t>
      </w:r>
      <w:r>
        <w:rPr>
          <w:spacing w:val="-12"/>
          <w:sz w:val="15"/>
        </w:rPr>
        <w:t> </w:t>
      </w:r>
      <w:r>
        <w:rPr>
          <w:sz w:val="15"/>
        </w:rPr>
        <w:t>government</w:t>
      </w:r>
      <w:r>
        <w:rPr>
          <w:spacing w:val="-13"/>
          <w:sz w:val="15"/>
        </w:rPr>
        <w:t> </w:t>
      </w:r>
      <w:r>
        <w:rPr>
          <w:sz w:val="15"/>
        </w:rPr>
        <w:t>office</w:t>
      </w:r>
      <w:r>
        <w:rPr>
          <w:spacing w:val="-12"/>
          <w:sz w:val="15"/>
        </w:rPr>
        <w:t> </w:t>
      </w:r>
      <w:r>
        <w:rPr>
          <w:spacing w:val="-2"/>
          <w:sz w:val="15"/>
        </w:rPr>
        <w:t>accommodation </w:t>
      </w:r>
      <w:r>
        <w:rPr>
          <w:sz w:val="15"/>
        </w:rPr>
        <w:t>portfolio.</w:t>
      </w:r>
    </w:p>
    <w:p>
      <w:pPr>
        <w:pStyle w:val="BodyText"/>
        <w:spacing w:before="3"/>
      </w:pPr>
      <w:r>
        <w:rPr/>
        <w:br w:type="column"/>
      </w:r>
      <w:r>
        <w:rPr/>
      </w:r>
    </w:p>
    <w:p>
      <w:pPr>
        <w:pStyle w:val="ListParagraph"/>
        <w:numPr>
          <w:ilvl w:val="0"/>
          <w:numId w:val="32"/>
        </w:numPr>
        <w:tabs>
          <w:tab w:pos="614" w:val="left" w:leader="none"/>
        </w:tabs>
        <w:spacing w:line="249" w:lineRule="auto" w:before="0" w:after="0"/>
        <w:ind w:left="622" w:right="0" w:hanging="209"/>
        <w:jc w:val="left"/>
        <w:rPr>
          <w:sz w:val="15"/>
        </w:rPr>
      </w:pPr>
      <w:r>
        <w:rPr>
          <w:sz w:val="15"/>
        </w:rPr>
        <w:t>The indicator measures the percentage of high priority breakdown repairs attended to within 10 per cent of the approved timeframe across the State. High priority breakdowns are more time-critical and typically</w:t>
      </w:r>
      <w:r>
        <w:rPr>
          <w:spacing w:val="-19"/>
          <w:sz w:val="15"/>
        </w:rPr>
        <w:t> </w:t>
      </w:r>
      <w:r>
        <w:rPr>
          <w:sz w:val="15"/>
        </w:rPr>
        <w:t>include</w:t>
      </w:r>
      <w:r>
        <w:rPr>
          <w:spacing w:val="-18"/>
          <w:sz w:val="15"/>
        </w:rPr>
        <w:t> </w:t>
      </w:r>
      <w:r>
        <w:rPr>
          <w:sz w:val="15"/>
        </w:rPr>
        <w:t>breakdowns</w:t>
      </w:r>
      <w:r>
        <w:rPr>
          <w:spacing w:val="-18"/>
          <w:sz w:val="15"/>
        </w:rPr>
        <w:t> </w:t>
      </w:r>
      <w:r>
        <w:rPr>
          <w:sz w:val="15"/>
        </w:rPr>
        <w:t>or</w:t>
      </w:r>
      <w:r>
        <w:rPr>
          <w:spacing w:val="-18"/>
          <w:sz w:val="15"/>
        </w:rPr>
        <w:t> </w:t>
      </w:r>
      <w:r>
        <w:rPr>
          <w:sz w:val="15"/>
        </w:rPr>
        <w:t>failures</w:t>
      </w:r>
      <w:r>
        <w:rPr>
          <w:spacing w:val="-19"/>
          <w:sz w:val="15"/>
        </w:rPr>
        <w:t> </w:t>
      </w:r>
      <w:r>
        <w:rPr>
          <w:sz w:val="15"/>
        </w:rPr>
        <w:t>that</w:t>
      </w:r>
      <w:r>
        <w:rPr>
          <w:spacing w:val="-18"/>
          <w:sz w:val="15"/>
        </w:rPr>
        <w:t> </w:t>
      </w:r>
      <w:r>
        <w:rPr>
          <w:sz w:val="15"/>
        </w:rPr>
        <w:t>have</w:t>
      </w:r>
      <w:r>
        <w:rPr>
          <w:spacing w:val="-18"/>
          <w:sz w:val="15"/>
        </w:rPr>
        <w:t> </w:t>
      </w:r>
      <w:r>
        <w:rPr>
          <w:sz w:val="15"/>
        </w:rPr>
        <w:t>an</w:t>
      </w:r>
      <w:r>
        <w:rPr>
          <w:spacing w:val="-18"/>
          <w:sz w:val="15"/>
        </w:rPr>
        <w:t> </w:t>
      </w:r>
      <w:r>
        <w:rPr>
          <w:sz w:val="15"/>
        </w:rPr>
        <w:t>immediate</w:t>
      </w:r>
      <w:r>
        <w:rPr>
          <w:spacing w:val="-19"/>
          <w:sz w:val="15"/>
        </w:rPr>
        <w:t> </w:t>
      </w:r>
      <w:r>
        <w:rPr>
          <w:spacing w:val="-3"/>
          <w:sz w:val="15"/>
        </w:rPr>
        <w:t>adverse </w:t>
      </w:r>
      <w:r>
        <w:rPr>
          <w:sz w:val="15"/>
        </w:rPr>
        <w:t>effect on the security, safety and/or health of</w:t>
      </w:r>
      <w:r>
        <w:rPr>
          <w:spacing w:val="-26"/>
          <w:sz w:val="15"/>
        </w:rPr>
        <w:t> </w:t>
      </w:r>
      <w:r>
        <w:rPr>
          <w:sz w:val="15"/>
        </w:rPr>
        <w:t>occupants.</w:t>
      </w:r>
    </w:p>
    <w:p>
      <w:pPr>
        <w:pStyle w:val="ListParagraph"/>
        <w:numPr>
          <w:ilvl w:val="0"/>
          <w:numId w:val="32"/>
        </w:numPr>
        <w:tabs>
          <w:tab w:pos="578" w:val="left" w:leader="none"/>
        </w:tabs>
        <w:spacing w:line="249" w:lineRule="auto" w:before="144" w:after="0"/>
        <w:ind w:left="594" w:right="811" w:hanging="209"/>
        <w:jc w:val="left"/>
        <w:rPr>
          <w:sz w:val="15"/>
        </w:rPr>
      </w:pPr>
      <w:r>
        <w:rPr>
          <w:w w:val="93"/>
          <w:sz w:val="15"/>
        </w:rPr>
        <w:br w:type="column"/>
      </w:r>
      <w:r>
        <w:rPr>
          <w:sz w:val="15"/>
        </w:rPr>
        <w:t>This indicator measures the percentage of projects with current approved</w:t>
      </w:r>
      <w:r>
        <w:rPr>
          <w:spacing w:val="-10"/>
          <w:sz w:val="15"/>
        </w:rPr>
        <w:t> </w:t>
      </w:r>
      <w:r>
        <w:rPr>
          <w:sz w:val="15"/>
        </w:rPr>
        <w:t>budgets</w:t>
      </w:r>
      <w:r>
        <w:rPr>
          <w:spacing w:val="-9"/>
          <w:sz w:val="15"/>
        </w:rPr>
        <w:t> </w:t>
      </w:r>
      <w:r>
        <w:rPr>
          <w:sz w:val="15"/>
        </w:rPr>
        <w:t>of</w:t>
      </w:r>
      <w:r>
        <w:rPr>
          <w:spacing w:val="-9"/>
          <w:sz w:val="15"/>
        </w:rPr>
        <w:t> </w:t>
      </w:r>
      <w:r>
        <w:rPr>
          <w:sz w:val="15"/>
        </w:rPr>
        <w:t>$5</w:t>
      </w:r>
      <w:r>
        <w:rPr>
          <w:spacing w:val="-9"/>
          <w:sz w:val="15"/>
        </w:rPr>
        <w:t> </w:t>
      </w:r>
      <w:r>
        <w:rPr>
          <w:sz w:val="15"/>
        </w:rPr>
        <w:t>million</w:t>
      </w:r>
      <w:r>
        <w:rPr>
          <w:spacing w:val="-9"/>
          <w:sz w:val="15"/>
        </w:rPr>
        <w:t> </w:t>
      </w:r>
      <w:r>
        <w:rPr>
          <w:sz w:val="15"/>
        </w:rPr>
        <w:t>or</w:t>
      </w:r>
      <w:r>
        <w:rPr>
          <w:spacing w:val="-10"/>
          <w:sz w:val="15"/>
        </w:rPr>
        <w:t> </w:t>
      </w:r>
      <w:r>
        <w:rPr>
          <w:sz w:val="15"/>
        </w:rPr>
        <w:t>more</w:t>
      </w:r>
      <w:r>
        <w:rPr>
          <w:spacing w:val="-9"/>
          <w:sz w:val="15"/>
        </w:rPr>
        <w:t> </w:t>
      </w:r>
      <w:r>
        <w:rPr>
          <w:sz w:val="15"/>
        </w:rPr>
        <w:t>that</w:t>
      </w:r>
      <w:r>
        <w:rPr>
          <w:spacing w:val="-9"/>
          <w:sz w:val="15"/>
        </w:rPr>
        <w:t> </w:t>
      </w:r>
      <w:r>
        <w:rPr>
          <w:sz w:val="15"/>
        </w:rPr>
        <w:t>have</w:t>
      </w:r>
      <w:r>
        <w:rPr>
          <w:spacing w:val="-9"/>
          <w:sz w:val="15"/>
        </w:rPr>
        <w:t> </w:t>
      </w:r>
      <w:r>
        <w:rPr>
          <w:sz w:val="15"/>
        </w:rPr>
        <w:t>been</w:t>
      </w:r>
      <w:r>
        <w:rPr>
          <w:spacing w:val="-9"/>
          <w:sz w:val="15"/>
        </w:rPr>
        <w:t> </w:t>
      </w:r>
      <w:r>
        <w:rPr>
          <w:sz w:val="15"/>
        </w:rPr>
        <w:t>handed</w:t>
      </w:r>
      <w:r>
        <w:rPr>
          <w:spacing w:val="-9"/>
          <w:sz w:val="15"/>
        </w:rPr>
        <w:t> </w:t>
      </w:r>
      <w:r>
        <w:rPr>
          <w:sz w:val="15"/>
        </w:rPr>
        <w:t>over</w:t>
      </w:r>
      <w:r>
        <w:rPr>
          <w:spacing w:val="-10"/>
          <w:sz w:val="15"/>
        </w:rPr>
        <w:t> </w:t>
      </w:r>
      <w:r>
        <w:rPr>
          <w:spacing w:val="-9"/>
          <w:sz w:val="15"/>
        </w:rPr>
        <w:t>to </w:t>
      </w:r>
      <w:r>
        <w:rPr>
          <w:sz w:val="15"/>
        </w:rPr>
        <w:t>the client agency within three months of the approved date for handover in the current financial</w:t>
      </w:r>
      <w:r>
        <w:rPr>
          <w:spacing w:val="-9"/>
          <w:sz w:val="15"/>
        </w:rPr>
        <w:t> </w:t>
      </w:r>
      <w:r>
        <w:rPr>
          <w:spacing w:val="-3"/>
          <w:sz w:val="15"/>
        </w:rPr>
        <w:t>year.</w:t>
      </w:r>
    </w:p>
    <w:p>
      <w:pPr>
        <w:spacing w:after="0" w:line="249" w:lineRule="auto"/>
        <w:jc w:val="left"/>
        <w:rPr>
          <w:sz w:val="15"/>
        </w:rPr>
        <w:sectPr>
          <w:type w:val="continuous"/>
          <w:pgSz w:w="16840" w:h="11910" w:orient="landscape"/>
          <w:pgMar w:top="1100" w:bottom="280" w:left="0" w:right="0"/>
          <w:cols w:num="3" w:equalWidth="0">
            <w:col w:w="5562" w:space="40"/>
            <w:col w:w="5226" w:space="39"/>
            <w:col w:w="5973"/>
          </w:cols>
        </w:sectPr>
      </w:pPr>
    </w:p>
    <w:p>
      <w:pPr>
        <w:pStyle w:val="ListParagraph"/>
        <w:numPr>
          <w:ilvl w:val="1"/>
          <w:numId w:val="32"/>
        </w:numPr>
        <w:tabs>
          <w:tab w:pos="1046" w:val="left" w:leader="none"/>
        </w:tabs>
        <w:spacing w:line="249" w:lineRule="auto" w:before="98" w:after="0"/>
        <w:ind w:left="1071" w:right="1149" w:hanging="306"/>
        <w:jc w:val="left"/>
        <w:rPr>
          <w:sz w:val="22"/>
        </w:rPr>
      </w:pPr>
      <w:r>
        <w:rPr>
          <w:sz w:val="22"/>
        </w:rPr>
        <w:t>Improvement</w:t>
      </w:r>
      <w:r>
        <w:rPr>
          <w:spacing w:val="-16"/>
          <w:sz w:val="22"/>
        </w:rPr>
        <w:t> </w:t>
      </w:r>
      <w:r>
        <w:rPr>
          <w:sz w:val="22"/>
        </w:rPr>
        <w:t>is</w:t>
      </w:r>
      <w:r>
        <w:rPr>
          <w:spacing w:val="-16"/>
          <w:sz w:val="22"/>
        </w:rPr>
        <w:t> </w:t>
      </w:r>
      <w:r>
        <w:rPr>
          <w:sz w:val="22"/>
        </w:rPr>
        <w:t>due</w:t>
      </w:r>
      <w:r>
        <w:rPr>
          <w:spacing w:val="-16"/>
          <w:sz w:val="22"/>
        </w:rPr>
        <w:t> </w:t>
      </w:r>
      <w:r>
        <w:rPr>
          <w:sz w:val="22"/>
        </w:rPr>
        <w:t>to</w:t>
      </w:r>
      <w:r>
        <w:rPr>
          <w:spacing w:val="-15"/>
          <w:sz w:val="22"/>
        </w:rPr>
        <w:t> </w:t>
      </w:r>
      <w:r>
        <w:rPr>
          <w:sz w:val="22"/>
        </w:rPr>
        <w:t>the</w:t>
      </w:r>
      <w:r>
        <w:rPr>
          <w:spacing w:val="-16"/>
          <w:sz w:val="22"/>
        </w:rPr>
        <w:t> </w:t>
      </w:r>
      <w:r>
        <w:rPr>
          <w:sz w:val="22"/>
        </w:rPr>
        <w:t>termination</w:t>
      </w:r>
      <w:r>
        <w:rPr>
          <w:spacing w:val="-16"/>
          <w:sz w:val="22"/>
        </w:rPr>
        <w:t> </w:t>
      </w:r>
      <w:r>
        <w:rPr>
          <w:sz w:val="22"/>
        </w:rPr>
        <w:t>of</w:t>
      </w:r>
      <w:r>
        <w:rPr>
          <w:spacing w:val="-16"/>
          <w:sz w:val="22"/>
        </w:rPr>
        <w:t> </w:t>
      </w:r>
      <w:r>
        <w:rPr>
          <w:sz w:val="22"/>
        </w:rPr>
        <w:t>leases</w:t>
      </w:r>
      <w:r>
        <w:rPr>
          <w:spacing w:val="-15"/>
          <w:sz w:val="22"/>
        </w:rPr>
        <w:t> </w:t>
      </w:r>
      <w:r>
        <w:rPr>
          <w:sz w:val="22"/>
        </w:rPr>
        <w:t>(21,993</w:t>
      </w:r>
      <w:r>
        <w:rPr>
          <w:spacing w:val="-16"/>
          <w:sz w:val="22"/>
        </w:rPr>
        <w:t> </w:t>
      </w:r>
      <w:r>
        <w:rPr>
          <w:sz w:val="22"/>
        </w:rPr>
        <w:t>m</w:t>
      </w:r>
      <w:r>
        <w:rPr>
          <w:position w:val="8"/>
          <w:sz w:val="12"/>
        </w:rPr>
        <w:t>2</w:t>
      </w:r>
      <w:r>
        <w:rPr>
          <w:sz w:val="22"/>
        </w:rPr>
        <w:t>)</w:t>
      </w:r>
      <w:r>
        <w:rPr>
          <w:spacing w:val="-16"/>
          <w:sz w:val="22"/>
        </w:rPr>
        <w:t> </w:t>
      </w:r>
      <w:r>
        <w:rPr>
          <w:sz w:val="22"/>
        </w:rPr>
        <w:t>with</w:t>
      </w:r>
      <w:r>
        <w:rPr>
          <w:spacing w:val="-16"/>
          <w:sz w:val="22"/>
        </w:rPr>
        <w:t> </w:t>
      </w:r>
      <w:r>
        <w:rPr>
          <w:sz w:val="22"/>
        </w:rPr>
        <w:t>poor</w:t>
      </w:r>
      <w:r>
        <w:rPr>
          <w:spacing w:val="-15"/>
          <w:sz w:val="22"/>
        </w:rPr>
        <w:t> </w:t>
      </w:r>
      <w:r>
        <w:rPr>
          <w:sz w:val="22"/>
        </w:rPr>
        <w:t>average</w:t>
      </w:r>
      <w:r>
        <w:rPr>
          <w:spacing w:val="-16"/>
          <w:sz w:val="22"/>
        </w:rPr>
        <w:t> </w:t>
      </w:r>
      <w:r>
        <w:rPr>
          <w:sz w:val="22"/>
        </w:rPr>
        <w:t>workspace</w:t>
      </w:r>
      <w:r>
        <w:rPr>
          <w:spacing w:val="-16"/>
          <w:sz w:val="22"/>
        </w:rPr>
        <w:t> </w:t>
      </w:r>
      <w:r>
        <w:rPr>
          <w:sz w:val="22"/>
        </w:rPr>
        <w:t>density</w:t>
      </w:r>
      <w:r>
        <w:rPr>
          <w:spacing w:val="-16"/>
          <w:sz w:val="22"/>
        </w:rPr>
        <w:t> </w:t>
      </w:r>
      <w:r>
        <w:rPr>
          <w:sz w:val="22"/>
        </w:rPr>
        <w:t>(15.33</w:t>
      </w:r>
      <w:r>
        <w:rPr>
          <w:spacing w:val="-15"/>
          <w:sz w:val="22"/>
        </w:rPr>
        <w:t> </w:t>
      </w:r>
      <w:r>
        <w:rPr>
          <w:sz w:val="22"/>
        </w:rPr>
        <w:t>m</w:t>
      </w:r>
      <w:r>
        <w:rPr>
          <w:position w:val="8"/>
          <w:sz w:val="12"/>
        </w:rPr>
        <w:t>2</w:t>
      </w:r>
      <w:r>
        <w:rPr>
          <w:sz w:val="22"/>
        </w:rPr>
        <w:t>/workpoint)</w:t>
      </w:r>
      <w:r>
        <w:rPr>
          <w:spacing w:val="-16"/>
          <w:sz w:val="22"/>
        </w:rPr>
        <w:t> </w:t>
      </w:r>
      <w:r>
        <w:rPr>
          <w:sz w:val="22"/>
        </w:rPr>
        <w:t>and</w:t>
      </w:r>
      <w:r>
        <w:rPr>
          <w:spacing w:val="-16"/>
          <w:sz w:val="22"/>
        </w:rPr>
        <w:t> </w:t>
      </w:r>
      <w:r>
        <w:rPr>
          <w:sz w:val="22"/>
        </w:rPr>
        <w:t>the</w:t>
      </w:r>
      <w:r>
        <w:rPr>
          <w:spacing w:val="-15"/>
          <w:sz w:val="22"/>
        </w:rPr>
        <w:t> </w:t>
      </w:r>
      <w:r>
        <w:rPr>
          <w:sz w:val="22"/>
        </w:rPr>
        <w:t>completion</w:t>
      </w:r>
      <w:r>
        <w:rPr>
          <w:spacing w:val="-16"/>
          <w:sz w:val="22"/>
        </w:rPr>
        <w:t> </w:t>
      </w:r>
      <w:r>
        <w:rPr>
          <w:sz w:val="22"/>
        </w:rPr>
        <w:t>of</w:t>
      </w:r>
      <w:r>
        <w:rPr>
          <w:spacing w:val="-16"/>
          <w:sz w:val="22"/>
        </w:rPr>
        <w:t> </w:t>
      </w:r>
      <w:r>
        <w:rPr>
          <w:sz w:val="22"/>
        </w:rPr>
        <w:t>fit-out</w:t>
      </w:r>
      <w:r>
        <w:rPr>
          <w:spacing w:val="-16"/>
          <w:sz w:val="22"/>
        </w:rPr>
        <w:t> </w:t>
      </w:r>
      <w:r>
        <w:rPr>
          <w:spacing w:val="-3"/>
          <w:sz w:val="22"/>
        </w:rPr>
        <w:t>works </w:t>
      </w:r>
      <w:r>
        <w:rPr>
          <w:sz w:val="22"/>
        </w:rPr>
        <w:t>(17,504 m</w:t>
      </w:r>
      <w:r>
        <w:rPr>
          <w:position w:val="7"/>
          <w:sz w:val="13"/>
        </w:rPr>
        <w:t>2</w:t>
      </w:r>
      <w:r>
        <w:rPr>
          <w:sz w:val="22"/>
        </w:rPr>
        <w:t>) where the average workspace density was below the benchmark density (11.90</w:t>
      </w:r>
      <w:r>
        <w:rPr>
          <w:spacing w:val="-40"/>
          <w:sz w:val="22"/>
        </w:rPr>
        <w:t> </w:t>
      </w:r>
      <w:r>
        <w:rPr>
          <w:sz w:val="22"/>
        </w:rPr>
        <w:t>m</w:t>
      </w:r>
      <w:r>
        <w:rPr>
          <w:position w:val="8"/>
          <w:sz w:val="12"/>
        </w:rPr>
        <w:t>2</w:t>
      </w:r>
      <w:r>
        <w:rPr>
          <w:sz w:val="22"/>
        </w:rPr>
        <w:t>/workpoint).</w:t>
      </w:r>
    </w:p>
    <w:p>
      <w:pPr>
        <w:pStyle w:val="BodyText"/>
        <w:spacing w:before="6"/>
        <w:rPr>
          <w:sz w:val="20"/>
        </w:rPr>
      </w:pPr>
    </w:p>
    <w:p>
      <w:pPr>
        <w:tabs>
          <w:tab w:pos="10886" w:val="left" w:leader="none"/>
          <w:tab w:pos="11199"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27376"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pict>
          <v:group style="position:absolute;margin-left:0pt;margin-top:-9.455017pt;width:24.1pt;height:41.55pt;mso-position-horizontal-relative:page;mso-position-vertical-relative:paragraph;z-index:27400"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 Report 2017-18</w:t>
      </w:r>
      <w:r>
        <w:rPr>
          <w:b/>
          <w:color w:val="6D6E71"/>
          <w:spacing w:val="24"/>
          <w:sz w:val="20"/>
        </w:rPr>
        <w:t> </w:t>
      </w:r>
      <w:r>
        <w:rPr>
          <w:b/>
          <w:color w:val="6F2770"/>
          <w:sz w:val="20"/>
        </w:rPr>
        <w:t>105</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bookmarkStart w:name="_bookmark45" w:id="46"/>
      <w:bookmarkEnd w:id="46"/>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b/>
          <w:sz w:val="20"/>
        </w:rPr>
      </w:pPr>
    </w:p>
    <w:p>
      <w:pPr>
        <w:pStyle w:val="BodyText"/>
        <w:rPr>
          <w:b/>
          <w:sz w:val="21"/>
        </w:rPr>
      </w:pPr>
    </w:p>
    <w:p>
      <w:pPr>
        <w:pStyle w:val="Heading1"/>
      </w:pPr>
      <w:r>
        <w:rPr/>
        <w:pict>
          <v:group style="position:absolute;margin-left:481.080994pt;margin-top:-67.498238pt;width:360.85pt;height:126.65pt;mso-position-horizontal-relative:page;mso-position-vertical-relative:paragraph;z-index:-684664" coordorigin="9622,-1350" coordsize="7217,2533">
            <v:shape style="position:absolute;left:2973;top:20805;width:3452;height:2528" coordorigin="2973,20805" coordsize="3452,2528" path="m14620,-1347l14741,-1227m14510,-1347l14805,-1053m14400,-1347l14843,-904m14289,-1347l14866,-771m14179,-1347l14877,-649m14069,-1347l14881,-535m13958,-1347l14877,-429m13848,-1347l14867,-328m13738,-1347l14852,-233m13627,-1347l14833,-142m13517,-1347l14810,-55m13407,-1347l14783,29m13296,-1347l14753,109m13186,-1347l14719,186m13076,-1347l14682,259m12965,-1347l14643,330m12855,-1347l14600,398m12744,-1347l14555,463m12634,-1347l14508,526m12524,-1347l14458,587m12413,-1347l14405,644m12303,-1347l14350,700m12193,-1347l14293,753m12082,-1347l14233,803m11972,-1347l14170,851m11862,-1347l14105,896m11751,-1347l14037,938m11641,-1347l13967,978m11594,-1284l13893,1015m11560,-1208l13817,1049m11530,-1128l13737,1080m11502,-1045l13654,1107m11479,-958l13568,1131m11459,-868l13477,1151m11443,-773l13382,1166m11434,-672l13282,1176m11429,-566l13176,1181m11431,-454l13063,1178m11442,-333l12942,1168m11463,-201l12811,1146m11500,-54l12664,1110m11560,116l12493,1050m11672,339l12270,937e" filled="false" stroked="true" strokeweight=".25pt" strokecolor="#aebd37">
              <v:path arrowok="t"/>
              <v:stroke dashstyle="solid"/>
            </v:shape>
            <v:shape style="position:absolute;left:20;top:1425;width:1781;height:1663" coordorigin="20,1426" coordsize="1781,1663" path="m10761,197l10432,-132m10953,279l10350,-324m11092,308l10321,-463m11210,315l10314,-581m11313,308l10321,-684m11407,292l10338,-778m11493,267l10362,-864m11572,236l10393,-943m11645,198l10431,-1016m11713,155l10473,-1084m11775,108l10521,-1146m11833,55l10574,-1204m11886,-2l10631,-1257m11934,-65l10694,-1305m11977,-132l10761,-1347m12014,-205l10872,-1347m12045,-284l10982,-1347m12070,-370l11092,-1347m12087,-463l11203,-1347m12094,-566l11313,-1347m12088,-683l11423,-1347m12060,-821l11534,-1347m11979,-1012l11644,-1347e" filled="false" stroked="true" strokeweight=".25pt" strokecolor="#6f2770">
              <v:path arrowok="t"/>
              <v:stroke dashstyle="solid"/>
            </v:shape>
            <v:rect style="position:absolute;left:9621;top:-1348;width:2406;height:851" filled="true" fillcolor="#d4d896" stroked="false">
              <v:fill type="solid"/>
            </v:rect>
            <v:rect style="position:absolute;left:12026;top:-1348;width:2406;height:851" filled="true" fillcolor="#c3acc4" stroked="false">
              <v:fill type="solid"/>
            </v:rect>
            <v:rect style="position:absolute;left:14432;top:-1348;width:2406;height:851" filled="true" fillcolor="#bba1bc" stroked="false">
              <v:fill type="solid"/>
            </v:rect>
            <w10:wrap type="none"/>
          </v:group>
        </w:pict>
      </w:r>
      <w:r>
        <w:rPr/>
        <w:pict>
          <v:shape style="position:absolute;margin-left:601.348999pt;margin-top:-67.374214pt;width:120.3pt;height:42.55pt;mso-position-horizontal-relative:page;mso-position-vertical-relative:paragraph;z-index:27904"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67.374214pt;width:120.3pt;height:42.55pt;mso-position-horizontal-relative:page;mso-position-vertical-relative:paragraph;z-index:2792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7952"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Key Effectiveness Indicators</w:t>
      </w:r>
    </w:p>
    <w:p>
      <w:pPr>
        <w:pStyle w:val="Heading4"/>
        <w:spacing w:before="110"/>
      </w:pPr>
      <w:r>
        <w:rPr>
          <w:color w:val="6F2770"/>
        </w:rPr>
        <w:t>Strategic Projects</w:t>
      </w:r>
    </w:p>
    <w:p>
      <w:pPr>
        <w:pStyle w:val="BodyText"/>
        <w:rPr>
          <w:sz w:val="12"/>
        </w:rPr>
      </w:pPr>
    </w:p>
    <w:p>
      <w:pPr>
        <w:spacing w:after="0"/>
        <w:rPr>
          <w:sz w:val="12"/>
        </w:rPr>
        <w:sectPr>
          <w:footerReference w:type="default" r:id="rId214"/>
          <w:pgSz w:w="16840" w:h="11910" w:orient="landscape"/>
          <w:pgMar w:footer="0" w:header="0" w:top="0" w:bottom="0" w:left="0" w:right="0"/>
        </w:sectPr>
      </w:pPr>
    </w:p>
    <w:p>
      <w:pPr>
        <w:pStyle w:val="Heading6"/>
        <w:spacing w:line="249" w:lineRule="auto" w:before="109"/>
        <w:ind w:right="427"/>
      </w:pPr>
      <w:r>
        <w:rPr/>
        <w:t>Outcome 4: Value-for-money from the management of the Government’s</w:t>
      </w:r>
    </w:p>
    <w:p>
      <w:pPr>
        <w:spacing w:line="196" w:lineRule="exact" w:before="1"/>
        <w:ind w:left="765" w:right="0" w:firstLine="0"/>
        <w:jc w:val="left"/>
        <w:rPr>
          <w:b/>
          <w:sz w:val="22"/>
        </w:rPr>
      </w:pPr>
      <w:r>
        <w:rPr>
          <w:b/>
          <w:spacing w:val="-4"/>
          <w:sz w:val="22"/>
        </w:rPr>
        <w:t>non-residential </w:t>
      </w:r>
      <w:r>
        <w:rPr>
          <w:b/>
          <w:spacing w:val="-3"/>
          <w:sz w:val="22"/>
        </w:rPr>
        <w:t>buildings </w:t>
      </w:r>
      <w:r>
        <w:rPr>
          <w:b/>
          <w:sz w:val="22"/>
        </w:rPr>
        <w:t>and </w:t>
      </w:r>
      <w:r>
        <w:rPr>
          <w:b/>
          <w:spacing w:val="-3"/>
          <w:sz w:val="22"/>
        </w:rPr>
        <w:t>public works</w:t>
      </w:r>
    </w:p>
    <w:p>
      <w:pPr>
        <w:spacing w:before="109"/>
        <w:ind w:left="765" w:right="0" w:firstLine="0"/>
        <w:jc w:val="left"/>
        <w:rPr>
          <w:b/>
          <w:sz w:val="22"/>
        </w:rPr>
      </w:pPr>
      <w:r>
        <w:rPr/>
        <w:br w:type="column"/>
      </w:r>
      <w:r>
        <w:rPr>
          <w:b/>
          <w:sz w:val="22"/>
        </w:rPr>
        <w:t>Percentage of significant </w:t>
      </w:r>
      <w:r>
        <w:rPr>
          <w:b/>
          <w:position w:val="8"/>
          <w:sz w:val="10"/>
        </w:rPr>
        <w:t>(a) </w:t>
      </w:r>
      <w:r>
        <w:rPr>
          <w:b/>
          <w:sz w:val="22"/>
        </w:rPr>
        <w:t>projects in the New Buildings program delivered within approved (%)</w:t>
      </w:r>
    </w:p>
    <w:p>
      <w:pPr>
        <w:pStyle w:val="BodyText"/>
        <w:tabs>
          <w:tab w:pos="6009" w:val="left" w:leader="none"/>
        </w:tabs>
        <w:spacing w:before="17"/>
        <w:ind w:left="765"/>
      </w:pPr>
      <w:r>
        <w:rPr>
          <w:spacing w:val="-3"/>
        </w:rPr>
        <w:t>Budget</w:t>
        <w:tab/>
        <w:t>Timeframe</w:t>
      </w:r>
    </w:p>
    <w:p>
      <w:pPr>
        <w:spacing w:after="0"/>
        <w:sectPr>
          <w:type w:val="continuous"/>
          <w:pgSz w:w="16840" w:h="11910" w:orient="landscape"/>
          <w:pgMar w:top="1100" w:bottom="280" w:left="0" w:right="0"/>
          <w:cols w:num="2" w:equalWidth="0">
            <w:col w:w="5161" w:space="84"/>
            <w:col w:w="11595"/>
          </w:cols>
        </w:sectPr>
      </w:pPr>
    </w:p>
    <w:p>
      <w:pPr>
        <w:pStyle w:val="BodyText"/>
        <w:spacing w:before="11"/>
        <w:rPr>
          <w:sz w:val="28"/>
        </w:rPr>
      </w:pPr>
    </w:p>
    <w:p>
      <w:pPr>
        <w:pStyle w:val="BodyText"/>
        <w:spacing w:line="249" w:lineRule="auto"/>
        <w:ind w:left="765" w:right="-3"/>
      </w:pPr>
      <w:r>
        <w:rPr/>
        <w:t>The Department works closely with agencies involved in the high value, high risk </w:t>
      </w:r>
      <w:r>
        <w:rPr>
          <w:spacing w:val="-3"/>
        </w:rPr>
        <w:t>projects through</w:t>
      </w:r>
      <w:r>
        <w:rPr>
          <w:spacing w:val="-23"/>
        </w:rPr>
        <w:t> </w:t>
      </w:r>
      <w:r>
        <w:rPr/>
        <w:t>joint</w:t>
      </w:r>
      <w:r>
        <w:rPr>
          <w:spacing w:val="-23"/>
        </w:rPr>
        <w:t> </w:t>
      </w:r>
      <w:r>
        <w:rPr/>
        <w:t>development</w:t>
      </w:r>
      <w:r>
        <w:rPr>
          <w:spacing w:val="-23"/>
        </w:rPr>
        <w:t> </w:t>
      </w:r>
      <w:r>
        <w:rPr/>
        <w:t>of</w:t>
      </w:r>
      <w:r>
        <w:rPr>
          <w:spacing w:val="-23"/>
        </w:rPr>
        <w:t> </w:t>
      </w:r>
      <w:r>
        <w:rPr/>
        <w:t>business</w:t>
      </w:r>
      <w:r>
        <w:rPr>
          <w:spacing w:val="-22"/>
        </w:rPr>
        <w:t> </w:t>
      </w:r>
      <w:r>
        <w:rPr/>
        <w:t>cases</w:t>
      </w:r>
      <w:r>
        <w:rPr>
          <w:spacing w:val="-23"/>
        </w:rPr>
        <w:t> </w:t>
      </w:r>
      <w:r>
        <w:rPr>
          <w:spacing w:val="-2"/>
        </w:rPr>
        <w:t>and </w:t>
      </w:r>
      <w:r>
        <w:rPr>
          <w:spacing w:val="-3"/>
        </w:rPr>
        <w:t>Project</w:t>
      </w:r>
      <w:r>
        <w:rPr>
          <w:spacing w:val="-37"/>
        </w:rPr>
        <w:t> </w:t>
      </w:r>
      <w:r>
        <w:rPr/>
        <w:t>Definition</w:t>
      </w:r>
      <w:r>
        <w:rPr>
          <w:spacing w:val="-37"/>
        </w:rPr>
        <w:t> </w:t>
      </w:r>
      <w:r>
        <w:rPr/>
        <w:t>Plans</w:t>
      </w:r>
      <w:r>
        <w:rPr>
          <w:spacing w:val="-37"/>
        </w:rPr>
        <w:t> </w:t>
      </w:r>
      <w:r>
        <w:rPr/>
        <w:t>as</w:t>
      </w:r>
      <w:r>
        <w:rPr>
          <w:spacing w:val="-36"/>
        </w:rPr>
        <w:t> </w:t>
      </w:r>
      <w:r>
        <w:rPr/>
        <w:t>well</w:t>
      </w:r>
      <w:r>
        <w:rPr>
          <w:spacing w:val="-37"/>
        </w:rPr>
        <w:t> </w:t>
      </w:r>
      <w:r>
        <w:rPr/>
        <w:t>as</w:t>
      </w:r>
      <w:r>
        <w:rPr>
          <w:spacing w:val="-37"/>
        </w:rPr>
        <w:t> </w:t>
      </w:r>
      <w:r>
        <w:rPr/>
        <w:t>joint</w:t>
      </w:r>
      <w:r>
        <w:rPr>
          <w:spacing w:val="-36"/>
        </w:rPr>
        <w:t> </w:t>
      </w:r>
      <w:r>
        <w:rPr/>
        <w:t>governance arrangements</w:t>
      </w:r>
      <w:r>
        <w:rPr>
          <w:spacing w:val="-28"/>
        </w:rPr>
        <w:t> </w:t>
      </w:r>
      <w:r>
        <w:rPr/>
        <w:t>to</w:t>
      </w:r>
      <w:r>
        <w:rPr>
          <w:spacing w:val="-28"/>
        </w:rPr>
        <w:t> </w:t>
      </w:r>
      <w:r>
        <w:rPr>
          <w:spacing w:val="-3"/>
        </w:rPr>
        <w:t>reflect</w:t>
      </w:r>
      <w:r>
        <w:rPr>
          <w:spacing w:val="-28"/>
        </w:rPr>
        <w:t> </w:t>
      </w:r>
      <w:r>
        <w:rPr>
          <w:spacing w:val="-3"/>
        </w:rPr>
        <w:t>respective</w:t>
      </w:r>
      <w:r>
        <w:rPr>
          <w:spacing w:val="-28"/>
        </w:rPr>
        <w:t> </w:t>
      </w:r>
      <w:r>
        <w:rPr>
          <w:spacing w:val="-3"/>
        </w:rPr>
        <w:t>responsibilities </w:t>
      </w:r>
      <w:r>
        <w:rPr/>
        <w:t>between</w:t>
      </w:r>
      <w:r>
        <w:rPr>
          <w:spacing w:val="-10"/>
        </w:rPr>
        <w:t> </w:t>
      </w:r>
      <w:r>
        <w:rPr/>
        <w:t>the</w:t>
      </w:r>
      <w:r>
        <w:rPr>
          <w:spacing w:val="-10"/>
        </w:rPr>
        <w:t> </w:t>
      </w:r>
      <w:r>
        <w:rPr/>
        <w:t>Department</w:t>
      </w:r>
      <w:r>
        <w:rPr>
          <w:spacing w:val="-10"/>
        </w:rPr>
        <w:t> </w:t>
      </w:r>
      <w:r>
        <w:rPr/>
        <w:t>and</w:t>
      </w:r>
      <w:r>
        <w:rPr>
          <w:spacing w:val="-10"/>
        </w:rPr>
        <w:t> </w:t>
      </w:r>
      <w:r>
        <w:rPr/>
        <w:t>the</w:t>
      </w:r>
      <w:r>
        <w:rPr>
          <w:spacing w:val="-9"/>
        </w:rPr>
        <w:t> </w:t>
      </w:r>
      <w:r>
        <w:rPr>
          <w:spacing w:val="-5"/>
        </w:rPr>
        <w:t>agency.</w:t>
      </w:r>
    </w:p>
    <w:p>
      <w:pPr>
        <w:tabs>
          <w:tab w:pos="1672" w:val="left" w:leader="none"/>
        </w:tabs>
        <w:spacing w:before="7"/>
        <w:ind w:left="666" w:right="0" w:firstLine="0"/>
        <w:jc w:val="left"/>
        <w:rPr>
          <w:b/>
          <w:sz w:val="10"/>
        </w:rPr>
      </w:pPr>
      <w:r>
        <w:rPr/>
        <w:br w:type="column"/>
      </w:r>
      <w:r>
        <w:rPr>
          <w:b/>
          <w:color w:val="475B29"/>
          <w:position w:val="-5"/>
          <w:sz w:val="19"/>
        </w:rPr>
        <w:t>100</w:t>
      </w:r>
      <w:r>
        <w:rPr>
          <w:b/>
          <w:color w:val="475B29"/>
          <w:sz w:val="10"/>
        </w:rPr>
        <w:t>(b)</w:t>
        <w:tab/>
      </w:r>
      <w:r>
        <w:rPr>
          <w:b/>
          <w:color w:val="475B29"/>
          <w:spacing w:val="-4"/>
          <w:position w:val="-5"/>
          <w:sz w:val="19"/>
        </w:rPr>
        <w:t>100</w:t>
      </w:r>
      <w:r>
        <w:rPr>
          <w:b/>
          <w:color w:val="475B29"/>
          <w:spacing w:val="-4"/>
          <w:sz w:val="10"/>
        </w:rPr>
        <w:t>(b)</w:t>
      </w:r>
    </w:p>
    <w:p>
      <w:pPr>
        <w:pStyle w:val="BodyText"/>
        <w:spacing w:before="5"/>
        <w:rPr>
          <w:b/>
          <w:sz w:val="28"/>
        </w:rPr>
      </w:pPr>
      <w:r>
        <w:rPr/>
        <w:br w:type="column"/>
      </w:r>
      <w:r>
        <w:rPr>
          <w:b/>
          <w:sz w:val="28"/>
        </w:rPr>
      </w:r>
    </w:p>
    <w:p>
      <w:pPr>
        <w:spacing w:before="1"/>
        <w:ind w:left="581" w:right="0" w:firstLine="0"/>
        <w:jc w:val="left"/>
        <w:rPr>
          <w:b/>
          <w:sz w:val="10"/>
        </w:rPr>
      </w:pPr>
      <w:r>
        <w:rPr/>
        <w:pict>
          <v:rect style="position:absolute;margin-left:350.286011pt;margin-top:-2.530297pt;width:40.186pt;height:85.141pt;mso-position-horizontal-relative:page;mso-position-vertical-relative:paragraph;z-index:27616" filled="true" fillcolor="#e3e5bd" stroked="false">
            <v:fill type="solid"/>
            <w10:wrap type="none"/>
          </v:rect>
        </w:pict>
      </w:r>
      <w:r>
        <w:rPr/>
        <w:pict>
          <v:rect style="position:absolute;margin-left:401.352997pt;margin-top:12.868703pt;width:40.186pt;height:69.742pt;mso-position-horizontal-relative:page;mso-position-vertical-relative:paragraph;z-index:27640" filled="true" fillcolor="#e3e5bd" stroked="false">
            <v:fill type="solid"/>
            <w10:wrap type="none"/>
          </v:rect>
        </w:pict>
      </w:r>
      <w:r>
        <w:rPr>
          <w:b/>
          <w:color w:val="475B29"/>
          <w:w w:val="95"/>
          <w:position w:val="-5"/>
          <w:sz w:val="19"/>
        </w:rPr>
        <w:t>91</w:t>
      </w:r>
      <w:r>
        <w:rPr>
          <w:b/>
          <w:color w:val="475B29"/>
          <w:w w:val="95"/>
          <w:sz w:val="10"/>
        </w:rPr>
        <w:t>(b)</w:t>
      </w:r>
    </w:p>
    <w:p>
      <w:pPr>
        <w:tabs>
          <w:tab w:pos="1648" w:val="left" w:leader="none"/>
        </w:tabs>
        <w:spacing w:before="8"/>
        <w:ind w:left="642" w:right="0" w:firstLine="0"/>
        <w:jc w:val="left"/>
        <w:rPr>
          <w:b/>
          <w:sz w:val="19"/>
        </w:rPr>
      </w:pPr>
      <w:r>
        <w:rPr/>
        <w:br w:type="column"/>
      </w:r>
      <w:r>
        <w:rPr>
          <w:b/>
          <w:color w:val="6F2770"/>
          <w:sz w:val="19"/>
        </w:rPr>
        <w:t>100</w:t>
        <w:tab/>
      </w:r>
      <w:r>
        <w:rPr>
          <w:b/>
          <w:color w:val="360F41"/>
          <w:sz w:val="19"/>
        </w:rPr>
        <w:t>100</w:t>
      </w:r>
    </w:p>
    <w:p>
      <w:pPr>
        <w:pStyle w:val="BodyText"/>
        <w:spacing w:before="7"/>
        <w:rPr>
          <w:b/>
          <w:sz w:val="47"/>
        </w:rPr>
      </w:pPr>
      <w:r>
        <w:rPr/>
        <w:br w:type="column"/>
      </w:r>
      <w:r>
        <w:rPr>
          <w:b/>
          <w:sz w:val="47"/>
        </w:rPr>
      </w:r>
    </w:p>
    <w:p>
      <w:pPr>
        <w:tabs>
          <w:tab w:pos="1771" w:val="left" w:leader="none"/>
        </w:tabs>
        <w:spacing w:before="0"/>
        <w:ind w:left="765" w:right="0" w:firstLine="0"/>
        <w:jc w:val="left"/>
        <w:rPr>
          <w:b/>
          <w:sz w:val="10"/>
        </w:rPr>
      </w:pPr>
      <w:r>
        <w:rPr/>
        <w:pict>
          <v:rect style="position:absolute;margin-left:501.731995pt;margin-top:-14.181297pt;width:40.186pt;height:85.742pt;mso-position-horizontal-relative:page;mso-position-vertical-relative:paragraph;z-index:27688" filled="true" fillcolor="#806b85" stroked="false">
            <v:fill type="solid"/>
            <w10:wrap type="none"/>
          </v:rect>
        </w:pict>
      </w:r>
      <w:r>
        <w:rPr/>
        <w:pict>
          <v:rect style="position:absolute;margin-left:562.426025pt;margin-top:12.818703pt;width:40.186pt;height:58.742pt;mso-position-horizontal-relative:page;mso-position-vertical-relative:paragraph;z-index:-684784" filled="true" fillcolor="#e3e5bd" stroked="false">
            <v:fill type="solid"/>
            <w10:wrap type="none"/>
          </v:rect>
        </w:pict>
      </w:r>
      <w:r>
        <w:rPr>
          <w:b/>
          <w:color w:val="475B29"/>
          <w:position w:val="-5"/>
          <w:sz w:val="19"/>
        </w:rPr>
        <w:t>64</w:t>
      </w:r>
      <w:r>
        <w:rPr>
          <w:b/>
          <w:color w:val="475B29"/>
          <w:sz w:val="10"/>
        </w:rPr>
        <w:t>(b)</w:t>
        <w:tab/>
      </w:r>
      <w:r>
        <w:rPr>
          <w:b/>
          <w:color w:val="475B29"/>
          <w:spacing w:val="-4"/>
          <w:position w:val="-17"/>
          <w:sz w:val="19"/>
        </w:rPr>
        <w:t>50</w:t>
      </w:r>
      <w:r>
        <w:rPr>
          <w:b/>
          <w:color w:val="475B29"/>
          <w:spacing w:val="-4"/>
          <w:position w:val="-11"/>
          <w:sz w:val="10"/>
        </w:rPr>
        <w:t>(b)</w:t>
      </w:r>
    </w:p>
    <w:p>
      <w:pPr>
        <w:pStyle w:val="BodyText"/>
        <w:rPr>
          <w:b/>
        </w:rPr>
      </w:pPr>
      <w:r>
        <w:rPr/>
        <w:br w:type="column"/>
      </w:r>
      <w:r>
        <w:rPr>
          <w:b/>
        </w:rPr>
      </w:r>
    </w:p>
    <w:p>
      <w:pPr>
        <w:pStyle w:val="BodyText"/>
        <w:rPr>
          <w:b/>
        </w:rPr>
      </w:pPr>
    </w:p>
    <w:p>
      <w:pPr>
        <w:pStyle w:val="BodyText"/>
        <w:rPr>
          <w:b/>
        </w:rPr>
      </w:pPr>
    </w:p>
    <w:p>
      <w:pPr>
        <w:spacing w:before="149"/>
        <w:ind w:left="634" w:right="0" w:firstLine="0"/>
        <w:jc w:val="left"/>
        <w:rPr>
          <w:b/>
          <w:sz w:val="10"/>
        </w:rPr>
      </w:pPr>
      <w:r>
        <w:rPr/>
        <w:pict>
          <v:rect style="position:absolute;margin-left:612.48999pt;margin-top:8.268703pt;width:40.186pt;height:52.742pt;mso-position-horizontal-relative:page;mso-position-vertical-relative:paragraph;z-index:27736" filled="true" fillcolor="#e3e5bd" stroked="false">
            <v:fill type="solid"/>
            <w10:wrap type="none"/>
          </v:rect>
        </w:pict>
      </w:r>
      <w:r>
        <w:rPr/>
        <w:pict>
          <v:rect style="position:absolute;margin-left:662.80603pt;margin-top:20.268703pt;width:40.186pt;height:40.742pt;mso-position-horizontal-relative:page;mso-position-vertical-relative:paragraph;z-index:27760" filled="true" fillcolor="#e3e5bd" stroked="false">
            <v:fill type="solid"/>
            <w10:wrap type="none"/>
          </v:rect>
        </w:pict>
      </w:r>
      <w:r>
        <w:rPr>
          <w:b/>
          <w:color w:val="475B29"/>
          <w:w w:val="95"/>
          <w:position w:val="-5"/>
          <w:sz w:val="19"/>
        </w:rPr>
        <w:t>36</w:t>
      </w:r>
      <w:r>
        <w:rPr>
          <w:b/>
          <w:color w:val="475B29"/>
          <w:w w:val="95"/>
          <w:sz w:val="10"/>
        </w:rPr>
        <w:t>(b)</w:t>
      </w:r>
    </w:p>
    <w:p>
      <w:pPr>
        <w:spacing w:before="8"/>
        <w:ind w:left="0" w:right="0" w:firstLine="0"/>
        <w:jc w:val="right"/>
        <w:rPr>
          <w:b/>
          <w:sz w:val="19"/>
        </w:rPr>
      </w:pPr>
      <w:r>
        <w:rPr/>
        <w:br w:type="column"/>
      </w:r>
      <w:r>
        <w:rPr>
          <w:b/>
          <w:color w:val="6F2770"/>
          <w:w w:val="95"/>
          <w:sz w:val="19"/>
        </w:rPr>
        <w:t>100</w:t>
      </w:r>
    </w:p>
    <w:p>
      <w:pPr>
        <w:pStyle w:val="BodyText"/>
        <w:rPr>
          <w:b/>
        </w:rPr>
      </w:pPr>
      <w:r>
        <w:rPr/>
        <w:br w:type="column"/>
      </w:r>
      <w:r>
        <w:rPr>
          <w:b/>
        </w:rPr>
      </w:r>
    </w:p>
    <w:p>
      <w:pPr>
        <w:pStyle w:val="BodyText"/>
        <w:rPr>
          <w:b/>
        </w:rPr>
      </w:pPr>
    </w:p>
    <w:p>
      <w:pPr>
        <w:spacing w:before="162"/>
        <w:ind w:left="644" w:right="0" w:firstLine="0"/>
        <w:jc w:val="left"/>
        <w:rPr>
          <w:b/>
          <w:sz w:val="10"/>
        </w:rPr>
      </w:pPr>
      <w:r>
        <w:rPr/>
        <w:pict>
          <v:rect style="position:absolute;margin-left:713.120972pt;margin-top:-12.081297pt;width:40.186pt;height:85.742pt;mso-position-horizontal-relative:page;mso-position-vertical-relative:paragraph;z-index:27784" filled="true" fillcolor="#a682a6" stroked="false">
            <v:fill type="solid"/>
            <w10:wrap type="none"/>
          </v:rect>
        </w:pict>
      </w:r>
      <w:r>
        <w:rPr/>
        <w:pict>
          <v:rect style="position:absolute;margin-left:763.684998pt;margin-top:20.918703pt;width:40.186pt;height:52.742pt;mso-position-horizontal-relative:page;mso-position-vertical-relative:paragraph;z-index:27808" filled="true" fillcolor="#806b85" stroked="false">
            <v:fill type="solid"/>
            <w10:wrap type="none"/>
          </v:rect>
        </w:pict>
      </w:r>
      <w:r>
        <w:rPr>
          <w:b/>
          <w:color w:val="360F41"/>
          <w:position w:val="-5"/>
          <w:sz w:val="19"/>
        </w:rPr>
        <w:t>50</w:t>
      </w:r>
      <w:r>
        <w:rPr>
          <w:b/>
          <w:color w:val="360F41"/>
          <w:sz w:val="10"/>
        </w:rPr>
        <w:t>(1)</w:t>
      </w:r>
    </w:p>
    <w:p>
      <w:pPr>
        <w:spacing w:after="0"/>
        <w:jc w:val="left"/>
        <w:rPr>
          <w:sz w:val="10"/>
        </w:rPr>
        <w:sectPr>
          <w:type w:val="continuous"/>
          <w:pgSz w:w="16840" w:h="11910" w:orient="landscape"/>
          <w:pgMar w:top="1100" w:bottom="280" w:left="0" w:right="0"/>
          <w:cols w:num="8" w:equalWidth="0">
            <w:col w:w="5482" w:space="40"/>
            <w:col w:w="2110" w:space="39"/>
            <w:col w:w="914" w:space="40"/>
            <w:col w:w="2006" w:space="78"/>
            <w:col w:w="2104" w:space="40"/>
            <w:col w:w="967" w:space="39"/>
            <w:col w:w="960" w:space="39"/>
            <w:col w:w="1982"/>
          </w:cols>
        </w:sectPr>
      </w:pPr>
    </w:p>
    <w:p>
      <w:pPr>
        <w:pStyle w:val="BodyText"/>
        <w:spacing w:before="4"/>
        <w:rPr>
          <w:b/>
          <w:sz w:val="23"/>
        </w:rPr>
      </w:pPr>
    </w:p>
    <w:p>
      <w:pPr>
        <w:pStyle w:val="BodyText"/>
        <w:spacing w:before="1"/>
        <w:ind w:left="765"/>
      </w:pPr>
      <w:r>
        <w:rPr/>
        <w:pict>
          <v:rect style="position:absolute;margin-left:300.721985pt;margin-top:-95.190727pt;width:40.186pt;height:85.141pt;mso-position-horizontal-relative:page;mso-position-vertical-relative:paragraph;z-index:27592" filled="true" fillcolor="#e3e5bd" stroked="false">
            <v:fill type="solid"/>
            <w10:wrap type="none"/>
          </v:rect>
        </w:pict>
      </w:r>
      <w:r>
        <w:rPr/>
        <w:t>This</w:t>
      </w:r>
      <w:r>
        <w:rPr>
          <w:spacing w:val="-37"/>
        </w:rPr>
        <w:t> </w:t>
      </w:r>
      <w:r>
        <w:rPr/>
        <w:t>indicator</w:t>
      </w:r>
      <w:r>
        <w:rPr>
          <w:spacing w:val="-38"/>
        </w:rPr>
        <w:t> </w:t>
      </w:r>
      <w:r>
        <w:rPr/>
        <w:t>demonstrates</w:t>
      </w:r>
      <w:r>
        <w:rPr>
          <w:spacing w:val="-37"/>
        </w:rPr>
        <w:t> </w:t>
      </w:r>
      <w:r>
        <w:rPr/>
        <w:t>the</w:t>
      </w:r>
      <w:r>
        <w:rPr>
          <w:spacing w:val="-37"/>
        </w:rPr>
        <w:t> </w:t>
      </w:r>
      <w:r>
        <w:rPr/>
        <w:t>ability</w:t>
      </w:r>
      <w:r>
        <w:rPr>
          <w:spacing w:val="-37"/>
        </w:rPr>
        <w:t> </w:t>
      </w:r>
      <w:r>
        <w:rPr/>
        <w:t>of</w:t>
      </w:r>
      <w:r>
        <w:rPr>
          <w:spacing w:val="-37"/>
        </w:rPr>
        <w:t> </w:t>
      </w:r>
      <w:r>
        <w:rPr/>
        <w:t>Strategic</w:t>
      </w:r>
    </w:p>
    <w:p>
      <w:pPr>
        <w:spacing w:before="90"/>
        <w:ind w:left="587" w:right="0" w:firstLine="0"/>
        <w:jc w:val="left"/>
        <w:rPr>
          <w:b/>
          <w:sz w:val="19"/>
        </w:rPr>
      </w:pPr>
      <w:r>
        <w:rPr/>
        <w:br w:type="column"/>
      </w:r>
      <w:r>
        <w:rPr>
          <w:b/>
          <w:w w:val="105"/>
          <w:sz w:val="19"/>
        </w:rPr>
        <w:t>2014/15</w:t>
      </w:r>
    </w:p>
    <w:p>
      <w:pPr>
        <w:spacing w:line="130" w:lineRule="exact" w:before="89"/>
        <w:ind w:left="547"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2015/16</w:t>
      </w:r>
    </w:p>
    <w:p>
      <w:pPr>
        <w:spacing w:line="130" w:lineRule="exact"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2016/17</w:t>
      </w:r>
    </w:p>
    <w:p>
      <w:pPr>
        <w:spacing w:line="130" w:lineRule="exact"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2017/18</w:t>
      </w:r>
    </w:p>
    <w:p>
      <w:pPr>
        <w:spacing w:line="130" w:lineRule="exact" w:before="89"/>
        <w:ind w:left="172" w:right="0" w:firstLine="0"/>
        <w:jc w:val="left"/>
        <w:rPr>
          <w:b/>
          <w:sz w:val="15"/>
        </w:rPr>
      </w:pPr>
      <w:r>
        <w:rPr/>
        <w:pict>
          <v:rect style="position:absolute;margin-left:451.542999pt;margin-top:-97.791298pt;width:40.186pt;height:85.742pt;mso-position-horizontal-relative:page;mso-position-vertical-relative:paragraph;z-index:27664" filled="true" fillcolor="#a682a6" stroked="false">
            <v:fill type="solid"/>
            <w10:wrap type="none"/>
          </v:rect>
        </w:pict>
      </w: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before="90"/>
        <w:ind w:left="212" w:right="0" w:firstLine="0"/>
        <w:jc w:val="left"/>
        <w:rPr>
          <w:b/>
          <w:sz w:val="19"/>
        </w:rPr>
      </w:pPr>
      <w:r>
        <w:rPr/>
        <w:br w:type="column"/>
      </w:r>
      <w:r>
        <w:rPr>
          <w:b/>
          <w:w w:val="105"/>
          <w:sz w:val="19"/>
        </w:rPr>
        <w:t>2017/18</w:t>
      </w:r>
    </w:p>
    <w:p>
      <w:pPr>
        <w:spacing w:line="130" w:lineRule="exact"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before="90"/>
        <w:ind w:left="414" w:right="0" w:firstLine="0"/>
        <w:jc w:val="left"/>
        <w:rPr>
          <w:b/>
          <w:sz w:val="19"/>
        </w:rPr>
      </w:pPr>
      <w:r>
        <w:rPr/>
        <w:br w:type="column"/>
      </w:r>
      <w:r>
        <w:rPr>
          <w:b/>
          <w:w w:val="105"/>
          <w:sz w:val="19"/>
        </w:rPr>
        <w:t>2014/15</w:t>
      </w:r>
    </w:p>
    <w:p>
      <w:pPr>
        <w:spacing w:line="130" w:lineRule="exact" w:before="89"/>
        <w:ind w:left="375"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2015/16</w:t>
      </w:r>
    </w:p>
    <w:p>
      <w:pPr>
        <w:spacing w:line="130" w:lineRule="exact"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2016/17</w:t>
      </w:r>
    </w:p>
    <w:p>
      <w:pPr>
        <w:spacing w:line="130" w:lineRule="exact" w:before="89"/>
        <w:ind w:left="172" w:right="0" w:firstLine="0"/>
        <w:jc w:val="left"/>
        <w:rPr>
          <w:b/>
          <w:sz w:val="15"/>
        </w:rPr>
      </w:pPr>
      <w:r>
        <w:rPr>
          <w:b/>
          <w:color w:val="FFFFFF"/>
          <w:w w:val="100"/>
          <w:sz w:val="15"/>
          <w:shd w:fill="727D54" w:color="auto" w:val="clear"/>
        </w:rPr>
        <w:t> </w:t>
      </w:r>
      <w:r>
        <w:rPr>
          <w:b/>
          <w:color w:val="FFFFFF"/>
          <w:spacing w:val="4"/>
          <w:sz w:val="15"/>
          <w:shd w:fill="727D54" w:color="auto" w:val="clear"/>
        </w:rPr>
        <w:t> </w:t>
      </w:r>
      <w:r>
        <w:rPr>
          <w:b/>
          <w:color w:val="FFFFFF"/>
          <w:sz w:val="15"/>
          <w:shd w:fill="727D54" w:color="auto" w:val="clear"/>
        </w:rPr>
        <w:t>ACTUAL</w:t>
      </w:r>
      <w:r>
        <w:rPr>
          <w:b/>
          <w:color w:val="FFFFFF"/>
          <w:spacing w:val="14"/>
          <w:sz w:val="15"/>
          <w:shd w:fill="727D54" w:color="auto" w:val="clear"/>
        </w:rPr>
        <w:t> </w:t>
      </w:r>
    </w:p>
    <w:p>
      <w:pPr>
        <w:spacing w:before="90"/>
        <w:ind w:left="212" w:right="0" w:firstLine="0"/>
        <w:jc w:val="left"/>
        <w:rPr>
          <w:b/>
          <w:sz w:val="19"/>
        </w:rPr>
      </w:pPr>
      <w:r>
        <w:rPr/>
        <w:br w:type="column"/>
      </w:r>
      <w:r>
        <w:rPr>
          <w:b/>
          <w:w w:val="105"/>
          <w:sz w:val="19"/>
        </w:rPr>
        <w:t>2017/18</w:t>
      </w:r>
    </w:p>
    <w:p>
      <w:pPr>
        <w:spacing w:line="130" w:lineRule="exact" w:before="89"/>
        <w:ind w:left="172" w:right="0" w:firstLine="0"/>
        <w:jc w:val="left"/>
        <w:rPr>
          <w:b/>
          <w:sz w:val="15"/>
        </w:rPr>
      </w:pPr>
      <w:r>
        <w:rPr>
          <w:b/>
          <w:color w:val="FFFFFF"/>
          <w:w w:val="100"/>
          <w:sz w:val="15"/>
          <w:shd w:fill="8E5F8E" w:color="auto" w:val="clear"/>
        </w:rPr>
        <w:t> </w:t>
      </w:r>
      <w:r>
        <w:rPr>
          <w:b/>
          <w:color w:val="FFFFFF"/>
          <w:spacing w:val="11"/>
          <w:sz w:val="15"/>
          <w:shd w:fill="8E5F8E" w:color="auto" w:val="clear"/>
        </w:rPr>
        <w:t> </w:t>
      </w:r>
      <w:r>
        <w:rPr>
          <w:b/>
          <w:color w:val="FFFFFF"/>
          <w:sz w:val="15"/>
          <w:shd w:fill="8E5F8E" w:color="auto" w:val="clear"/>
        </w:rPr>
        <w:t>TARGET</w:t>
      </w:r>
      <w:r>
        <w:rPr>
          <w:b/>
          <w:color w:val="FFFFFF"/>
          <w:spacing w:val="-21"/>
          <w:sz w:val="15"/>
          <w:shd w:fill="8E5F8E" w:color="auto" w:val="clear"/>
        </w:rPr>
        <w:t> </w:t>
      </w:r>
    </w:p>
    <w:p>
      <w:pPr>
        <w:spacing w:before="90"/>
        <w:ind w:left="212" w:right="0" w:firstLine="0"/>
        <w:jc w:val="left"/>
        <w:rPr>
          <w:b/>
          <w:sz w:val="19"/>
        </w:rPr>
      </w:pPr>
      <w:r>
        <w:rPr/>
        <w:br w:type="column"/>
      </w:r>
      <w:r>
        <w:rPr>
          <w:b/>
          <w:w w:val="105"/>
          <w:sz w:val="19"/>
        </w:rPr>
        <w:t>2017/18</w:t>
      </w:r>
    </w:p>
    <w:p>
      <w:pPr>
        <w:spacing w:line="130" w:lineRule="exact" w:before="89"/>
        <w:ind w:left="172" w:right="0" w:firstLine="0"/>
        <w:jc w:val="left"/>
        <w:rPr>
          <w:b/>
          <w:sz w:val="15"/>
        </w:rPr>
      </w:pPr>
      <w:r>
        <w:rPr>
          <w:b/>
          <w:color w:val="FFFFFF"/>
          <w:w w:val="100"/>
          <w:sz w:val="15"/>
          <w:shd w:fill="5F4665" w:color="auto" w:val="clear"/>
        </w:rPr>
        <w:t> </w:t>
      </w:r>
      <w:r>
        <w:rPr>
          <w:b/>
          <w:color w:val="FFFFFF"/>
          <w:spacing w:val="4"/>
          <w:sz w:val="15"/>
          <w:shd w:fill="5F4665" w:color="auto" w:val="clear"/>
        </w:rPr>
        <w:t> </w:t>
      </w:r>
      <w:r>
        <w:rPr>
          <w:b/>
          <w:color w:val="FFFFFF"/>
          <w:sz w:val="15"/>
          <w:shd w:fill="5F4665" w:color="auto" w:val="clear"/>
        </w:rPr>
        <w:t>ACTUAL</w:t>
      </w:r>
      <w:r>
        <w:rPr>
          <w:b/>
          <w:color w:val="FFFFFF"/>
          <w:spacing w:val="14"/>
          <w:sz w:val="15"/>
          <w:shd w:fill="5F4665" w:color="auto" w:val="clear"/>
        </w:rPr>
        <w:t> </w:t>
      </w:r>
    </w:p>
    <w:p>
      <w:pPr>
        <w:spacing w:after="0" w:line="130" w:lineRule="exact"/>
        <w:jc w:val="left"/>
        <w:rPr>
          <w:sz w:val="15"/>
        </w:rPr>
        <w:sectPr>
          <w:type w:val="continuous"/>
          <w:pgSz w:w="16840" w:h="11910" w:orient="landscape"/>
          <w:pgMar w:top="1100" w:bottom="280" w:left="0" w:right="0"/>
          <w:cols w:num="11" w:equalWidth="0">
            <w:col w:w="5427" w:space="40"/>
            <w:col w:w="1342" w:space="39"/>
            <w:col w:w="967" w:space="40"/>
            <w:col w:w="967" w:space="39"/>
            <w:col w:w="967" w:space="39"/>
            <w:col w:w="967" w:space="40"/>
            <w:col w:w="1169" w:space="39"/>
            <w:col w:w="967" w:space="40"/>
            <w:col w:w="967" w:space="39"/>
            <w:col w:w="967" w:space="39"/>
            <w:col w:w="1739"/>
          </w:cols>
        </w:sectPr>
      </w:pPr>
    </w:p>
    <w:p>
      <w:pPr>
        <w:pStyle w:val="BodyText"/>
        <w:spacing w:line="249" w:lineRule="auto" w:before="6"/>
        <w:ind w:left="765"/>
      </w:pPr>
      <w:r>
        <w:rPr>
          <w:spacing w:val="-3"/>
        </w:rPr>
        <w:t>Projects </w:t>
      </w:r>
      <w:r>
        <w:rPr/>
        <w:t>to deliver major </w:t>
      </w:r>
      <w:r>
        <w:rPr>
          <w:spacing w:val="-3"/>
        </w:rPr>
        <w:t>projects </w:t>
      </w:r>
      <w:r>
        <w:rPr/>
        <w:t>for its </w:t>
      </w:r>
      <w:r>
        <w:rPr>
          <w:spacing w:val="-2"/>
        </w:rPr>
        <w:t>client </w:t>
      </w:r>
      <w:r>
        <w:rPr/>
        <w:t>agencies</w:t>
      </w:r>
      <w:r>
        <w:rPr>
          <w:spacing w:val="-25"/>
        </w:rPr>
        <w:t> </w:t>
      </w:r>
      <w:r>
        <w:rPr/>
        <w:t>within</w:t>
      </w:r>
      <w:r>
        <w:rPr>
          <w:spacing w:val="-25"/>
        </w:rPr>
        <w:t> </w:t>
      </w:r>
      <w:r>
        <w:rPr>
          <w:spacing w:val="-3"/>
        </w:rPr>
        <w:t>approved</w:t>
      </w:r>
      <w:r>
        <w:rPr>
          <w:spacing w:val="-25"/>
        </w:rPr>
        <w:t> </w:t>
      </w:r>
      <w:r>
        <w:rPr/>
        <w:t>budget</w:t>
      </w:r>
      <w:r>
        <w:rPr>
          <w:spacing w:val="-25"/>
        </w:rPr>
        <w:t> </w:t>
      </w:r>
      <w:r>
        <w:rPr/>
        <w:t>and</w:t>
      </w:r>
      <w:r>
        <w:rPr>
          <w:spacing w:val="-25"/>
        </w:rPr>
        <w:t> </w:t>
      </w:r>
      <w:r>
        <w:rPr/>
        <w:t>timeframe. Delivering significant </w:t>
      </w:r>
      <w:r>
        <w:rPr>
          <w:spacing w:val="-3"/>
        </w:rPr>
        <w:t>projects </w:t>
      </w:r>
      <w:r>
        <w:rPr/>
        <w:t>within </w:t>
      </w:r>
      <w:r>
        <w:rPr>
          <w:spacing w:val="-3"/>
        </w:rPr>
        <w:t>approved </w:t>
      </w:r>
      <w:r>
        <w:rPr/>
        <w:t>budget</w:t>
      </w:r>
      <w:r>
        <w:rPr>
          <w:spacing w:val="-29"/>
        </w:rPr>
        <w:t> </w:t>
      </w:r>
      <w:r>
        <w:rPr/>
        <w:t>and</w:t>
      </w:r>
      <w:r>
        <w:rPr>
          <w:spacing w:val="-29"/>
        </w:rPr>
        <w:t> </w:t>
      </w:r>
      <w:r>
        <w:rPr/>
        <w:t>timeframe</w:t>
      </w:r>
      <w:r>
        <w:rPr>
          <w:spacing w:val="-29"/>
        </w:rPr>
        <w:t> </w:t>
      </w:r>
      <w:r>
        <w:rPr/>
        <w:t>is</w:t>
      </w:r>
      <w:r>
        <w:rPr>
          <w:spacing w:val="-28"/>
        </w:rPr>
        <w:t> </w:t>
      </w:r>
      <w:r>
        <w:rPr/>
        <w:t>an</w:t>
      </w:r>
      <w:r>
        <w:rPr>
          <w:spacing w:val="-29"/>
        </w:rPr>
        <w:t> </w:t>
      </w:r>
      <w:r>
        <w:rPr/>
        <w:t>important</w:t>
      </w:r>
      <w:r>
        <w:rPr>
          <w:spacing w:val="-29"/>
        </w:rPr>
        <w:t> </w:t>
      </w:r>
      <w:r>
        <w:rPr>
          <w:spacing w:val="-3"/>
        </w:rPr>
        <w:t>requirement </w:t>
      </w:r>
      <w:r>
        <w:rPr/>
        <w:t>for client agencies and is a key contributor to </w:t>
      </w:r>
      <w:r>
        <w:rPr>
          <w:spacing w:val="-3"/>
        </w:rPr>
        <w:t>value-for-money</w:t>
      </w:r>
      <w:r>
        <w:rPr>
          <w:spacing w:val="-5"/>
        </w:rPr>
        <w:t> </w:t>
      </w:r>
      <w:r>
        <w:rPr/>
        <w:t>outcomes.</w:t>
      </w:r>
    </w:p>
    <w:p>
      <w:pPr>
        <w:pStyle w:val="BodyText"/>
        <w:spacing w:before="7"/>
        <w:rPr>
          <w:sz w:val="14"/>
        </w:rPr>
      </w:pPr>
      <w:r>
        <w:rPr/>
        <w:br w:type="column"/>
      </w:r>
      <w:r>
        <w:rPr>
          <w:sz w:val="14"/>
        </w:rPr>
      </w:r>
    </w:p>
    <w:p>
      <w:pPr>
        <w:pStyle w:val="ListParagraph"/>
        <w:numPr>
          <w:ilvl w:val="1"/>
          <w:numId w:val="31"/>
        </w:numPr>
        <w:tabs>
          <w:tab w:pos="702" w:val="left" w:leader="none"/>
        </w:tabs>
        <w:spacing w:line="240" w:lineRule="auto" w:before="0" w:after="0"/>
        <w:ind w:left="701" w:right="0" w:hanging="192"/>
        <w:jc w:val="left"/>
        <w:rPr>
          <w:sz w:val="15"/>
        </w:rPr>
      </w:pPr>
      <w:r>
        <w:rPr>
          <w:sz w:val="15"/>
        </w:rPr>
        <w:t>Significant</w:t>
      </w:r>
      <w:r>
        <w:rPr>
          <w:spacing w:val="-3"/>
          <w:sz w:val="15"/>
        </w:rPr>
        <w:t> </w:t>
      </w:r>
      <w:r>
        <w:rPr>
          <w:sz w:val="15"/>
        </w:rPr>
        <w:t>projects</w:t>
      </w:r>
      <w:r>
        <w:rPr>
          <w:spacing w:val="-3"/>
          <w:sz w:val="15"/>
        </w:rPr>
        <w:t> </w:t>
      </w:r>
      <w:r>
        <w:rPr>
          <w:sz w:val="15"/>
        </w:rPr>
        <w:t>are</w:t>
      </w:r>
      <w:r>
        <w:rPr>
          <w:spacing w:val="-3"/>
          <w:sz w:val="15"/>
        </w:rPr>
        <w:t> </w:t>
      </w:r>
      <w:r>
        <w:rPr>
          <w:sz w:val="15"/>
        </w:rPr>
        <w:t>those</w:t>
      </w:r>
      <w:r>
        <w:rPr>
          <w:spacing w:val="-3"/>
          <w:sz w:val="15"/>
        </w:rPr>
        <w:t> </w:t>
      </w:r>
      <w:r>
        <w:rPr>
          <w:sz w:val="15"/>
        </w:rPr>
        <w:t>defined</w:t>
      </w:r>
      <w:r>
        <w:rPr>
          <w:spacing w:val="-3"/>
          <w:sz w:val="15"/>
        </w:rPr>
        <w:t> </w:t>
      </w:r>
      <w:r>
        <w:rPr>
          <w:sz w:val="15"/>
        </w:rPr>
        <w:t>as</w:t>
      </w:r>
      <w:r>
        <w:rPr>
          <w:spacing w:val="-2"/>
          <w:sz w:val="15"/>
        </w:rPr>
        <w:t> </w:t>
      </w:r>
      <w:r>
        <w:rPr>
          <w:sz w:val="15"/>
        </w:rPr>
        <w:t>high</w:t>
      </w:r>
      <w:r>
        <w:rPr>
          <w:spacing w:val="-3"/>
          <w:sz w:val="15"/>
        </w:rPr>
        <w:t> </w:t>
      </w:r>
      <w:r>
        <w:rPr>
          <w:sz w:val="15"/>
        </w:rPr>
        <w:t>risk</w:t>
      </w:r>
      <w:r>
        <w:rPr>
          <w:spacing w:val="-3"/>
          <w:sz w:val="15"/>
        </w:rPr>
        <w:t> </w:t>
      </w:r>
      <w:r>
        <w:rPr>
          <w:sz w:val="15"/>
        </w:rPr>
        <w:t>infrastructure</w:t>
      </w:r>
      <w:r>
        <w:rPr>
          <w:spacing w:val="-3"/>
          <w:sz w:val="15"/>
        </w:rPr>
        <w:t> </w:t>
      </w:r>
      <w:r>
        <w:rPr>
          <w:sz w:val="15"/>
        </w:rPr>
        <w:t>projects</w:t>
      </w:r>
      <w:r>
        <w:rPr>
          <w:spacing w:val="-3"/>
          <w:sz w:val="15"/>
        </w:rPr>
        <w:t> </w:t>
      </w:r>
      <w:r>
        <w:rPr>
          <w:sz w:val="15"/>
        </w:rPr>
        <w:t>typically</w:t>
      </w:r>
      <w:r>
        <w:rPr>
          <w:spacing w:val="-3"/>
          <w:sz w:val="15"/>
        </w:rPr>
        <w:t> </w:t>
      </w:r>
      <w:r>
        <w:rPr>
          <w:sz w:val="15"/>
        </w:rPr>
        <w:t>in</w:t>
      </w:r>
      <w:r>
        <w:rPr>
          <w:spacing w:val="-2"/>
          <w:sz w:val="15"/>
        </w:rPr>
        <w:t> </w:t>
      </w:r>
      <w:r>
        <w:rPr>
          <w:sz w:val="15"/>
        </w:rPr>
        <w:t>excess</w:t>
      </w:r>
      <w:r>
        <w:rPr>
          <w:spacing w:val="-3"/>
          <w:sz w:val="15"/>
        </w:rPr>
        <w:t> </w:t>
      </w:r>
      <w:r>
        <w:rPr>
          <w:sz w:val="15"/>
        </w:rPr>
        <w:t>of</w:t>
      </w:r>
      <w:r>
        <w:rPr>
          <w:spacing w:val="-3"/>
          <w:sz w:val="15"/>
        </w:rPr>
        <w:t> </w:t>
      </w:r>
      <w:r>
        <w:rPr>
          <w:sz w:val="15"/>
        </w:rPr>
        <w:t>$100</w:t>
      </w:r>
      <w:r>
        <w:rPr>
          <w:spacing w:val="-3"/>
          <w:sz w:val="15"/>
        </w:rPr>
        <w:t> </w:t>
      </w:r>
      <w:r>
        <w:rPr>
          <w:sz w:val="15"/>
        </w:rPr>
        <w:t>million</w:t>
      </w:r>
      <w:r>
        <w:rPr>
          <w:spacing w:val="-3"/>
          <w:sz w:val="15"/>
        </w:rPr>
        <w:t> </w:t>
      </w:r>
      <w:r>
        <w:rPr>
          <w:sz w:val="15"/>
        </w:rPr>
        <w:t>in</w:t>
      </w:r>
      <w:r>
        <w:rPr>
          <w:spacing w:val="-3"/>
          <w:sz w:val="15"/>
        </w:rPr>
        <w:t> </w:t>
      </w:r>
      <w:r>
        <w:rPr>
          <w:sz w:val="15"/>
        </w:rPr>
        <w:t>value.</w:t>
      </w:r>
    </w:p>
    <w:p>
      <w:pPr>
        <w:pStyle w:val="ListParagraph"/>
        <w:numPr>
          <w:ilvl w:val="1"/>
          <w:numId w:val="31"/>
        </w:numPr>
        <w:tabs>
          <w:tab w:pos="710" w:val="left" w:leader="none"/>
        </w:tabs>
        <w:spacing w:line="278" w:lineRule="auto" w:before="27" w:after="0"/>
        <w:ind w:left="718" w:right="859" w:hanging="209"/>
        <w:jc w:val="left"/>
        <w:rPr>
          <w:sz w:val="15"/>
        </w:rPr>
      </w:pPr>
      <w:r>
        <w:rPr>
          <w:sz w:val="15"/>
        </w:rPr>
        <w:t>The</w:t>
      </w:r>
      <w:r>
        <w:rPr>
          <w:spacing w:val="-15"/>
          <w:sz w:val="15"/>
        </w:rPr>
        <w:t> </w:t>
      </w:r>
      <w:r>
        <w:rPr>
          <w:sz w:val="15"/>
        </w:rPr>
        <w:t>Strategic</w:t>
      </w:r>
      <w:r>
        <w:rPr>
          <w:spacing w:val="-14"/>
          <w:sz w:val="15"/>
        </w:rPr>
        <w:t> </w:t>
      </w:r>
      <w:r>
        <w:rPr>
          <w:sz w:val="15"/>
        </w:rPr>
        <w:t>Projects</w:t>
      </w:r>
      <w:r>
        <w:rPr>
          <w:spacing w:val="-14"/>
          <w:sz w:val="15"/>
        </w:rPr>
        <w:t> </w:t>
      </w:r>
      <w:r>
        <w:rPr>
          <w:sz w:val="15"/>
        </w:rPr>
        <w:t>function</w:t>
      </w:r>
      <w:r>
        <w:rPr>
          <w:spacing w:val="-14"/>
          <w:sz w:val="15"/>
        </w:rPr>
        <w:t> </w:t>
      </w:r>
      <w:r>
        <w:rPr>
          <w:sz w:val="15"/>
        </w:rPr>
        <w:t>transferred</w:t>
      </w:r>
      <w:r>
        <w:rPr>
          <w:spacing w:val="-14"/>
          <w:sz w:val="15"/>
        </w:rPr>
        <w:t> </w:t>
      </w:r>
      <w:r>
        <w:rPr>
          <w:sz w:val="15"/>
        </w:rPr>
        <w:t>from</w:t>
      </w:r>
      <w:r>
        <w:rPr>
          <w:spacing w:val="-14"/>
          <w:sz w:val="15"/>
        </w:rPr>
        <w:t> </w:t>
      </w:r>
      <w:r>
        <w:rPr>
          <w:sz w:val="15"/>
        </w:rPr>
        <w:t>the</w:t>
      </w:r>
      <w:r>
        <w:rPr>
          <w:spacing w:val="-14"/>
          <w:sz w:val="15"/>
        </w:rPr>
        <w:t> </w:t>
      </w:r>
      <w:r>
        <w:rPr>
          <w:sz w:val="15"/>
        </w:rPr>
        <w:t>Department</w:t>
      </w:r>
      <w:r>
        <w:rPr>
          <w:spacing w:val="-14"/>
          <w:sz w:val="15"/>
        </w:rPr>
        <w:t> </w:t>
      </w:r>
      <w:r>
        <w:rPr>
          <w:sz w:val="15"/>
        </w:rPr>
        <w:t>of</w:t>
      </w:r>
      <w:r>
        <w:rPr>
          <w:spacing w:val="-14"/>
          <w:sz w:val="15"/>
        </w:rPr>
        <w:t> </w:t>
      </w:r>
      <w:r>
        <w:rPr>
          <w:spacing w:val="-3"/>
          <w:sz w:val="15"/>
        </w:rPr>
        <w:t>Treasury</w:t>
      </w:r>
      <w:r>
        <w:rPr>
          <w:spacing w:val="-14"/>
          <w:sz w:val="15"/>
        </w:rPr>
        <w:t> </w:t>
      </w:r>
      <w:r>
        <w:rPr>
          <w:sz w:val="15"/>
        </w:rPr>
        <w:t>to</w:t>
      </w:r>
      <w:r>
        <w:rPr>
          <w:spacing w:val="-14"/>
          <w:sz w:val="15"/>
        </w:rPr>
        <w:t> </w:t>
      </w:r>
      <w:r>
        <w:rPr>
          <w:sz w:val="15"/>
        </w:rPr>
        <w:t>Finance</w:t>
      </w:r>
      <w:r>
        <w:rPr>
          <w:spacing w:val="-14"/>
          <w:sz w:val="15"/>
        </w:rPr>
        <w:t> </w:t>
      </w:r>
      <w:r>
        <w:rPr>
          <w:sz w:val="15"/>
        </w:rPr>
        <w:t>on</w:t>
      </w:r>
      <w:r>
        <w:rPr>
          <w:spacing w:val="-14"/>
          <w:sz w:val="15"/>
        </w:rPr>
        <w:t> </w:t>
      </w:r>
      <w:r>
        <w:rPr>
          <w:sz w:val="15"/>
        </w:rPr>
        <w:t>1</w:t>
      </w:r>
      <w:r>
        <w:rPr>
          <w:spacing w:val="-15"/>
          <w:sz w:val="15"/>
        </w:rPr>
        <w:t> </w:t>
      </w:r>
      <w:r>
        <w:rPr>
          <w:sz w:val="15"/>
        </w:rPr>
        <w:t>July</w:t>
      </w:r>
      <w:r>
        <w:rPr>
          <w:spacing w:val="-14"/>
          <w:sz w:val="15"/>
        </w:rPr>
        <w:t> </w:t>
      </w:r>
      <w:r>
        <w:rPr>
          <w:sz w:val="15"/>
        </w:rPr>
        <w:t>2017</w:t>
      </w:r>
      <w:r>
        <w:rPr>
          <w:spacing w:val="-14"/>
          <w:sz w:val="15"/>
        </w:rPr>
        <w:t> </w:t>
      </w:r>
      <w:r>
        <w:rPr>
          <w:sz w:val="15"/>
        </w:rPr>
        <w:t>as</w:t>
      </w:r>
      <w:r>
        <w:rPr>
          <w:spacing w:val="-14"/>
          <w:sz w:val="15"/>
        </w:rPr>
        <w:t> </w:t>
      </w:r>
      <w:r>
        <w:rPr>
          <w:sz w:val="15"/>
        </w:rPr>
        <w:t>a</w:t>
      </w:r>
      <w:r>
        <w:rPr>
          <w:spacing w:val="-14"/>
          <w:sz w:val="15"/>
        </w:rPr>
        <w:t> </w:t>
      </w:r>
      <w:r>
        <w:rPr>
          <w:sz w:val="15"/>
        </w:rPr>
        <w:t>result</w:t>
      </w:r>
      <w:r>
        <w:rPr>
          <w:spacing w:val="-14"/>
          <w:sz w:val="15"/>
        </w:rPr>
        <w:t> </w:t>
      </w:r>
      <w:r>
        <w:rPr>
          <w:sz w:val="15"/>
        </w:rPr>
        <w:t>of</w:t>
      </w:r>
      <w:r>
        <w:rPr>
          <w:spacing w:val="-14"/>
          <w:sz w:val="15"/>
        </w:rPr>
        <w:t> </w:t>
      </w:r>
      <w:r>
        <w:rPr>
          <w:sz w:val="15"/>
        </w:rPr>
        <w:t>Machinery</w:t>
      </w:r>
      <w:r>
        <w:rPr>
          <w:spacing w:val="-14"/>
          <w:sz w:val="15"/>
        </w:rPr>
        <w:t> </w:t>
      </w:r>
      <w:r>
        <w:rPr>
          <w:sz w:val="15"/>
        </w:rPr>
        <w:t>of</w:t>
      </w:r>
      <w:r>
        <w:rPr>
          <w:spacing w:val="-14"/>
          <w:sz w:val="15"/>
        </w:rPr>
        <w:t> </w:t>
      </w:r>
      <w:r>
        <w:rPr>
          <w:sz w:val="15"/>
        </w:rPr>
        <w:t>Government</w:t>
      </w:r>
      <w:r>
        <w:rPr>
          <w:spacing w:val="-14"/>
          <w:sz w:val="15"/>
        </w:rPr>
        <w:t> </w:t>
      </w:r>
      <w:r>
        <w:rPr>
          <w:sz w:val="15"/>
        </w:rPr>
        <w:t>changes. Prior year results were previously disclosed in the annual report of</w:t>
      </w:r>
      <w:r>
        <w:rPr>
          <w:spacing w:val="-18"/>
          <w:sz w:val="15"/>
        </w:rPr>
        <w:t> </w:t>
      </w:r>
      <w:r>
        <w:rPr>
          <w:spacing w:val="-4"/>
          <w:sz w:val="15"/>
        </w:rPr>
        <w:t>Treasury.</w:t>
      </w:r>
    </w:p>
    <w:p>
      <w:pPr>
        <w:pStyle w:val="BodyText"/>
        <w:spacing w:before="9"/>
      </w:pPr>
    </w:p>
    <w:p>
      <w:pPr>
        <w:pStyle w:val="BodyText"/>
        <w:spacing w:line="249" w:lineRule="auto"/>
        <w:ind w:left="767" w:right="800" w:hanging="258"/>
      </w:pPr>
      <w:r>
        <w:rPr/>
        <w:t>1. Five of the 10 major projects overseen by Strategic Projects that were active during 2017-18 have been,</w:t>
      </w:r>
      <w:r>
        <w:rPr>
          <w:spacing w:val="-21"/>
        </w:rPr>
        <w:t> </w:t>
      </w:r>
      <w:r>
        <w:rPr/>
        <w:t>or</w:t>
      </w:r>
      <w:r>
        <w:rPr>
          <w:spacing w:val="-20"/>
        </w:rPr>
        <w:t> </w:t>
      </w:r>
      <w:r>
        <w:rPr/>
        <w:t>are</w:t>
      </w:r>
      <w:r>
        <w:rPr>
          <w:spacing w:val="-21"/>
        </w:rPr>
        <w:t> </w:t>
      </w:r>
      <w:r>
        <w:rPr/>
        <w:t>expected</w:t>
      </w:r>
      <w:r>
        <w:rPr>
          <w:spacing w:val="-20"/>
        </w:rPr>
        <w:t> </w:t>
      </w:r>
      <w:r>
        <w:rPr/>
        <w:t>to</w:t>
      </w:r>
      <w:r>
        <w:rPr>
          <w:spacing w:val="-20"/>
        </w:rPr>
        <w:t> </w:t>
      </w:r>
      <w:r>
        <w:rPr/>
        <w:t>be,</w:t>
      </w:r>
      <w:r>
        <w:rPr>
          <w:spacing w:val="-21"/>
        </w:rPr>
        <w:t> </w:t>
      </w:r>
      <w:r>
        <w:rPr/>
        <w:t>completed</w:t>
      </w:r>
      <w:r>
        <w:rPr>
          <w:spacing w:val="-20"/>
        </w:rPr>
        <w:t> </w:t>
      </w:r>
      <w:r>
        <w:rPr/>
        <w:t>within</w:t>
      </w:r>
      <w:r>
        <w:rPr>
          <w:spacing w:val="-20"/>
        </w:rPr>
        <w:t> </w:t>
      </w:r>
      <w:r>
        <w:rPr/>
        <w:t>approved</w:t>
      </w:r>
      <w:r>
        <w:rPr>
          <w:spacing w:val="-21"/>
        </w:rPr>
        <w:t> </w:t>
      </w:r>
      <w:r>
        <w:rPr/>
        <w:t>timeframes:</w:t>
      </w:r>
      <w:r>
        <w:rPr>
          <w:spacing w:val="-20"/>
        </w:rPr>
        <w:t> </w:t>
      </w:r>
      <w:r>
        <w:rPr/>
        <w:t>Optus</w:t>
      </w:r>
      <w:r>
        <w:rPr>
          <w:spacing w:val="-20"/>
        </w:rPr>
        <w:t> </w:t>
      </w:r>
      <w:r>
        <w:rPr/>
        <w:t>Stadium,</w:t>
      </w:r>
      <w:r>
        <w:rPr>
          <w:spacing w:val="-21"/>
        </w:rPr>
        <w:t> </w:t>
      </w:r>
      <w:r>
        <w:rPr/>
        <w:t>Western</w:t>
      </w:r>
      <w:r>
        <w:rPr>
          <w:spacing w:val="-20"/>
        </w:rPr>
        <w:t> </w:t>
      </w:r>
      <w:r>
        <w:rPr/>
        <w:t>Australia Schools</w:t>
      </w:r>
      <w:r>
        <w:rPr>
          <w:spacing w:val="-27"/>
        </w:rPr>
        <w:t> </w:t>
      </w:r>
      <w:r>
        <w:rPr/>
        <w:t>Public</w:t>
      </w:r>
      <w:r>
        <w:rPr>
          <w:spacing w:val="-27"/>
        </w:rPr>
        <w:t> </w:t>
      </w:r>
      <w:r>
        <w:rPr/>
        <w:t>Private</w:t>
      </w:r>
      <w:r>
        <w:rPr>
          <w:spacing w:val="-27"/>
        </w:rPr>
        <w:t> </w:t>
      </w:r>
      <w:r>
        <w:rPr/>
        <w:t>Partnership,</w:t>
      </w:r>
      <w:r>
        <w:rPr>
          <w:spacing w:val="-26"/>
        </w:rPr>
        <w:t> </w:t>
      </w:r>
      <w:r>
        <w:rPr/>
        <w:t>New</w:t>
      </w:r>
      <w:r>
        <w:rPr>
          <w:spacing w:val="-27"/>
        </w:rPr>
        <w:t> </w:t>
      </w:r>
      <w:r>
        <w:rPr/>
        <w:t>Western</w:t>
      </w:r>
      <w:r>
        <w:rPr>
          <w:spacing w:val="-27"/>
        </w:rPr>
        <w:t> </w:t>
      </w:r>
      <w:r>
        <w:rPr/>
        <w:t>Australian</w:t>
      </w:r>
      <w:r>
        <w:rPr>
          <w:spacing w:val="-27"/>
        </w:rPr>
        <w:t> </w:t>
      </w:r>
      <w:r>
        <w:rPr/>
        <w:t>Museum,</w:t>
      </w:r>
      <w:r>
        <w:rPr>
          <w:spacing w:val="-26"/>
        </w:rPr>
        <w:t> </w:t>
      </w:r>
      <w:r>
        <w:rPr/>
        <w:t>Inner</w:t>
      </w:r>
      <w:r>
        <w:rPr>
          <w:spacing w:val="-27"/>
        </w:rPr>
        <w:t> </w:t>
      </w:r>
      <w:r>
        <w:rPr/>
        <w:t>City</w:t>
      </w:r>
      <w:r>
        <w:rPr>
          <w:spacing w:val="-27"/>
        </w:rPr>
        <w:t> </w:t>
      </w:r>
      <w:r>
        <w:rPr/>
        <w:t>College,</w:t>
      </w:r>
      <w:r>
        <w:rPr>
          <w:spacing w:val="-26"/>
        </w:rPr>
        <w:t> </w:t>
      </w:r>
      <w:r>
        <w:rPr/>
        <w:t>and</w:t>
      </w:r>
      <w:r>
        <w:rPr>
          <w:spacing w:val="-27"/>
        </w:rPr>
        <w:t> </w:t>
      </w:r>
      <w:r>
        <w:rPr/>
        <w:t>the</w:t>
      </w:r>
      <w:r>
        <w:rPr>
          <w:spacing w:val="-27"/>
        </w:rPr>
        <w:t> </w:t>
      </w:r>
      <w:r>
        <w:rPr/>
        <w:t>fit-out of</w:t>
      </w:r>
      <w:r>
        <w:rPr>
          <w:spacing w:val="-6"/>
        </w:rPr>
        <w:t> </w:t>
      </w:r>
      <w:r>
        <w:rPr/>
        <w:t>a</w:t>
      </w:r>
      <w:r>
        <w:rPr>
          <w:spacing w:val="-5"/>
        </w:rPr>
        <w:t> </w:t>
      </w:r>
      <w:r>
        <w:rPr/>
        <w:t>Bio-Resources</w:t>
      </w:r>
      <w:r>
        <w:rPr>
          <w:spacing w:val="-5"/>
        </w:rPr>
        <w:t> </w:t>
      </w:r>
      <w:r>
        <w:rPr/>
        <w:t>Laboratory</w:t>
      </w:r>
      <w:r>
        <w:rPr>
          <w:spacing w:val="-5"/>
        </w:rPr>
        <w:t> </w:t>
      </w:r>
      <w:r>
        <w:rPr/>
        <w:t>at</w:t>
      </w:r>
      <w:r>
        <w:rPr>
          <w:spacing w:val="-5"/>
        </w:rPr>
        <w:t> </w:t>
      </w:r>
      <w:r>
        <w:rPr/>
        <w:t>the</w:t>
      </w:r>
      <w:r>
        <w:rPr>
          <w:spacing w:val="-6"/>
        </w:rPr>
        <w:t> </w:t>
      </w:r>
      <w:r>
        <w:rPr/>
        <w:t>Sarich</w:t>
      </w:r>
      <w:r>
        <w:rPr>
          <w:spacing w:val="-5"/>
        </w:rPr>
        <w:t> </w:t>
      </w:r>
      <w:r>
        <w:rPr/>
        <w:t>Neuroscience</w:t>
      </w:r>
      <w:r>
        <w:rPr>
          <w:spacing w:val="-5"/>
        </w:rPr>
        <w:t> </w:t>
      </w:r>
      <w:r>
        <w:rPr/>
        <w:t>Research</w:t>
      </w:r>
      <w:r>
        <w:rPr>
          <w:spacing w:val="-5"/>
        </w:rPr>
        <w:t> </w:t>
      </w:r>
      <w:r>
        <w:rPr/>
        <w:t>Institute.</w:t>
      </w:r>
    </w:p>
    <w:p>
      <w:pPr>
        <w:pStyle w:val="BodyText"/>
        <w:spacing w:before="4"/>
        <w:ind w:left="767"/>
      </w:pPr>
      <w:r>
        <w:rPr/>
        <w:t>The remaining five projects have been subject to delays, as follows:</w:t>
      </w:r>
    </w:p>
    <w:p>
      <w:pPr>
        <w:pStyle w:val="BodyText"/>
        <w:spacing w:line="249" w:lineRule="auto" w:before="11"/>
        <w:ind w:left="1089" w:right="803" w:hanging="326"/>
      </w:pPr>
      <w:r>
        <w:rPr>
          <w:position w:val="-1"/>
        </w:rPr>
        <w:drawing>
          <wp:inline distT="0" distB="0" distL="0" distR="0">
            <wp:extent cx="125999" cy="125997"/>
            <wp:effectExtent l="0" t="0" r="0" b="0"/>
            <wp:docPr id="99" name="image104.png" descr=""/>
            <wp:cNvGraphicFramePr>
              <a:graphicFrameLocks noChangeAspect="1"/>
            </wp:cNvGraphicFramePr>
            <a:graphic>
              <a:graphicData uri="http://schemas.openxmlformats.org/drawingml/2006/picture">
                <pic:pic>
                  <pic:nvPicPr>
                    <pic:cNvPr id="100" name="image104.png"/>
                    <pic:cNvPicPr/>
                  </pic:nvPicPr>
                  <pic:blipFill>
                    <a:blip r:embed="rId215" cstate="print"/>
                    <a:stretch>
                      <a:fillRect/>
                    </a:stretch>
                  </pic:blipFill>
                  <pic:spPr>
                    <a:xfrm>
                      <a:off x="0" y="0"/>
                      <a:ext cx="125999" cy="125997"/>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24"/>
          <w:sz w:val="20"/>
        </w:rPr>
        <w:t> </w:t>
      </w:r>
      <w:r>
        <w:rPr/>
        <w:t>Perth</w:t>
      </w:r>
      <w:r>
        <w:rPr>
          <w:spacing w:val="-25"/>
        </w:rPr>
        <w:t> </w:t>
      </w:r>
      <w:r>
        <w:rPr>
          <w:spacing w:val="-3"/>
        </w:rPr>
        <w:t>Children’s</w:t>
      </w:r>
      <w:r>
        <w:rPr>
          <w:spacing w:val="-25"/>
        </w:rPr>
        <w:t> </w:t>
      </w:r>
      <w:r>
        <w:rPr/>
        <w:t>Hospital</w:t>
      </w:r>
      <w:r>
        <w:rPr>
          <w:spacing w:val="-25"/>
        </w:rPr>
        <w:t> </w:t>
      </w:r>
      <w:r>
        <w:rPr/>
        <w:t>was</w:t>
      </w:r>
      <w:r>
        <w:rPr>
          <w:spacing w:val="-25"/>
        </w:rPr>
        <w:t> </w:t>
      </w:r>
      <w:r>
        <w:rPr/>
        <w:t>significantly</w:t>
      </w:r>
      <w:r>
        <w:rPr>
          <w:spacing w:val="-25"/>
        </w:rPr>
        <w:t> </w:t>
      </w:r>
      <w:r>
        <w:rPr/>
        <w:t>delayed</w:t>
      </w:r>
      <w:r>
        <w:rPr>
          <w:spacing w:val="-25"/>
        </w:rPr>
        <w:t> </w:t>
      </w:r>
      <w:r>
        <w:rPr/>
        <w:t>by</w:t>
      </w:r>
      <w:r>
        <w:rPr>
          <w:spacing w:val="-25"/>
        </w:rPr>
        <w:t> </w:t>
      </w:r>
      <w:r>
        <w:rPr/>
        <w:t>construction</w:t>
      </w:r>
      <w:r>
        <w:rPr>
          <w:spacing w:val="-25"/>
        </w:rPr>
        <w:t> </w:t>
      </w:r>
      <w:r>
        <w:rPr/>
        <w:t>and</w:t>
      </w:r>
      <w:r>
        <w:rPr>
          <w:spacing w:val="-25"/>
        </w:rPr>
        <w:t> </w:t>
      </w:r>
      <w:r>
        <w:rPr/>
        <w:t>commissioning</w:t>
      </w:r>
      <w:r>
        <w:rPr>
          <w:spacing w:val="-25"/>
        </w:rPr>
        <w:t> </w:t>
      </w:r>
      <w:r>
        <w:rPr/>
        <w:t>issues</w:t>
      </w:r>
      <w:r>
        <w:rPr>
          <w:spacing w:val="-25"/>
        </w:rPr>
        <w:t> </w:t>
      </w:r>
      <w:r>
        <w:rPr>
          <w:spacing w:val="-4"/>
        </w:rPr>
        <w:t>before </w:t>
      </w:r>
      <w:r>
        <w:rPr/>
        <w:t>its commencement of clinical services in May</w:t>
      </w:r>
      <w:r>
        <w:rPr>
          <w:spacing w:val="-12"/>
        </w:rPr>
        <w:t> </w:t>
      </w:r>
      <w:r>
        <w:rPr/>
        <w:t>2018;</w:t>
      </w:r>
    </w:p>
    <w:p>
      <w:pPr>
        <w:pStyle w:val="BodyText"/>
        <w:spacing w:line="249" w:lineRule="auto" w:before="2"/>
        <w:ind w:left="1089" w:right="1135" w:hanging="326"/>
      </w:pPr>
      <w:r>
        <w:rPr>
          <w:position w:val="-1"/>
        </w:rPr>
        <w:drawing>
          <wp:inline distT="0" distB="0" distL="0" distR="0">
            <wp:extent cx="125999" cy="125999"/>
            <wp:effectExtent l="0" t="0" r="0" b="0"/>
            <wp:docPr id="101" name="image62.png" descr=""/>
            <wp:cNvGraphicFramePr>
              <a:graphicFrameLocks noChangeAspect="1"/>
            </wp:cNvGraphicFramePr>
            <a:graphic>
              <a:graphicData uri="http://schemas.openxmlformats.org/drawingml/2006/picture">
                <pic:pic>
                  <pic:nvPicPr>
                    <pic:cNvPr id="102" name="image62.png"/>
                    <pic:cNvPicPr/>
                  </pic:nvPicPr>
                  <pic:blipFill>
                    <a:blip r:embed="rId90"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24"/>
          <w:sz w:val="20"/>
        </w:rPr>
        <w:t> </w:t>
      </w:r>
      <w:r>
        <w:rPr/>
        <w:t>Eastern</w:t>
      </w:r>
      <w:r>
        <w:rPr>
          <w:spacing w:val="-30"/>
        </w:rPr>
        <w:t> </w:t>
      </w:r>
      <w:r>
        <w:rPr/>
        <w:t>Goldfields</w:t>
      </w:r>
      <w:r>
        <w:rPr>
          <w:spacing w:val="-29"/>
        </w:rPr>
        <w:t> </w:t>
      </w:r>
      <w:r>
        <w:rPr/>
        <w:t>Regional</w:t>
      </w:r>
      <w:r>
        <w:rPr>
          <w:spacing w:val="-30"/>
        </w:rPr>
        <w:t> </w:t>
      </w:r>
      <w:r>
        <w:rPr/>
        <w:t>Prison</w:t>
      </w:r>
      <w:r>
        <w:rPr>
          <w:spacing w:val="-29"/>
        </w:rPr>
        <w:t> </w:t>
      </w:r>
      <w:r>
        <w:rPr/>
        <w:t>and</w:t>
      </w:r>
      <w:r>
        <w:rPr>
          <w:spacing w:val="-30"/>
        </w:rPr>
        <w:t> </w:t>
      </w:r>
      <w:r>
        <w:rPr/>
        <w:t>Busselton</w:t>
      </w:r>
      <w:r>
        <w:rPr>
          <w:spacing w:val="-29"/>
        </w:rPr>
        <w:t> </w:t>
      </w:r>
      <w:r>
        <w:rPr/>
        <w:t>Health</w:t>
      </w:r>
      <w:r>
        <w:rPr>
          <w:spacing w:val="-29"/>
        </w:rPr>
        <w:t> </w:t>
      </w:r>
      <w:r>
        <w:rPr/>
        <w:t>Campus</w:t>
      </w:r>
      <w:r>
        <w:rPr>
          <w:spacing w:val="-30"/>
        </w:rPr>
        <w:t> </w:t>
      </w:r>
      <w:r>
        <w:rPr/>
        <w:t>also</w:t>
      </w:r>
      <w:r>
        <w:rPr>
          <w:spacing w:val="-29"/>
        </w:rPr>
        <w:t> </w:t>
      </w:r>
      <w:r>
        <w:rPr/>
        <w:t>experienced</w:t>
      </w:r>
      <w:r>
        <w:rPr>
          <w:spacing w:val="-30"/>
        </w:rPr>
        <w:t> </w:t>
      </w:r>
      <w:r>
        <w:rPr>
          <w:spacing w:val="-2"/>
        </w:rPr>
        <w:t>construction </w:t>
      </w:r>
      <w:r>
        <w:rPr/>
        <w:t>and commissioning delays, however are now fully</w:t>
      </w:r>
      <w:r>
        <w:rPr>
          <w:spacing w:val="-24"/>
        </w:rPr>
        <w:t> </w:t>
      </w:r>
      <w:r>
        <w:rPr/>
        <w:t>operational;</w:t>
      </w:r>
    </w:p>
    <w:p>
      <w:pPr>
        <w:pStyle w:val="BodyText"/>
        <w:spacing w:line="249" w:lineRule="auto" w:before="2"/>
        <w:ind w:left="1089" w:right="1376" w:hanging="326"/>
      </w:pPr>
      <w:r>
        <w:rPr>
          <w:position w:val="-1"/>
        </w:rPr>
        <w:drawing>
          <wp:inline distT="0" distB="0" distL="0" distR="0">
            <wp:extent cx="125999" cy="125997"/>
            <wp:effectExtent l="0" t="0" r="0" b="0"/>
            <wp:docPr id="103" name="image104.png" descr=""/>
            <wp:cNvGraphicFramePr>
              <a:graphicFrameLocks noChangeAspect="1"/>
            </wp:cNvGraphicFramePr>
            <a:graphic>
              <a:graphicData uri="http://schemas.openxmlformats.org/drawingml/2006/picture">
                <pic:pic>
                  <pic:nvPicPr>
                    <pic:cNvPr id="104" name="image104.png"/>
                    <pic:cNvPicPr/>
                  </pic:nvPicPr>
                  <pic:blipFill>
                    <a:blip r:embed="rId215"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24"/>
          <w:sz w:val="20"/>
        </w:rPr>
        <w:t> </w:t>
      </w:r>
      <w:r>
        <w:rPr/>
        <w:t>The</w:t>
      </w:r>
      <w:r>
        <w:rPr>
          <w:spacing w:val="-21"/>
        </w:rPr>
        <w:t> </w:t>
      </w:r>
      <w:r>
        <w:rPr/>
        <w:t>procurement</w:t>
      </w:r>
      <w:r>
        <w:rPr>
          <w:spacing w:val="-20"/>
        </w:rPr>
        <w:t> </w:t>
      </w:r>
      <w:r>
        <w:rPr/>
        <w:t>process</w:t>
      </w:r>
      <w:r>
        <w:rPr>
          <w:spacing w:val="-20"/>
        </w:rPr>
        <w:t> </w:t>
      </w:r>
      <w:r>
        <w:rPr/>
        <w:t>for</w:t>
      </w:r>
      <w:r>
        <w:rPr>
          <w:spacing w:val="-20"/>
        </w:rPr>
        <w:t> </w:t>
      </w:r>
      <w:r>
        <w:rPr/>
        <w:t>Karratha</w:t>
      </w:r>
      <w:r>
        <w:rPr>
          <w:spacing w:val="-21"/>
        </w:rPr>
        <w:t> </w:t>
      </w:r>
      <w:r>
        <w:rPr/>
        <w:t>Health</w:t>
      </w:r>
      <w:r>
        <w:rPr>
          <w:spacing w:val="-20"/>
        </w:rPr>
        <w:t> </w:t>
      </w:r>
      <w:r>
        <w:rPr/>
        <w:t>Campus</w:t>
      </w:r>
      <w:r>
        <w:rPr>
          <w:spacing w:val="-20"/>
        </w:rPr>
        <w:t> </w:t>
      </w:r>
      <w:r>
        <w:rPr/>
        <w:t>was</w:t>
      </w:r>
      <w:r>
        <w:rPr>
          <w:spacing w:val="-20"/>
        </w:rPr>
        <w:t> </w:t>
      </w:r>
      <w:r>
        <w:rPr/>
        <w:t>delayed</w:t>
      </w:r>
      <w:r>
        <w:rPr>
          <w:spacing w:val="-20"/>
        </w:rPr>
        <w:t> </w:t>
      </w:r>
      <w:r>
        <w:rPr/>
        <w:t>to</w:t>
      </w:r>
      <w:r>
        <w:rPr>
          <w:spacing w:val="-21"/>
        </w:rPr>
        <w:t> </w:t>
      </w:r>
      <w:r>
        <w:rPr/>
        <w:t>ensure</w:t>
      </w:r>
      <w:r>
        <w:rPr>
          <w:spacing w:val="-20"/>
        </w:rPr>
        <w:t> </w:t>
      </w:r>
      <w:r>
        <w:rPr/>
        <w:t>the</w:t>
      </w:r>
      <w:r>
        <w:rPr>
          <w:spacing w:val="-20"/>
        </w:rPr>
        <w:t> </w:t>
      </w:r>
      <w:r>
        <w:rPr/>
        <w:t>transition</w:t>
      </w:r>
      <w:r>
        <w:rPr>
          <w:spacing w:val="-20"/>
        </w:rPr>
        <w:t> </w:t>
      </w:r>
      <w:r>
        <w:rPr>
          <w:spacing w:val="-8"/>
        </w:rPr>
        <w:t>to </w:t>
      </w:r>
      <w:r>
        <w:rPr/>
        <w:t>operations occurred after the 2017-18 wet</w:t>
      </w:r>
      <w:r>
        <w:rPr>
          <w:spacing w:val="-8"/>
        </w:rPr>
        <w:t> </w:t>
      </w:r>
      <w:r>
        <w:rPr/>
        <w:t>season;</w:t>
      </w:r>
    </w:p>
    <w:p>
      <w:pPr>
        <w:pStyle w:val="BodyText"/>
        <w:spacing w:line="249" w:lineRule="auto" w:before="1"/>
        <w:ind w:left="1089" w:right="1529" w:hanging="326"/>
      </w:pPr>
      <w:r>
        <w:rPr>
          <w:position w:val="-2"/>
        </w:rPr>
        <w:drawing>
          <wp:inline distT="0" distB="0" distL="0" distR="0">
            <wp:extent cx="125999" cy="125999"/>
            <wp:effectExtent l="0" t="0" r="0" b="0"/>
            <wp:docPr id="105" name="image105.png" descr=""/>
            <wp:cNvGraphicFramePr>
              <a:graphicFrameLocks noChangeAspect="1"/>
            </wp:cNvGraphicFramePr>
            <a:graphic>
              <a:graphicData uri="http://schemas.openxmlformats.org/drawingml/2006/picture">
                <pic:pic>
                  <pic:nvPicPr>
                    <pic:cNvPr id="106" name="image105.png"/>
                    <pic:cNvPicPr/>
                  </pic:nvPicPr>
                  <pic:blipFill>
                    <a:blip r:embed="rId216"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24"/>
          <w:sz w:val="20"/>
        </w:rPr>
        <w:t> </w:t>
      </w:r>
      <w:r>
        <w:rPr/>
        <w:t>The</w:t>
      </w:r>
      <w:r>
        <w:rPr>
          <w:spacing w:val="-28"/>
        </w:rPr>
        <w:t> </w:t>
      </w:r>
      <w:r>
        <w:rPr/>
        <w:t>Casuarina</w:t>
      </w:r>
      <w:r>
        <w:rPr>
          <w:spacing w:val="-27"/>
        </w:rPr>
        <w:t> </w:t>
      </w:r>
      <w:r>
        <w:rPr/>
        <w:t>Prison</w:t>
      </w:r>
      <w:r>
        <w:rPr>
          <w:spacing w:val="-28"/>
        </w:rPr>
        <w:t> </w:t>
      </w:r>
      <w:r>
        <w:rPr/>
        <w:t>Expansion</w:t>
      </w:r>
      <w:r>
        <w:rPr>
          <w:spacing w:val="-27"/>
        </w:rPr>
        <w:t> </w:t>
      </w:r>
      <w:r>
        <w:rPr/>
        <w:t>is</w:t>
      </w:r>
      <w:r>
        <w:rPr>
          <w:spacing w:val="-27"/>
        </w:rPr>
        <w:t> </w:t>
      </w:r>
      <w:r>
        <w:rPr/>
        <w:t>currently</w:t>
      </w:r>
      <w:r>
        <w:rPr>
          <w:spacing w:val="-28"/>
        </w:rPr>
        <w:t> </w:t>
      </w:r>
      <w:r>
        <w:rPr/>
        <w:t>indicating</w:t>
      </w:r>
      <w:r>
        <w:rPr>
          <w:spacing w:val="-27"/>
        </w:rPr>
        <w:t> </w:t>
      </w:r>
      <w:r>
        <w:rPr/>
        <w:t>a</w:t>
      </w:r>
      <w:r>
        <w:rPr>
          <w:spacing w:val="-27"/>
        </w:rPr>
        <w:t> </w:t>
      </w:r>
      <w:r>
        <w:rPr/>
        <w:t>delay</w:t>
      </w:r>
      <w:r>
        <w:rPr>
          <w:spacing w:val="-28"/>
        </w:rPr>
        <w:t> </w:t>
      </w:r>
      <w:r>
        <w:rPr/>
        <w:t>however</w:t>
      </w:r>
      <w:r>
        <w:rPr>
          <w:spacing w:val="-27"/>
        </w:rPr>
        <w:t> </w:t>
      </w:r>
      <w:r>
        <w:rPr/>
        <w:t>the</w:t>
      </w:r>
      <w:r>
        <w:rPr>
          <w:spacing w:val="-28"/>
        </w:rPr>
        <w:t> </w:t>
      </w:r>
      <w:r>
        <w:rPr/>
        <w:t>timeframe</w:t>
      </w:r>
      <w:r>
        <w:rPr>
          <w:spacing w:val="-27"/>
        </w:rPr>
        <w:t> </w:t>
      </w:r>
      <w:r>
        <w:rPr/>
        <w:t>will</w:t>
      </w:r>
      <w:r>
        <w:rPr>
          <w:spacing w:val="-27"/>
        </w:rPr>
        <w:t> </w:t>
      </w:r>
      <w:r>
        <w:rPr>
          <w:spacing w:val="-7"/>
        </w:rPr>
        <w:t>be </w:t>
      </w:r>
      <w:r>
        <w:rPr/>
        <w:t>reviewed subject to tender</w:t>
      </w:r>
      <w:r>
        <w:rPr>
          <w:spacing w:val="-5"/>
        </w:rPr>
        <w:t> </w:t>
      </w:r>
      <w:r>
        <w:rPr/>
        <w:t>results.</w:t>
      </w:r>
    </w:p>
    <w:p>
      <w:pPr>
        <w:spacing w:after="0" w:line="249" w:lineRule="auto"/>
        <w:sectPr>
          <w:type w:val="continuous"/>
          <w:pgSz w:w="16840" w:h="11910" w:orient="landscape"/>
          <w:pgMar w:top="1100" w:bottom="280" w:left="0" w:right="0"/>
          <w:cols w:num="2" w:equalWidth="0">
            <w:col w:w="5460" w:space="40"/>
            <w:col w:w="11340"/>
          </w:cols>
        </w:sectPr>
      </w:pPr>
    </w:p>
    <w:p>
      <w:pPr>
        <w:pStyle w:val="BodyText"/>
        <w:rPr>
          <w:sz w:val="20"/>
        </w:rPr>
      </w:pPr>
    </w:p>
    <w:p>
      <w:pPr>
        <w:pStyle w:val="BodyText"/>
        <w:spacing w:before="2"/>
        <w:rPr>
          <w:sz w:val="20"/>
        </w:rPr>
      </w:pPr>
    </w:p>
    <w:p>
      <w:pPr>
        <w:tabs>
          <w:tab w:pos="5951" w:val="left" w:leader="none"/>
          <w:tab w:pos="16072"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27856"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27880"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F2770"/>
          <w:sz w:val="20"/>
        </w:rPr>
        <w:t>106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44" w:firstLine="0"/>
        <w:rPr>
          <w:sz w:val="20"/>
        </w:rPr>
      </w:pPr>
      <w:bookmarkStart w:name="_bookmark46" w:id="47"/>
      <w:bookmarkEnd w:id="47"/>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b/>
          <w:sz w:val="20"/>
        </w:rPr>
      </w:pPr>
    </w:p>
    <w:p>
      <w:pPr>
        <w:pStyle w:val="BodyText"/>
        <w:rPr>
          <w:b/>
          <w:sz w:val="21"/>
        </w:rPr>
      </w:pPr>
    </w:p>
    <w:p>
      <w:pPr>
        <w:spacing w:after="0"/>
        <w:rPr>
          <w:sz w:val="21"/>
        </w:rPr>
        <w:sectPr>
          <w:footerReference w:type="default" r:id="rId217"/>
          <w:pgSz w:w="16840" w:h="11910" w:orient="landscape"/>
          <w:pgMar w:footer="0" w:header="0" w:top="0" w:bottom="0" w:left="0" w:right="0"/>
        </w:sectPr>
      </w:pPr>
    </w:p>
    <w:p>
      <w:pPr>
        <w:pStyle w:val="Heading1"/>
      </w:pPr>
      <w:r>
        <w:rPr/>
        <w:pict>
          <v:shape style="position:absolute;margin-left:601.348999pt;margin-top:-67.374214pt;width:120.3pt;height:42.55pt;mso-position-horizontal-relative:page;mso-position-vertical-relative:paragraph;z-index:28216"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67.374214pt;width:120.3pt;height:42.55pt;mso-position-horizontal-relative:page;mso-position-vertical-relative:paragraph;z-index:28240"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67.374214pt;width:120.3pt;height:42.55pt;mso-position-horizontal-relative:page;mso-position-vertical-relative:paragraph;z-index:28264"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w w:val="95"/>
        </w:rPr>
        <w:t>Key</w:t>
      </w:r>
      <w:r>
        <w:rPr>
          <w:color w:val="6F2770"/>
          <w:spacing w:val="-85"/>
          <w:w w:val="95"/>
        </w:rPr>
        <w:t> </w:t>
      </w:r>
      <w:r>
        <w:rPr>
          <w:color w:val="6F2770"/>
          <w:w w:val="95"/>
        </w:rPr>
        <w:t>Efficiency</w:t>
      </w:r>
      <w:r>
        <w:rPr>
          <w:color w:val="6F2770"/>
          <w:spacing w:val="-84"/>
          <w:w w:val="95"/>
        </w:rPr>
        <w:t> </w:t>
      </w:r>
      <w:r>
        <w:rPr>
          <w:color w:val="6F2770"/>
          <w:w w:val="95"/>
        </w:rPr>
        <w:t>Indicators</w:t>
      </w:r>
    </w:p>
    <w:p>
      <w:pPr>
        <w:pStyle w:val="Heading4"/>
        <w:spacing w:before="110"/>
      </w:pPr>
      <w:r>
        <w:rPr>
          <w:color w:val="6F2770"/>
        </w:rPr>
        <w:t>Strategic Projects</w:t>
      </w:r>
    </w:p>
    <w:p>
      <w:pPr>
        <w:pStyle w:val="BodyText"/>
        <w:rPr>
          <w:sz w:val="35"/>
        </w:rPr>
      </w:pPr>
    </w:p>
    <w:p>
      <w:pPr>
        <w:pStyle w:val="Heading6"/>
        <w:spacing w:line="249" w:lineRule="auto"/>
        <w:ind w:left="844"/>
      </w:pPr>
      <w:r>
        <w:rPr/>
        <w:t>Service 5: Leads the planning and delivery of new government buildings</w:t>
      </w:r>
    </w:p>
    <w:p>
      <w:pPr>
        <w:pStyle w:val="BodyText"/>
        <w:spacing w:before="1"/>
        <w:rPr>
          <w:b/>
          <w:sz w:val="23"/>
        </w:rPr>
      </w:pPr>
    </w:p>
    <w:p>
      <w:pPr>
        <w:pStyle w:val="BodyText"/>
        <w:spacing w:line="249" w:lineRule="auto"/>
        <w:ind w:left="844" w:right="-7"/>
      </w:pPr>
      <w:r>
        <w:rPr/>
        <w:t>This service encompasses strategic leadership and facilitation in the planning,</w:t>
      </w:r>
      <w:r>
        <w:rPr>
          <w:spacing w:val="-23"/>
        </w:rPr>
        <w:t> </w:t>
      </w:r>
      <w:r>
        <w:rPr/>
        <w:t>project</w:t>
      </w:r>
      <w:r>
        <w:rPr>
          <w:spacing w:val="-22"/>
        </w:rPr>
        <w:t> </w:t>
      </w:r>
      <w:r>
        <w:rPr/>
        <w:t>management</w:t>
      </w:r>
      <w:r>
        <w:rPr>
          <w:spacing w:val="-22"/>
        </w:rPr>
        <w:t> </w:t>
      </w:r>
      <w:r>
        <w:rPr/>
        <w:t>and</w:t>
      </w:r>
      <w:r>
        <w:rPr>
          <w:spacing w:val="-22"/>
        </w:rPr>
        <w:t> </w:t>
      </w:r>
      <w:r>
        <w:rPr/>
        <w:t>procurement</w:t>
      </w:r>
      <w:r>
        <w:rPr>
          <w:spacing w:val="-22"/>
        </w:rPr>
        <w:t> </w:t>
      </w:r>
      <w:r>
        <w:rPr/>
        <w:t>of</w:t>
      </w:r>
      <w:r>
        <w:rPr>
          <w:spacing w:val="-22"/>
        </w:rPr>
        <w:t> </w:t>
      </w:r>
      <w:r>
        <w:rPr/>
        <w:t>major</w:t>
      </w:r>
      <w:r>
        <w:rPr>
          <w:spacing w:val="-22"/>
        </w:rPr>
        <w:t> </w:t>
      </w:r>
      <w:r>
        <w:rPr/>
        <w:t>new</w:t>
      </w:r>
      <w:r>
        <w:rPr>
          <w:spacing w:val="-22"/>
        </w:rPr>
        <w:t> </w:t>
      </w:r>
      <w:r>
        <w:rPr>
          <w:spacing w:val="-3"/>
        </w:rPr>
        <w:t>non-residential </w:t>
      </w:r>
      <w:r>
        <w:rPr/>
        <w:t>buildings.</w:t>
      </w:r>
      <w:r>
        <w:rPr>
          <w:spacing w:val="-15"/>
        </w:rPr>
        <w:t> </w:t>
      </w:r>
      <w:r>
        <w:rPr/>
        <w:t>It</w:t>
      </w:r>
      <w:r>
        <w:rPr>
          <w:spacing w:val="-14"/>
        </w:rPr>
        <w:t> </w:t>
      </w:r>
      <w:r>
        <w:rPr/>
        <w:t>contributes</w:t>
      </w:r>
      <w:r>
        <w:rPr>
          <w:spacing w:val="-14"/>
        </w:rPr>
        <w:t> </w:t>
      </w:r>
      <w:r>
        <w:rPr/>
        <w:t>to</w:t>
      </w:r>
      <w:r>
        <w:rPr>
          <w:spacing w:val="-14"/>
        </w:rPr>
        <w:t> </w:t>
      </w:r>
      <w:r>
        <w:rPr/>
        <w:t>the</w:t>
      </w:r>
      <w:r>
        <w:rPr>
          <w:spacing w:val="-14"/>
        </w:rPr>
        <w:t> </w:t>
      </w:r>
      <w:r>
        <w:rPr/>
        <w:t>desired</w:t>
      </w:r>
      <w:r>
        <w:rPr>
          <w:spacing w:val="-14"/>
        </w:rPr>
        <w:t> </w:t>
      </w:r>
      <w:r>
        <w:rPr/>
        <w:t>outcome</w:t>
      </w:r>
      <w:r>
        <w:rPr>
          <w:spacing w:val="-14"/>
        </w:rPr>
        <w:t> </w:t>
      </w:r>
      <w:r>
        <w:rPr/>
        <w:t>of</w:t>
      </w:r>
      <w:r>
        <w:rPr>
          <w:spacing w:val="-15"/>
        </w:rPr>
        <w:t> </w:t>
      </w:r>
      <w:r>
        <w:rPr/>
        <w:t>value-for-money</w:t>
      </w:r>
      <w:r>
        <w:rPr>
          <w:spacing w:val="-14"/>
        </w:rPr>
        <w:t> </w:t>
      </w:r>
      <w:r>
        <w:rPr/>
        <w:t>from</w:t>
      </w:r>
      <w:r>
        <w:rPr>
          <w:spacing w:val="-14"/>
        </w:rPr>
        <w:t> </w:t>
      </w:r>
      <w:r>
        <w:rPr/>
        <w:t>the management of the Government’s non-residential buildings</w:t>
      </w:r>
      <w:r>
        <w:rPr>
          <w:spacing w:val="-44"/>
        </w:rPr>
        <w:t> </w:t>
      </w:r>
      <w:r>
        <w:rPr/>
        <w:t>and</w:t>
      </w:r>
    </w:p>
    <w:p>
      <w:pPr>
        <w:pStyle w:val="BodyText"/>
        <w:spacing w:before="4"/>
        <w:ind w:left="844"/>
      </w:pPr>
      <w:r>
        <w:rPr/>
        <w:t>public works.</w:t>
      </w:r>
    </w:p>
    <w:p>
      <w:pPr>
        <w:pStyle w:val="BodyText"/>
        <w:spacing w:before="3"/>
        <w:rPr>
          <w:sz w:val="23"/>
        </w:rPr>
      </w:pPr>
    </w:p>
    <w:p>
      <w:pPr>
        <w:pStyle w:val="Heading6"/>
        <w:spacing w:line="260" w:lineRule="atLeast"/>
        <w:ind w:left="844" w:right="397"/>
        <w:rPr>
          <w:sz w:val="10"/>
        </w:rPr>
      </w:pPr>
      <w:r>
        <w:rPr/>
        <w:t>Cost as a percentage of the total annual value of the planning and delivery of capital works projects (%) </w:t>
      </w:r>
      <w:r>
        <w:rPr>
          <w:position w:val="8"/>
          <w:sz w:val="10"/>
        </w:rPr>
        <w:t>(a)</w:t>
      </w:r>
    </w:p>
    <w:p>
      <w:pPr>
        <w:pStyle w:val="BodyText"/>
        <w:rPr>
          <w:b/>
          <w:sz w:val="26"/>
        </w:rPr>
      </w:pPr>
      <w:r>
        <w:rPr/>
        <w:br w:type="column"/>
      </w:r>
      <w:r>
        <w:rPr>
          <w:b/>
          <w:sz w:val="26"/>
        </w:rPr>
      </w:r>
    </w:p>
    <w:p>
      <w:pPr>
        <w:pStyle w:val="BodyText"/>
        <w:rPr>
          <w:b/>
          <w:sz w:val="26"/>
        </w:rPr>
      </w:pPr>
    </w:p>
    <w:p>
      <w:pPr>
        <w:pStyle w:val="BodyText"/>
        <w:rPr>
          <w:b/>
          <w:sz w:val="26"/>
        </w:rPr>
      </w:pPr>
    </w:p>
    <w:p>
      <w:pPr>
        <w:pStyle w:val="BodyText"/>
        <w:rPr>
          <w:b/>
          <w:sz w:val="26"/>
        </w:rPr>
      </w:pPr>
    </w:p>
    <w:p>
      <w:pPr>
        <w:pStyle w:val="BodyText"/>
        <w:rPr>
          <w:b/>
          <w:sz w:val="26"/>
        </w:rPr>
      </w:pPr>
    </w:p>
    <w:p>
      <w:pPr>
        <w:pStyle w:val="ListParagraph"/>
        <w:numPr>
          <w:ilvl w:val="0"/>
          <w:numId w:val="33"/>
        </w:numPr>
        <w:tabs>
          <w:tab w:pos="693" w:val="left" w:leader="none"/>
        </w:tabs>
        <w:spacing w:line="249" w:lineRule="auto" w:before="196" w:after="0"/>
        <w:ind w:left="692" w:right="1178" w:hanging="245"/>
        <w:jc w:val="left"/>
        <w:rPr>
          <w:sz w:val="22"/>
        </w:rPr>
      </w:pPr>
      <w:r>
        <w:rPr>
          <w:sz w:val="22"/>
        </w:rPr>
        <w:t>The</w:t>
      </w:r>
      <w:r>
        <w:rPr>
          <w:spacing w:val="-18"/>
          <w:sz w:val="22"/>
        </w:rPr>
        <w:t> </w:t>
      </w:r>
      <w:r>
        <w:rPr>
          <w:sz w:val="22"/>
        </w:rPr>
        <w:t>increase</w:t>
      </w:r>
      <w:r>
        <w:rPr>
          <w:spacing w:val="-18"/>
          <w:sz w:val="22"/>
        </w:rPr>
        <w:t> </w:t>
      </w:r>
      <w:r>
        <w:rPr>
          <w:sz w:val="22"/>
        </w:rPr>
        <w:t>in</w:t>
      </w:r>
      <w:r>
        <w:rPr>
          <w:spacing w:val="-18"/>
          <w:sz w:val="22"/>
        </w:rPr>
        <w:t> </w:t>
      </w:r>
      <w:r>
        <w:rPr>
          <w:sz w:val="22"/>
        </w:rPr>
        <w:t>cost</w:t>
      </w:r>
      <w:r>
        <w:rPr>
          <w:spacing w:val="-18"/>
          <w:sz w:val="22"/>
        </w:rPr>
        <w:t> </w:t>
      </w:r>
      <w:r>
        <w:rPr>
          <w:sz w:val="22"/>
        </w:rPr>
        <w:t>is</w:t>
      </w:r>
      <w:r>
        <w:rPr>
          <w:spacing w:val="-18"/>
          <w:sz w:val="22"/>
        </w:rPr>
        <w:t> </w:t>
      </w:r>
      <w:r>
        <w:rPr>
          <w:sz w:val="22"/>
        </w:rPr>
        <w:t>the</w:t>
      </w:r>
      <w:r>
        <w:rPr>
          <w:spacing w:val="-17"/>
          <w:sz w:val="22"/>
        </w:rPr>
        <w:t> </w:t>
      </w:r>
      <w:r>
        <w:rPr>
          <w:sz w:val="22"/>
        </w:rPr>
        <w:t>result</w:t>
      </w:r>
      <w:r>
        <w:rPr>
          <w:spacing w:val="-18"/>
          <w:sz w:val="22"/>
        </w:rPr>
        <w:t> </w:t>
      </w:r>
      <w:r>
        <w:rPr>
          <w:sz w:val="22"/>
        </w:rPr>
        <w:t>of</w:t>
      </w:r>
      <w:r>
        <w:rPr>
          <w:spacing w:val="-18"/>
          <w:sz w:val="22"/>
        </w:rPr>
        <w:t> </w:t>
      </w:r>
      <w:r>
        <w:rPr>
          <w:sz w:val="22"/>
        </w:rPr>
        <w:t>a</w:t>
      </w:r>
      <w:r>
        <w:rPr>
          <w:spacing w:val="-18"/>
          <w:sz w:val="22"/>
        </w:rPr>
        <w:t> </w:t>
      </w:r>
      <w:r>
        <w:rPr>
          <w:sz w:val="22"/>
        </w:rPr>
        <w:t>reduction</w:t>
      </w:r>
      <w:r>
        <w:rPr>
          <w:spacing w:val="-18"/>
          <w:sz w:val="22"/>
        </w:rPr>
        <w:t> </w:t>
      </w:r>
      <w:r>
        <w:rPr>
          <w:sz w:val="22"/>
        </w:rPr>
        <w:t>in</w:t>
      </w:r>
      <w:r>
        <w:rPr>
          <w:spacing w:val="-18"/>
          <w:sz w:val="22"/>
        </w:rPr>
        <w:t> </w:t>
      </w:r>
      <w:r>
        <w:rPr>
          <w:sz w:val="22"/>
        </w:rPr>
        <w:t>the</w:t>
      </w:r>
      <w:r>
        <w:rPr>
          <w:spacing w:val="-17"/>
          <w:sz w:val="22"/>
        </w:rPr>
        <w:t> </w:t>
      </w:r>
      <w:r>
        <w:rPr>
          <w:sz w:val="22"/>
        </w:rPr>
        <w:t>overall</w:t>
      </w:r>
      <w:r>
        <w:rPr>
          <w:spacing w:val="-18"/>
          <w:sz w:val="22"/>
        </w:rPr>
        <w:t> </w:t>
      </w:r>
      <w:r>
        <w:rPr>
          <w:sz w:val="22"/>
        </w:rPr>
        <w:t>value</w:t>
      </w:r>
      <w:r>
        <w:rPr>
          <w:spacing w:val="-18"/>
          <w:sz w:val="22"/>
        </w:rPr>
        <w:t> </w:t>
      </w:r>
      <w:r>
        <w:rPr>
          <w:sz w:val="22"/>
        </w:rPr>
        <w:t>of</w:t>
      </w:r>
      <w:r>
        <w:rPr>
          <w:spacing w:val="-18"/>
          <w:sz w:val="22"/>
        </w:rPr>
        <w:t> </w:t>
      </w:r>
      <w:r>
        <w:rPr>
          <w:spacing w:val="-6"/>
          <w:sz w:val="22"/>
        </w:rPr>
        <w:t>the </w:t>
      </w:r>
      <w:r>
        <w:rPr>
          <w:sz w:val="22"/>
        </w:rPr>
        <w:t>major</w:t>
      </w:r>
      <w:r>
        <w:rPr>
          <w:spacing w:val="-11"/>
          <w:sz w:val="22"/>
        </w:rPr>
        <w:t> </w:t>
      </w:r>
      <w:r>
        <w:rPr>
          <w:sz w:val="22"/>
        </w:rPr>
        <w:t>project</w:t>
      </w:r>
      <w:r>
        <w:rPr>
          <w:spacing w:val="-11"/>
          <w:sz w:val="22"/>
        </w:rPr>
        <w:t> </w:t>
      </w:r>
      <w:r>
        <w:rPr>
          <w:sz w:val="22"/>
        </w:rPr>
        <w:t>portfolio</w:t>
      </w:r>
      <w:r>
        <w:rPr>
          <w:spacing w:val="-10"/>
          <w:sz w:val="22"/>
        </w:rPr>
        <w:t> </w:t>
      </w:r>
      <w:r>
        <w:rPr>
          <w:sz w:val="22"/>
        </w:rPr>
        <w:t>due</w:t>
      </w:r>
      <w:r>
        <w:rPr>
          <w:spacing w:val="-11"/>
          <w:sz w:val="22"/>
        </w:rPr>
        <w:t> </w:t>
      </w:r>
      <w:r>
        <w:rPr>
          <w:sz w:val="22"/>
        </w:rPr>
        <w:t>to</w:t>
      </w:r>
      <w:r>
        <w:rPr>
          <w:spacing w:val="-10"/>
          <w:sz w:val="22"/>
        </w:rPr>
        <w:t> </w:t>
      </w:r>
      <w:r>
        <w:rPr>
          <w:sz w:val="22"/>
        </w:rPr>
        <w:t>completion</w:t>
      </w:r>
      <w:r>
        <w:rPr>
          <w:spacing w:val="-11"/>
          <w:sz w:val="22"/>
        </w:rPr>
        <w:t> </w:t>
      </w:r>
      <w:r>
        <w:rPr>
          <w:sz w:val="22"/>
        </w:rPr>
        <w:t>of</w:t>
      </w:r>
      <w:r>
        <w:rPr>
          <w:spacing w:val="-11"/>
          <w:sz w:val="22"/>
        </w:rPr>
        <w:t> </w:t>
      </w:r>
      <w:r>
        <w:rPr>
          <w:sz w:val="22"/>
        </w:rPr>
        <w:t>major</w:t>
      </w:r>
      <w:r>
        <w:rPr>
          <w:spacing w:val="-10"/>
          <w:sz w:val="22"/>
        </w:rPr>
        <w:t> </w:t>
      </w:r>
      <w:r>
        <w:rPr>
          <w:sz w:val="22"/>
        </w:rPr>
        <w:t>projects</w:t>
      </w:r>
      <w:r>
        <w:rPr>
          <w:spacing w:val="-11"/>
          <w:sz w:val="22"/>
        </w:rPr>
        <w:t> </w:t>
      </w:r>
      <w:r>
        <w:rPr>
          <w:sz w:val="22"/>
        </w:rPr>
        <w:t>such</w:t>
      </w:r>
      <w:r>
        <w:rPr>
          <w:spacing w:val="-10"/>
          <w:sz w:val="22"/>
        </w:rPr>
        <w:t> </w:t>
      </w:r>
      <w:r>
        <w:rPr>
          <w:sz w:val="22"/>
        </w:rPr>
        <w:t>as</w:t>
      </w:r>
      <w:r>
        <w:rPr>
          <w:spacing w:val="-11"/>
          <w:sz w:val="22"/>
        </w:rPr>
        <w:t> </w:t>
      </w:r>
      <w:r>
        <w:rPr>
          <w:sz w:val="22"/>
        </w:rPr>
        <w:t>the Optus Stadium and Perth </w:t>
      </w:r>
      <w:r>
        <w:rPr>
          <w:spacing w:val="-3"/>
          <w:sz w:val="22"/>
        </w:rPr>
        <w:t>Children’s</w:t>
      </w:r>
      <w:r>
        <w:rPr>
          <w:spacing w:val="-13"/>
          <w:sz w:val="22"/>
        </w:rPr>
        <w:t> </w:t>
      </w:r>
      <w:r>
        <w:rPr>
          <w:sz w:val="22"/>
        </w:rPr>
        <w:t>Hospital.</w:t>
      </w:r>
    </w:p>
    <w:p>
      <w:pPr>
        <w:spacing w:after="0" w:line="249" w:lineRule="auto"/>
        <w:jc w:val="left"/>
        <w:rPr>
          <w:sz w:val="22"/>
        </w:rPr>
        <w:sectPr>
          <w:type w:val="continuous"/>
          <w:pgSz w:w="16840" w:h="11910" w:orient="landscape"/>
          <w:pgMar w:top="1100" w:bottom="280" w:left="0" w:right="0"/>
          <w:cols w:num="2" w:equalWidth="0">
            <w:col w:w="8144" w:space="40"/>
            <w:col w:w="8656"/>
          </w:cols>
        </w:sectPr>
      </w:pPr>
    </w:p>
    <w:p>
      <w:pPr>
        <w:pStyle w:val="BodyText"/>
        <w:spacing w:before="2"/>
        <w:rPr>
          <w:sz w:val="29"/>
        </w:rPr>
      </w:pPr>
    </w:p>
    <w:p>
      <w:pPr>
        <w:tabs>
          <w:tab w:pos="3220" w:val="left" w:leader="none"/>
        </w:tabs>
        <w:spacing w:before="0"/>
        <w:ind w:left="2214" w:right="0" w:firstLine="0"/>
        <w:jc w:val="left"/>
        <w:rPr>
          <w:b/>
          <w:sz w:val="10"/>
        </w:rPr>
      </w:pPr>
      <w:r>
        <w:rPr/>
        <w:pict>
          <v:rect style="position:absolute;margin-left:101.568001pt;margin-top:16.998104pt;width:40.186pt;height:97.563pt;mso-position-horizontal-relative:page;mso-position-vertical-relative:paragraph;z-index:28120" filled="true" fillcolor="#e3e5bd" stroked="false">
            <v:fill type="solid"/>
            <w10:wrap type="none"/>
          </v:rect>
        </w:pict>
      </w:r>
      <w:r>
        <w:rPr>
          <w:b/>
          <w:color w:val="475B29"/>
          <w:position w:val="-5"/>
          <w:sz w:val="19"/>
        </w:rPr>
        <w:t>0.6</w:t>
      </w:r>
      <w:r>
        <w:rPr>
          <w:b/>
          <w:color w:val="475B29"/>
          <w:spacing w:val="-4"/>
          <w:position w:val="-5"/>
          <w:sz w:val="19"/>
        </w:rPr>
        <w:t> </w:t>
      </w:r>
      <w:r>
        <w:rPr>
          <w:b/>
          <w:color w:val="475B29"/>
          <w:sz w:val="10"/>
        </w:rPr>
        <w:t>(b)</w:t>
        <w:tab/>
      </w:r>
      <w:r>
        <w:rPr>
          <w:b/>
          <w:color w:val="475B29"/>
          <w:position w:val="-5"/>
          <w:sz w:val="19"/>
        </w:rPr>
        <w:t>0.6</w:t>
      </w:r>
      <w:r>
        <w:rPr>
          <w:b/>
          <w:color w:val="475B29"/>
          <w:spacing w:val="-4"/>
          <w:position w:val="-5"/>
          <w:sz w:val="19"/>
        </w:rPr>
        <w:t> </w:t>
      </w:r>
      <w:r>
        <w:rPr>
          <w:b/>
          <w:color w:val="475B29"/>
          <w:spacing w:val="-7"/>
          <w:sz w:val="10"/>
        </w:rPr>
        <w:t>(b)</w:t>
      </w:r>
    </w:p>
    <w:p>
      <w:pPr>
        <w:pStyle w:val="BodyText"/>
        <w:rPr>
          <w:b/>
        </w:rPr>
      </w:pPr>
      <w:r>
        <w:rPr/>
        <w:br w:type="column"/>
      </w:r>
      <w:r>
        <w:rPr>
          <w:b/>
        </w:rPr>
      </w:r>
    </w:p>
    <w:p>
      <w:pPr>
        <w:pStyle w:val="BodyText"/>
        <w:spacing w:before="9"/>
        <w:rPr>
          <w:b/>
          <w:sz w:val="29"/>
        </w:rPr>
      </w:pPr>
    </w:p>
    <w:p>
      <w:pPr>
        <w:spacing w:before="0"/>
        <w:ind w:left="529" w:right="0" w:firstLine="0"/>
        <w:jc w:val="left"/>
        <w:rPr>
          <w:b/>
          <w:sz w:val="10"/>
        </w:rPr>
      </w:pPr>
      <w:r>
        <w:rPr/>
        <w:pict>
          <v:rect style="position:absolute;margin-left:151.882996pt;margin-top:3.998088pt;width:40.186pt;height:97.563pt;mso-position-horizontal-relative:page;mso-position-vertical-relative:paragraph;z-index:28144" filled="true" fillcolor="#e3e5bd" stroked="false">
            <v:fill type="solid"/>
            <w10:wrap type="none"/>
          </v:rect>
        </w:pict>
      </w:r>
      <w:r>
        <w:rPr>
          <w:b/>
          <w:color w:val="475B29"/>
          <w:position w:val="-5"/>
          <w:sz w:val="19"/>
        </w:rPr>
        <w:t>0.5 </w:t>
      </w:r>
      <w:r>
        <w:rPr>
          <w:b/>
          <w:color w:val="475B29"/>
          <w:spacing w:val="-7"/>
          <w:sz w:val="10"/>
        </w:rPr>
        <w:t>(b)</w:t>
      </w:r>
    </w:p>
    <w:p>
      <w:pPr>
        <w:spacing w:before="196"/>
        <w:ind w:left="0" w:right="0" w:firstLine="0"/>
        <w:jc w:val="right"/>
        <w:rPr>
          <w:b/>
          <w:sz w:val="19"/>
        </w:rPr>
      </w:pPr>
      <w:r>
        <w:rPr/>
        <w:br w:type="column"/>
      </w:r>
      <w:r>
        <w:rPr>
          <w:b/>
          <w:color w:val="6F2770"/>
          <w:w w:val="95"/>
          <w:sz w:val="19"/>
        </w:rPr>
        <w:t>0.7</w:t>
      </w:r>
    </w:p>
    <w:p>
      <w:pPr>
        <w:spacing w:line="115" w:lineRule="exact" w:before="0"/>
        <w:ind w:left="618" w:right="0" w:firstLine="0"/>
        <w:jc w:val="left"/>
        <w:rPr>
          <w:b/>
          <w:sz w:val="10"/>
        </w:rPr>
      </w:pPr>
      <w:r>
        <w:rPr/>
        <w:br w:type="column"/>
      </w:r>
      <w:r>
        <w:rPr>
          <w:b/>
          <w:color w:val="360F41"/>
          <w:position w:val="-5"/>
          <w:sz w:val="19"/>
        </w:rPr>
        <w:t>0.9 </w:t>
      </w:r>
      <w:r>
        <w:rPr>
          <w:b/>
          <w:color w:val="360F41"/>
          <w:sz w:val="10"/>
        </w:rPr>
        <w:t>(1)</w:t>
      </w:r>
    </w:p>
    <w:p>
      <w:pPr>
        <w:spacing w:after="0" w:line="115" w:lineRule="exact"/>
        <w:jc w:val="left"/>
        <w:rPr>
          <w:sz w:val="10"/>
        </w:rPr>
        <w:sectPr>
          <w:type w:val="continuous"/>
          <w:pgSz w:w="16840" w:h="11910" w:orient="landscape"/>
          <w:pgMar w:top="1100" w:bottom="280" w:left="0" w:right="0"/>
          <w:cols w:num="4" w:equalWidth="0">
            <w:col w:w="3659" w:space="40"/>
            <w:col w:w="967" w:space="39"/>
            <w:col w:w="880" w:space="39"/>
            <w:col w:w="11216"/>
          </w:cols>
        </w:sectPr>
      </w:pPr>
    </w:p>
    <w:p>
      <w:pPr>
        <w:pStyle w:val="BodyText"/>
        <w:spacing w:before="3"/>
        <w:rPr>
          <w:b/>
          <w:sz w:val="4"/>
        </w:rPr>
      </w:pPr>
    </w:p>
    <w:p>
      <w:pPr>
        <w:pStyle w:val="BodyText"/>
        <w:ind w:left="4038"/>
        <w:rPr>
          <w:sz w:val="20"/>
        </w:rPr>
      </w:pPr>
      <w:r>
        <w:rPr>
          <w:sz w:val="20"/>
        </w:rPr>
        <w:pict>
          <v:group style="width:40.2pt;height:88.25pt;mso-position-horizontal-relative:char;mso-position-vertical-relative:line" coordorigin="0,0" coordsize="804,1765">
            <v:rect style="position:absolute;left:0;top:0;width:804;height:1765" filled="true" fillcolor="#e3e5bd" stroked="false">
              <v:fill type="solid"/>
            </v:rect>
          </v:group>
        </w:pict>
      </w:r>
      <w:r>
        <w:rPr>
          <w:sz w:val="20"/>
        </w:rPr>
      </w:r>
    </w:p>
    <w:p>
      <w:pPr>
        <w:spacing w:after="0"/>
        <w:rPr>
          <w:sz w:val="20"/>
        </w:rPr>
        <w:sectPr>
          <w:type w:val="continuous"/>
          <w:pgSz w:w="16840" w:h="11910" w:orient="landscape"/>
          <w:pgMar w:top="1100" w:bottom="280" w:left="0" w:right="0"/>
        </w:sectPr>
      </w:pPr>
    </w:p>
    <w:p>
      <w:pPr>
        <w:spacing w:line="210" w:lineRule="exact" w:before="0"/>
        <w:ind w:left="0" w:right="42" w:firstLine="0"/>
        <w:jc w:val="right"/>
        <w:rPr>
          <w:b/>
          <w:sz w:val="19"/>
        </w:rPr>
      </w:pPr>
      <w:r>
        <w:rPr/>
        <w:pict>
          <v:rect style="position:absolute;margin-left:252.014008pt;margin-top:-110.42038pt;width:40.186pt;height:108.887pt;mso-position-horizontal-relative:page;mso-position-vertical-relative:paragraph;z-index:28168" filled="true" fillcolor="#a682a6" stroked="false">
            <v:fill type="solid"/>
            <w10:wrap type="none"/>
          </v:rect>
        </w:pict>
      </w:r>
      <w:r>
        <w:rPr>
          <w:b/>
          <w:sz w:val="19"/>
        </w:rPr>
        <w:t>2014/15</w:t>
      </w:r>
    </w:p>
    <w:p>
      <w:pPr>
        <w:spacing w:before="89"/>
        <w:ind w:left="0" w:right="0" w:firstLine="0"/>
        <w:jc w:val="right"/>
        <w:rPr>
          <w:b/>
          <w:sz w:val="15"/>
        </w:rPr>
      </w:pPr>
      <w:r>
        <w:rPr>
          <w:b/>
          <w:color w:val="FFFFFF"/>
          <w:w w:val="100"/>
          <w:sz w:val="15"/>
          <w:shd w:fill="727D54" w:color="auto" w:val="clear"/>
        </w:rPr>
        <w:t> </w:t>
      </w:r>
      <w:r>
        <w:rPr>
          <w:b/>
          <w:color w:val="FFFFFF"/>
          <w:spacing w:val="9"/>
          <w:sz w:val="15"/>
          <w:shd w:fill="727D54" w:color="auto" w:val="clear"/>
        </w:rPr>
        <w:t> </w:t>
      </w:r>
      <w:r>
        <w:rPr>
          <w:b/>
          <w:color w:val="FFFFFF"/>
          <w:w w:val="95"/>
          <w:sz w:val="15"/>
          <w:shd w:fill="727D54" w:color="auto" w:val="clear"/>
        </w:rPr>
        <w:t>ACTUAL</w:t>
      </w:r>
      <w:r>
        <w:rPr>
          <w:b/>
          <w:color w:val="FFFFFF"/>
          <w:spacing w:val="9"/>
          <w:sz w:val="15"/>
          <w:shd w:fill="727D54" w:color="auto" w:val="clear"/>
        </w:rPr>
        <w:t> </w:t>
      </w:r>
    </w:p>
    <w:p>
      <w:pPr>
        <w:spacing w:line="210" w:lineRule="exact" w:before="0"/>
        <w:ind w:left="217" w:right="0" w:firstLine="0"/>
        <w:jc w:val="left"/>
        <w:rPr>
          <w:b/>
          <w:sz w:val="19"/>
        </w:rPr>
      </w:pPr>
      <w:r>
        <w:rPr/>
        <w:br w:type="column"/>
      </w:r>
      <w:r>
        <w:rPr>
          <w:b/>
          <w:w w:val="105"/>
          <w:sz w:val="19"/>
        </w:rPr>
        <w:t>2015/16</w:t>
      </w:r>
    </w:p>
    <w:p>
      <w:pPr>
        <w:spacing w:before="89"/>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spacing w:line="210" w:lineRule="exact" w:before="0"/>
        <w:ind w:left="217" w:right="0" w:firstLine="0"/>
        <w:jc w:val="left"/>
        <w:rPr>
          <w:b/>
          <w:sz w:val="19"/>
        </w:rPr>
      </w:pPr>
      <w:r>
        <w:rPr/>
        <w:br w:type="column"/>
      </w:r>
      <w:r>
        <w:rPr>
          <w:b/>
          <w:w w:val="105"/>
          <w:sz w:val="19"/>
        </w:rPr>
        <w:t>2016/17</w:t>
      </w:r>
    </w:p>
    <w:p>
      <w:pPr>
        <w:spacing w:before="89"/>
        <w:ind w:left="172" w:right="0" w:firstLine="0"/>
        <w:jc w:val="left"/>
        <w:rPr>
          <w:b/>
          <w:sz w:val="15"/>
        </w:rPr>
      </w:pPr>
      <w:r>
        <w:rPr>
          <w:b/>
          <w:color w:val="FFFFFF"/>
          <w:w w:val="100"/>
          <w:sz w:val="15"/>
          <w:shd w:fill="727D54" w:color="auto" w:val="clear"/>
        </w:rPr>
        <w:t> </w:t>
      </w:r>
      <w:r>
        <w:rPr>
          <w:b/>
          <w:color w:val="FFFFFF"/>
          <w:spacing w:val="9"/>
          <w:sz w:val="15"/>
          <w:shd w:fill="727D54" w:color="auto" w:val="clear"/>
        </w:rPr>
        <w:t> </w:t>
      </w:r>
      <w:r>
        <w:rPr>
          <w:b/>
          <w:color w:val="FFFFFF"/>
          <w:sz w:val="15"/>
          <w:shd w:fill="727D54" w:color="auto" w:val="clear"/>
        </w:rPr>
        <w:t>ACTUAL</w:t>
      </w:r>
      <w:r>
        <w:rPr>
          <w:b/>
          <w:color w:val="FFFFFF"/>
          <w:spacing w:val="9"/>
          <w:sz w:val="15"/>
          <w:shd w:fill="727D54" w:color="auto" w:val="clear"/>
        </w:rPr>
        <w:t> </w:t>
      </w:r>
    </w:p>
    <w:p>
      <w:pPr>
        <w:spacing w:line="210" w:lineRule="exact" w:before="0"/>
        <w:ind w:left="217"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8E5F8E" w:color="auto" w:val="clear"/>
        </w:rPr>
        <w:t> </w:t>
      </w:r>
      <w:r>
        <w:rPr>
          <w:b/>
          <w:color w:val="FFFFFF"/>
          <w:spacing w:val="16"/>
          <w:sz w:val="15"/>
          <w:shd w:fill="8E5F8E" w:color="auto" w:val="clear"/>
        </w:rPr>
        <w:t> </w:t>
      </w:r>
      <w:r>
        <w:rPr>
          <w:b/>
          <w:color w:val="FFFFFF"/>
          <w:sz w:val="15"/>
          <w:shd w:fill="8E5F8E" w:color="auto" w:val="clear"/>
        </w:rPr>
        <w:t>TARGET</w:t>
      </w:r>
      <w:r>
        <w:rPr>
          <w:b/>
          <w:color w:val="FFFFFF"/>
          <w:spacing w:val="16"/>
          <w:sz w:val="15"/>
          <w:shd w:fill="8E5F8E" w:color="auto" w:val="clear"/>
        </w:rPr>
        <w:t> </w:t>
      </w:r>
    </w:p>
    <w:p>
      <w:pPr>
        <w:spacing w:line="210" w:lineRule="exact" w:before="0"/>
        <w:ind w:left="217" w:right="0" w:firstLine="0"/>
        <w:jc w:val="left"/>
        <w:rPr>
          <w:b/>
          <w:sz w:val="19"/>
        </w:rPr>
      </w:pPr>
      <w:r>
        <w:rPr/>
        <w:br w:type="column"/>
      </w:r>
      <w:r>
        <w:rPr>
          <w:b/>
          <w:w w:val="105"/>
          <w:sz w:val="19"/>
        </w:rPr>
        <w:t>2017/18</w:t>
      </w:r>
    </w:p>
    <w:p>
      <w:pPr>
        <w:spacing w:before="89"/>
        <w:ind w:left="172" w:right="0" w:firstLine="0"/>
        <w:jc w:val="left"/>
        <w:rPr>
          <w:b/>
          <w:sz w:val="15"/>
        </w:rPr>
      </w:pPr>
      <w:r>
        <w:rPr>
          <w:b/>
          <w:color w:val="FFFFFF"/>
          <w:w w:val="100"/>
          <w:sz w:val="15"/>
          <w:shd w:fill="5F4665" w:color="auto" w:val="clear"/>
        </w:rPr>
        <w:t> </w:t>
      </w:r>
      <w:r>
        <w:rPr>
          <w:b/>
          <w:color w:val="FFFFFF"/>
          <w:spacing w:val="9"/>
          <w:sz w:val="15"/>
          <w:shd w:fill="5F4665" w:color="auto" w:val="clear"/>
        </w:rPr>
        <w:t> </w:t>
      </w:r>
      <w:r>
        <w:rPr>
          <w:b/>
          <w:color w:val="FFFFFF"/>
          <w:sz w:val="15"/>
          <w:shd w:fill="5F4665" w:color="auto" w:val="clear"/>
        </w:rPr>
        <w:t>ACTUAL</w:t>
      </w:r>
      <w:r>
        <w:rPr>
          <w:b/>
          <w:color w:val="FFFFFF"/>
          <w:spacing w:val="9"/>
          <w:sz w:val="15"/>
          <w:shd w:fill="5F4665" w:color="auto" w:val="clear"/>
        </w:rPr>
        <w:t> </w:t>
      </w:r>
    </w:p>
    <w:p>
      <w:pPr>
        <w:spacing w:after="0"/>
        <w:jc w:val="left"/>
        <w:rPr>
          <w:sz w:val="15"/>
        </w:rPr>
        <w:sectPr>
          <w:type w:val="continuous"/>
          <w:pgSz w:w="16840" w:h="11910" w:orient="landscape"/>
          <w:pgMar w:top="1100" w:bottom="280" w:left="0" w:right="0"/>
          <w:cols w:num="5" w:equalWidth="0">
            <w:col w:w="2831" w:space="40"/>
            <w:col w:w="967" w:space="39"/>
            <w:col w:w="967" w:space="39"/>
            <w:col w:w="967" w:space="39"/>
            <w:col w:w="10951"/>
          </w:cols>
        </w:sectPr>
      </w:pPr>
    </w:p>
    <w:p>
      <w:pPr>
        <w:pStyle w:val="BodyText"/>
        <w:spacing w:before="5"/>
        <w:rPr>
          <w:b/>
          <w:sz w:val="21"/>
        </w:rPr>
      </w:pPr>
      <w:r>
        <w:rPr/>
        <w:pict>
          <v:group style="position:absolute;margin-left:240.539398pt;margin-top:.000001pt;width:601.4pt;height:595.3pt;mso-position-horizontal-relative:page;mso-position-vertical-relative:page;z-index:-684400" coordorigin="4811,0" coordsize="12028,11906">
            <v:shape style="position:absolute;left:6462;top:149;width:10376;height:11756" type="#_x0000_t75" stroked="false">
              <v:imagedata r:id="rId67" o:title=""/>
            </v:shape>
            <v:rect style="position:absolute;left:6061;top:6247;width:804;height:2462" filled="true" fillcolor="#806b85" stroked="false">
              <v:fill type="solid"/>
            </v:rect>
            <v:shape style="position:absolute;left:2973;top:21229;width:3452;height:3452" coordorigin="2973,21229" coordsize="3452,3452" path="m13083,5045l13635,5597m12852,4924l13756,5828m12678,4860l13820,6003m12529,4822l13859,6151m12396,4799l13882,6285m12274,4787l13893,6406m12161,4784l13896,6520m12054,4788l13892,6626m11953,4798l13883,6727m11858,4812l13868,6823m11767,4832l13849,6914m11680,4855l13825,7001m11596,4882l13798,7084m11516,4912l13768,7164m11440,4946l13734,7241m11366,4983l13698,7314m11295,5022l13658,7385m11227,5065l13616,7453m11162,5110l13571,7519m11099,5157l13523,7582m11039,5207l13473,7642m10981,5260l13421,7700m10925,5314l13366,7755m10873,5372l13308,7808m10822,5432l13248,7858m10775,5495l13186,7906m10729,5560l13120,7951m10687,5628l13053,7994m10647,5698l12982,8033m10610,5772l12909,8070m10576,5848l12833,8105m10545,5927l12753,8135m10518,6011l12670,8163m10494,6097l12583,8186m10474,6188l12493,8206m10459,6283l12398,8221m10449,6383l12297,8231m10445,6489l12191,8236m10447,6602l12079,8234m10457,6722l11958,8223m10479,6854l11826,8202m10515,7001l11679,8165m10576,7172l11509,8105m10688,7394l11286,7993e" filled="false" stroked="true" strokeweight=".25pt" strokecolor="#aebd37">
              <v:path arrowok="t"/>
              <v:stroke dashstyle="solid"/>
            </v:shape>
            <v:shape style="position:absolute;left:20;top:2674;width:1781;height:1762" coordorigin="20,2674" coordsize="1781,1762" path="m9777,7252l9448,6924m9969,7334l9366,6731m10108,7363l9337,6592m10226,7371l9329,6474m10329,7364l9337,6371m10423,7347l9353,6277m10509,7323l9378,6191m10588,7291l9409,6112m10661,7254l9446,6039m10728,7211l9489,5972m10791,7163l9537,5909m10848,7110l9590,5852m10901,7053l9647,5799m10949,6991l9710,5751m10992,6923l9777,5708m11030,6850l9850,5671m11061,6771l9929,5639m11086,6686l10014,5614m11103,6593l10119,5609m11110,6489l10230,5609m11104,6373l10340,5609m11076,6234l10466,5625m10995,6044l10657,5705e" filled="false" stroked="true" strokeweight=".25pt" strokecolor="#6f2770">
              <v:path arrowok="t"/>
              <v:stroke dashstyle="solid"/>
            </v:shape>
            <v:shape style="position:absolute;left:4047;top:22362;width:1159;height:1159" coordorigin="4048,22362" coordsize="1159,1159" path="m15248,1456l15497,1705m15082,1400l15552,1871m14963,1392l15561,1990m14864,1403l15549,2088m14778,1427l15525,2175m14702,1462l15491,2250m14635,1505l15447,2317m14576,1556l15396,2377m14524,1615l15338,2429m14479,1680l15272,2474m14443,1754l15199,2510m14416,1838l15115,2537m14402,1934l15018,2550m14405,2048l14905,2548m14448,2201l14752,2505e" filled="false" stroked="true" strokeweight=".25pt" strokecolor="#bbbcbb">
              <v:path arrowok="t"/>
              <v:stroke dashstyle="solid"/>
            </v:shape>
            <v:rect style="position:absolute;left:4810;top:0;width:2406;height:851" filled="true" fillcolor="#cbb8cc" stroked="false">
              <v:fill type="solid"/>
            </v:rect>
            <v:rect style="position:absolute;left:7216;top:0;width:2406;height:851" filled="true" fillcolor="#d4c4d4" stroked="false">
              <v:fill type="solid"/>
            </v:rect>
            <v:rect style="position:absolute;left:9621;top:0;width:2406;height:851" filled="true" fillcolor="#d4d896" stroked="false">
              <v:fill type="solid"/>
            </v:rect>
            <v:rect style="position:absolute;left:12026;top:0;width:2406;height:851" filled="true" fillcolor="#c3acc4" stroked="false">
              <v:fill type="solid"/>
            </v:rect>
            <v:rect style="position:absolute;left:14432;top:0;width:2406;height:851" filled="true" fillcolor="#bba1bc" stroked="false">
              <v:fill type="solid"/>
            </v:rect>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p>
    <w:p>
      <w:pPr>
        <w:pStyle w:val="ListParagraph"/>
        <w:numPr>
          <w:ilvl w:val="1"/>
          <w:numId w:val="33"/>
        </w:numPr>
        <w:tabs>
          <w:tab w:pos="1037" w:val="left" w:leader="none"/>
        </w:tabs>
        <w:spacing w:line="240" w:lineRule="auto" w:before="105" w:after="0"/>
        <w:ind w:left="1036" w:right="0" w:hanging="192"/>
        <w:jc w:val="left"/>
        <w:rPr>
          <w:sz w:val="15"/>
        </w:rPr>
      </w:pPr>
      <w:r>
        <w:rPr>
          <w:sz w:val="15"/>
        </w:rPr>
        <w:t>This KPI is based on the costs associated with the planning and delivery of projects from the</w:t>
      </w:r>
      <w:r>
        <w:rPr>
          <w:spacing w:val="-15"/>
          <w:sz w:val="15"/>
        </w:rPr>
        <w:t> </w:t>
      </w:r>
      <w:r>
        <w:rPr>
          <w:sz w:val="15"/>
        </w:rPr>
        <w:t>Department</w:t>
      </w:r>
    </w:p>
    <w:p>
      <w:pPr>
        <w:spacing w:line="278" w:lineRule="auto" w:before="27"/>
        <w:ind w:left="1053" w:right="8858" w:firstLine="0"/>
        <w:jc w:val="left"/>
        <w:rPr>
          <w:sz w:val="15"/>
        </w:rPr>
      </w:pPr>
      <w:r>
        <w:rPr>
          <w:sz w:val="15"/>
        </w:rPr>
        <w:t>of</w:t>
      </w:r>
      <w:r>
        <w:rPr>
          <w:spacing w:val="-17"/>
          <w:sz w:val="15"/>
        </w:rPr>
        <w:t> </w:t>
      </w:r>
      <w:r>
        <w:rPr>
          <w:sz w:val="15"/>
        </w:rPr>
        <w:t>Finance’s</w:t>
      </w:r>
      <w:r>
        <w:rPr>
          <w:spacing w:val="-16"/>
          <w:sz w:val="15"/>
        </w:rPr>
        <w:t> </w:t>
      </w:r>
      <w:r>
        <w:rPr>
          <w:sz w:val="15"/>
        </w:rPr>
        <w:t>Strategic</w:t>
      </w:r>
      <w:r>
        <w:rPr>
          <w:spacing w:val="-17"/>
          <w:sz w:val="15"/>
        </w:rPr>
        <w:t> </w:t>
      </w:r>
      <w:r>
        <w:rPr>
          <w:sz w:val="15"/>
        </w:rPr>
        <w:t>Projects</w:t>
      </w:r>
      <w:r>
        <w:rPr>
          <w:spacing w:val="-16"/>
          <w:sz w:val="15"/>
        </w:rPr>
        <w:t> </w:t>
      </w:r>
      <w:r>
        <w:rPr>
          <w:sz w:val="15"/>
        </w:rPr>
        <w:t>(SP)</w:t>
      </w:r>
      <w:r>
        <w:rPr>
          <w:spacing w:val="-16"/>
          <w:sz w:val="15"/>
        </w:rPr>
        <w:t> </w:t>
      </w:r>
      <w:r>
        <w:rPr>
          <w:sz w:val="15"/>
        </w:rPr>
        <w:t>division,</w:t>
      </w:r>
      <w:r>
        <w:rPr>
          <w:spacing w:val="-17"/>
          <w:sz w:val="15"/>
        </w:rPr>
        <w:t> </w:t>
      </w:r>
      <w:r>
        <w:rPr>
          <w:sz w:val="15"/>
        </w:rPr>
        <w:t>which</w:t>
      </w:r>
      <w:r>
        <w:rPr>
          <w:spacing w:val="-16"/>
          <w:sz w:val="15"/>
        </w:rPr>
        <w:t> </w:t>
      </w:r>
      <w:r>
        <w:rPr>
          <w:sz w:val="15"/>
        </w:rPr>
        <w:t>include</w:t>
      </w:r>
      <w:r>
        <w:rPr>
          <w:spacing w:val="-16"/>
          <w:sz w:val="15"/>
        </w:rPr>
        <w:t> </w:t>
      </w:r>
      <w:r>
        <w:rPr>
          <w:sz w:val="15"/>
        </w:rPr>
        <w:t>expenses</w:t>
      </w:r>
      <w:r>
        <w:rPr>
          <w:spacing w:val="-17"/>
          <w:sz w:val="15"/>
        </w:rPr>
        <w:t> </w:t>
      </w:r>
      <w:r>
        <w:rPr>
          <w:sz w:val="15"/>
        </w:rPr>
        <w:t>for</w:t>
      </w:r>
      <w:r>
        <w:rPr>
          <w:spacing w:val="-16"/>
          <w:sz w:val="15"/>
        </w:rPr>
        <w:t> </w:t>
      </w:r>
      <w:r>
        <w:rPr>
          <w:sz w:val="15"/>
        </w:rPr>
        <w:t>construction</w:t>
      </w:r>
      <w:r>
        <w:rPr>
          <w:spacing w:val="-16"/>
          <w:sz w:val="15"/>
        </w:rPr>
        <w:t> </w:t>
      </w:r>
      <w:r>
        <w:rPr>
          <w:sz w:val="15"/>
        </w:rPr>
        <w:t>and</w:t>
      </w:r>
      <w:r>
        <w:rPr>
          <w:spacing w:val="-17"/>
          <w:sz w:val="15"/>
        </w:rPr>
        <w:t> </w:t>
      </w:r>
      <w:r>
        <w:rPr>
          <w:sz w:val="15"/>
        </w:rPr>
        <w:t>other</w:t>
      </w:r>
      <w:r>
        <w:rPr>
          <w:spacing w:val="-16"/>
          <w:sz w:val="15"/>
        </w:rPr>
        <w:t> </w:t>
      </w:r>
      <w:r>
        <w:rPr>
          <w:spacing w:val="-2"/>
          <w:sz w:val="15"/>
        </w:rPr>
        <w:t>contractors, </w:t>
      </w:r>
      <w:r>
        <w:rPr>
          <w:sz w:val="15"/>
        </w:rPr>
        <w:t>consultants,</w:t>
      </w:r>
      <w:r>
        <w:rPr>
          <w:spacing w:val="-15"/>
          <w:sz w:val="15"/>
        </w:rPr>
        <w:t> </w:t>
      </w:r>
      <w:r>
        <w:rPr>
          <w:sz w:val="15"/>
        </w:rPr>
        <w:t>salaries</w:t>
      </w:r>
      <w:r>
        <w:rPr>
          <w:spacing w:val="-15"/>
          <w:sz w:val="15"/>
        </w:rPr>
        <w:t> </w:t>
      </w:r>
      <w:r>
        <w:rPr>
          <w:sz w:val="15"/>
        </w:rPr>
        <w:t>of</w:t>
      </w:r>
      <w:r>
        <w:rPr>
          <w:spacing w:val="-14"/>
          <w:sz w:val="15"/>
        </w:rPr>
        <w:t> </w:t>
      </w:r>
      <w:r>
        <w:rPr>
          <w:sz w:val="15"/>
        </w:rPr>
        <w:t>project</w:t>
      </w:r>
      <w:r>
        <w:rPr>
          <w:spacing w:val="-15"/>
          <w:sz w:val="15"/>
        </w:rPr>
        <w:t> </w:t>
      </w:r>
      <w:r>
        <w:rPr>
          <w:sz w:val="15"/>
        </w:rPr>
        <w:t>team</w:t>
      </w:r>
      <w:r>
        <w:rPr>
          <w:spacing w:val="-14"/>
          <w:sz w:val="15"/>
        </w:rPr>
        <w:t> </w:t>
      </w:r>
      <w:r>
        <w:rPr>
          <w:sz w:val="15"/>
        </w:rPr>
        <w:t>members</w:t>
      </w:r>
      <w:r>
        <w:rPr>
          <w:spacing w:val="-15"/>
          <w:sz w:val="15"/>
        </w:rPr>
        <w:t> </w:t>
      </w:r>
      <w:r>
        <w:rPr>
          <w:spacing w:val="-6"/>
          <w:sz w:val="15"/>
        </w:rPr>
        <w:t>(SP,</w:t>
      </w:r>
      <w:r>
        <w:rPr>
          <w:spacing w:val="-14"/>
          <w:sz w:val="15"/>
        </w:rPr>
        <w:t> </w:t>
      </w:r>
      <w:r>
        <w:rPr>
          <w:sz w:val="15"/>
        </w:rPr>
        <w:t>client</w:t>
      </w:r>
      <w:r>
        <w:rPr>
          <w:spacing w:val="-15"/>
          <w:sz w:val="15"/>
        </w:rPr>
        <w:t> </w:t>
      </w:r>
      <w:r>
        <w:rPr>
          <w:sz w:val="15"/>
        </w:rPr>
        <w:t>and</w:t>
      </w:r>
      <w:r>
        <w:rPr>
          <w:spacing w:val="-15"/>
          <w:sz w:val="15"/>
        </w:rPr>
        <w:t> </w:t>
      </w:r>
      <w:r>
        <w:rPr>
          <w:sz w:val="15"/>
        </w:rPr>
        <w:t>other</w:t>
      </w:r>
      <w:r>
        <w:rPr>
          <w:spacing w:val="-14"/>
          <w:sz w:val="15"/>
        </w:rPr>
        <w:t> </w:t>
      </w:r>
      <w:r>
        <w:rPr>
          <w:sz w:val="15"/>
        </w:rPr>
        <w:t>agencies),</w:t>
      </w:r>
      <w:r>
        <w:rPr>
          <w:spacing w:val="-15"/>
          <w:sz w:val="15"/>
        </w:rPr>
        <w:t> </w:t>
      </w:r>
      <w:r>
        <w:rPr>
          <w:sz w:val="15"/>
        </w:rPr>
        <w:t>and</w:t>
      </w:r>
      <w:r>
        <w:rPr>
          <w:spacing w:val="-14"/>
          <w:sz w:val="15"/>
        </w:rPr>
        <w:t> </w:t>
      </w:r>
      <w:r>
        <w:rPr>
          <w:sz w:val="15"/>
        </w:rPr>
        <w:t>general</w:t>
      </w:r>
      <w:r>
        <w:rPr>
          <w:spacing w:val="-15"/>
          <w:sz w:val="15"/>
        </w:rPr>
        <w:t> </w:t>
      </w:r>
      <w:r>
        <w:rPr>
          <w:sz w:val="15"/>
        </w:rPr>
        <w:t>disbursements (corporate</w:t>
      </w:r>
      <w:r>
        <w:rPr>
          <w:spacing w:val="-1"/>
          <w:sz w:val="15"/>
        </w:rPr>
        <w:t> </w:t>
      </w:r>
      <w:r>
        <w:rPr>
          <w:sz w:val="15"/>
        </w:rPr>
        <w:t>services).</w:t>
      </w:r>
    </w:p>
    <w:p>
      <w:pPr>
        <w:pStyle w:val="ListParagraph"/>
        <w:numPr>
          <w:ilvl w:val="1"/>
          <w:numId w:val="33"/>
        </w:numPr>
        <w:tabs>
          <w:tab w:pos="1045" w:val="left" w:leader="none"/>
        </w:tabs>
        <w:spacing w:line="278" w:lineRule="auto" w:before="0" w:after="0"/>
        <w:ind w:left="1053" w:right="9232" w:hanging="209"/>
        <w:jc w:val="left"/>
        <w:rPr>
          <w:sz w:val="15"/>
        </w:rPr>
      </w:pPr>
      <w:r>
        <w:rPr/>
        <w:pict>
          <v:group style="position:absolute;margin-left:0pt;margin-top:28.431509pt;width:24.1pt;height:41.55pt;mso-position-horizontal-relative:page;mso-position-vertical-relative:paragraph;z-index:28192" coordorigin="0,569" coordsize="482,831">
            <v:shape style="position:absolute;left:0;top:568;width:482;height:831" coordorigin="0,569" coordsize="482,831" path="m66,569l49,569,33,570,16,572,0,574,0,1393,16,1396,33,1397,49,1399,66,1399,140,1392,211,1373,275,1342,333,1301,383,1251,424,1193,455,1129,474,1058,481,984,474,909,455,839,424,774,383,716,333,666,275,625,211,595,140,575,66,569xe" filled="true" fillcolor="#ffffff" stroked="false">
              <v:path arrowok="t"/>
              <v:fill type="solid"/>
            </v:shape>
            <v:shape style="position:absolute;left:0;top:568;width:482;height:831" coordorigin="0,569" coordsize="482,831" path="m66,569l49,569,33,570,16,572,0,574,0,1393,16,1396,33,1397,49,1399,66,1399,140,1392,211,1373,275,1342,333,1301,383,1251,424,1193,455,1129,474,1058,481,984,474,909,455,839,424,774,383,716,333,666,275,625,211,595,140,575,66,569xe" filled="true" fillcolor="#aebd37" stroked="false">
              <v:path arrowok="t"/>
              <v:fill opacity="13107f" type="solid"/>
            </v:shape>
            <v:shape style="position:absolute;left:174;top:897;width:93;height:171" coordorigin="174,898" coordsize="93,171" path="m256,898l248,898,182,964,176,973,174,983,174,985,176,995,182,1004,245,1067,249,1069,256,1069,259,1067,267,1060,267,1051,200,985,200,983,267,916,267,908,256,898xe" filled="true" fillcolor="#000000" stroked="false">
              <v:path arrowok="t"/>
              <v:fill type="solid"/>
            </v:shape>
            <w10:wrap type="none"/>
          </v:group>
        </w:pict>
      </w:r>
      <w:r>
        <w:rPr>
          <w:sz w:val="15"/>
        </w:rPr>
        <w:t>The</w:t>
      </w:r>
      <w:r>
        <w:rPr>
          <w:spacing w:val="-14"/>
          <w:sz w:val="15"/>
        </w:rPr>
        <w:t> </w:t>
      </w:r>
      <w:r>
        <w:rPr>
          <w:sz w:val="15"/>
        </w:rPr>
        <w:t>Strategic</w:t>
      </w:r>
      <w:r>
        <w:rPr>
          <w:spacing w:val="-13"/>
          <w:sz w:val="15"/>
        </w:rPr>
        <w:t> </w:t>
      </w:r>
      <w:r>
        <w:rPr>
          <w:sz w:val="15"/>
        </w:rPr>
        <w:t>Projects</w:t>
      </w:r>
      <w:r>
        <w:rPr>
          <w:spacing w:val="-13"/>
          <w:sz w:val="15"/>
        </w:rPr>
        <w:t> </w:t>
      </w:r>
      <w:r>
        <w:rPr>
          <w:sz w:val="15"/>
        </w:rPr>
        <w:t>function</w:t>
      </w:r>
      <w:r>
        <w:rPr>
          <w:spacing w:val="-13"/>
          <w:sz w:val="15"/>
        </w:rPr>
        <w:t> </w:t>
      </w:r>
      <w:r>
        <w:rPr>
          <w:sz w:val="15"/>
        </w:rPr>
        <w:t>transferred</w:t>
      </w:r>
      <w:r>
        <w:rPr>
          <w:spacing w:val="-14"/>
          <w:sz w:val="15"/>
        </w:rPr>
        <w:t> </w:t>
      </w:r>
      <w:r>
        <w:rPr>
          <w:sz w:val="15"/>
        </w:rPr>
        <w:t>from</w:t>
      </w:r>
      <w:r>
        <w:rPr>
          <w:spacing w:val="-13"/>
          <w:sz w:val="15"/>
        </w:rPr>
        <w:t> </w:t>
      </w:r>
      <w:r>
        <w:rPr>
          <w:sz w:val="15"/>
        </w:rPr>
        <w:t>the</w:t>
      </w:r>
      <w:r>
        <w:rPr>
          <w:spacing w:val="-13"/>
          <w:sz w:val="15"/>
        </w:rPr>
        <w:t> </w:t>
      </w:r>
      <w:r>
        <w:rPr>
          <w:sz w:val="15"/>
        </w:rPr>
        <w:t>Department</w:t>
      </w:r>
      <w:r>
        <w:rPr>
          <w:spacing w:val="-13"/>
          <w:sz w:val="15"/>
        </w:rPr>
        <w:t> </w:t>
      </w:r>
      <w:r>
        <w:rPr>
          <w:sz w:val="15"/>
        </w:rPr>
        <w:t>of</w:t>
      </w:r>
      <w:r>
        <w:rPr>
          <w:spacing w:val="-13"/>
          <w:sz w:val="15"/>
        </w:rPr>
        <w:t> </w:t>
      </w:r>
      <w:r>
        <w:rPr>
          <w:spacing w:val="-3"/>
          <w:sz w:val="15"/>
        </w:rPr>
        <w:t>Treasury</w:t>
      </w:r>
      <w:r>
        <w:rPr>
          <w:spacing w:val="-14"/>
          <w:sz w:val="15"/>
        </w:rPr>
        <w:t> </w:t>
      </w:r>
      <w:r>
        <w:rPr>
          <w:sz w:val="15"/>
        </w:rPr>
        <w:t>to</w:t>
      </w:r>
      <w:r>
        <w:rPr>
          <w:spacing w:val="-13"/>
          <w:sz w:val="15"/>
        </w:rPr>
        <w:t> </w:t>
      </w:r>
      <w:r>
        <w:rPr>
          <w:sz w:val="15"/>
        </w:rPr>
        <w:t>Finance</w:t>
      </w:r>
      <w:r>
        <w:rPr>
          <w:spacing w:val="-13"/>
          <w:sz w:val="15"/>
        </w:rPr>
        <w:t> </w:t>
      </w:r>
      <w:r>
        <w:rPr>
          <w:sz w:val="15"/>
        </w:rPr>
        <w:t>on</w:t>
      </w:r>
      <w:r>
        <w:rPr>
          <w:spacing w:val="-13"/>
          <w:sz w:val="15"/>
        </w:rPr>
        <w:t> </w:t>
      </w:r>
      <w:r>
        <w:rPr>
          <w:sz w:val="15"/>
        </w:rPr>
        <w:t>1</w:t>
      </w:r>
      <w:r>
        <w:rPr>
          <w:spacing w:val="-13"/>
          <w:sz w:val="15"/>
        </w:rPr>
        <w:t> </w:t>
      </w:r>
      <w:r>
        <w:rPr>
          <w:sz w:val="15"/>
        </w:rPr>
        <w:t>July</w:t>
      </w:r>
      <w:r>
        <w:rPr>
          <w:spacing w:val="-14"/>
          <w:sz w:val="15"/>
        </w:rPr>
        <w:t> </w:t>
      </w:r>
      <w:r>
        <w:rPr>
          <w:spacing w:val="-4"/>
          <w:sz w:val="15"/>
        </w:rPr>
        <w:t>2017 </w:t>
      </w:r>
      <w:r>
        <w:rPr>
          <w:sz w:val="15"/>
        </w:rPr>
        <w:t>as</w:t>
      </w:r>
      <w:r>
        <w:rPr>
          <w:spacing w:val="-13"/>
          <w:sz w:val="15"/>
        </w:rPr>
        <w:t> </w:t>
      </w:r>
      <w:r>
        <w:rPr>
          <w:sz w:val="15"/>
        </w:rPr>
        <w:t>a</w:t>
      </w:r>
      <w:r>
        <w:rPr>
          <w:spacing w:val="-13"/>
          <w:sz w:val="15"/>
        </w:rPr>
        <w:t> </w:t>
      </w:r>
      <w:r>
        <w:rPr>
          <w:sz w:val="15"/>
        </w:rPr>
        <w:t>result</w:t>
      </w:r>
      <w:r>
        <w:rPr>
          <w:spacing w:val="-12"/>
          <w:sz w:val="15"/>
        </w:rPr>
        <w:t> </w:t>
      </w:r>
      <w:r>
        <w:rPr>
          <w:sz w:val="15"/>
        </w:rPr>
        <w:t>of</w:t>
      </w:r>
      <w:r>
        <w:rPr>
          <w:spacing w:val="-13"/>
          <w:sz w:val="15"/>
        </w:rPr>
        <w:t> </w:t>
      </w:r>
      <w:r>
        <w:rPr>
          <w:sz w:val="15"/>
        </w:rPr>
        <w:t>Machinery</w:t>
      </w:r>
      <w:r>
        <w:rPr>
          <w:spacing w:val="-13"/>
          <w:sz w:val="15"/>
        </w:rPr>
        <w:t> </w:t>
      </w:r>
      <w:r>
        <w:rPr>
          <w:sz w:val="15"/>
        </w:rPr>
        <w:t>of</w:t>
      </w:r>
      <w:r>
        <w:rPr>
          <w:spacing w:val="-12"/>
          <w:sz w:val="15"/>
        </w:rPr>
        <w:t> </w:t>
      </w:r>
      <w:r>
        <w:rPr>
          <w:sz w:val="15"/>
        </w:rPr>
        <w:t>Government</w:t>
      </w:r>
      <w:r>
        <w:rPr>
          <w:spacing w:val="-13"/>
          <w:sz w:val="15"/>
        </w:rPr>
        <w:t> </w:t>
      </w:r>
      <w:r>
        <w:rPr>
          <w:sz w:val="15"/>
        </w:rPr>
        <w:t>changes.</w:t>
      </w:r>
      <w:r>
        <w:rPr>
          <w:spacing w:val="-13"/>
          <w:sz w:val="15"/>
        </w:rPr>
        <w:t> </w:t>
      </w:r>
      <w:r>
        <w:rPr>
          <w:sz w:val="15"/>
        </w:rPr>
        <w:t>Prior</w:t>
      </w:r>
      <w:r>
        <w:rPr>
          <w:spacing w:val="-12"/>
          <w:sz w:val="15"/>
        </w:rPr>
        <w:t> </w:t>
      </w:r>
      <w:r>
        <w:rPr>
          <w:sz w:val="15"/>
        </w:rPr>
        <w:t>year</w:t>
      </w:r>
      <w:r>
        <w:rPr>
          <w:spacing w:val="-13"/>
          <w:sz w:val="15"/>
        </w:rPr>
        <w:t> </w:t>
      </w:r>
      <w:r>
        <w:rPr>
          <w:sz w:val="15"/>
        </w:rPr>
        <w:t>results</w:t>
      </w:r>
      <w:r>
        <w:rPr>
          <w:spacing w:val="-13"/>
          <w:sz w:val="15"/>
        </w:rPr>
        <w:t> </w:t>
      </w:r>
      <w:r>
        <w:rPr>
          <w:sz w:val="15"/>
        </w:rPr>
        <w:t>were</w:t>
      </w:r>
      <w:r>
        <w:rPr>
          <w:spacing w:val="-12"/>
          <w:sz w:val="15"/>
        </w:rPr>
        <w:t> </w:t>
      </w:r>
      <w:r>
        <w:rPr>
          <w:sz w:val="15"/>
        </w:rPr>
        <w:t>previously</w:t>
      </w:r>
      <w:r>
        <w:rPr>
          <w:spacing w:val="-13"/>
          <w:sz w:val="15"/>
        </w:rPr>
        <w:t> </w:t>
      </w:r>
      <w:r>
        <w:rPr>
          <w:sz w:val="15"/>
        </w:rPr>
        <w:t>disclosed</w:t>
      </w:r>
      <w:r>
        <w:rPr>
          <w:spacing w:val="-13"/>
          <w:sz w:val="15"/>
        </w:rPr>
        <w:t> </w:t>
      </w:r>
      <w:r>
        <w:rPr>
          <w:sz w:val="15"/>
        </w:rPr>
        <w:t>in</w:t>
      </w:r>
      <w:r>
        <w:rPr>
          <w:spacing w:val="-12"/>
          <w:sz w:val="15"/>
        </w:rPr>
        <w:t> </w:t>
      </w:r>
      <w:r>
        <w:rPr>
          <w:sz w:val="15"/>
        </w:rPr>
        <w:t>the annual report of</w:t>
      </w:r>
      <w:r>
        <w:rPr>
          <w:spacing w:val="-2"/>
          <w:sz w:val="15"/>
        </w:rPr>
        <w:t> </w:t>
      </w:r>
      <w:r>
        <w:rPr>
          <w:spacing w:val="-4"/>
          <w:sz w:val="15"/>
        </w:rPr>
        <w:t>Treasury.</w:t>
      </w:r>
    </w:p>
    <w:p>
      <w:pPr>
        <w:pStyle w:val="BodyText"/>
        <w:spacing w:before="8"/>
        <w:rPr>
          <w:sz w:val="13"/>
        </w:rPr>
      </w:pPr>
    </w:p>
    <w:p>
      <w:pPr>
        <w:tabs>
          <w:tab w:pos="10886" w:val="left" w:leader="none"/>
          <w:tab w:pos="11199" w:val="left" w:leader="none"/>
        </w:tabs>
        <w:spacing w:before="108"/>
        <w:ind w:left="765" w:right="0" w:firstLine="0"/>
        <w:jc w:val="left"/>
        <w:rPr>
          <w:b/>
          <w:sz w:val="20"/>
        </w:rPr>
      </w:pPr>
      <w:r>
        <w:rPr>
          <w:b/>
          <w:color w:val="FFFFFF"/>
          <w:w w:val="100"/>
          <w:sz w:val="20"/>
          <w:u w:val="single" w:color="939598"/>
        </w:rPr>
        <w:t> </w:t>
      </w:r>
      <w:r>
        <w:rPr>
          <w:b/>
          <w:color w:val="FFFFFF"/>
          <w:sz w:val="20"/>
          <w:u w:val="single" w:color="939598"/>
        </w:rPr>
        <w:tab/>
      </w:r>
      <w:r>
        <w:rPr>
          <w:b/>
          <w:color w:val="FFFFFF"/>
          <w:sz w:val="20"/>
        </w:rPr>
        <w:tab/>
        <w:t>Department of Finance Annual Report 2017-18</w:t>
      </w:r>
      <w:r>
        <w:rPr>
          <w:b/>
          <w:color w:val="FFFFFF"/>
          <w:spacing w:val="24"/>
          <w:sz w:val="20"/>
        </w:rPr>
        <w:t> </w:t>
      </w:r>
      <w:r>
        <w:rPr>
          <w:b/>
          <w:color w:val="FFFFFF"/>
          <w:sz w:val="20"/>
        </w:rPr>
        <w:t>107</w:t>
      </w:r>
    </w:p>
    <w:p>
      <w:pPr>
        <w:spacing w:after="0"/>
        <w:jc w:val="left"/>
        <w:rPr>
          <w:sz w:val="20"/>
        </w:rPr>
        <w:sectPr>
          <w:type w:val="continuous"/>
          <w:pgSz w:w="16840" w:h="11910" w:orient="landscape"/>
          <w:pgMar w:top="1100" w:bottom="280" w:left="0" w:right="0"/>
        </w:sectPr>
      </w:pPr>
    </w:p>
    <w:p>
      <w:pPr>
        <w:pStyle w:val="BodyText"/>
        <w:rPr>
          <w:sz w:val="20"/>
        </w:rPr>
      </w:pPr>
      <w:bookmarkStart w:name="_bookmark47" w:id="48"/>
      <w:bookmarkEnd w:id="48"/>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1"/>
        <w:rPr>
          <w:b/>
          <w:sz w:val="20"/>
        </w:rPr>
      </w:pPr>
    </w:p>
    <w:p>
      <w:pPr>
        <w:spacing w:after="0"/>
        <w:rPr>
          <w:sz w:val="20"/>
        </w:rPr>
        <w:sectPr>
          <w:footerReference w:type="default" r:id="rId218"/>
          <w:pgSz w:w="16840" w:h="11910" w:orient="landscape"/>
          <w:pgMar w:footer="0" w:header="0" w:top="0" w:bottom="0" w:left="0" w:right="0"/>
        </w:sectPr>
      </w:pPr>
    </w:p>
    <w:p>
      <w:pPr>
        <w:pStyle w:val="Heading1"/>
        <w:spacing w:line="232" w:lineRule="auto" w:before="113"/>
      </w:pPr>
      <w:r>
        <w:rPr/>
        <w:pict>
          <v:group style="position:absolute;margin-left:120.271004pt;margin-top:-67.337242pt;width:721.65pt;height:42.55pt;mso-position-horizontal-relative:page;mso-position-vertical-relative:paragraph;z-index:28504" coordorigin="2405,-1347" coordsize="14433,851">
            <v:rect style="position:absolute;left:14432;top:-1347;width:2406;height:851" filled="true" fillcolor="#bba1bc" stroked="false">
              <v:fill type="solid"/>
            </v:rect>
            <v:shape style="position:absolute;left:14432;top:-1347;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7;width:2406;height:851" type="#_x0000_t202" filled="true" fillcolor="#d4d896"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7;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7;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w w:val="85"/>
        </w:rPr>
        <w:t>Ministerial </w:t>
      </w:r>
      <w:r>
        <w:rPr>
          <w:color w:val="6F2770"/>
          <w:w w:val="90"/>
        </w:rPr>
        <w:t>Directives</w:t>
      </w:r>
    </w:p>
    <w:p>
      <w:pPr>
        <w:pStyle w:val="BodyText"/>
        <w:spacing w:line="249" w:lineRule="auto" w:before="212"/>
        <w:ind w:left="765" w:right="32"/>
      </w:pPr>
      <w:r>
        <w:rPr/>
        <w:pict>
          <v:group style="position:absolute;margin-left:0pt;margin-top:55.885006pt;width:547.3pt;height:386.15pt;mso-position-horizontal-relative:page;mso-position-vertical-relative:paragraph;z-index:-684160" coordorigin="0,1118" coordsize="10946,7723">
            <v:shape style="position:absolute;left:0;top:1117;width:10946;height:7723" type="#_x0000_t75" stroked="false">
              <v:imagedata r:id="rId13" o:title=""/>
            </v:shape>
            <v:shape style="position:absolute;left:0;top:7865;width:482;height:831" coordorigin="0,7866" coordsize="482,831" path="m66,7866l49,7866,33,7867,16,7869,0,7872,0,8691,16,8693,33,8695,49,8696,66,8696,140,8690,211,8670,275,8640,333,8599,383,8549,424,8491,455,8426,474,8356,481,8281,474,8206,455,8136,424,8072,383,8014,333,7964,275,7923,211,7892,140,7873,66,7866xe" filled="true" fillcolor="#ffffff" stroked="false">
              <v:path arrowok="t"/>
              <v:fill type="solid"/>
            </v:shape>
            <v:shape style="position:absolute;left:0;top:7865;width:482;height:831" coordorigin="0,7866" coordsize="482,831" path="m66,7866l49,7866,33,7867,16,7869,0,7872,0,8691,16,8693,33,8695,49,8696,66,8696,140,8690,211,8670,275,8640,333,8599,383,8549,424,8491,455,8426,474,8356,481,8281,474,8206,455,8136,424,8072,383,8014,333,7964,275,7923,211,7892,140,7873,66,7866xe" filled="true" fillcolor="#aebd37" stroked="false">
              <v:path arrowok="t"/>
              <v:fill opacity="13107f" type="solid"/>
            </v:shape>
            <v:shape style="position:absolute;left:174;top:8195;width:93;height:171" coordorigin="174,8195" coordsize="93,171" path="m256,8195l248,8195,182,8261,176,8270,174,8280,174,8282,176,8292,182,8301,245,8365,249,8366,256,8366,259,8365,267,8357,267,8349,200,8282,200,8280,267,8214,267,8205,256,8195xe" filled="true" fillcolor="#000000" stroked="false">
              <v:path arrowok="t"/>
              <v:fill type="solid"/>
            </v:shape>
            <w10:wrap type="none"/>
          </v:group>
        </w:pict>
      </w:r>
      <w:r>
        <w:rPr>
          <w:spacing w:val="-5"/>
        </w:rPr>
        <w:t>Treasurer’s </w:t>
      </w:r>
      <w:r>
        <w:rPr/>
        <w:t>Instruction 903 (12) requires the Department to disclose information on any ministerial directives relevant to the setting or achievement</w:t>
      </w:r>
      <w:r>
        <w:rPr>
          <w:spacing w:val="-29"/>
        </w:rPr>
        <w:t> </w:t>
      </w:r>
      <w:r>
        <w:rPr/>
        <w:t>of</w:t>
      </w:r>
      <w:r>
        <w:rPr>
          <w:spacing w:val="-29"/>
        </w:rPr>
        <w:t> </w:t>
      </w:r>
      <w:r>
        <w:rPr/>
        <w:t>desired</w:t>
      </w:r>
      <w:r>
        <w:rPr>
          <w:spacing w:val="-28"/>
        </w:rPr>
        <w:t> </w:t>
      </w:r>
      <w:r>
        <w:rPr/>
        <w:t>outcomes</w:t>
      </w:r>
      <w:r>
        <w:rPr>
          <w:spacing w:val="-29"/>
        </w:rPr>
        <w:t> </w:t>
      </w:r>
      <w:r>
        <w:rPr/>
        <w:t>or</w:t>
      </w:r>
      <w:r>
        <w:rPr>
          <w:spacing w:val="-28"/>
        </w:rPr>
        <w:t> </w:t>
      </w:r>
      <w:r>
        <w:rPr/>
        <w:t>operational objectives, investment activities, and financing activities.</w:t>
      </w:r>
    </w:p>
    <w:p>
      <w:pPr>
        <w:pStyle w:val="BodyText"/>
        <w:spacing w:before="5"/>
        <w:rPr>
          <w:sz w:val="23"/>
        </w:rPr>
      </w:pPr>
    </w:p>
    <w:p>
      <w:pPr>
        <w:pStyle w:val="BodyText"/>
        <w:spacing w:line="249" w:lineRule="auto"/>
        <w:ind w:left="765" w:right="-10"/>
      </w:pPr>
      <w:r>
        <w:rPr/>
        <w:t>No</w:t>
      </w:r>
      <w:r>
        <w:rPr>
          <w:spacing w:val="-30"/>
        </w:rPr>
        <w:t> </w:t>
      </w:r>
      <w:r>
        <w:rPr/>
        <w:t>ministerial</w:t>
      </w:r>
      <w:r>
        <w:rPr>
          <w:spacing w:val="-29"/>
        </w:rPr>
        <w:t> </w:t>
      </w:r>
      <w:r>
        <w:rPr/>
        <w:t>directives</w:t>
      </w:r>
      <w:r>
        <w:rPr>
          <w:spacing w:val="-30"/>
        </w:rPr>
        <w:t> </w:t>
      </w:r>
      <w:r>
        <w:rPr/>
        <w:t>were</w:t>
      </w:r>
      <w:r>
        <w:rPr>
          <w:spacing w:val="-29"/>
        </w:rPr>
        <w:t> </w:t>
      </w:r>
      <w:r>
        <w:rPr/>
        <w:t>received</w:t>
      </w:r>
      <w:r>
        <w:rPr>
          <w:spacing w:val="-30"/>
        </w:rPr>
        <w:t> </w:t>
      </w:r>
      <w:r>
        <w:rPr/>
        <w:t>during</w:t>
      </w:r>
      <w:r>
        <w:rPr>
          <w:spacing w:val="-29"/>
        </w:rPr>
        <w:t> </w:t>
      </w:r>
      <w:r>
        <w:rPr>
          <w:spacing w:val="-7"/>
        </w:rPr>
        <w:t>the </w:t>
      </w:r>
      <w:r>
        <w:rPr/>
        <w:t>financial</w:t>
      </w:r>
      <w:r>
        <w:rPr>
          <w:spacing w:val="-2"/>
        </w:rPr>
        <w:t> </w:t>
      </w:r>
      <w:r>
        <w:rPr>
          <w:spacing w:val="-5"/>
        </w:rPr>
        <w:t>year.</w:t>
      </w:r>
    </w:p>
    <w:p>
      <w:pPr>
        <w:pStyle w:val="Heading1"/>
        <w:spacing w:before="93"/>
        <w:ind w:left="598"/>
      </w:pPr>
      <w:r>
        <w:rPr/>
        <w:br w:type="column"/>
      </w:r>
      <w:r>
        <w:rPr>
          <w:color w:val="6F2770"/>
        </w:rPr>
        <w:t>Other Financial</w:t>
      </w:r>
      <w:r>
        <w:rPr>
          <w:color w:val="6F2770"/>
          <w:spacing w:val="-89"/>
        </w:rPr>
        <w:t> </w:t>
      </w:r>
      <w:r>
        <w:rPr>
          <w:color w:val="6F2770"/>
        </w:rPr>
        <w:t>Disclosures</w:t>
      </w:r>
    </w:p>
    <w:p>
      <w:pPr>
        <w:pStyle w:val="Heading4"/>
        <w:spacing w:before="109"/>
        <w:ind w:left="598"/>
      </w:pPr>
      <w:r>
        <w:rPr>
          <w:color w:val="6F2770"/>
        </w:rPr>
        <w:t>Pricing policies of services provided</w:t>
      </w:r>
    </w:p>
    <w:p>
      <w:pPr>
        <w:pStyle w:val="BodyText"/>
        <w:spacing w:line="249" w:lineRule="auto" w:before="246"/>
        <w:ind w:left="598" w:right="796"/>
      </w:pPr>
      <w:r>
        <w:rPr/>
        <w:t>The</w:t>
      </w:r>
      <w:r>
        <w:rPr>
          <w:spacing w:val="-17"/>
        </w:rPr>
        <w:t> </w:t>
      </w:r>
      <w:r>
        <w:rPr>
          <w:spacing w:val="-3"/>
        </w:rPr>
        <w:t>Department’s</w:t>
      </w:r>
      <w:r>
        <w:rPr>
          <w:spacing w:val="-17"/>
        </w:rPr>
        <w:t> </w:t>
      </w:r>
      <w:r>
        <w:rPr/>
        <w:t>fees</w:t>
      </w:r>
      <w:r>
        <w:rPr>
          <w:spacing w:val="-17"/>
        </w:rPr>
        <w:t> </w:t>
      </w:r>
      <w:r>
        <w:rPr/>
        <w:t>and</w:t>
      </w:r>
      <w:r>
        <w:rPr>
          <w:spacing w:val="-17"/>
        </w:rPr>
        <w:t> </w:t>
      </w:r>
      <w:r>
        <w:rPr/>
        <w:t>charges</w:t>
      </w:r>
      <w:r>
        <w:rPr>
          <w:spacing w:val="-16"/>
        </w:rPr>
        <w:t> </w:t>
      </w:r>
      <w:r>
        <w:rPr/>
        <w:t>were</w:t>
      </w:r>
      <w:r>
        <w:rPr>
          <w:spacing w:val="-17"/>
        </w:rPr>
        <w:t> </w:t>
      </w:r>
      <w:r>
        <w:rPr/>
        <w:t>reviewed</w:t>
      </w:r>
      <w:r>
        <w:rPr>
          <w:spacing w:val="-17"/>
        </w:rPr>
        <w:t> </w:t>
      </w:r>
      <w:r>
        <w:rPr/>
        <w:t>in</w:t>
      </w:r>
      <w:r>
        <w:rPr>
          <w:spacing w:val="-17"/>
        </w:rPr>
        <w:t> </w:t>
      </w:r>
      <w:r>
        <w:rPr/>
        <w:t>2017-18</w:t>
      </w:r>
      <w:r>
        <w:rPr>
          <w:spacing w:val="-16"/>
        </w:rPr>
        <w:t> </w:t>
      </w:r>
      <w:r>
        <w:rPr/>
        <w:t>in</w:t>
      </w:r>
      <w:r>
        <w:rPr>
          <w:spacing w:val="-17"/>
        </w:rPr>
        <w:t> </w:t>
      </w:r>
      <w:r>
        <w:rPr/>
        <w:t>accordance</w:t>
      </w:r>
      <w:r>
        <w:rPr>
          <w:spacing w:val="-17"/>
        </w:rPr>
        <w:t> </w:t>
      </w:r>
      <w:r>
        <w:rPr/>
        <w:t>with</w:t>
      </w:r>
      <w:r>
        <w:rPr>
          <w:spacing w:val="-17"/>
        </w:rPr>
        <w:t> </w:t>
      </w:r>
      <w:r>
        <w:rPr/>
        <w:t>the</w:t>
      </w:r>
      <w:r>
        <w:rPr>
          <w:spacing w:val="-17"/>
        </w:rPr>
        <w:t> </w:t>
      </w:r>
      <w:r>
        <w:rPr/>
        <w:t>State</w:t>
      </w:r>
      <w:r>
        <w:rPr>
          <w:spacing w:val="-16"/>
        </w:rPr>
        <w:t> </w:t>
      </w:r>
      <w:r>
        <w:rPr>
          <w:spacing w:val="-4"/>
        </w:rPr>
        <w:t>Government’s </w:t>
      </w:r>
      <w:r>
        <w:rPr>
          <w:spacing w:val="-3"/>
        </w:rPr>
        <w:t>policy.</w:t>
      </w:r>
      <w:r>
        <w:rPr>
          <w:spacing w:val="-15"/>
        </w:rPr>
        <w:t> </w:t>
      </w:r>
      <w:r>
        <w:rPr/>
        <w:t>Increases</w:t>
      </w:r>
      <w:r>
        <w:rPr>
          <w:spacing w:val="-14"/>
        </w:rPr>
        <w:t> </w:t>
      </w:r>
      <w:r>
        <w:rPr/>
        <w:t>were</w:t>
      </w:r>
      <w:r>
        <w:rPr>
          <w:spacing w:val="-14"/>
        </w:rPr>
        <w:t> </w:t>
      </w:r>
      <w:r>
        <w:rPr/>
        <w:t>limited</w:t>
      </w:r>
      <w:r>
        <w:rPr>
          <w:spacing w:val="-14"/>
        </w:rPr>
        <w:t> </w:t>
      </w:r>
      <w:r>
        <w:rPr/>
        <w:t>to</w:t>
      </w:r>
      <w:r>
        <w:rPr>
          <w:spacing w:val="-15"/>
        </w:rPr>
        <w:t> </w:t>
      </w:r>
      <w:r>
        <w:rPr/>
        <w:t>the</w:t>
      </w:r>
      <w:r>
        <w:rPr>
          <w:spacing w:val="-14"/>
        </w:rPr>
        <w:t> </w:t>
      </w:r>
      <w:r>
        <w:rPr/>
        <w:t>Consumer</w:t>
      </w:r>
      <w:r>
        <w:rPr>
          <w:spacing w:val="-14"/>
        </w:rPr>
        <w:t> </w:t>
      </w:r>
      <w:r>
        <w:rPr/>
        <w:t>Price</w:t>
      </w:r>
      <w:r>
        <w:rPr>
          <w:spacing w:val="-14"/>
        </w:rPr>
        <w:t> </w:t>
      </w:r>
      <w:r>
        <w:rPr/>
        <w:t>Index</w:t>
      </w:r>
      <w:r>
        <w:rPr>
          <w:spacing w:val="-15"/>
        </w:rPr>
        <w:t> </w:t>
      </w:r>
      <w:r>
        <w:rPr/>
        <w:t>as</w:t>
      </w:r>
      <w:r>
        <w:rPr>
          <w:spacing w:val="-14"/>
        </w:rPr>
        <w:t> </w:t>
      </w:r>
      <w:r>
        <w:rPr/>
        <w:t>advised</w:t>
      </w:r>
      <w:r>
        <w:rPr>
          <w:spacing w:val="-14"/>
        </w:rPr>
        <w:t> </w:t>
      </w:r>
      <w:r>
        <w:rPr/>
        <w:t>by</w:t>
      </w:r>
      <w:r>
        <w:rPr>
          <w:spacing w:val="-14"/>
        </w:rPr>
        <w:t> </w:t>
      </w:r>
      <w:r>
        <w:rPr/>
        <w:t>the</w:t>
      </w:r>
      <w:r>
        <w:rPr>
          <w:spacing w:val="-15"/>
        </w:rPr>
        <w:t> </w:t>
      </w:r>
      <w:r>
        <w:rPr/>
        <w:t>Department</w:t>
      </w:r>
      <w:r>
        <w:rPr>
          <w:spacing w:val="-14"/>
        </w:rPr>
        <w:t> </w:t>
      </w:r>
      <w:r>
        <w:rPr/>
        <w:t>of</w:t>
      </w:r>
      <w:r>
        <w:rPr>
          <w:spacing w:val="-14"/>
        </w:rPr>
        <w:t> </w:t>
      </w:r>
      <w:r>
        <w:rPr>
          <w:spacing w:val="-6"/>
        </w:rPr>
        <w:t>Treasury.</w:t>
      </w:r>
    </w:p>
    <w:p>
      <w:pPr>
        <w:pStyle w:val="BodyText"/>
        <w:spacing w:before="2"/>
        <w:ind w:left="598"/>
      </w:pPr>
      <w:r>
        <w:rPr/>
        <w:t>Where possible, full cost-recovery was sought pursuant to the Department’s policy for fees and charges.</w:t>
      </w:r>
    </w:p>
    <w:p>
      <w:pPr>
        <w:pStyle w:val="BodyText"/>
        <w:spacing w:before="10"/>
        <w:rPr>
          <w:sz w:val="23"/>
        </w:rPr>
      </w:pPr>
    </w:p>
    <w:p>
      <w:pPr>
        <w:pStyle w:val="BodyText"/>
        <w:spacing w:line="249" w:lineRule="auto"/>
        <w:ind w:left="598" w:right="792"/>
      </w:pPr>
      <w:r>
        <w:rPr/>
        <w:t>Aside</w:t>
      </w:r>
      <w:r>
        <w:rPr>
          <w:spacing w:val="-18"/>
        </w:rPr>
        <w:t> </w:t>
      </w:r>
      <w:r>
        <w:rPr/>
        <w:t>from</w:t>
      </w:r>
      <w:r>
        <w:rPr>
          <w:spacing w:val="-18"/>
        </w:rPr>
        <w:t> </w:t>
      </w:r>
      <w:r>
        <w:rPr/>
        <w:t>the</w:t>
      </w:r>
      <w:r>
        <w:rPr>
          <w:spacing w:val="-18"/>
        </w:rPr>
        <w:t> </w:t>
      </w:r>
      <w:r>
        <w:rPr>
          <w:spacing w:val="-3"/>
        </w:rPr>
        <w:t>Department’s</w:t>
      </w:r>
      <w:r>
        <w:rPr>
          <w:spacing w:val="-18"/>
        </w:rPr>
        <w:t> </w:t>
      </w:r>
      <w:r>
        <w:rPr/>
        <w:t>retained</w:t>
      </w:r>
      <w:r>
        <w:rPr>
          <w:spacing w:val="-18"/>
        </w:rPr>
        <w:t> </w:t>
      </w:r>
      <w:r>
        <w:rPr/>
        <w:t>fees</w:t>
      </w:r>
      <w:r>
        <w:rPr>
          <w:spacing w:val="-18"/>
        </w:rPr>
        <w:t> </w:t>
      </w:r>
      <w:r>
        <w:rPr/>
        <w:t>and</w:t>
      </w:r>
      <w:r>
        <w:rPr>
          <w:spacing w:val="-18"/>
        </w:rPr>
        <w:t> </w:t>
      </w:r>
      <w:r>
        <w:rPr/>
        <w:t>charges,</w:t>
      </w:r>
      <w:r>
        <w:rPr>
          <w:spacing w:val="-18"/>
        </w:rPr>
        <w:t> </w:t>
      </w:r>
      <w:r>
        <w:rPr/>
        <w:t>the</w:t>
      </w:r>
      <w:r>
        <w:rPr>
          <w:spacing w:val="-17"/>
        </w:rPr>
        <w:t> </w:t>
      </w:r>
      <w:r>
        <w:rPr/>
        <w:t>Department</w:t>
      </w:r>
      <w:r>
        <w:rPr>
          <w:spacing w:val="-18"/>
        </w:rPr>
        <w:t> </w:t>
      </w:r>
      <w:r>
        <w:rPr/>
        <w:t>collects</w:t>
      </w:r>
      <w:r>
        <w:rPr>
          <w:spacing w:val="-18"/>
        </w:rPr>
        <w:t> </w:t>
      </w:r>
      <w:r>
        <w:rPr/>
        <w:t>fees</w:t>
      </w:r>
      <w:r>
        <w:rPr>
          <w:spacing w:val="-18"/>
        </w:rPr>
        <w:t> </w:t>
      </w:r>
      <w:r>
        <w:rPr/>
        <w:t>and</w:t>
      </w:r>
      <w:r>
        <w:rPr>
          <w:spacing w:val="-18"/>
        </w:rPr>
        <w:t> </w:t>
      </w:r>
      <w:r>
        <w:rPr/>
        <w:t>taxes</w:t>
      </w:r>
      <w:r>
        <w:rPr>
          <w:spacing w:val="-18"/>
        </w:rPr>
        <w:t> </w:t>
      </w:r>
      <w:r>
        <w:rPr/>
        <w:t>on</w:t>
      </w:r>
      <w:r>
        <w:rPr>
          <w:spacing w:val="-18"/>
        </w:rPr>
        <w:t> </w:t>
      </w:r>
      <w:r>
        <w:rPr/>
        <w:t>behalf of</w:t>
      </w:r>
      <w:r>
        <w:rPr>
          <w:spacing w:val="-19"/>
        </w:rPr>
        <w:t> </w:t>
      </w:r>
      <w:r>
        <w:rPr/>
        <w:t>a</w:t>
      </w:r>
      <w:r>
        <w:rPr>
          <w:spacing w:val="-19"/>
        </w:rPr>
        <w:t> </w:t>
      </w:r>
      <w:r>
        <w:rPr/>
        <w:t>range</w:t>
      </w:r>
      <w:r>
        <w:rPr>
          <w:spacing w:val="-19"/>
        </w:rPr>
        <w:t> </w:t>
      </w:r>
      <w:r>
        <w:rPr/>
        <w:t>of</w:t>
      </w:r>
      <w:r>
        <w:rPr>
          <w:spacing w:val="-19"/>
        </w:rPr>
        <w:t> </w:t>
      </w:r>
      <w:r>
        <w:rPr/>
        <w:t>State</w:t>
      </w:r>
      <w:r>
        <w:rPr>
          <w:spacing w:val="-19"/>
        </w:rPr>
        <w:t> </w:t>
      </w:r>
      <w:r>
        <w:rPr/>
        <w:t>Government</w:t>
      </w:r>
      <w:r>
        <w:rPr>
          <w:spacing w:val="-19"/>
        </w:rPr>
        <w:t> </w:t>
      </w:r>
      <w:r>
        <w:rPr/>
        <w:t>and</w:t>
      </w:r>
      <w:r>
        <w:rPr>
          <w:spacing w:val="-19"/>
        </w:rPr>
        <w:t> </w:t>
      </w:r>
      <w:r>
        <w:rPr/>
        <w:t>other</w:t>
      </w:r>
      <w:r>
        <w:rPr>
          <w:spacing w:val="-19"/>
        </w:rPr>
        <w:t> </w:t>
      </w:r>
      <w:r>
        <w:rPr/>
        <w:t>agencies</w:t>
      </w:r>
      <w:r>
        <w:rPr>
          <w:spacing w:val="-19"/>
        </w:rPr>
        <w:t> </w:t>
      </w:r>
      <w:r>
        <w:rPr/>
        <w:t>with</w:t>
      </w:r>
      <w:r>
        <w:rPr>
          <w:spacing w:val="-18"/>
        </w:rPr>
        <w:t> </w:t>
      </w:r>
      <w:r>
        <w:rPr/>
        <w:t>costings</w:t>
      </w:r>
      <w:r>
        <w:rPr>
          <w:spacing w:val="-19"/>
        </w:rPr>
        <w:t> </w:t>
      </w:r>
      <w:r>
        <w:rPr/>
        <w:t>set</w:t>
      </w:r>
      <w:r>
        <w:rPr>
          <w:spacing w:val="-19"/>
        </w:rPr>
        <w:t> </w:t>
      </w:r>
      <w:r>
        <w:rPr/>
        <w:t>by</w:t>
      </w:r>
      <w:r>
        <w:rPr>
          <w:spacing w:val="-19"/>
        </w:rPr>
        <w:t> </w:t>
      </w:r>
      <w:r>
        <w:rPr/>
        <w:t>respective</w:t>
      </w:r>
      <w:r>
        <w:rPr>
          <w:spacing w:val="-19"/>
        </w:rPr>
        <w:t> </w:t>
      </w:r>
      <w:r>
        <w:rPr/>
        <w:t>agency</w:t>
      </w:r>
      <w:r>
        <w:rPr>
          <w:spacing w:val="-19"/>
        </w:rPr>
        <w:t> </w:t>
      </w:r>
      <w:r>
        <w:rPr/>
        <w:t>pricing</w:t>
      </w:r>
      <w:r>
        <w:rPr>
          <w:spacing w:val="-19"/>
        </w:rPr>
        <w:t> </w:t>
      </w:r>
      <w:r>
        <w:rPr/>
        <w:t>policies and approval</w:t>
      </w:r>
      <w:r>
        <w:rPr>
          <w:spacing w:val="-2"/>
        </w:rPr>
        <w:t> </w:t>
      </w:r>
      <w:r>
        <w:rPr/>
        <w:t>processes.</w:t>
      </w:r>
    </w:p>
    <w:p>
      <w:pPr>
        <w:pStyle w:val="BodyText"/>
        <w:spacing w:before="4"/>
        <w:rPr>
          <w:sz w:val="26"/>
        </w:rPr>
      </w:pPr>
    </w:p>
    <w:p>
      <w:pPr>
        <w:pStyle w:val="Heading4"/>
        <w:spacing w:before="1"/>
        <w:ind w:left="598"/>
      </w:pPr>
      <w:r>
        <w:rPr>
          <w:color w:val="6F2770"/>
        </w:rPr>
        <w:t>Capital works</w:t>
      </w:r>
    </w:p>
    <w:p>
      <w:pPr>
        <w:pStyle w:val="BodyText"/>
        <w:spacing w:line="249" w:lineRule="auto" w:before="245"/>
        <w:ind w:left="598" w:right="1059"/>
      </w:pPr>
      <w:r>
        <w:rPr/>
        <w:t>In</w:t>
      </w:r>
      <w:r>
        <w:rPr>
          <w:spacing w:val="-15"/>
        </w:rPr>
        <w:t> </w:t>
      </w:r>
      <w:r>
        <w:rPr/>
        <w:t>2017-18,</w:t>
      </w:r>
      <w:r>
        <w:rPr>
          <w:spacing w:val="-14"/>
        </w:rPr>
        <w:t> </w:t>
      </w:r>
      <w:r>
        <w:rPr/>
        <w:t>a</w:t>
      </w:r>
      <w:r>
        <w:rPr>
          <w:spacing w:val="-14"/>
        </w:rPr>
        <w:t> </w:t>
      </w:r>
      <w:r>
        <w:rPr/>
        <w:t>total</w:t>
      </w:r>
      <w:r>
        <w:rPr>
          <w:spacing w:val="-14"/>
        </w:rPr>
        <w:t> </w:t>
      </w:r>
      <w:r>
        <w:rPr/>
        <w:t>of</w:t>
      </w:r>
      <w:r>
        <w:rPr>
          <w:spacing w:val="-15"/>
        </w:rPr>
        <w:t> </w:t>
      </w:r>
      <w:r>
        <w:rPr/>
        <w:t>$124</w:t>
      </w:r>
      <w:r>
        <w:rPr>
          <w:spacing w:val="-14"/>
        </w:rPr>
        <w:t> </w:t>
      </w:r>
      <w:r>
        <w:rPr/>
        <w:t>million</w:t>
      </w:r>
      <w:r>
        <w:rPr>
          <w:spacing w:val="-14"/>
        </w:rPr>
        <w:t> </w:t>
      </w:r>
      <w:r>
        <w:rPr/>
        <w:t>was</w:t>
      </w:r>
      <w:r>
        <w:rPr>
          <w:spacing w:val="-15"/>
        </w:rPr>
        <w:t> </w:t>
      </w:r>
      <w:r>
        <w:rPr/>
        <w:t>spent</w:t>
      </w:r>
      <w:r>
        <w:rPr>
          <w:spacing w:val="-14"/>
        </w:rPr>
        <w:t> </w:t>
      </w:r>
      <w:r>
        <w:rPr/>
        <w:t>on</w:t>
      </w:r>
      <w:r>
        <w:rPr>
          <w:spacing w:val="-14"/>
        </w:rPr>
        <w:t> </w:t>
      </w:r>
      <w:r>
        <w:rPr/>
        <w:t>capital</w:t>
      </w:r>
      <w:r>
        <w:rPr>
          <w:spacing w:val="-14"/>
        </w:rPr>
        <w:t> </w:t>
      </w:r>
      <w:r>
        <w:rPr/>
        <w:t>investments</w:t>
      </w:r>
      <w:r>
        <w:rPr>
          <w:spacing w:val="-15"/>
        </w:rPr>
        <w:t> </w:t>
      </w:r>
      <w:r>
        <w:rPr/>
        <w:t>by</w:t>
      </w:r>
      <w:r>
        <w:rPr>
          <w:spacing w:val="-14"/>
        </w:rPr>
        <w:t> </w:t>
      </w:r>
      <w:r>
        <w:rPr/>
        <w:t>the</w:t>
      </w:r>
      <w:r>
        <w:rPr>
          <w:spacing w:val="-14"/>
        </w:rPr>
        <w:t> </w:t>
      </w:r>
      <w:r>
        <w:rPr/>
        <w:t>Department.</w:t>
      </w:r>
      <w:r>
        <w:rPr>
          <w:spacing w:val="-14"/>
        </w:rPr>
        <w:t> </w:t>
      </w:r>
      <w:r>
        <w:rPr/>
        <w:t>The</w:t>
      </w:r>
      <w:r>
        <w:rPr>
          <w:spacing w:val="-15"/>
        </w:rPr>
        <w:t> </w:t>
      </w:r>
      <w:r>
        <w:rPr/>
        <w:t>key</w:t>
      </w:r>
      <w:r>
        <w:rPr>
          <w:spacing w:val="-14"/>
        </w:rPr>
        <w:t> </w:t>
      </w:r>
      <w:r>
        <w:rPr>
          <w:spacing w:val="-3"/>
        </w:rPr>
        <w:t>capital </w:t>
      </w:r>
      <w:r>
        <w:rPr/>
        <w:t>projects included in this figure are detailed in the table</w:t>
      </w:r>
      <w:r>
        <w:rPr>
          <w:spacing w:val="-26"/>
        </w:rPr>
        <w:t> </w:t>
      </w:r>
      <w:r>
        <w:rPr/>
        <w:t>below:</w:t>
      </w:r>
    </w:p>
    <w:p>
      <w:pPr>
        <w:spacing w:after="0" w:line="249" w:lineRule="auto"/>
        <w:sectPr>
          <w:type w:val="continuous"/>
          <w:pgSz w:w="16840" w:h="11910" w:orient="landscape"/>
          <w:pgMar w:top="1100" w:bottom="280" w:left="0" w:right="0"/>
          <w:cols w:num="2" w:equalWidth="0">
            <w:col w:w="5371" w:space="40"/>
            <w:col w:w="11429"/>
          </w:cols>
        </w:sectPr>
      </w:pPr>
    </w:p>
    <w:p>
      <w:pPr>
        <w:pStyle w:val="BodyText"/>
        <w:rPr>
          <w:sz w:val="20"/>
        </w:rPr>
      </w:pPr>
    </w:p>
    <w:p>
      <w:pPr>
        <w:pStyle w:val="BodyText"/>
        <w:spacing w:before="1"/>
        <w:rPr>
          <w:sz w:val="10"/>
        </w:rPr>
      </w:pPr>
    </w:p>
    <w:tbl>
      <w:tblPr>
        <w:tblW w:w="0" w:type="auto"/>
        <w:jc w:val="left"/>
        <w:tblInd w:w="6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5"/>
        <w:gridCol w:w="1304"/>
        <w:gridCol w:w="1304"/>
        <w:gridCol w:w="1304"/>
        <w:gridCol w:w="1304"/>
        <w:gridCol w:w="1304"/>
      </w:tblGrid>
      <w:tr>
        <w:trPr>
          <w:trHeight w:val="989" w:hRule="atLeast"/>
        </w:trPr>
        <w:tc>
          <w:tcPr>
            <w:tcW w:w="3515" w:type="dxa"/>
            <w:tcBorders>
              <w:left w:val="single" w:sz="8" w:space="0" w:color="FFFFFF"/>
            </w:tcBorders>
            <w:shd w:val="clear" w:color="auto" w:fill="783A79"/>
          </w:tcPr>
          <w:p>
            <w:pPr>
              <w:pStyle w:val="TableParagraph"/>
              <w:spacing w:before="42"/>
              <w:ind w:left="113"/>
              <w:rPr>
                <w:b/>
                <w:sz w:val="19"/>
              </w:rPr>
            </w:pPr>
            <w:r>
              <w:rPr>
                <w:b/>
                <w:color w:val="FFFFFF"/>
                <w:sz w:val="19"/>
              </w:rPr>
              <w:t>Project</w:t>
            </w:r>
          </w:p>
        </w:tc>
        <w:tc>
          <w:tcPr>
            <w:tcW w:w="1304" w:type="dxa"/>
            <w:shd w:val="clear" w:color="auto" w:fill="783A79"/>
          </w:tcPr>
          <w:p>
            <w:pPr>
              <w:pStyle w:val="TableParagraph"/>
              <w:spacing w:line="249" w:lineRule="auto" w:before="42"/>
              <w:ind w:left="184" w:right="86" w:firstLine="164"/>
              <w:rPr>
                <w:b/>
                <w:sz w:val="19"/>
              </w:rPr>
            </w:pPr>
            <w:r>
              <w:rPr>
                <w:b/>
                <w:color w:val="FFFFFF"/>
                <w:sz w:val="19"/>
              </w:rPr>
              <w:t>Expected completion</w:t>
            </w:r>
          </w:p>
          <w:p>
            <w:pPr>
              <w:pStyle w:val="TableParagraph"/>
              <w:spacing w:before="2"/>
              <w:ind w:left="799"/>
              <w:rPr>
                <w:b/>
                <w:sz w:val="19"/>
              </w:rPr>
            </w:pPr>
            <w:r>
              <w:rPr>
                <w:b/>
                <w:color w:val="FFFFFF"/>
                <w:w w:val="105"/>
                <w:sz w:val="19"/>
              </w:rPr>
              <w:t>date</w:t>
            </w:r>
          </w:p>
        </w:tc>
        <w:tc>
          <w:tcPr>
            <w:tcW w:w="1304" w:type="dxa"/>
            <w:shd w:val="clear" w:color="auto" w:fill="783A79"/>
          </w:tcPr>
          <w:p>
            <w:pPr>
              <w:pStyle w:val="TableParagraph"/>
              <w:spacing w:line="249" w:lineRule="auto" w:before="42"/>
              <w:ind w:left="127" w:right="91" w:firstLine="496"/>
              <w:rPr>
                <w:b/>
                <w:sz w:val="19"/>
              </w:rPr>
            </w:pPr>
            <w:r>
              <w:rPr>
                <w:b/>
                <w:color w:val="FFFFFF"/>
                <w:w w:val="95"/>
                <w:sz w:val="19"/>
              </w:rPr>
              <w:t>Actual </w:t>
            </w:r>
            <w:r>
              <w:rPr>
                <w:b/>
                <w:color w:val="FFFFFF"/>
                <w:spacing w:val="-1"/>
                <w:sz w:val="19"/>
              </w:rPr>
              <w:t>expenditure</w:t>
            </w:r>
          </w:p>
          <w:p>
            <w:pPr>
              <w:pStyle w:val="TableParagraph"/>
              <w:spacing w:before="2"/>
              <w:ind w:left="489"/>
              <w:rPr>
                <w:b/>
                <w:sz w:val="19"/>
              </w:rPr>
            </w:pPr>
            <w:r>
              <w:rPr>
                <w:b/>
                <w:color w:val="FFFFFF"/>
                <w:sz w:val="19"/>
              </w:rPr>
              <w:t>2017-18</w:t>
            </w:r>
          </w:p>
          <w:p>
            <w:pPr>
              <w:pStyle w:val="TableParagraph"/>
              <w:spacing w:before="9"/>
              <w:ind w:left="777"/>
              <w:rPr>
                <w:b/>
                <w:sz w:val="19"/>
              </w:rPr>
            </w:pPr>
            <w:r>
              <w:rPr>
                <w:b/>
                <w:color w:val="FFFFFF"/>
                <w:sz w:val="19"/>
              </w:rPr>
              <w:t>$000</w:t>
            </w:r>
          </w:p>
        </w:tc>
        <w:tc>
          <w:tcPr>
            <w:tcW w:w="1304" w:type="dxa"/>
            <w:shd w:val="clear" w:color="auto" w:fill="783A79"/>
          </w:tcPr>
          <w:p>
            <w:pPr>
              <w:pStyle w:val="TableParagraph"/>
              <w:spacing w:line="249" w:lineRule="auto" w:before="42"/>
              <w:ind w:left="127" w:right="91" w:firstLine="496"/>
              <w:rPr>
                <w:b/>
                <w:sz w:val="19"/>
              </w:rPr>
            </w:pPr>
            <w:r>
              <w:rPr>
                <w:b/>
                <w:color w:val="FFFFFF"/>
                <w:w w:val="95"/>
                <w:sz w:val="19"/>
              </w:rPr>
              <w:t>Actual </w:t>
            </w:r>
            <w:r>
              <w:rPr>
                <w:b/>
                <w:color w:val="FFFFFF"/>
                <w:spacing w:val="-1"/>
                <w:sz w:val="19"/>
              </w:rPr>
              <w:t>expenditure</w:t>
            </w:r>
          </w:p>
          <w:p>
            <w:pPr>
              <w:pStyle w:val="TableParagraph"/>
              <w:spacing w:before="2"/>
              <w:ind w:left="489"/>
              <w:rPr>
                <w:b/>
                <w:sz w:val="19"/>
              </w:rPr>
            </w:pPr>
            <w:r>
              <w:rPr>
                <w:b/>
                <w:color w:val="FFFFFF"/>
                <w:sz w:val="19"/>
              </w:rPr>
              <w:t>2016-17</w:t>
            </w:r>
          </w:p>
          <w:p>
            <w:pPr>
              <w:pStyle w:val="TableParagraph"/>
              <w:spacing w:before="9"/>
              <w:ind w:left="777"/>
              <w:rPr>
                <w:b/>
                <w:sz w:val="19"/>
              </w:rPr>
            </w:pPr>
            <w:r>
              <w:rPr>
                <w:b/>
                <w:color w:val="FFFFFF"/>
                <w:sz w:val="19"/>
              </w:rPr>
              <w:t>$000</w:t>
            </w:r>
          </w:p>
        </w:tc>
        <w:tc>
          <w:tcPr>
            <w:tcW w:w="1304" w:type="dxa"/>
            <w:shd w:val="clear" w:color="auto" w:fill="783A79"/>
          </w:tcPr>
          <w:p>
            <w:pPr>
              <w:pStyle w:val="TableParagraph"/>
              <w:spacing w:before="42"/>
              <w:ind w:left="286"/>
              <w:rPr>
                <w:b/>
                <w:sz w:val="19"/>
              </w:rPr>
            </w:pPr>
            <w:r>
              <w:rPr>
                <w:b/>
                <w:color w:val="FFFFFF"/>
                <w:sz w:val="19"/>
              </w:rPr>
              <w:t>Estimated</w:t>
            </w:r>
          </w:p>
          <w:p>
            <w:pPr>
              <w:pStyle w:val="TableParagraph"/>
              <w:spacing w:line="249" w:lineRule="auto" w:before="10"/>
              <w:ind w:left="353" w:right="96" w:firstLine="217"/>
              <w:rPr>
                <w:b/>
                <w:sz w:val="19"/>
              </w:rPr>
            </w:pPr>
            <w:r>
              <w:rPr>
                <w:b/>
                <w:color w:val="FFFFFF"/>
                <w:sz w:val="19"/>
              </w:rPr>
              <w:t>cost </w:t>
            </w:r>
            <w:r>
              <w:rPr>
                <w:b/>
                <w:color w:val="FFFFFF"/>
                <w:spacing w:val="-9"/>
                <w:sz w:val="19"/>
              </w:rPr>
              <w:t>to </w:t>
            </w:r>
            <w:r>
              <w:rPr>
                <w:b/>
                <w:color w:val="FFFFFF"/>
                <w:sz w:val="19"/>
              </w:rPr>
              <w:t>complete</w:t>
            </w:r>
          </w:p>
          <w:p>
            <w:pPr>
              <w:pStyle w:val="TableParagraph"/>
              <w:spacing w:before="1"/>
              <w:ind w:left="777"/>
              <w:rPr>
                <w:b/>
                <w:sz w:val="19"/>
              </w:rPr>
            </w:pPr>
            <w:r>
              <w:rPr>
                <w:b/>
                <w:color w:val="FFFFFF"/>
                <w:sz w:val="19"/>
              </w:rPr>
              <w:t>$000</w:t>
            </w:r>
          </w:p>
        </w:tc>
        <w:tc>
          <w:tcPr>
            <w:tcW w:w="1304" w:type="dxa"/>
            <w:shd w:val="clear" w:color="auto" w:fill="783A79"/>
          </w:tcPr>
          <w:p>
            <w:pPr>
              <w:pStyle w:val="TableParagraph"/>
              <w:spacing w:line="249" w:lineRule="auto" w:before="42"/>
              <w:ind w:left="345" w:right="90" w:hanging="60"/>
              <w:rPr>
                <w:b/>
                <w:sz w:val="19"/>
              </w:rPr>
            </w:pPr>
            <w:r>
              <w:rPr>
                <w:b/>
                <w:color w:val="FFFFFF"/>
                <w:sz w:val="19"/>
              </w:rPr>
              <w:t>Estimated total</w:t>
            </w:r>
            <w:r>
              <w:rPr>
                <w:b/>
                <w:color w:val="FFFFFF"/>
                <w:spacing w:val="13"/>
                <w:sz w:val="19"/>
              </w:rPr>
              <w:t> </w:t>
            </w:r>
            <w:r>
              <w:rPr>
                <w:b/>
                <w:color w:val="FFFFFF"/>
                <w:spacing w:val="-5"/>
                <w:sz w:val="19"/>
              </w:rPr>
              <w:t>cost</w:t>
            </w:r>
          </w:p>
          <w:p>
            <w:pPr>
              <w:pStyle w:val="TableParagraph"/>
              <w:spacing w:before="0"/>
              <w:rPr>
                <w:sz w:val="20"/>
              </w:rPr>
            </w:pPr>
          </w:p>
          <w:p>
            <w:pPr>
              <w:pStyle w:val="TableParagraph"/>
              <w:spacing w:before="0"/>
              <w:ind w:left="777"/>
              <w:rPr>
                <w:b/>
                <w:sz w:val="19"/>
              </w:rPr>
            </w:pPr>
            <w:r>
              <w:rPr>
                <w:b/>
                <w:color w:val="FFFFFF"/>
                <w:sz w:val="19"/>
              </w:rPr>
              <w:t>$000</w:t>
            </w:r>
          </w:p>
        </w:tc>
      </w:tr>
      <w:tr>
        <w:trPr>
          <w:trHeight w:val="529" w:hRule="atLeast"/>
        </w:trPr>
        <w:tc>
          <w:tcPr>
            <w:tcW w:w="3515" w:type="dxa"/>
            <w:tcBorders>
              <w:left w:val="single" w:sz="8" w:space="0" w:color="FFFFFF"/>
              <w:right w:val="single" w:sz="8" w:space="0" w:color="FFFFFF"/>
            </w:tcBorders>
            <w:shd w:val="clear" w:color="auto" w:fill="FAF9F9"/>
          </w:tcPr>
          <w:p>
            <w:pPr>
              <w:pStyle w:val="TableParagraph"/>
              <w:spacing w:line="249" w:lineRule="auto" w:before="42"/>
              <w:ind w:left="113" w:right="311"/>
              <w:rPr>
                <w:sz w:val="19"/>
              </w:rPr>
            </w:pPr>
            <w:r>
              <w:rPr>
                <w:w w:val="95"/>
                <w:sz w:val="19"/>
              </w:rPr>
              <w:t>State Fleet Annual Vehicle Acquisition </w:t>
            </w:r>
            <w:r>
              <w:rPr>
                <w:sz w:val="19"/>
              </w:rPr>
              <w:t>Program</w:t>
            </w:r>
          </w:p>
        </w:tc>
        <w:tc>
          <w:tcPr>
            <w:tcW w:w="1304" w:type="dxa"/>
            <w:tcBorders>
              <w:left w:val="single" w:sz="8" w:space="0" w:color="FFFFFF"/>
            </w:tcBorders>
            <w:shd w:val="clear" w:color="auto" w:fill="FAF9F9"/>
          </w:tcPr>
          <w:p>
            <w:pPr>
              <w:pStyle w:val="TableParagraph"/>
              <w:spacing w:before="42"/>
              <w:ind w:right="101"/>
              <w:jc w:val="right"/>
              <w:rPr>
                <w:sz w:val="19"/>
              </w:rPr>
            </w:pPr>
            <w:r>
              <w:rPr>
                <w:w w:val="95"/>
                <w:sz w:val="19"/>
              </w:rPr>
              <w:t>2018</w:t>
            </w:r>
          </w:p>
        </w:tc>
        <w:tc>
          <w:tcPr>
            <w:tcW w:w="1304" w:type="dxa"/>
            <w:shd w:val="clear" w:color="auto" w:fill="E1E4BB"/>
          </w:tcPr>
          <w:p>
            <w:pPr>
              <w:pStyle w:val="TableParagraph"/>
              <w:spacing w:before="42"/>
              <w:ind w:right="101"/>
              <w:jc w:val="right"/>
              <w:rPr>
                <w:sz w:val="19"/>
              </w:rPr>
            </w:pPr>
            <w:r>
              <w:rPr>
                <w:w w:val="95"/>
                <w:sz w:val="19"/>
              </w:rPr>
              <w:t>77,924</w:t>
            </w:r>
          </w:p>
        </w:tc>
        <w:tc>
          <w:tcPr>
            <w:tcW w:w="1304" w:type="dxa"/>
            <w:tcBorders>
              <w:right w:val="single" w:sz="8" w:space="0" w:color="FFFFFF"/>
            </w:tcBorders>
            <w:shd w:val="clear" w:color="auto" w:fill="FAF9F9"/>
          </w:tcPr>
          <w:p>
            <w:pPr>
              <w:pStyle w:val="TableParagraph"/>
              <w:spacing w:before="42"/>
              <w:ind w:right="91"/>
              <w:jc w:val="right"/>
              <w:rPr>
                <w:sz w:val="19"/>
              </w:rPr>
            </w:pPr>
            <w:r>
              <w:rPr>
                <w:w w:val="95"/>
                <w:sz w:val="19"/>
              </w:rPr>
              <w:t>88,093</w:t>
            </w:r>
          </w:p>
        </w:tc>
        <w:tc>
          <w:tcPr>
            <w:tcW w:w="1304" w:type="dxa"/>
            <w:tcBorders>
              <w:left w:val="single" w:sz="8" w:space="0" w:color="FFFFFF"/>
              <w:right w:val="single" w:sz="8" w:space="0" w:color="FFFFFF"/>
            </w:tcBorders>
            <w:shd w:val="clear" w:color="auto" w:fill="FAF9F9"/>
          </w:tcPr>
          <w:p>
            <w:pPr>
              <w:pStyle w:val="TableParagraph"/>
              <w:spacing w:before="42"/>
              <w:ind w:right="91"/>
              <w:jc w:val="right"/>
              <w:rPr>
                <w:sz w:val="19"/>
              </w:rPr>
            </w:pPr>
            <w:r>
              <w:rPr>
                <w:w w:val="111"/>
                <w:sz w:val="19"/>
              </w:rPr>
              <w:t>-</w:t>
            </w:r>
          </w:p>
        </w:tc>
        <w:tc>
          <w:tcPr>
            <w:tcW w:w="1304" w:type="dxa"/>
            <w:tcBorders>
              <w:left w:val="single" w:sz="8" w:space="0" w:color="FFFFFF"/>
              <w:right w:val="single" w:sz="8" w:space="0" w:color="FFFFFF"/>
            </w:tcBorders>
            <w:shd w:val="clear" w:color="auto" w:fill="FAF9F9"/>
          </w:tcPr>
          <w:p>
            <w:pPr>
              <w:pStyle w:val="TableParagraph"/>
              <w:spacing w:before="42"/>
              <w:ind w:right="91"/>
              <w:jc w:val="right"/>
              <w:rPr>
                <w:sz w:val="19"/>
              </w:rPr>
            </w:pPr>
            <w:r>
              <w:rPr>
                <w:w w:val="111"/>
                <w:sz w:val="19"/>
              </w:rPr>
              <w:t>-</w:t>
            </w:r>
          </w:p>
        </w:tc>
      </w:tr>
      <w:tr>
        <w:trPr>
          <w:trHeight w:val="527" w:hRule="atLeast"/>
        </w:trPr>
        <w:tc>
          <w:tcPr>
            <w:tcW w:w="3515" w:type="dxa"/>
            <w:tcBorders>
              <w:left w:val="single" w:sz="8" w:space="0" w:color="FFFFFF"/>
              <w:bottom w:val="single" w:sz="8" w:space="0" w:color="FFFFFF"/>
              <w:right w:val="single" w:sz="8" w:space="0" w:color="FFFFFF"/>
            </w:tcBorders>
            <w:shd w:val="clear" w:color="auto" w:fill="FAF9F9"/>
          </w:tcPr>
          <w:p>
            <w:pPr>
              <w:pStyle w:val="TableParagraph"/>
              <w:spacing w:line="249" w:lineRule="auto" w:before="46"/>
              <w:ind w:left="113" w:right="365"/>
              <w:rPr>
                <w:sz w:val="19"/>
              </w:rPr>
            </w:pPr>
            <w:r>
              <w:rPr>
                <w:sz w:val="19"/>
              </w:rPr>
              <w:t>Revenue</w:t>
            </w:r>
            <w:r>
              <w:rPr>
                <w:spacing w:val="-34"/>
                <w:sz w:val="19"/>
              </w:rPr>
              <w:t> </w:t>
            </w:r>
            <w:r>
              <w:rPr>
                <w:sz w:val="19"/>
              </w:rPr>
              <w:t>Systems</w:t>
            </w:r>
            <w:r>
              <w:rPr>
                <w:spacing w:val="-33"/>
                <w:sz w:val="19"/>
              </w:rPr>
              <w:t> </w:t>
            </w:r>
            <w:r>
              <w:rPr>
                <w:sz w:val="19"/>
              </w:rPr>
              <w:t>Consolidation</w:t>
            </w:r>
            <w:r>
              <w:rPr>
                <w:spacing w:val="-34"/>
                <w:sz w:val="19"/>
              </w:rPr>
              <w:t> </w:t>
            </w:r>
            <w:r>
              <w:rPr>
                <w:spacing w:val="-6"/>
                <w:sz w:val="19"/>
              </w:rPr>
              <w:t>and </w:t>
            </w:r>
            <w:r>
              <w:rPr>
                <w:sz w:val="19"/>
              </w:rPr>
              <w:t>Enhancement</w:t>
            </w:r>
            <w:r>
              <w:rPr>
                <w:spacing w:val="-4"/>
                <w:sz w:val="19"/>
              </w:rPr>
              <w:t> </w:t>
            </w:r>
            <w:r>
              <w:rPr>
                <w:sz w:val="19"/>
              </w:rPr>
              <w:t>Program</w:t>
            </w:r>
          </w:p>
        </w:tc>
        <w:tc>
          <w:tcPr>
            <w:tcW w:w="1304" w:type="dxa"/>
            <w:tcBorders>
              <w:left w:val="single" w:sz="8" w:space="0" w:color="FFFFFF"/>
              <w:bottom w:val="single" w:sz="8" w:space="0" w:color="FFFFFF"/>
            </w:tcBorders>
            <w:shd w:val="clear" w:color="auto" w:fill="FAF9F9"/>
          </w:tcPr>
          <w:p>
            <w:pPr>
              <w:pStyle w:val="TableParagraph"/>
              <w:spacing w:before="46"/>
              <w:ind w:right="101"/>
              <w:jc w:val="right"/>
              <w:rPr>
                <w:sz w:val="19"/>
              </w:rPr>
            </w:pPr>
            <w:r>
              <w:rPr>
                <w:w w:val="95"/>
                <w:sz w:val="19"/>
              </w:rPr>
              <w:t>2019</w:t>
            </w:r>
          </w:p>
        </w:tc>
        <w:tc>
          <w:tcPr>
            <w:tcW w:w="1304" w:type="dxa"/>
            <w:shd w:val="clear" w:color="auto" w:fill="E1E4BB"/>
          </w:tcPr>
          <w:p>
            <w:pPr>
              <w:pStyle w:val="TableParagraph"/>
              <w:spacing w:before="46"/>
              <w:ind w:right="101"/>
              <w:jc w:val="right"/>
              <w:rPr>
                <w:sz w:val="19"/>
              </w:rPr>
            </w:pPr>
            <w:r>
              <w:rPr>
                <w:w w:val="95"/>
                <w:sz w:val="19"/>
              </w:rPr>
              <w:t>6,881</w:t>
            </w:r>
          </w:p>
        </w:tc>
        <w:tc>
          <w:tcPr>
            <w:tcW w:w="1304" w:type="dxa"/>
            <w:tcBorders>
              <w:bottom w:val="single" w:sz="8" w:space="0" w:color="FFFFFF"/>
              <w:right w:val="single" w:sz="8" w:space="0" w:color="FFFFFF"/>
            </w:tcBorders>
            <w:shd w:val="clear" w:color="auto" w:fill="FAF9F9"/>
          </w:tcPr>
          <w:p>
            <w:pPr>
              <w:pStyle w:val="TableParagraph"/>
              <w:spacing w:before="46"/>
              <w:ind w:right="91"/>
              <w:jc w:val="right"/>
              <w:rPr>
                <w:sz w:val="19"/>
              </w:rPr>
            </w:pPr>
            <w:r>
              <w:rPr>
                <w:w w:val="95"/>
                <w:sz w:val="19"/>
              </w:rPr>
              <w:t>6,936</w:t>
            </w:r>
          </w:p>
        </w:tc>
        <w:tc>
          <w:tcPr>
            <w:tcW w:w="1304" w:type="dxa"/>
            <w:tcBorders>
              <w:left w:val="single" w:sz="8" w:space="0" w:color="FFFFFF"/>
              <w:bottom w:val="single" w:sz="8" w:space="0" w:color="FFFFFF"/>
              <w:right w:val="single" w:sz="8" w:space="0" w:color="FFFFFF"/>
            </w:tcBorders>
            <w:shd w:val="clear" w:color="auto" w:fill="FAF9F9"/>
          </w:tcPr>
          <w:p>
            <w:pPr>
              <w:pStyle w:val="TableParagraph"/>
              <w:spacing w:before="46"/>
              <w:ind w:right="91"/>
              <w:jc w:val="right"/>
              <w:rPr>
                <w:sz w:val="19"/>
              </w:rPr>
            </w:pPr>
            <w:r>
              <w:rPr>
                <w:w w:val="95"/>
                <w:sz w:val="19"/>
              </w:rPr>
              <w:t>9,152</w:t>
            </w:r>
          </w:p>
        </w:tc>
        <w:tc>
          <w:tcPr>
            <w:tcW w:w="1304" w:type="dxa"/>
            <w:tcBorders>
              <w:left w:val="single" w:sz="8" w:space="0" w:color="FFFFFF"/>
              <w:bottom w:val="single" w:sz="8" w:space="0" w:color="FFFFFF"/>
              <w:right w:val="single" w:sz="8" w:space="0" w:color="FFFFFF"/>
            </w:tcBorders>
            <w:shd w:val="clear" w:color="auto" w:fill="FAF9F9"/>
          </w:tcPr>
          <w:p>
            <w:pPr>
              <w:pStyle w:val="TableParagraph"/>
              <w:spacing w:before="46"/>
              <w:ind w:right="91"/>
              <w:jc w:val="right"/>
              <w:rPr>
                <w:sz w:val="19"/>
              </w:rPr>
            </w:pPr>
            <w:r>
              <w:rPr>
                <w:w w:val="95"/>
                <w:sz w:val="19"/>
              </w:rPr>
              <w:t>34,158</w:t>
            </w:r>
          </w:p>
        </w:tc>
      </w:tr>
      <w:tr>
        <w:trPr>
          <w:trHeight w:val="519" w:hRule="atLeast"/>
        </w:trPr>
        <w:tc>
          <w:tcPr>
            <w:tcW w:w="3515" w:type="dxa"/>
            <w:tcBorders>
              <w:top w:val="single" w:sz="8" w:space="0" w:color="FFFFFF"/>
              <w:left w:val="single" w:sz="8" w:space="0" w:color="FFFFFF"/>
              <w:right w:val="single" w:sz="8" w:space="0" w:color="FFFFFF"/>
            </w:tcBorders>
            <w:shd w:val="clear" w:color="auto" w:fill="FAF9F9"/>
          </w:tcPr>
          <w:p>
            <w:pPr>
              <w:pStyle w:val="TableParagraph"/>
              <w:spacing w:line="249" w:lineRule="auto"/>
              <w:ind w:left="113" w:right="311"/>
              <w:rPr>
                <w:sz w:val="19"/>
              </w:rPr>
            </w:pPr>
            <w:r>
              <w:rPr>
                <w:sz w:val="19"/>
              </w:rPr>
              <w:t>Decentralisation of Office Accommodation to Joondalup</w:t>
            </w:r>
          </w:p>
        </w:tc>
        <w:tc>
          <w:tcPr>
            <w:tcW w:w="1304" w:type="dxa"/>
            <w:tcBorders>
              <w:top w:val="single" w:sz="8" w:space="0" w:color="FFFFFF"/>
              <w:left w:val="single" w:sz="8" w:space="0" w:color="FFFFFF"/>
            </w:tcBorders>
            <w:shd w:val="clear" w:color="auto" w:fill="FAF9F9"/>
          </w:tcPr>
          <w:p>
            <w:pPr>
              <w:pStyle w:val="TableParagraph"/>
              <w:ind w:right="100"/>
              <w:jc w:val="right"/>
              <w:rPr>
                <w:sz w:val="19"/>
              </w:rPr>
            </w:pPr>
            <w:r>
              <w:rPr>
                <w:w w:val="95"/>
                <w:sz w:val="19"/>
              </w:rPr>
              <w:t>2019</w:t>
            </w:r>
          </w:p>
        </w:tc>
        <w:tc>
          <w:tcPr>
            <w:tcW w:w="1304" w:type="dxa"/>
            <w:shd w:val="clear" w:color="auto" w:fill="E1E4BB"/>
          </w:tcPr>
          <w:p>
            <w:pPr>
              <w:pStyle w:val="TableParagraph"/>
              <w:ind w:right="100"/>
              <w:jc w:val="right"/>
              <w:rPr>
                <w:sz w:val="19"/>
              </w:rPr>
            </w:pPr>
            <w:r>
              <w:rPr>
                <w:w w:val="95"/>
                <w:sz w:val="19"/>
              </w:rPr>
              <w:t>645</w:t>
            </w:r>
          </w:p>
        </w:tc>
        <w:tc>
          <w:tcPr>
            <w:tcW w:w="1304" w:type="dxa"/>
            <w:tcBorders>
              <w:top w:val="single" w:sz="8" w:space="0" w:color="FFFFFF"/>
              <w:right w:val="single" w:sz="8" w:space="0" w:color="FFFFFF"/>
            </w:tcBorders>
            <w:shd w:val="clear" w:color="auto" w:fill="FAF9F9"/>
          </w:tcPr>
          <w:p>
            <w:pPr>
              <w:pStyle w:val="TableParagraph"/>
              <w:ind w:right="92"/>
              <w:jc w:val="right"/>
              <w:rPr>
                <w:sz w:val="19"/>
              </w:rPr>
            </w:pPr>
            <w:r>
              <w:rPr>
                <w:w w:val="111"/>
                <w:sz w:val="19"/>
              </w:rPr>
              <w:t>-</w:t>
            </w:r>
          </w:p>
        </w:tc>
        <w:tc>
          <w:tcPr>
            <w:tcW w:w="1304" w:type="dxa"/>
            <w:tcBorders>
              <w:top w:val="single" w:sz="8" w:space="0" w:color="FFFFFF"/>
              <w:left w:val="single" w:sz="8" w:space="0" w:color="FFFFFF"/>
              <w:right w:val="single" w:sz="8" w:space="0" w:color="FFFFFF"/>
            </w:tcBorders>
            <w:shd w:val="clear" w:color="auto" w:fill="FAF9F9"/>
          </w:tcPr>
          <w:p>
            <w:pPr>
              <w:pStyle w:val="TableParagraph"/>
              <w:ind w:right="91"/>
              <w:jc w:val="right"/>
              <w:rPr>
                <w:sz w:val="19"/>
              </w:rPr>
            </w:pPr>
            <w:r>
              <w:rPr>
                <w:w w:val="95"/>
                <w:sz w:val="19"/>
              </w:rPr>
              <w:t>18,553</w:t>
            </w:r>
          </w:p>
        </w:tc>
        <w:tc>
          <w:tcPr>
            <w:tcW w:w="1304" w:type="dxa"/>
            <w:tcBorders>
              <w:top w:val="single" w:sz="8" w:space="0" w:color="FFFFFF"/>
              <w:left w:val="single" w:sz="8" w:space="0" w:color="FFFFFF"/>
              <w:right w:val="single" w:sz="8" w:space="0" w:color="FFFFFF"/>
            </w:tcBorders>
            <w:shd w:val="clear" w:color="auto" w:fill="FAF9F9"/>
          </w:tcPr>
          <w:p>
            <w:pPr>
              <w:pStyle w:val="TableParagraph"/>
              <w:ind w:right="91"/>
              <w:jc w:val="right"/>
              <w:rPr>
                <w:sz w:val="19"/>
              </w:rPr>
            </w:pPr>
            <w:r>
              <w:rPr>
                <w:w w:val="95"/>
                <w:sz w:val="19"/>
              </w:rPr>
              <w:t>19,198</w:t>
            </w:r>
          </w:p>
        </w:tc>
      </w:tr>
      <w:tr>
        <w:trPr>
          <w:trHeight w:val="527" w:hRule="atLeast"/>
        </w:trPr>
        <w:tc>
          <w:tcPr>
            <w:tcW w:w="3515" w:type="dxa"/>
            <w:tcBorders>
              <w:left w:val="single" w:sz="8" w:space="0" w:color="FFFFFF"/>
              <w:bottom w:val="single" w:sz="8" w:space="0" w:color="FFFFFF"/>
              <w:right w:val="single" w:sz="8" w:space="0" w:color="FFFFFF"/>
            </w:tcBorders>
            <w:shd w:val="clear" w:color="auto" w:fill="FAF9F9"/>
          </w:tcPr>
          <w:p>
            <w:pPr>
              <w:pStyle w:val="TableParagraph"/>
              <w:spacing w:line="249" w:lineRule="auto" w:before="46"/>
              <w:ind w:left="114" w:right="99"/>
              <w:rPr>
                <w:sz w:val="19"/>
              </w:rPr>
            </w:pPr>
            <w:r>
              <w:rPr>
                <w:sz w:val="19"/>
              </w:rPr>
              <w:t>Master</w:t>
            </w:r>
            <w:r>
              <w:rPr>
                <w:spacing w:val="-33"/>
                <w:sz w:val="19"/>
              </w:rPr>
              <w:t> </w:t>
            </w:r>
            <w:r>
              <w:rPr>
                <w:sz w:val="19"/>
              </w:rPr>
              <w:t>Planning</w:t>
            </w:r>
            <w:r>
              <w:rPr>
                <w:spacing w:val="-32"/>
                <w:sz w:val="19"/>
              </w:rPr>
              <w:t> </w:t>
            </w:r>
            <w:r>
              <w:rPr>
                <w:sz w:val="19"/>
              </w:rPr>
              <w:t>Strategy</w:t>
            </w:r>
            <w:r>
              <w:rPr>
                <w:spacing w:val="-32"/>
                <w:sz w:val="19"/>
              </w:rPr>
              <w:t> </w:t>
            </w:r>
            <w:r>
              <w:rPr>
                <w:sz w:val="19"/>
              </w:rPr>
              <w:t>–</w:t>
            </w:r>
            <w:r>
              <w:rPr>
                <w:spacing w:val="-32"/>
                <w:sz w:val="19"/>
              </w:rPr>
              <w:t> </w:t>
            </w:r>
            <w:r>
              <w:rPr>
                <w:sz w:val="19"/>
              </w:rPr>
              <w:t>Government Office</w:t>
            </w:r>
            <w:r>
              <w:rPr>
                <w:spacing w:val="-2"/>
                <w:sz w:val="19"/>
              </w:rPr>
              <w:t> </w:t>
            </w:r>
            <w:r>
              <w:rPr>
                <w:sz w:val="19"/>
              </w:rPr>
              <w:t>Accommodation</w:t>
            </w:r>
          </w:p>
        </w:tc>
        <w:tc>
          <w:tcPr>
            <w:tcW w:w="1304" w:type="dxa"/>
            <w:tcBorders>
              <w:left w:val="single" w:sz="8" w:space="0" w:color="FFFFFF"/>
              <w:bottom w:val="single" w:sz="8" w:space="0" w:color="FFFFFF"/>
            </w:tcBorders>
            <w:shd w:val="clear" w:color="auto" w:fill="FAF9F9"/>
          </w:tcPr>
          <w:p>
            <w:pPr>
              <w:pStyle w:val="TableParagraph"/>
              <w:spacing w:before="46"/>
              <w:ind w:right="100"/>
              <w:jc w:val="right"/>
              <w:rPr>
                <w:sz w:val="19"/>
              </w:rPr>
            </w:pPr>
            <w:r>
              <w:rPr>
                <w:w w:val="95"/>
                <w:sz w:val="19"/>
              </w:rPr>
              <w:t>2018</w:t>
            </w:r>
          </w:p>
        </w:tc>
        <w:tc>
          <w:tcPr>
            <w:tcW w:w="1304" w:type="dxa"/>
            <w:shd w:val="clear" w:color="auto" w:fill="E1E4BB"/>
          </w:tcPr>
          <w:p>
            <w:pPr>
              <w:pStyle w:val="TableParagraph"/>
              <w:spacing w:before="46"/>
              <w:ind w:right="100"/>
              <w:jc w:val="right"/>
              <w:rPr>
                <w:sz w:val="19"/>
              </w:rPr>
            </w:pPr>
            <w:r>
              <w:rPr>
                <w:w w:val="95"/>
                <w:sz w:val="19"/>
              </w:rPr>
              <w:t>12,234</w:t>
            </w:r>
          </w:p>
        </w:tc>
        <w:tc>
          <w:tcPr>
            <w:tcW w:w="1304" w:type="dxa"/>
            <w:tcBorders>
              <w:bottom w:val="single" w:sz="8" w:space="0" w:color="FFFFFF"/>
              <w:right w:val="single" w:sz="8" w:space="0" w:color="FFFFFF"/>
            </w:tcBorders>
            <w:shd w:val="clear" w:color="auto" w:fill="FAF9F9"/>
          </w:tcPr>
          <w:p>
            <w:pPr>
              <w:pStyle w:val="TableParagraph"/>
              <w:spacing w:before="46"/>
              <w:ind w:right="90"/>
              <w:jc w:val="right"/>
              <w:rPr>
                <w:sz w:val="19"/>
              </w:rPr>
            </w:pPr>
            <w:r>
              <w:rPr>
                <w:w w:val="95"/>
                <w:sz w:val="19"/>
              </w:rPr>
              <w:t>10,542</w:t>
            </w:r>
          </w:p>
        </w:tc>
        <w:tc>
          <w:tcPr>
            <w:tcW w:w="1304" w:type="dxa"/>
            <w:tcBorders>
              <w:left w:val="single" w:sz="8" w:space="0" w:color="FFFFFF"/>
              <w:bottom w:val="single" w:sz="8" w:space="0" w:color="FFFFFF"/>
              <w:right w:val="single" w:sz="8" w:space="0" w:color="FFFFFF"/>
            </w:tcBorders>
            <w:shd w:val="clear" w:color="auto" w:fill="FAF9F9"/>
          </w:tcPr>
          <w:p>
            <w:pPr>
              <w:pStyle w:val="TableParagraph"/>
              <w:spacing w:before="46"/>
              <w:ind w:right="90"/>
              <w:jc w:val="right"/>
              <w:rPr>
                <w:sz w:val="19"/>
              </w:rPr>
            </w:pPr>
            <w:r>
              <w:rPr>
                <w:w w:val="95"/>
                <w:sz w:val="19"/>
              </w:rPr>
              <w:t>1,175</w:t>
            </w:r>
          </w:p>
        </w:tc>
        <w:tc>
          <w:tcPr>
            <w:tcW w:w="1304" w:type="dxa"/>
            <w:tcBorders>
              <w:left w:val="single" w:sz="8" w:space="0" w:color="FFFFFF"/>
              <w:bottom w:val="single" w:sz="8" w:space="0" w:color="FFFFFF"/>
              <w:right w:val="single" w:sz="8" w:space="0" w:color="FFFFFF"/>
            </w:tcBorders>
            <w:shd w:val="clear" w:color="auto" w:fill="FAF9F9"/>
          </w:tcPr>
          <w:p>
            <w:pPr>
              <w:pStyle w:val="TableParagraph"/>
              <w:spacing w:before="46"/>
              <w:ind w:right="90"/>
              <w:jc w:val="right"/>
              <w:rPr>
                <w:sz w:val="19"/>
              </w:rPr>
            </w:pPr>
            <w:r>
              <w:rPr>
                <w:w w:val="95"/>
                <w:sz w:val="19"/>
              </w:rPr>
              <w:t>223,442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tabs>
          <w:tab w:pos="5951" w:val="left" w:leader="none"/>
          <w:tab w:pos="16072"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28528"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ffffff" stroked="false">
              <v:path arrowok="t"/>
              <v:fill type="solid"/>
            </v:shape>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b/>
          <w:color w:val="FFFFFF"/>
          <w:sz w:val="20"/>
        </w:rPr>
        <w:t>108   Department of Finance Annual Report</w:t>
      </w:r>
      <w:r>
        <w:rPr>
          <w:b/>
          <w:color w:val="FFFFFF"/>
          <w:spacing w:val="-18"/>
          <w:sz w:val="20"/>
        </w:rPr>
        <w:t> </w:t>
      </w:r>
      <w:r>
        <w:rPr>
          <w:b/>
          <w:color w:val="FFFFFF"/>
          <w:sz w:val="20"/>
        </w:rPr>
        <w:t>2017-18</w:t>
        <w:tab/>
      </w:r>
      <w:r>
        <w:rPr>
          <w:b/>
          <w:color w:val="FFFFFF"/>
          <w:w w:val="100"/>
          <w:sz w:val="20"/>
          <w:u w:val="single" w:color="939598"/>
        </w:rPr>
        <w:t> </w:t>
      </w:r>
      <w:r>
        <w:rPr>
          <w:b/>
          <w:color w:val="FFFFFF"/>
          <w:sz w:val="20"/>
          <w:u w:val="single" w:color="939598"/>
        </w:rPr>
        <w:tab/>
      </w:r>
    </w:p>
    <w:p>
      <w:pPr>
        <w:spacing w:after="0"/>
        <w:jc w:val="left"/>
        <w:rPr>
          <w:sz w:val="20"/>
        </w:rPr>
        <w:sectPr>
          <w:type w:val="continuous"/>
          <w:pgSz w:w="16840" w:h="11910" w:orient="landscape"/>
          <w:pgMar w:top="1100" w:bottom="28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8"/>
        <w:rPr>
          <w:b/>
          <w:sz w:val="24"/>
        </w:rPr>
      </w:pPr>
    </w:p>
    <w:p>
      <w:pPr>
        <w:spacing w:after="0"/>
        <w:rPr>
          <w:sz w:val="24"/>
        </w:rPr>
        <w:sectPr>
          <w:footerReference w:type="default" r:id="rId219"/>
          <w:pgSz w:w="16840" w:h="11910" w:orient="landscape"/>
          <w:pgMar w:footer="774" w:header="0" w:top="0" w:bottom="960" w:left="0" w:right="0"/>
        </w:sectPr>
      </w:pPr>
    </w:p>
    <w:p>
      <w:pPr>
        <w:pStyle w:val="Heading4"/>
        <w:spacing w:line="249" w:lineRule="auto" w:before="110"/>
        <w:ind w:right="118"/>
      </w:pPr>
      <w:r>
        <w:rPr/>
        <w:pict>
          <v:shape style="position:absolute;margin-left:202.37738pt;margin-top:1118.103516pt;width:57.95pt;height:57.95pt;mso-position-horizontal-relative:page;mso-position-vertical-relative:page;z-index:28624" coordorigin="4048,22362" coordsize="1159,1159" path="m11871,9735l12121,9984m11705,9679l12176,10150m11586,9671l12185,10269m11488,9682l12173,10368m11402,9707l12149,10454m11326,9741l12114,10529m11259,9785l12071,10596m11199,9835l12020,10656m11147,9894l11962,10708m11103,9959l11896,10753m11066,10033l11822,10789m11039,10117l11738,10816m11026,10214l11642,10830m11029,10327l11529,10827m11071,10480l11376,10784e" filled="false" stroked="true" strokeweight=".25pt" strokecolor="#bbbcbb">
            <v:path arrowok="t"/>
            <v:stroke dashstyle="solid"/>
            <w10:wrap type="none"/>
          </v:shape>
        </w:pict>
      </w:r>
      <w:r>
        <w:rPr/>
        <w:pict>
          <v:group style="position:absolute;margin-left:120.271004pt;margin-top:-70.506226pt;width:721.65pt;height:42.55pt;mso-position-horizontal-relative:page;mso-position-vertical-relative:paragraph;z-index:28792" coordorigin="2405,-1410" coordsize="14433,851">
            <v:rect style="position:absolute;left:14432;top:-1411;width:2406;height:851" filled="true" fillcolor="#bba1bc" stroked="false">
              <v:fill type="solid"/>
            </v:rect>
            <v:shape style="position:absolute;left:14432;top:-1411;width:2406;height:851" type="#_x0000_t202" filled="false" stroked="false">
              <v:textbox inset="0,0,0,0">
                <w:txbxContent>
                  <w:p>
                    <w:pPr>
                      <w:spacing w:line="240" w:lineRule="auto" w:before="9"/>
                      <w:rPr>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411;width:2406;height:851" type="#_x0000_t202" filled="true" fillcolor="#d4d896" stroked="false">
              <v:textbox inset="0,0,0,0">
                <w:txbxContent>
                  <w:p>
                    <w:pPr>
                      <w:spacing w:line="240" w:lineRule="auto"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411;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411;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411;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411;width:2406;height:851" type="#_x0000_t202" filled="true" fillcolor="#c3acc4" stroked="false">
              <v:textbox inset="0,0,0,0">
                <w:txbxContent>
                  <w:p>
                    <w:pPr>
                      <w:spacing w:line="240" w:lineRule="auto"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w w:val="95"/>
        </w:rPr>
        <w:t>Employment and industrial </w:t>
      </w:r>
      <w:r>
        <w:rPr>
          <w:color w:val="6F2770"/>
        </w:rPr>
        <w:t>relations</w:t>
      </w:r>
    </w:p>
    <w:p>
      <w:pPr>
        <w:pStyle w:val="Heading6"/>
        <w:spacing w:line="249" w:lineRule="auto" w:before="231"/>
        <w:ind w:right="840"/>
      </w:pPr>
      <w:r>
        <w:rPr>
          <w:spacing w:val="-5"/>
        </w:rPr>
        <w:t>Comparative full-time equivalent (FTE) allocation </w:t>
      </w:r>
      <w:r>
        <w:rPr>
          <w:spacing w:val="-3"/>
        </w:rPr>
        <w:t>by </w:t>
      </w:r>
      <w:r>
        <w:rPr>
          <w:spacing w:val="-5"/>
        </w:rPr>
        <w:t>category</w:t>
      </w:r>
    </w:p>
    <w:p>
      <w:pPr>
        <w:pStyle w:val="BodyText"/>
        <w:spacing w:line="249" w:lineRule="auto" w:before="1"/>
        <w:ind w:left="765" w:right="118"/>
      </w:pPr>
      <w:r>
        <w:rPr/>
        <w:pict>
          <v:shape style="position:absolute;margin-left:38.2677pt;margin-top:80.196861pt;width:242.2pt;height:91.05pt;mso-position-horizontal-relative:page;mso-position-vertical-relative:paragraph;z-index:2884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1"/>
                    <w:gridCol w:w="1321"/>
                    <w:gridCol w:w="1321"/>
                  </w:tblGrid>
                  <w:tr>
                    <w:trPr>
                      <w:trHeight w:val="305" w:hRule="atLeast"/>
                    </w:trPr>
                    <w:tc>
                      <w:tcPr>
                        <w:tcW w:w="2171" w:type="dxa"/>
                        <w:tcBorders>
                          <w:left w:val="single" w:sz="8" w:space="0" w:color="FFFFFF"/>
                        </w:tcBorders>
                        <w:shd w:val="clear" w:color="auto" w:fill="783A79"/>
                      </w:tcPr>
                      <w:p>
                        <w:pPr>
                          <w:pStyle w:val="TableParagraph"/>
                          <w:spacing w:before="42"/>
                          <w:ind w:left="113"/>
                          <w:rPr>
                            <w:b/>
                            <w:sz w:val="19"/>
                          </w:rPr>
                        </w:pPr>
                        <w:r>
                          <w:rPr>
                            <w:b/>
                            <w:color w:val="FFFFFF"/>
                            <w:sz w:val="19"/>
                          </w:rPr>
                          <w:t>Category</w:t>
                        </w:r>
                      </w:p>
                    </w:tc>
                    <w:tc>
                      <w:tcPr>
                        <w:tcW w:w="1321" w:type="dxa"/>
                        <w:shd w:val="clear" w:color="auto" w:fill="783A79"/>
                      </w:tcPr>
                      <w:p>
                        <w:pPr>
                          <w:pStyle w:val="TableParagraph"/>
                          <w:spacing w:before="42"/>
                          <w:ind w:right="101"/>
                          <w:jc w:val="right"/>
                          <w:rPr>
                            <w:b/>
                            <w:sz w:val="19"/>
                          </w:rPr>
                        </w:pPr>
                        <w:r>
                          <w:rPr>
                            <w:b/>
                            <w:color w:val="FFFFFF"/>
                            <w:sz w:val="19"/>
                          </w:rPr>
                          <w:t>2017-18</w:t>
                        </w:r>
                      </w:p>
                    </w:tc>
                    <w:tc>
                      <w:tcPr>
                        <w:tcW w:w="1321" w:type="dxa"/>
                        <w:shd w:val="clear" w:color="auto" w:fill="783A79"/>
                      </w:tcPr>
                      <w:p>
                        <w:pPr>
                          <w:pStyle w:val="TableParagraph"/>
                          <w:spacing w:before="42"/>
                          <w:ind w:right="101"/>
                          <w:jc w:val="right"/>
                          <w:rPr>
                            <w:b/>
                            <w:sz w:val="19"/>
                          </w:rPr>
                        </w:pPr>
                        <w:r>
                          <w:rPr>
                            <w:b/>
                            <w:color w:val="FFFFFF"/>
                            <w:sz w:val="19"/>
                          </w:rPr>
                          <w:t>2016-17</w:t>
                        </w:r>
                      </w:p>
                    </w:tc>
                  </w:tr>
                  <w:tr>
                    <w:trPr>
                      <w:trHeight w:val="317" w:hRule="atLeast"/>
                    </w:trPr>
                    <w:tc>
                      <w:tcPr>
                        <w:tcW w:w="2171"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Full-time permanent</w:t>
                        </w:r>
                      </w:p>
                    </w:tc>
                    <w:tc>
                      <w:tcPr>
                        <w:tcW w:w="1321" w:type="dxa"/>
                        <w:shd w:val="clear" w:color="auto" w:fill="DFE1B8"/>
                      </w:tcPr>
                      <w:p>
                        <w:pPr>
                          <w:pStyle w:val="TableParagraph"/>
                          <w:spacing w:before="42"/>
                          <w:ind w:right="101"/>
                          <w:jc w:val="right"/>
                          <w:rPr>
                            <w:sz w:val="19"/>
                          </w:rPr>
                        </w:pPr>
                        <w:r>
                          <w:rPr>
                            <w:w w:val="95"/>
                            <w:sz w:val="19"/>
                          </w:rPr>
                          <w:t>728</w:t>
                        </w:r>
                      </w:p>
                    </w:tc>
                    <w:tc>
                      <w:tcPr>
                        <w:tcW w:w="1321"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95"/>
                            <w:sz w:val="19"/>
                          </w:rPr>
                          <w:t>784</w:t>
                        </w:r>
                      </w:p>
                    </w:tc>
                  </w:tr>
                  <w:tr>
                    <w:trPr>
                      <w:trHeight w:val="307" w:hRule="atLeast"/>
                    </w:trPr>
                    <w:tc>
                      <w:tcPr>
                        <w:tcW w:w="217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Full-time contract</w:t>
                        </w:r>
                      </w:p>
                    </w:tc>
                    <w:tc>
                      <w:tcPr>
                        <w:tcW w:w="1321" w:type="dxa"/>
                        <w:shd w:val="clear" w:color="auto" w:fill="DFE1B8"/>
                      </w:tcPr>
                      <w:p>
                        <w:pPr>
                          <w:pStyle w:val="TableParagraph"/>
                          <w:ind w:right="101"/>
                          <w:jc w:val="right"/>
                          <w:rPr>
                            <w:sz w:val="19"/>
                          </w:rPr>
                        </w:pPr>
                        <w:r>
                          <w:rPr>
                            <w:w w:val="95"/>
                            <w:sz w:val="19"/>
                          </w:rPr>
                          <w:t>144</w:t>
                        </w:r>
                      </w:p>
                    </w:tc>
                    <w:tc>
                      <w:tcPr>
                        <w:tcW w:w="1321"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5"/>
                            <w:sz w:val="19"/>
                          </w:rPr>
                          <w:t>114</w:t>
                        </w:r>
                      </w:p>
                    </w:tc>
                  </w:tr>
                  <w:tr>
                    <w:trPr>
                      <w:trHeight w:val="253" w:hRule="atLeast"/>
                    </w:trPr>
                    <w:tc>
                      <w:tcPr>
                        <w:tcW w:w="2171" w:type="dxa"/>
                        <w:tcBorders>
                          <w:top w:val="single" w:sz="8" w:space="0" w:color="FFFFFF"/>
                          <w:left w:val="single" w:sz="8" w:space="0" w:color="FFFFFF"/>
                        </w:tcBorders>
                        <w:shd w:val="clear" w:color="auto" w:fill="F4F4F4"/>
                      </w:tcPr>
                      <w:p>
                        <w:pPr>
                          <w:pStyle w:val="TableParagraph"/>
                          <w:spacing w:line="201" w:lineRule="exact"/>
                          <w:ind w:left="113"/>
                          <w:rPr>
                            <w:sz w:val="19"/>
                          </w:rPr>
                        </w:pPr>
                        <w:r>
                          <w:rPr>
                            <w:sz w:val="19"/>
                          </w:rPr>
                          <w:t>Part-time permanent</w:t>
                        </w:r>
                      </w:p>
                    </w:tc>
                    <w:tc>
                      <w:tcPr>
                        <w:tcW w:w="1321" w:type="dxa"/>
                        <w:shd w:val="clear" w:color="auto" w:fill="DFE1B8"/>
                      </w:tcPr>
                      <w:p>
                        <w:pPr>
                          <w:pStyle w:val="TableParagraph"/>
                          <w:spacing w:line="201" w:lineRule="exact"/>
                          <w:ind w:right="101"/>
                          <w:jc w:val="right"/>
                          <w:rPr>
                            <w:sz w:val="19"/>
                          </w:rPr>
                        </w:pPr>
                        <w:r>
                          <w:rPr>
                            <w:w w:val="95"/>
                            <w:sz w:val="19"/>
                          </w:rPr>
                          <w:t>80</w:t>
                        </w:r>
                      </w:p>
                    </w:tc>
                    <w:tc>
                      <w:tcPr>
                        <w:tcW w:w="1321" w:type="dxa"/>
                        <w:tcBorders>
                          <w:top w:val="single" w:sz="8" w:space="0" w:color="FFFFFF"/>
                          <w:right w:val="single" w:sz="8" w:space="0" w:color="FFFFFF"/>
                        </w:tcBorders>
                        <w:shd w:val="clear" w:color="auto" w:fill="F4F4F4"/>
                      </w:tcPr>
                      <w:p>
                        <w:pPr>
                          <w:pStyle w:val="TableParagraph"/>
                          <w:spacing w:line="201" w:lineRule="exact"/>
                          <w:ind w:right="91"/>
                          <w:jc w:val="right"/>
                          <w:rPr>
                            <w:sz w:val="19"/>
                          </w:rPr>
                        </w:pPr>
                        <w:r>
                          <w:rPr>
                            <w:w w:val="95"/>
                            <w:sz w:val="19"/>
                          </w:rPr>
                          <w:t>77</w:t>
                        </w:r>
                      </w:p>
                    </w:tc>
                  </w:tr>
                  <w:tr>
                    <w:trPr>
                      <w:trHeight w:val="260" w:hRule="atLeast"/>
                    </w:trPr>
                    <w:tc>
                      <w:tcPr>
                        <w:tcW w:w="2171" w:type="dxa"/>
                        <w:tcBorders>
                          <w:left w:val="single" w:sz="8" w:space="0" w:color="FFFFFF"/>
                          <w:bottom w:val="single" w:sz="8" w:space="0" w:color="FFFFFF"/>
                        </w:tcBorders>
                        <w:shd w:val="clear" w:color="auto" w:fill="F4F4F4"/>
                      </w:tcPr>
                      <w:p>
                        <w:pPr>
                          <w:pStyle w:val="TableParagraph"/>
                          <w:spacing w:before="7"/>
                          <w:ind w:left="113"/>
                          <w:rPr>
                            <w:sz w:val="19"/>
                          </w:rPr>
                        </w:pPr>
                        <w:r>
                          <w:rPr>
                            <w:sz w:val="19"/>
                          </w:rPr>
                          <w:t>and contract</w:t>
                        </w:r>
                      </w:p>
                    </w:tc>
                    <w:tc>
                      <w:tcPr>
                        <w:tcW w:w="1321" w:type="dxa"/>
                        <w:shd w:val="clear" w:color="auto" w:fill="DFE1B8"/>
                      </w:tcPr>
                      <w:p>
                        <w:pPr>
                          <w:pStyle w:val="TableParagraph"/>
                          <w:spacing w:before="0"/>
                          <w:rPr>
                            <w:rFonts w:ascii="Times New Roman"/>
                            <w:sz w:val="18"/>
                          </w:rPr>
                        </w:pPr>
                      </w:p>
                    </w:tc>
                    <w:tc>
                      <w:tcPr>
                        <w:tcW w:w="1321" w:type="dxa"/>
                        <w:tcBorders>
                          <w:bottom w:val="single" w:sz="8" w:space="0" w:color="FFFFFF"/>
                          <w:right w:val="single" w:sz="8" w:space="0" w:color="FFFFFF"/>
                        </w:tcBorders>
                        <w:shd w:val="clear" w:color="auto" w:fill="F4F4F4"/>
                      </w:tcPr>
                      <w:p>
                        <w:pPr>
                          <w:pStyle w:val="TableParagraph"/>
                          <w:spacing w:before="0"/>
                          <w:rPr>
                            <w:rFonts w:ascii="Times New Roman"/>
                            <w:sz w:val="18"/>
                          </w:rPr>
                        </w:pPr>
                      </w:p>
                    </w:tc>
                  </w:tr>
                  <w:tr>
                    <w:trPr>
                      <w:trHeight w:val="317" w:hRule="atLeast"/>
                    </w:trPr>
                    <w:tc>
                      <w:tcPr>
                        <w:tcW w:w="2171" w:type="dxa"/>
                        <w:tcBorders>
                          <w:top w:val="single" w:sz="8" w:space="0" w:color="FFFFFF"/>
                          <w:left w:val="single" w:sz="8" w:space="0" w:color="FFFFFF"/>
                        </w:tcBorders>
                        <w:shd w:val="clear" w:color="auto" w:fill="FAF9F9"/>
                      </w:tcPr>
                      <w:p>
                        <w:pPr>
                          <w:pStyle w:val="TableParagraph"/>
                          <w:ind w:left="113"/>
                          <w:rPr>
                            <w:b/>
                            <w:sz w:val="19"/>
                          </w:rPr>
                        </w:pPr>
                        <w:r>
                          <w:rPr>
                            <w:b/>
                            <w:sz w:val="19"/>
                          </w:rPr>
                          <w:t>Total</w:t>
                        </w:r>
                      </w:p>
                    </w:tc>
                    <w:tc>
                      <w:tcPr>
                        <w:tcW w:w="1321" w:type="dxa"/>
                        <w:shd w:val="clear" w:color="auto" w:fill="DFE1B8"/>
                      </w:tcPr>
                      <w:p>
                        <w:pPr>
                          <w:pStyle w:val="TableParagraph"/>
                          <w:ind w:right="101"/>
                          <w:jc w:val="right"/>
                          <w:rPr>
                            <w:b/>
                            <w:sz w:val="19"/>
                          </w:rPr>
                        </w:pPr>
                        <w:r>
                          <w:rPr>
                            <w:b/>
                            <w:w w:val="95"/>
                            <w:sz w:val="19"/>
                          </w:rPr>
                          <w:t>952</w:t>
                        </w:r>
                      </w:p>
                    </w:tc>
                    <w:tc>
                      <w:tcPr>
                        <w:tcW w:w="1321" w:type="dxa"/>
                        <w:tcBorders>
                          <w:top w:val="single" w:sz="8" w:space="0" w:color="FFFFFF"/>
                          <w:right w:val="single" w:sz="8" w:space="0" w:color="FFFFFF"/>
                        </w:tcBorders>
                        <w:shd w:val="clear" w:color="auto" w:fill="FAF9F9"/>
                      </w:tcPr>
                      <w:p>
                        <w:pPr>
                          <w:pStyle w:val="TableParagraph"/>
                          <w:ind w:right="91"/>
                          <w:jc w:val="right"/>
                          <w:rPr>
                            <w:b/>
                            <w:sz w:val="19"/>
                          </w:rPr>
                        </w:pPr>
                        <w:r>
                          <w:rPr>
                            <w:b/>
                            <w:w w:val="95"/>
                            <w:sz w:val="19"/>
                          </w:rPr>
                          <w:t>975</w:t>
                        </w:r>
                      </w:p>
                    </w:tc>
                  </w:tr>
                </w:tbl>
                <w:p>
                  <w:pPr>
                    <w:pStyle w:val="BodyText"/>
                  </w:pPr>
                </w:p>
              </w:txbxContent>
            </v:textbox>
            <w10:wrap type="none"/>
          </v:shape>
        </w:pict>
      </w:r>
      <w:r>
        <w:rPr>
          <w:spacing w:val="-4"/>
        </w:rPr>
        <w:t>The </w:t>
      </w:r>
      <w:r>
        <w:rPr>
          <w:spacing w:val="-5"/>
        </w:rPr>
        <w:t>number </w:t>
      </w:r>
      <w:r>
        <w:rPr>
          <w:spacing w:val="-3"/>
        </w:rPr>
        <w:t>of </w:t>
      </w:r>
      <w:r>
        <w:rPr>
          <w:spacing w:val="-4"/>
        </w:rPr>
        <w:t>FTE </w:t>
      </w:r>
      <w:r>
        <w:rPr>
          <w:spacing w:val="-5"/>
        </w:rPr>
        <w:t>employees </w:t>
      </w:r>
      <w:r>
        <w:rPr>
          <w:spacing w:val="-4"/>
        </w:rPr>
        <w:t>has </w:t>
      </w:r>
      <w:r>
        <w:rPr>
          <w:spacing w:val="-5"/>
        </w:rPr>
        <w:t>reduced due </w:t>
      </w:r>
      <w:r>
        <w:rPr>
          <w:spacing w:val="-3"/>
        </w:rPr>
        <w:t>to</w:t>
      </w:r>
      <w:r>
        <w:rPr>
          <w:spacing w:val="-36"/>
        </w:rPr>
        <w:t> </w:t>
      </w:r>
      <w:r>
        <w:rPr>
          <w:spacing w:val="-4"/>
        </w:rPr>
        <w:t>internal</w:t>
      </w:r>
      <w:r>
        <w:rPr>
          <w:spacing w:val="-35"/>
        </w:rPr>
        <w:t> </w:t>
      </w:r>
      <w:r>
        <w:rPr>
          <w:spacing w:val="-5"/>
        </w:rPr>
        <w:t>efficiencies,</w:t>
      </w:r>
      <w:r>
        <w:rPr>
          <w:spacing w:val="-35"/>
        </w:rPr>
        <w:t> </w:t>
      </w:r>
      <w:r>
        <w:rPr>
          <w:spacing w:val="-5"/>
        </w:rPr>
        <w:t>participation</w:t>
      </w:r>
      <w:r>
        <w:rPr>
          <w:spacing w:val="-35"/>
        </w:rPr>
        <w:t> </w:t>
      </w:r>
      <w:r>
        <w:rPr>
          <w:spacing w:val="-3"/>
        </w:rPr>
        <w:t>in</w:t>
      </w:r>
      <w:r>
        <w:rPr>
          <w:spacing w:val="-35"/>
        </w:rPr>
        <w:t> </w:t>
      </w:r>
      <w:r>
        <w:rPr>
          <w:spacing w:val="-4"/>
        </w:rPr>
        <w:t>the</w:t>
      </w:r>
      <w:r>
        <w:rPr>
          <w:spacing w:val="-35"/>
        </w:rPr>
        <w:t> </w:t>
      </w:r>
      <w:r>
        <w:rPr>
          <w:spacing w:val="-7"/>
        </w:rPr>
        <w:t>Voluntary </w:t>
      </w:r>
      <w:r>
        <w:rPr>
          <w:spacing w:val="-8"/>
        </w:rPr>
        <w:t>Targeted </w:t>
      </w:r>
      <w:r>
        <w:rPr>
          <w:spacing w:val="-5"/>
        </w:rPr>
        <w:t>Separation Scheme </w:t>
      </w:r>
      <w:r>
        <w:rPr>
          <w:spacing w:val="-4"/>
        </w:rPr>
        <w:t>and the </w:t>
      </w:r>
      <w:r>
        <w:rPr>
          <w:spacing w:val="-5"/>
        </w:rPr>
        <w:t>transfer of functions</w:t>
      </w:r>
      <w:r>
        <w:rPr>
          <w:spacing w:val="-29"/>
        </w:rPr>
        <w:t> </w:t>
      </w:r>
      <w:r>
        <w:rPr>
          <w:spacing w:val="-5"/>
        </w:rPr>
        <w:t>resulting</w:t>
      </w:r>
      <w:r>
        <w:rPr>
          <w:spacing w:val="-29"/>
        </w:rPr>
        <w:t> </w:t>
      </w:r>
      <w:r>
        <w:rPr>
          <w:spacing w:val="-5"/>
        </w:rPr>
        <w:t>from</w:t>
      </w:r>
      <w:r>
        <w:rPr>
          <w:spacing w:val="-29"/>
        </w:rPr>
        <w:t> </w:t>
      </w:r>
      <w:r>
        <w:rPr>
          <w:spacing w:val="-5"/>
        </w:rPr>
        <w:t>Machinery</w:t>
      </w:r>
      <w:r>
        <w:rPr>
          <w:spacing w:val="-29"/>
        </w:rPr>
        <w:t> </w:t>
      </w:r>
      <w:r>
        <w:rPr>
          <w:spacing w:val="-3"/>
        </w:rPr>
        <w:t>of</w:t>
      </w:r>
      <w:r>
        <w:rPr>
          <w:spacing w:val="-29"/>
        </w:rPr>
        <w:t> </w:t>
      </w:r>
      <w:r>
        <w:rPr>
          <w:spacing w:val="-5"/>
        </w:rPr>
        <w:t>Government changes.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400" w:lineRule="atLeast" w:before="154"/>
        <w:ind w:left="765" w:right="2137" w:firstLine="0"/>
        <w:jc w:val="left"/>
        <w:rPr>
          <w:i/>
          <w:sz w:val="15"/>
        </w:rPr>
      </w:pPr>
      <w:r>
        <w:rPr>
          <w:i/>
          <w:sz w:val="15"/>
        </w:rPr>
        <w:t>Source Data: 2017-18 HR MOIR data. </w:t>
      </w:r>
      <w:r>
        <w:rPr>
          <w:i/>
          <w:sz w:val="15"/>
        </w:rPr>
        <w:t>Notes:</w:t>
      </w:r>
    </w:p>
    <w:p>
      <w:pPr>
        <w:pStyle w:val="ListParagraph"/>
        <w:numPr>
          <w:ilvl w:val="0"/>
          <w:numId w:val="34"/>
        </w:numPr>
        <w:tabs>
          <w:tab w:pos="863" w:val="left" w:leader="none"/>
        </w:tabs>
        <w:spacing w:line="240" w:lineRule="auto" w:before="27" w:after="0"/>
        <w:ind w:left="765" w:right="0" w:firstLine="0"/>
        <w:jc w:val="left"/>
        <w:rPr>
          <w:i/>
          <w:sz w:val="15"/>
        </w:rPr>
      </w:pPr>
      <w:r>
        <w:rPr>
          <w:i/>
          <w:spacing w:val="2"/>
          <w:sz w:val="15"/>
        </w:rPr>
        <w:t>Part </w:t>
      </w:r>
      <w:r>
        <w:rPr>
          <w:i/>
          <w:sz w:val="15"/>
        </w:rPr>
        <w:t>time = hours less than full time hours of </w:t>
      </w:r>
      <w:r>
        <w:rPr>
          <w:i/>
          <w:spacing w:val="-6"/>
          <w:sz w:val="15"/>
        </w:rPr>
        <w:t>37.5 </w:t>
      </w:r>
      <w:r>
        <w:rPr>
          <w:i/>
          <w:spacing w:val="2"/>
          <w:sz w:val="15"/>
        </w:rPr>
        <w:t>per</w:t>
      </w:r>
      <w:r>
        <w:rPr>
          <w:i/>
          <w:spacing w:val="-21"/>
          <w:sz w:val="15"/>
        </w:rPr>
        <w:t> </w:t>
      </w:r>
      <w:r>
        <w:rPr>
          <w:i/>
          <w:sz w:val="15"/>
        </w:rPr>
        <w:t>week.</w:t>
      </w:r>
    </w:p>
    <w:p>
      <w:pPr>
        <w:pStyle w:val="ListParagraph"/>
        <w:numPr>
          <w:ilvl w:val="0"/>
          <w:numId w:val="34"/>
        </w:numPr>
        <w:tabs>
          <w:tab w:pos="863" w:val="left" w:leader="none"/>
        </w:tabs>
        <w:spacing w:line="278" w:lineRule="auto" w:before="28" w:after="0"/>
        <w:ind w:left="765" w:right="0" w:firstLine="0"/>
        <w:jc w:val="left"/>
        <w:rPr>
          <w:i/>
          <w:sz w:val="15"/>
        </w:rPr>
      </w:pPr>
      <w:r>
        <w:rPr>
          <w:i/>
          <w:sz w:val="15"/>
        </w:rPr>
        <w:t>Employees seconded out of the </w:t>
      </w:r>
      <w:r>
        <w:rPr>
          <w:i/>
          <w:spacing w:val="2"/>
          <w:sz w:val="15"/>
        </w:rPr>
        <w:t>Department </w:t>
      </w:r>
      <w:r>
        <w:rPr>
          <w:i/>
          <w:sz w:val="15"/>
        </w:rPr>
        <w:t>have </w:t>
      </w:r>
      <w:r>
        <w:rPr>
          <w:i/>
          <w:spacing w:val="2"/>
          <w:sz w:val="15"/>
        </w:rPr>
        <w:t>been </w:t>
      </w:r>
      <w:r>
        <w:rPr>
          <w:i/>
          <w:sz w:val="15"/>
        </w:rPr>
        <w:t>excluded </w:t>
      </w:r>
      <w:r>
        <w:rPr>
          <w:i/>
          <w:sz w:val="15"/>
        </w:rPr>
        <w:t>from</w:t>
      </w:r>
      <w:r>
        <w:rPr>
          <w:i/>
          <w:spacing w:val="-7"/>
          <w:sz w:val="15"/>
        </w:rPr>
        <w:t> </w:t>
      </w:r>
      <w:r>
        <w:rPr>
          <w:i/>
          <w:sz w:val="15"/>
        </w:rPr>
        <w:t>the</w:t>
      </w:r>
      <w:r>
        <w:rPr>
          <w:i/>
          <w:spacing w:val="-6"/>
          <w:sz w:val="15"/>
        </w:rPr>
        <w:t> </w:t>
      </w:r>
      <w:r>
        <w:rPr>
          <w:i/>
          <w:sz w:val="15"/>
        </w:rPr>
        <w:t>figures</w:t>
      </w:r>
      <w:r>
        <w:rPr>
          <w:i/>
          <w:spacing w:val="-7"/>
          <w:sz w:val="15"/>
        </w:rPr>
        <w:t> </w:t>
      </w:r>
      <w:r>
        <w:rPr>
          <w:i/>
          <w:sz w:val="15"/>
        </w:rPr>
        <w:t>as</w:t>
      </w:r>
      <w:r>
        <w:rPr>
          <w:i/>
          <w:spacing w:val="-6"/>
          <w:sz w:val="15"/>
        </w:rPr>
        <w:t> </w:t>
      </w:r>
      <w:r>
        <w:rPr>
          <w:i/>
          <w:sz w:val="15"/>
        </w:rPr>
        <w:t>these</w:t>
      </w:r>
      <w:r>
        <w:rPr>
          <w:i/>
          <w:spacing w:val="-6"/>
          <w:sz w:val="15"/>
        </w:rPr>
        <w:t> </w:t>
      </w:r>
      <w:r>
        <w:rPr>
          <w:i/>
          <w:spacing w:val="2"/>
          <w:sz w:val="15"/>
        </w:rPr>
        <w:t>officers</w:t>
      </w:r>
      <w:r>
        <w:rPr>
          <w:i/>
          <w:spacing w:val="-7"/>
          <w:sz w:val="15"/>
        </w:rPr>
        <w:t> </w:t>
      </w:r>
      <w:r>
        <w:rPr>
          <w:i/>
          <w:sz w:val="15"/>
        </w:rPr>
        <w:t>were</w:t>
      </w:r>
      <w:r>
        <w:rPr>
          <w:i/>
          <w:spacing w:val="-6"/>
          <w:sz w:val="15"/>
        </w:rPr>
        <w:t> </w:t>
      </w:r>
      <w:r>
        <w:rPr>
          <w:i/>
          <w:sz w:val="15"/>
        </w:rPr>
        <w:t>not</w:t>
      </w:r>
      <w:r>
        <w:rPr>
          <w:i/>
          <w:spacing w:val="-6"/>
          <w:sz w:val="15"/>
        </w:rPr>
        <w:t> </w:t>
      </w:r>
      <w:r>
        <w:rPr>
          <w:i/>
          <w:sz w:val="15"/>
        </w:rPr>
        <w:t>contributing</w:t>
      </w:r>
      <w:r>
        <w:rPr>
          <w:i/>
          <w:spacing w:val="-7"/>
          <w:sz w:val="15"/>
        </w:rPr>
        <w:t> </w:t>
      </w:r>
      <w:r>
        <w:rPr>
          <w:i/>
          <w:sz w:val="15"/>
        </w:rPr>
        <w:t>to</w:t>
      </w:r>
      <w:r>
        <w:rPr>
          <w:i/>
          <w:spacing w:val="-6"/>
          <w:sz w:val="15"/>
        </w:rPr>
        <w:t> </w:t>
      </w:r>
      <w:r>
        <w:rPr>
          <w:i/>
          <w:spacing w:val="2"/>
          <w:sz w:val="15"/>
        </w:rPr>
        <w:t>departmental </w:t>
      </w:r>
      <w:r>
        <w:rPr>
          <w:i/>
          <w:sz w:val="15"/>
        </w:rPr>
        <w:t>outputs as they were working for another</w:t>
      </w:r>
      <w:r>
        <w:rPr>
          <w:i/>
          <w:spacing w:val="-9"/>
          <w:sz w:val="15"/>
        </w:rPr>
        <w:t> </w:t>
      </w:r>
      <w:r>
        <w:rPr>
          <w:i/>
          <w:sz w:val="15"/>
        </w:rPr>
        <w:t>organisation.</w:t>
      </w:r>
    </w:p>
    <w:p>
      <w:pPr>
        <w:pStyle w:val="ListParagraph"/>
        <w:numPr>
          <w:ilvl w:val="0"/>
          <w:numId w:val="34"/>
        </w:numPr>
        <w:tabs>
          <w:tab w:pos="863" w:val="left" w:leader="none"/>
        </w:tabs>
        <w:spacing w:line="172" w:lineRule="exact" w:before="0" w:after="0"/>
        <w:ind w:left="862" w:right="0" w:hanging="97"/>
        <w:jc w:val="left"/>
        <w:rPr>
          <w:i/>
          <w:sz w:val="15"/>
        </w:rPr>
      </w:pPr>
      <w:r>
        <w:rPr>
          <w:i/>
          <w:sz w:val="15"/>
        </w:rPr>
        <w:t>Approved </w:t>
      </w:r>
      <w:r>
        <w:rPr>
          <w:i/>
          <w:spacing w:val="2"/>
          <w:sz w:val="15"/>
        </w:rPr>
        <w:t>FTE </w:t>
      </w:r>
      <w:r>
        <w:rPr>
          <w:i/>
          <w:sz w:val="15"/>
        </w:rPr>
        <w:t>target for </w:t>
      </w:r>
      <w:r>
        <w:rPr>
          <w:i/>
          <w:spacing w:val="-7"/>
          <w:sz w:val="15"/>
        </w:rPr>
        <w:t>2017-18 </w:t>
      </w:r>
      <w:r>
        <w:rPr>
          <w:i/>
          <w:sz w:val="15"/>
        </w:rPr>
        <w:t>was </w:t>
      </w:r>
      <w:r>
        <w:rPr>
          <w:i/>
          <w:spacing w:val="-4"/>
          <w:sz w:val="15"/>
        </w:rPr>
        <w:t>1,075.</w:t>
      </w:r>
    </w:p>
    <w:p>
      <w:pPr>
        <w:pStyle w:val="BodyText"/>
        <w:rPr>
          <w:i/>
          <w:sz w:val="16"/>
        </w:rPr>
      </w:pPr>
    </w:p>
    <w:p>
      <w:pPr>
        <w:pStyle w:val="Heading6"/>
        <w:spacing w:before="133"/>
      </w:pPr>
      <w:r>
        <w:rPr/>
        <w:t>Industrial relations</w:t>
      </w:r>
    </w:p>
    <w:p>
      <w:pPr>
        <w:pStyle w:val="BodyText"/>
        <w:spacing w:line="249" w:lineRule="auto" w:before="11"/>
        <w:ind w:left="765" w:right="1"/>
      </w:pPr>
      <w:r>
        <w:rPr/>
        <w:t>The majority of Department of Finance staff are employed under the Public Service Award 1992 and</w:t>
      </w:r>
      <w:r>
        <w:rPr>
          <w:spacing w:val="-28"/>
        </w:rPr>
        <w:t> </w:t>
      </w:r>
      <w:r>
        <w:rPr/>
        <w:t>Public</w:t>
      </w:r>
      <w:r>
        <w:rPr>
          <w:spacing w:val="-28"/>
        </w:rPr>
        <w:t> </w:t>
      </w:r>
      <w:r>
        <w:rPr/>
        <w:t>Service</w:t>
      </w:r>
      <w:r>
        <w:rPr>
          <w:spacing w:val="-27"/>
        </w:rPr>
        <w:t> </w:t>
      </w:r>
      <w:r>
        <w:rPr/>
        <w:t>and</w:t>
      </w:r>
      <w:r>
        <w:rPr>
          <w:spacing w:val="-28"/>
        </w:rPr>
        <w:t> </w:t>
      </w:r>
      <w:r>
        <w:rPr/>
        <w:t>Government</w:t>
      </w:r>
      <w:r>
        <w:rPr>
          <w:spacing w:val="-28"/>
        </w:rPr>
        <w:t> </w:t>
      </w:r>
      <w:r>
        <w:rPr/>
        <w:t>Officers</w:t>
      </w:r>
      <w:r>
        <w:rPr>
          <w:spacing w:val="-27"/>
        </w:rPr>
        <w:t> </w:t>
      </w:r>
      <w:r>
        <w:rPr>
          <w:spacing w:val="-6"/>
        </w:rPr>
        <w:t>CSA </w:t>
      </w:r>
      <w:r>
        <w:rPr/>
        <w:t>General</w:t>
      </w:r>
      <w:r>
        <w:rPr>
          <w:spacing w:val="-16"/>
        </w:rPr>
        <w:t> </w:t>
      </w:r>
      <w:r>
        <w:rPr/>
        <w:t>Agreement</w:t>
      </w:r>
      <w:r>
        <w:rPr>
          <w:spacing w:val="-16"/>
        </w:rPr>
        <w:t> </w:t>
      </w:r>
      <w:r>
        <w:rPr/>
        <w:t>2017.</w:t>
      </w:r>
      <w:r>
        <w:rPr>
          <w:spacing w:val="-16"/>
        </w:rPr>
        <w:t> </w:t>
      </w:r>
      <w:r>
        <w:rPr/>
        <w:t>Five</w:t>
      </w:r>
      <w:r>
        <w:rPr>
          <w:spacing w:val="-16"/>
        </w:rPr>
        <w:t> </w:t>
      </w:r>
      <w:r>
        <w:rPr/>
        <w:t>senior</w:t>
      </w:r>
      <w:r>
        <w:rPr>
          <w:spacing w:val="-16"/>
        </w:rPr>
        <w:t> </w:t>
      </w:r>
      <w:r>
        <w:rPr/>
        <w:t>officers</w:t>
      </w:r>
    </w:p>
    <w:p>
      <w:pPr>
        <w:spacing w:line="249" w:lineRule="auto" w:before="4"/>
        <w:ind w:left="765" w:right="77" w:firstLine="0"/>
        <w:jc w:val="left"/>
        <w:rPr>
          <w:sz w:val="22"/>
        </w:rPr>
      </w:pPr>
      <w:r>
        <w:rPr>
          <w:sz w:val="22"/>
        </w:rPr>
        <w:t>are</w:t>
      </w:r>
      <w:r>
        <w:rPr>
          <w:spacing w:val="-32"/>
          <w:sz w:val="22"/>
        </w:rPr>
        <w:t> </w:t>
      </w:r>
      <w:r>
        <w:rPr>
          <w:sz w:val="22"/>
        </w:rPr>
        <w:t>employed</w:t>
      </w:r>
      <w:r>
        <w:rPr>
          <w:spacing w:val="-31"/>
          <w:sz w:val="22"/>
        </w:rPr>
        <w:t> </w:t>
      </w:r>
      <w:r>
        <w:rPr>
          <w:sz w:val="22"/>
        </w:rPr>
        <w:t>under</w:t>
      </w:r>
      <w:r>
        <w:rPr>
          <w:spacing w:val="-31"/>
          <w:sz w:val="22"/>
        </w:rPr>
        <w:t> </w:t>
      </w:r>
      <w:r>
        <w:rPr>
          <w:sz w:val="22"/>
        </w:rPr>
        <w:t>the</w:t>
      </w:r>
      <w:r>
        <w:rPr>
          <w:spacing w:val="-31"/>
          <w:sz w:val="22"/>
        </w:rPr>
        <w:t> </w:t>
      </w:r>
      <w:r>
        <w:rPr>
          <w:i/>
          <w:sz w:val="22"/>
        </w:rPr>
        <w:t>Salaries</w:t>
      </w:r>
      <w:r>
        <w:rPr>
          <w:i/>
          <w:spacing w:val="-31"/>
          <w:sz w:val="22"/>
        </w:rPr>
        <w:t> </w:t>
      </w:r>
      <w:r>
        <w:rPr>
          <w:i/>
          <w:sz w:val="22"/>
        </w:rPr>
        <w:t>and</w:t>
      </w:r>
      <w:r>
        <w:rPr>
          <w:i/>
          <w:spacing w:val="-31"/>
          <w:sz w:val="22"/>
        </w:rPr>
        <w:t> </w:t>
      </w:r>
      <w:r>
        <w:rPr>
          <w:i/>
          <w:sz w:val="22"/>
        </w:rPr>
        <w:t>Allowances </w:t>
      </w:r>
      <w:r>
        <w:rPr>
          <w:i/>
          <w:spacing w:val="-3"/>
          <w:sz w:val="22"/>
        </w:rPr>
        <w:t>Tribunal </w:t>
      </w:r>
      <w:r>
        <w:rPr>
          <w:i/>
          <w:sz w:val="22"/>
        </w:rPr>
        <w:t>Act</w:t>
      </w:r>
      <w:r>
        <w:rPr>
          <w:i/>
          <w:spacing w:val="1"/>
          <w:sz w:val="22"/>
        </w:rPr>
        <w:t> </w:t>
      </w:r>
      <w:r>
        <w:rPr>
          <w:i/>
          <w:sz w:val="22"/>
        </w:rPr>
        <w:t>1975</w:t>
      </w:r>
      <w:r>
        <w:rPr>
          <w:sz w:val="22"/>
        </w:rPr>
        <w:t>.</w:t>
      </w:r>
    </w:p>
    <w:p>
      <w:pPr>
        <w:pStyle w:val="BodyText"/>
        <w:spacing w:line="249" w:lineRule="auto" w:before="142"/>
        <w:ind w:left="512" w:right="-7"/>
      </w:pPr>
      <w:r>
        <w:rPr/>
        <w:br w:type="column"/>
      </w:r>
      <w:r>
        <w:rPr/>
        <w:t>The Department also has an Agency Specific Agreement</w:t>
      </w:r>
      <w:r>
        <w:rPr>
          <w:spacing w:val="-24"/>
        </w:rPr>
        <w:t> </w:t>
      </w:r>
      <w:r>
        <w:rPr/>
        <w:t>with</w:t>
      </w:r>
      <w:r>
        <w:rPr>
          <w:spacing w:val="-23"/>
        </w:rPr>
        <w:t> </w:t>
      </w:r>
      <w:r>
        <w:rPr/>
        <w:t>provisions</w:t>
      </w:r>
      <w:r>
        <w:rPr>
          <w:spacing w:val="-23"/>
        </w:rPr>
        <w:t> </w:t>
      </w:r>
      <w:r>
        <w:rPr/>
        <w:t>for</w:t>
      </w:r>
      <w:r>
        <w:rPr>
          <w:spacing w:val="-23"/>
        </w:rPr>
        <w:t> </w:t>
      </w:r>
      <w:r>
        <w:rPr/>
        <w:t>a</w:t>
      </w:r>
      <w:r>
        <w:rPr>
          <w:spacing w:val="-23"/>
        </w:rPr>
        <w:t> </w:t>
      </w:r>
      <w:r>
        <w:rPr/>
        <w:t>wellness</w:t>
      </w:r>
      <w:r>
        <w:rPr>
          <w:spacing w:val="-24"/>
        </w:rPr>
        <w:t> </w:t>
      </w:r>
      <w:r>
        <w:rPr>
          <w:spacing w:val="-4"/>
        </w:rPr>
        <w:t>program, </w:t>
      </w:r>
      <w:r>
        <w:rPr/>
        <w:t>motor vehicle allowance for business use and flexible working</w:t>
      </w:r>
      <w:r>
        <w:rPr>
          <w:spacing w:val="-7"/>
        </w:rPr>
        <w:t> </w:t>
      </w:r>
      <w:r>
        <w:rPr/>
        <w:t>arrangements.</w:t>
      </w:r>
    </w:p>
    <w:p>
      <w:pPr>
        <w:pStyle w:val="BodyText"/>
        <w:spacing w:before="3"/>
        <w:rPr>
          <w:sz w:val="23"/>
        </w:rPr>
      </w:pPr>
    </w:p>
    <w:p>
      <w:pPr>
        <w:pStyle w:val="Heading6"/>
        <w:ind w:left="512"/>
      </w:pPr>
      <w:r>
        <w:rPr/>
        <w:t>Workers’ compensation</w:t>
      </w:r>
    </w:p>
    <w:p>
      <w:pPr>
        <w:pStyle w:val="BodyText"/>
        <w:spacing w:line="249" w:lineRule="auto" w:before="11"/>
        <w:ind w:left="512" w:right="712"/>
      </w:pPr>
      <w:r>
        <w:rPr/>
        <w:pict>
          <v:shape style="position:absolute;margin-left:300.472412pt;margin-top:55.894772pt;width:241.05pt;height:58.85pt;mso-position-horizontal-relative:page;mso-position-vertical-relative:paragraph;z-index:28816"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1020"/>
                    <w:gridCol w:w="1020"/>
                    <w:gridCol w:w="1020"/>
                  </w:tblGrid>
                  <w:tr>
                    <w:trPr>
                      <w:trHeight w:val="305" w:hRule="atLeast"/>
                    </w:trPr>
                    <w:tc>
                      <w:tcPr>
                        <w:tcW w:w="1729" w:type="dxa"/>
                        <w:tcBorders>
                          <w:left w:val="single" w:sz="8" w:space="0" w:color="FFFFFF"/>
                        </w:tcBorders>
                        <w:shd w:val="clear" w:color="auto" w:fill="783A79"/>
                      </w:tcPr>
                      <w:p>
                        <w:pPr>
                          <w:pStyle w:val="TableParagraph"/>
                          <w:spacing w:before="42"/>
                          <w:ind w:left="113"/>
                          <w:rPr>
                            <w:b/>
                            <w:sz w:val="19"/>
                          </w:rPr>
                        </w:pPr>
                        <w:r>
                          <w:rPr>
                            <w:b/>
                            <w:color w:val="FFFFFF"/>
                            <w:sz w:val="19"/>
                          </w:rPr>
                          <w:t>Claims</w:t>
                        </w:r>
                      </w:p>
                    </w:tc>
                    <w:tc>
                      <w:tcPr>
                        <w:tcW w:w="1020" w:type="dxa"/>
                        <w:shd w:val="clear" w:color="auto" w:fill="783A79"/>
                      </w:tcPr>
                      <w:p>
                        <w:pPr>
                          <w:pStyle w:val="TableParagraph"/>
                          <w:spacing w:before="42"/>
                          <w:ind w:left="91" w:right="71"/>
                          <w:jc w:val="center"/>
                          <w:rPr>
                            <w:b/>
                            <w:sz w:val="19"/>
                          </w:rPr>
                        </w:pPr>
                        <w:r>
                          <w:rPr>
                            <w:b/>
                            <w:color w:val="FFFFFF"/>
                            <w:sz w:val="19"/>
                          </w:rPr>
                          <w:t>2017-18</w:t>
                        </w:r>
                      </w:p>
                    </w:tc>
                    <w:tc>
                      <w:tcPr>
                        <w:tcW w:w="1020" w:type="dxa"/>
                        <w:shd w:val="clear" w:color="auto" w:fill="783A79"/>
                      </w:tcPr>
                      <w:p>
                        <w:pPr>
                          <w:pStyle w:val="TableParagraph"/>
                          <w:spacing w:before="42"/>
                          <w:ind w:left="91" w:right="70"/>
                          <w:jc w:val="center"/>
                          <w:rPr>
                            <w:b/>
                            <w:sz w:val="19"/>
                          </w:rPr>
                        </w:pPr>
                        <w:r>
                          <w:rPr>
                            <w:b/>
                            <w:color w:val="FFFFFF"/>
                            <w:sz w:val="19"/>
                          </w:rPr>
                          <w:t>2016-17</w:t>
                        </w:r>
                      </w:p>
                    </w:tc>
                    <w:tc>
                      <w:tcPr>
                        <w:tcW w:w="1020" w:type="dxa"/>
                        <w:shd w:val="clear" w:color="auto" w:fill="783A79"/>
                      </w:tcPr>
                      <w:p>
                        <w:pPr>
                          <w:pStyle w:val="TableParagraph"/>
                          <w:spacing w:before="42"/>
                          <w:ind w:left="91" w:right="69"/>
                          <w:jc w:val="center"/>
                          <w:rPr>
                            <w:b/>
                            <w:sz w:val="19"/>
                          </w:rPr>
                        </w:pPr>
                        <w:r>
                          <w:rPr>
                            <w:b/>
                            <w:color w:val="FFFFFF"/>
                            <w:sz w:val="19"/>
                          </w:rPr>
                          <w:t>2015-16</w:t>
                        </w:r>
                      </w:p>
                    </w:tc>
                  </w:tr>
                  <w:tr>
                    <w:trPr>
                      <w:trHeight w:val="263" w:hRule="atLeast"/>
                    </w:trPr>
                    <w:tc>
                      <w:tcPr>
                        <w:tcW w:w="1729" w:type="dxa"/>
                        <w:tcBorders>
                          <w:left w:val="single" w:sz="8" w:space="0" w:color="FFFFFF"/>
                        </w:tcBorders>
                        <w:shd w:val="clear" w:color="auto" w:fill="F4F4F4"/>
                      </w:tcPr>
                      <w:p>
                        <w:pPr>
                          <w:pStyle w:val="TableParagraph"/>
                          <w:spacing w:line="201" w:lineRule="exact" w:before="42"/>
                          <w:ind w:left="113"/>
                          <w:rPr>
                            <w:sz w:val="19"/>
                          </w:rPr>
                        </w:pPr>
                        <w:r>
                          <w:rPr>
                            <w:sz w:val="19"/>
                          </w:rPr>
                          <w:t>Workers’</w:t>
                        </w:r>
                      </w:p>
                    </w:tc>
                    <w:tc>
                      <w:tcPr>
                        <w:tcW w:w="1020" w:type="dxa"/>
                        <w:shd w:val="clear" w:color="auto" w:fill="DFE1B8"/>
                      </w:tcPr>
                      <w:p>
                        <w:pPr>
                          <w:pStyle w:val="TableParagraph"/>
                          <w:spacing w:line="201" w:lineRule="exact" w:before="42"/>
                          <w:ind w:left="91" w:right="71"/>
                          <w:jc w:val="center"/>
                          <w:rPr>
                            <w:sz w:val="19"/>
                          </w:rPr>
                        </w:pPr>
                        <w:r>
                          <w:rPr>
                            <w:sz w:val="19"/>
                          </w:rPr>
                          <w:t>5*</w:t>
                        </w:r>
                      </w:p>
                    </w:tc>
                    <w:tc>
                      <w:tcPr>
                        <w:tcW w:w="1020" w:type="dxa"/>
                        <w:tcBorders>
                          <w:right w:val="single" w:sz="8" w:space="0" w:color="FFFFFF"/>
                        </w:tcBorders>
                        <w:shd w:val="clear" w:color="auto" w:fill="F4F4F4"/>
                      </w:tcPr>
                      <w:p>
                        <w:pPr>
                          <w:pStyle w:val="TableParagraph"/>
                          <w:spacing w:line="201" w:lineRule="exact" w:before="42"/>
                          <w:ind w:left="31"/>
                          <w:jc w:val="center"/>
                          <w:rPr>
                            <w:sz w:val="19"/>
                          </w:rPr>
                        </w:pPr>
                        <w:r>
                          <w:rPr>
                            <w:w w:val="99"/>
                            <w:sz w:val="19"/>
                          </w:rPr>
                          <w:t>4</w:t>
                        </w:r>
                      </w:p>
                    </w:tc>
                    <w:tc>
                      <w:tcPr>
                        <w:tcW w:w="1020" w:type="dxa"/>
                        <w:tcBorders>
                          <w:left w:val="single" w:sz="8" w:space="0" w:color="FFFFFF"/>
                          <w:right w:val="single" w:sz="8" w:space="0" w:color="FFFFFF"/>
                        </w:tcBorders>
                        <w:shd w:val="clear" w:color="auto" w:fill="F4F4F4"/>
                      </w:tcPr>
                      <w:p>
                        <w:pPr>
                          <w:pStyle w:val="TableParagraph"/>
                          <w:spacing w:line="201" w:lineRule="exact" w:before="42"/>
                          <w:ind w:left="22"/>
                          <w:jc w:val="center"/>
                          <w:rPr>
                            <w:sz w:val="19"/>
                          </w:rPr>
                        </w:pPr>
                        <w:r>
                          <w:rPr>
                            <w:w w:val="99"/>
                            <w:sz w:val="19"/>
                          </w:rPr>
                          <w:t>6</w:t>
                        </w:r>
                      </w:p>
                    </w:tc>
                  </w:tr>
                  <w:tr>
                    <w:trPr>
                      <w:trHeight w:val="260" w:hRule="atLeast"/>
                    </w:trPr>
                    <w:tc>
                      <w:tcPr>
                        <w:tcW w:w="1729" w:type="dxa"/>
                        <w:tcBorders>
                          <w:left w:val="single" w:sz="8" w:space="0" w:color="FFFFFF"/>
                          <w:bottom w:val="single" w:sz="8" w:space="0" w:color="FFFFFF"/>
                        </w:tcBorders>
                        <w:shd w:val="clear" w:color="auto" w:fill="F4F4F4"/>
                      </w:tcPr>
                      <w:p>
                        <w:pPr>
                          <w:pStyle w:val="TableParagraph"/>
                          <w:spacing w:before="7"/>
                          <w:ind w:left="113"/>
                          <w:rPr>
                            <w:sz w:val="19"/>
                          </w:rPr>
                        </w:pPr>
                        <w:r>
                          <w:rPr>
                            <w:sz w:val="19"/>
                          </w:rPr>
                          <w:t>compensation</w:t>
                        </w:r>
                      </w:p>
                    </w:tc>
                    <w:tc>
                      <w:tcPr>
                        <w:tcW w:w="1020" w:type="dxa"/>
                        <w:shd w:val="clear" w:color="auto" w:fill="DFE1B8"/>
                      </w:tcPr>
                      <w:p>
                        <w:pPr>
                          <w:pStyle w:val="TableParagraph"/>
                          <w:spacing w:before="0"/>
                          <w:rPr>
                            <w:rFonts w:ascii="Times New Roman"/>
                            <w:sz w:val="18"/>
                          </w:rPr>
                        </w:pPr>
                      </w:p>
                    </w:tc>
                    <w:tc>
                      <w:tcPr>
                        <w:tcW w:w="1020" w:type="dxa"/>
                        <w:tcBorders>
                          <w:right w:val="single" w:sz="8" w:space="0" w:color="FFFFFF"/>
                        </w:tcBorders>
                        <w:shd w:val="clear" w:color="auto" w:fill="F4F4F4"/>
                      </w:tcPr>
                      <w:p>
                        <w:pPr>
                          <w:pStyle w:val="TableParagraph"/>
                          <w:spacing w:before="0"/>
                          <w:rPr>
                            <w:rFonts w:ascii="Times New Roman"/>
                            <w:sz w:val="18"/>
                          </w:rPr>
                        </w:pPr>
                      </w:p>
                    </w:tc>
                    <w:tc>
                      <w:tcPr>
                        <w:tcW w:w="1020" w:type="dxa"/>
                        <w:tcBorders>
                          <w:left w:val="single" w:sz="8" w:space="0" w:color="FFFFFF"/>
                          <w:right w:val="single" w:sz="8" w:space="0" w:color="FFFFFF"/>
                        </w:tcBorders>
                        <w:shd w:val="clear" w:color="auto" w:fill="F4F4F4"/>
                      </w:tcPr>
                      <w:p>
                        <w:pPr>
                          <w:pStyle w:val="TableParagraph"/>
                          <w:spacing w:before="0"/>
                          <w:rPr>
                            <w:rFonts w:ascii="Times New Roman"/>
                            <w:sz w:val="18"/>
                          </w:rPr>
                        </w:pPr>
                      </w:p>
                    </w:tc>
                  </w:tr>
                  <w:tr>
                    <w:trPr>
                      <w:trHeight w:val="307" w:hRule="atLeast"/>
                    </w:trPr>
                    <w:tc>
                      <w:tcPr>
                        <w:tcW w:w="1729"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Lost time injuries</w:t>
                        </w:r>
                      </w:p>
                    </w:tc>
                    <w:tc>
                      <w:tcPr>
                        <w:tcW w:w="1020" w:type="dxa"/>
                        <w:shd w:val="clear" w:color="auto" w:fill="DFE1B8"/>
                      </w:tcPr>
                      <w:p>
                        <w:pPr>
                          <w:pStyle w:val="TableParagraph"/>
                          <w:ind w:left="20"/>
                          <w:jc w:val="center"/>
                          <w:rPr>
                            <w:sz w:val="19"/>
                          </w:rPr>
                        </w:pPr>
                        <w:r>
                          <w:rPr>
                            <w:w w:val="99"/>
                            <w:sz w:val="19"/>
                          </w:rPr>
                          <w:t>3</w:t>
                        </w:r>
                      </w:p>
                    </w:tc>
                    <w:tc>
                      <w:tcPr>
                        <w:tcW w:w="1020" w:type="dxa"/>
                        <w:tcBorders>
                          <w:bottom w:val="single" w:sz="8" w:space="0" w:color="FFFFFF"/>
                          <w:right w:val="single" w:sz="8" w:space="0" w:color="FFFFFF"/>
                        </w:tcBorders>
                        <w:shd w:val="clear" w:color="auto" w:fill="F4F4F4"/>
                      </w:tcPr>
                      <w:p>
                        <w:pPr>
                          <w:pStyle w:val="TableParagraph"/>
                          <w:ind w:left="31"/>
                          <w:jc w:val="center"/>
                          <w:rPr>
                            <w:sz w:val="19"/>
                          </w:rPr>
                        </w:pPr>
                        <w:r>
                          <w:rPr>
                            <w:w w:val="99"/>
                            <w:sz w:val="19"/>
                          </w:rPr>
                          <w:t>2</w:t>
                        </w:r>
                      </w:p>
                    </w:tc>
                    <w:tc>
                      <w:tcPr>
                        <w:tcW w:w="1020" w:type="dxa"/>
                        <w:tcBorders>
                          <w:left w:val="single" w:sz="8" w:space="0" w:color="FFFFFF"/>
                          <w:bottom w:val="single" w:sz="8" w:space="0" w:color="FFFFFF"/>
                          <w:right w:val="single" w:sz="8" w:space="0" w:color="FFFFFF"/>
                        </w:tcBorders>
                        <w:shd w:val="clear" w:color="auto" w:fill="F4F4F4"/>
                      </w:tcPr>
                      <w:p>
                        <w:pPr>
                          <w:pStyle w:val="TableParagraph"/>
                          <w:ind w:left="22"/>
                          <w:jc w:val="center"/>
                          <w:rPr>
                            <w:sz w:val="19"/>
                          </w:rPr>
                        </w:pPr>
                        <w:r>
                          <w:rPr>
                            <w:w w:val="99"/>
                            <w:sz w:val="19"/>
                          </w:rPr>
                          <w:t>3</w:t>
                        </w:r>
                      </w:p>
                    </w:tc>
                  </w:tr>
                </w:tbl>
                <w:p>
                  <w:pPr>
                    <w:pStyle w:val="BodyText"/>
                  </w:pPr>
                </w:p>
              </w:txbxContent>
            </v:textbox>
            <w10:wrap type="none"/>
          </v:shape>
        </w:pict>
      </w:r>
      <w:r>
        <w:rPr/>
        <w:t>In accordance with </w:t>
      </w:r>
      <w:r>
        <w:rPr>
          <w:spacing w:val="-5"/>
        </w:rPr>
        <w:t>Treasurer’s </w:t>
      </w:r>
      <w:r>
        <w:rPr/>
        <w:t>Instruction 903</w:t>
      </w:r>
      <w:r>
        <w:rPr>
          <w:spacing w:val="-23"/>
        </w:rPr>
        <w:t> </w:t>
      </w:r>
      <w:r>
        <w:rPr/>
        <w:t>(13),</w:t>
      </w:r>
      <w:r>
        <w:rPr>
          <w:spacing w:val="-22"/>
        </w:rPr>
        <w:t> </w:t>
      </w:r>
      <w:r>
        <w:rPr/>
        <w:t>the</w:t>
      </w:r>
      <w:r>
        <w:rPr>
          <w:spacing w:val="-22"/>
        </w:rPr>
        <w:t> </w:t>
      </w:r>
      <w:r>
        <w:rPr/>
        <w:t>Department</w:t>
      </w:r>
      <w:r>
        <w:rPr>
          <w:spacing w:val="-22"/>
        </w:rPr>
        <w:t> </w:t>
      </w:r>
      <w:r>
        <w:rPr/>
        <w:t>had</w:t>
      </w:r>
      <w:r>
        <w:rPr>
          <w:spacing w:val="-22"/>
        </w:rPr>
        <w:t> </w:t>
      </w:r>
      <w:r>
        <w:rPr/>
        <w:t>the</w:t>
      </w:r>
      <w:r>
        <w:rPr>
          <w:spacing w:val="-23"/>
        </w:rPr>
        <w:t> </w:t>
      </w:r>
      <w:r>
        <w:rPr/>
        <w:t>following workers’ compensation</w:t>
      </w:r>
      <w:r>
        <w:rPr>
          <w:spacing w:val="-12"/>
        </w:rPr>
        <w:t> </w:t>
      </w:r>
      <w:r>
        <w:rPr/>
        <w:t>disclosures.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0"/>
        </w:rPr>
      </w:pPr>
    </w:p>
    <w:p>
      <w:pPr>
        <w:spacing w:line="278" w:lineRule="auto" w:before="0"/>
        <w:ind w:left="512" w:right="-7" w:firstLine="0"/>
        <w:jc w:val="left"/>
        <w:rPr>
          <w:i/>
          <w:sz w:val="15"/>
        </w:rPr>
      </w:pPr>
      <w:r>
        <w:rPr>
          <w:i/>
          <w:sz w:val="15"/>
        </w:rPr>
        <w:t>*Liability on three claims included in this calculation had not yet been </w:t>
      </w:r>
      <w:r>
        <w:rPr>
          <w:i/>
          <w:sz w:val="15"/>
        </w:rPr>
        <w:t>decided as at 30/06/2018.</w:t>
      </w:r>
    </w:p>
    <w:p>
      <w:pPr>
        <w:pStyle w:val="BodyText"/>
        <w:rPr>
          <w:i/>
        </w:rPr>
      </w:pPr>
    </w:p>
    <w:p>
      <w:pPr>
        <w:pStyle w:val="BodyText"/>
        <w:spacing w:line="249" w:lineRule="auto"/>
        <w:ind w:left="512" w:right="510"/>
      </w:pPr>
      <w:r>
        <w:rPr>
          <w:spacing w:val="-5"/>
        </w:rPr>
        <w:t>Three</w:t>
      </w:r>
      <w:r>
        <w:rPr>
          <w:spacing w:val="-27"/>
        </w:rPr>
        <w:t> </w:t>
      </w:r>
      <w:r>
        <w:rPr>
          <w:spacing w:val="-3"/>
        </w:rPr>
        <w:t>of</w:t>
      </w:r>
      <w:r>
        <w:rPr>
          <w:spacing w:val="-27"/>
        </w:rPr>
        <w:t> </w:t>
      </w:r>
      <w:r>
        <w:rPr>
          <w:spacing w:val="-4"/>
        </w:rPr>
        <w:t>the</w:t>
      </w:r>
      <w:r>
        <w:rPr>
          <w:spacing w:val="-27"/>
        </w:rPr>
        <w:t> </w:t>
      </w:r>
      <w:r>
        <w:rPr>
          <w:spacing w:val="-3"/>
        </w:rPr>
        <w:t>five</w:t>
      </w:r>
      <w:r>
        <w:rPr>
          <w:spacing w:val="-27"/>
        </w:rPr>
        <w:t> </w:t>
      </w:r>
      <w:r>
        <w:rPr>
          <w:spacing w:val="-5"/>
        </w:rPr>
        <w:t>workers’</w:t>
      </w:r>
      <w:r>
        <w:rPr>
          <w:spacing w:val="-27"/>
        </w:rPr>
        <w:t> </w:t>
      </w:r>
      <w:r>
        <w:rPr>
          <w:spacing w:val="-5"/>
        </w:rPr>
        <w:t>compensation</w:t>
      </w:r>
      <w:r>
        <w:rPr>
          <w:spacing w:val="-27"/>
        </w:rPr>
        <w:t> </w:t>
      </w:r>
      <w:r>
        <w:rPr>
          <w:spacing w:val="-5"/>
        </w:rPr>
        <w:t>claims lodged were </w:t>
      </w:r>
      <w:r>
        <w:rPr>
          <w:spacing w:val="-4"/>
        </w:rPr>
        <w:t>lost time </w:t>
      </w:r>
      <w:r>
        <w:rPr>
          <w:spacing w:val="-5"/>
        </w:rPr>
        <w:t>claims. </w:t>
      </w:r>
      <w:r>
        <w:rPr>
          <w:spacing w:val="-12"/>
        </w:rPr>
        <w:t>Two </w:t>
      </w:r>
      <w:r>
        <w:rPr>
          <w:spacing w:val="-5"/>
        </w:rPr>
        <w:t>employees returned </w:t>
      </w:r>
      <w:r>
        <w:rPr>
          <w:spacing w:val="-3"/>
        </w:rPr>
        <w:t>to </w:t>
      </w:r>
      <w:r>
        <w:rPr>
          <w:spacing w:val="-4"/>
        </w:rPr>
        <w:t>work </w:t>
      </w:r>
      <w:r>
        <w:rPr>
          <w:spacing w:val="-5"/>
        </w:rPr>
        <w:t>within </w:t>
      </w:r>
      <w:r>
        <w:rPr>
          <w:spacing w:val="-3"/>
        </w:rPr>
        <w:t>13 </w:t>
      </w:r>
      <w:r>
        <w:rPr>
          <w:spacing w:val="-5"/>
        </w:rPr>
        <w:t>weeks, </w:t>
      </w:r>
      <w:r>
        <w:rPr>
          <w:spacing w:val="-4"/>
        </w:rPr>
        <w:t>both </w:t>
      </w:r>
      <w:r>
        <w:rPr>
          <w:spacing w:val="-5"/>
        </w:rPr>
        <w:t>were provided </w:t>
      </w:r>
      <w:r>
        <w:rPr>
          <w:spacing w:val="-4"/>
        </w:rPr>
        <w:t>with </w:t>
      </w:r>
      <w:r>
        <w:rPr>
          <w:spacing w:val="-5"/>
        </w:rPr>
        <w:t>specialised injury management assistance.</w:t>
      </w:r>
    </w:p>
    <w:p>
      <w:pPr>
        <w:pStyle w:val="BodyText"/>
        <w:spacing w:before="4"/>
        <w:rPr>
          <w:sz w:val="23"/>
        </w:rPr>
      </w:pPr>
    </w:p>
    <w:p>
      <w:pPr>
        <w:pStyle w:val="Heading6"/>
        <w:spacing w:before="1"/>
        <w:ind w:left="512"/>
      </w:pPr>
      <w:r>
        <w:rPr/>
        <w:t>Staff development</w:t>
      </w:r>
    </w:p>
    <w:p>
      <w:pPr>
        <w:pStyle w:val="BodyText"/>
        <w:spacing w:line="249" w:lineRule="auto" w:before="11"/>
        <w:ind w:left="512" w:right="200"/>
      </w:pPr>
      <w:r>
        <w:rPr>
          <w:spacing w:val="-4"/>
        </w:rPr>
        <w:t>The </w:t>
      </w:r>
      <w:r>
        <w:rPr>
          <w:spacing w:val="-7"/>
        </w:rPr>
        <w:t>Department’s </w:t>
      </w:r>
      <w:r>
        <w:rPr>
          <w:spacing w:val="-5"/>
        </w:rPr>
        <w:t>Lifting Organisational Performance Program </w:t>
      </w:r>
      <w:r>
        <w:rPr>
          <w:spacing w:val="-4"/>
        </w:rPr>
        <w:t>has been the </w:t>
      </w:r>
      <w:r>
        <w:rPr>
          <w:spacing w:val="-6"/>
        </w:rPr>
        <w:t>centrepiece </w:t>
      </w:r>
      <w:r>
        <w:rPr>
          <w:spacing w:val="-4"/>
        </w:rPr>
        <w:t>for </w:t>
      </w:r>
      <w:r>
        <w:rPr>
          <w:spacing w:val="-5"/>
        </w:rPr>
        <w:t>staff development </w:t>
      </w:r>
      <w:r>
        <w:rPr>
          <w:spacing w:val="-3"/>
        </w:rPr>
        <w:t>in </w:t>
      </w:r>
      <w:r>
        <w:rPr>
          <w:spacing w:val="-5"/>
        </w:rPr>
        <w:t>2017-18. </w:t>
      </w:r>
      <w:r>
        <w:rPr>
          <w:spacing w:val="-4"/>
        </w:rPr>
        <w:t>Based </w:t>
      </w:r>
      <w:r>
        <w:rPr>
          <w:spacing w:val="-3"/>
        </w:rPr>
        <w:t>on </w:t>
      </w:r>
      <w:r>
        <w:rPr>
          <w:spacing w:val="-5"/>
        </w:rPr>
        <w:t>the Commonwealth</w:t>
      </w:r>
      <w:r>
        <w:rPr>
          <w:spacing w:val="-30"/>
        </w:rPr>
        <w:t> </w:t>
      </w:r>
      <w:r>
        <w:rPr>
          <w:spacing w:val="-5"/>
        </w:rPr>
        <w:t>Australian</w:t>
      </w:r>
      <w:r>
        <w:rPr>
          <w:spacing w:val="-30"/>
        </w:rPr>
        <w:t> </w:t>
      </w:r>
      <w:r>
        <w:rPr>
          <w:spacing w:val="-5"/>
        </w:rPr>
        <w:t>Public</w:t>
      </w:r>
      <w:r>
        <w:rPr>
          <w:spacing w:val="-30"/>
        </w:rPr>
        <w:t> </w:t>
      </w:r>
      <w:r>
        <w:rPr>
          <w:spacing w:val="-5"/>
        </w:rPr>
        <w:t>Sector</w:t>
      </w:r>
      <w:r>
        <w:rPr>
          <w:spacing w:val="-30"/>
        </w:rPr>
        <w:t> </w:t>
      </w:r>
      <w:r>
        <w:rPr>
          <w:spacing w:val="-4"/>
        </w:rPr>
        <w:t>model</w:t>
      </w:r>
      <w:r>
        <w:rPr>
          <w:spacing w:val="-30"/>
        </w:rPr>
        <w:t> </w:t>
      </w:r>
      <w:r>
        <w:rPr>
          <w:spacing w:val="-5"/>
        </w:rPr>
        <w:t>for </w:t>
      </w:r>
      <w:r>
        <w:rPr>
          <w:spacing w:val="-4"/>
        </w:rPr>
        <w:t>high </w:t>
      </w:r>
      <w:r>
        <w:rPr>
          <w:spacing w:val="-5"/>
        </w:rPr>
        <w:t>performance, </w:t>
      </w:r>
      <w:r>
        <w:rPr>
          <w:spacing w:val="-4"/>
        </w:rPr>
        <w:t>the </w:t>
      </w:r>
      <w:r>
        <w:rPr>
          <w:spacing w:val="-5"/>
        </w:rPr>
        <w:t>program </w:t>
      </w:r>
      <w:r>
        <w:rPr>
          <w:spacing w:val="-4"/>
        </w:rPr>
        <w:t>has </w:t>
      </w:r>
      <w:r>
        <w:rPr>
          <w:spacing w:val="-5"/>
        </w:rPr>
        <w:t>changed the </w:t>
      </w:r>
      <w:r>
        <w:rPr>
          <w:spacing w:val="-4"/>
        </w:rPr>
        <w:t>focus for how </w:t>
      </w:r>
      <w:r>
        <w:rPr>
          <w:spacing w:val="-5"/>
        </w:rPr>
        <w:t>staff are developed </w:t>
      </w:r>
      <w:r>
        <w:rPr>
          <w:spacing w:val="-4"/>
        </w:rPr>
        <w:t>and </w:t>
      </w:r>
      <w:r>
        <w:rPr>
          <w:spacing w:val="-5"/>
        </w:rPr>
        <w:t>supported </w:t>
      </w:r>
      <w:r>
        <w:rPr>
          <w:spacing w:val="-3"/>
        </w:rPr>
        <w:t>in </w:t>
      </w:r>
      <w:r>
        <w:rPr>
          <w:spacing w:val="-4"/>
        </w:rPr>
        <w:t>the </w:t>
      </w:r>
      <w:r>
        <w:rPr>
          <w:spacing w:val="-5"/>
        </w:rPr>
        <w:t>workplace through </w:t>
      </w:r>
      <w:r>
        <w:rPr>
          <w:spacing w:val="-4"/>
        </w:rPr>
        <w:t>their </w:t>
      </w:r>
      <w:r>
        <w:rPr>
          <w:spacing w:val="-5"/>
        </w:rPr>
        <w:t>Performance Development </w:t>
      </w:r>
      <w:r>
        <w:rPr>
          <w:spacing w:val="-4"/>
        </w:rPr>
        <w:t>Plans</w:t>
      </w:r>
      <w:r>
        <w:rPr>
          <w:spacing w:val="-20"/>
        </w:rPr>
        <w:t> </w:t>
      </w:r>
      <w:r>
        <w:rPr>
          <w:spacing w:val="-5"/>
        </w:rPr>
        <w:t>(PDPs).</w:t>
      </w:r>
    </w:p>
    <w:p>
      <w:pPr>
        <w:pStyle w:val="BodyText"/>
        <w:spacing w:before="3"/>
        <w:rPr>
          <w:sz w:val="35"/>
        </w:rPr>
      </w:pPr>
      <w:r>
        <w:rPr/>
        <w:br w:type="column"/>
      </w:r>
      <w:r>
        <w:rPr>
          <w:sz w:val="35"/>
        </w:rPr>
      </w:r>
    </w:p>
    <w:p>
      <w:pPr>
        <w:pStyle w:val="BodyText"/>
        <w:spacing w:line="249" w:lineRule="auto"/>
        <w:ind w:left="436" w:right="764"/>
      </w:pPr>
      <w:r>
        <w:rPr>
          <w:spacing w:val="-4"/>
        </w:rPr>
        <w:t>The first phase </w:t>
      </w:r>
      <w:r>
        <w:rPr>
          <w:spacing w:val="-3"/>
        </w:rPr>
        <w:t>of </w:t>
      </w:r>
      <w:r>
        <w:rPr>
          <w:spacing w:val="-4"/>
        </w:rPr>
        <w:t>the </w:t>
      </w:r>
      <w:r>
        <w:rPr>
          <w:spacing w:val="-5"/>
        </w:rPr>
        <w:t>Program recognised ‘Core Capabilities’, common </w:t>
      </w:r>
      <w:r>
        <w:rPr>
          <w:spacing w:val="-3"/>
        </w:rPr>
        <w:t>to </w:t>
      </w:r>
      <w:r>
        <w:rPr>
          <w:spacing w:val="-4"/>
        </w:rPr>
        <w:t>all </w:t>
      </w:r>
      <w:r>
        <w:rPr>
          <w:spacing w:val="-5"/>
        </w:rPr>
        <w:t>roles </w:t>
      </w:r>
      <w:r>
        <w:rPr>
          <w:spacing w:val="-3"/>
        </w:rPr>
        <w:t>in </w:t>
      </w:r>
      <w:r>
        <w:rPr>
          <w:spacing w:val="-4"/>
        </w:rPr>
        <w:t>the </w:t>
      </w:r>
      <w:r>
        <w:rPr>
          <w:spacing w:val="-5"/>
        </w:rPr>
        <w:t>Department </w:t>
      </w:r>
      <w:r>
        <w:rPr>
          <w:spacing w:val="-3"/>
        </w:rPr>
        <w:t>to</w:t>
      </w:r>
      <w:r>
        <w:rPr>
          <w:spacing w:val="-25"/>
        </w:rPr>
        <w:t> </w:t>
      </w:r>
      <w:r>
        <w:rPr>
          <w:spacing w:val="-4"/>
        </w:rPr>
        <w:t>help</w:t>
      </w:r>
      <w:r>
        <w:rPr>
          <w:spacing w:val="-25"/>
        </w:rPr>
        <w:t> </w:t>
      </w:r>
      <w:r>
        <w:rPr>
          <w:spacing w:val="-5"/>
        </w:rPr>
        <w:t>identify</w:t>
      </w:r>
      <w:r>
        <w:rPr>
          <w:spacing w:val="-24"/>
        </w:rPr>
        <w:t> </w:t>
      </w:r>
      <w:r>
        <w:rPr>
          <w:spacing w:val="-4"/>
        </w:rPr>
        <w:t>the</w:t>
      </w:r>
      <w:r>
        <w:rPr>
          <w:spacing w:val="-25"/>
        </w:rPr>
        <w:t> </w:t>
      </w:r>
      <w:r>
        <w:rPr>
          <w:spacing w:val="-5"/>
        </w:rPr>
        <w:t>relevant</w:t>
      </w:r>
      <w:r>
        <w:rPr>
          <w:spacing w:val="-24"/>
        </w:rPr>
        <w:t> </w:t>
      </w:r>
      <w:r>
        <w:rPr>
          <w:spacing w:val="-5"/>
        </w:rPr>
        <w:t>behaviours</w:t>
      </w:r>
      <w:r>
        <w:rPr>
          <w:spacing w:val="-25"/>
        </w:rPr>
        <w:t> </w:t>
      </w:r>
      <w:r>
        <w:rPr>
          <w:spacing w:val="-5"/>
        </w:rPr>
        <w:t>necessary</w:t>
      </w:r>
      <w:r>
        <w:rPr>
          <w:spacing w:val="-24"/>
        </w:rPr>
        <w:t> </w:t>
      </w:r>
      <w:r>
        <w:rPr>
          <w:spacing w:val="-5"/>
        </w:rPr>
        <w:t>to </w:t>
      </w:r>
      <w:r>
        <w:rPr>
          <w:spacing w:val="-4"/>
        </w:rPr>
        <w:t>lift </w:t>
      </w:r>
      <w:r>
        <w:rPr>
          <w:spacing w:val="-5"/>
        </w:rPr>
        <w:t>departmental performance, </w:t>
      </w:r>
      <w:r>
        <w:rPr>
          <w:spacing w:val="-4"/>
        </w:rPr>
        <w:t>build </w:t>
      </w:r>
      <w:r>
        <w:rPr>
          <w:spacing w:val="-5"/>
        </w:rPr>
        <w:t>capability and become </w:t>
      </w:r>
      <w:r>
        <w:rPr/>
        <w:t>a </w:t>
      </w:r>
      <w:r>
        <w:rPr>
          <w:spacing w:val="-5"/>
        </w:rPr>
        <w:t>more </w:t>
      </w:r>
      <w:r>
        <w:rPr>
          <w:spacing w:val="-4"/>
        </w:rPr>
        <w:t>agile </w:t>
      </w:r>
      <w:r>
        <w:rPr>
          <w:spacing w:val="-5"/>
        </w:rPr>
        <w:t>organisation. </w:t>
      </w:r>
      <w:r>
        <w:rPr>
          <w:spacing w:val="-4"/>
        </w:rPr>
        <w:t>When </w:t>
      </w:r>
      <w:r>
        <w:rPr>
          <w:spacing w:val="-5"/>
        </w:rPr>
        <w:t>aligned to </w:t>
      </w:r>
      <w:r>
        <w:rPr>
          <w:spacing w:val="-4"/>
        </w:rPr>
        <w:t>work</w:t>
      </w:r>
      <w:r>
        <w:rPr>
          <w:spacing w:val="-30"/>
        </w:rPr>
        <w:t> </w:t>
      </w:r>
      <w:r>
        <w:rPr>
          <w:spacing w:val="-4"/>
        </w:rPr>
        <w:t>plan</w:t>
      </w:r>
      <w:r>
        <w:rPr>
          <w:spacing w:val="-29"/>
        </w:rPr>
        <w:t> </w:t>
      </w:r>
      <w:r>
        <w:rPr>
          <w:spacing w:val="-5"/>
        </w:rPr>
        <w:t>outcomes,</w:t>
      </w:r>
      <w:r>
        <w:rPr>
          <w:spacing w:val="-30"/>
        </w:rPr>
        <w:t> </w:t>
      </w:r>
      <w:r>
        <w:rPr>
          <w:spacing w:val="-4"/>
        </w:rPr>
        <w:t>the</w:t>
      </w:r>
      <w:r>
        <w:rPr>
          <w:spacing w:val="-29"/>
        </w:rPr>
        <w:t> </w:t>
      </w:r>
      <w:r>
        <w:rPr>
          <w:spacing w:val="-5"/>
        </w:rPr>
        <w:t>behaviours</w:t>
      </w:r>
      <w:r>
        <w:rPr>
          <w:spacing w:val="-29"/>
        </w:rPr>
        <w:t> </w:t>
      </w:r>
      <w:r>
        <w:rPr>
          <w:spacing w:val="-5"/>
        </w:rPr>
        <w:t>assist</w:t>
      </w:r>
      <w:r>
        <w:rPr>
          <w:spacing w:val="-30"/>
        </w:rPr>
        <w:t> </w:t>
      </w:r>
      <w:r>
        <w:rPr>
          <w:spacing w:val="-5"/>
        </w:rPr>
        <w:t>managers </w:t>
      </w:r>
      <w:r>
        <w:rPr>
          <w:spacing w:val="-4"/>
        </w:rPr>
        <w:t>and</w:t>
      </w:r>
      <w:r>
        <w:rPr>
          <w:spacing w:val="-20"/>
        </w:rPr>
        <w:t> </w:t>
      </w:r>
      <w:r>
        <w:rPr>
          <w:spacing w:val="-5"/>
        </w:rPr>
        <w:t>staff</w:t>
      </w:r>
      <w:r>
        <w:rPr>
          <w:spacing w:val="-20"/>
        </w:rPr>
        <w:t> </w:t>
      </w:r>
      <w:r>
        <w:rPr>
          <w:spacing w:val="-3"/>
        </w:rPr>
        <w:t>to</w:t>
      </w:r>
      <w:r>
        <w:rPr>
          <w:spacing w:val="-20"/>
        </w:rPr>
        <w:t> </w:t>
      </w:r>
      <w:r>
        <w:rPr>
          <w:spacing w:val="-5"/>
        </w:rPr>
        <w:t>develop</w:t>
      </w:r>
      <w:r>
        <w:rPr>
          <w:spacing w:val="-19"/>
        </w:rPr>
        <w:t> </w:t>
      </w:r>
      <w:r>
        <w:rPr/>
        <w:t>a</w:t>
      </w:r>
      <w:r>
        <w:rPr>
          <w:spacing w:val="-20"/>
        </w:rPr>
        <w:t> </w:t>
      </w:r>
      <w:r>
        <w:rPr>
          <w:spacing w:val="-5"/>
        </w:rPr>
        <w:t>common</w:t>
      </w:r>
      <w:r>
        <w:rPr>
          <w:spacing w:val="-20"/>
        </w:rPr>
        <w:t> </w:t>
      </w:r>
      <w:r>
        <w:rPr>
          <w:spacing w:val="-5"/>
        </w:rPr>
        <w:t>understanding</w:t>
      </w:r>
      <w:r>
        <w:rPr>
          <w:spacing w:val="-19"/>
        </w:rPr>
        <w:t> </w:t>
      </w:r>
      <w:r>
        <w:rPr>
          <w:spacing w:val="-3"/>
        </w:rPr>
        <w:t>of</w:t>
      </w:r>
      <w:r>
        <w:rPr>
          <w:spacing w:val="-20"/>
        </w:rPr>
        <w:t> </w:t>
      </w:r>
      <w:r>
        <w:rPr>
          <w:spacing w:val="-6"/>
        </w:rPr>
        <w:t>role </w:t>
      </w:r>
      <w:r>
        <w:rPr>
          <w:spacing w:val="-5"/>
        </w:rPr>
        <w:t>expectations </w:t>
      </w:r>
      <w:r>
        <w:rPr>
          <w:spacing w:val="-3"/>
        </w:rPr>
        <w:t>as </w:t>
      </w:r>
      <w:r>
        <w:rPr>
          <w:spacing w:val="-4"/>
        </w:rPr>
        <w:t>well </w:t>
      </w:r>
      <w:r>
        <w:rPr>
          <w:spacing w:val="-3"/>
        </w:rPr>
        <w:t>as </w:t>
      </w:r>
      <w:r>
        <w:rPr>
          <w:spacing w:val="-5"/>
        </w:rPr>
        <w:t>provide </w:t>
      </w:r>
      <w:r>
        <w:rPr/>
        <w:t>a </w:t>
      </w:r>
      <w:r>
        <w:rPr>
          <w:spacing w:val="-5"/>
        </w:rPr>
        <w:t>starting </w:t>
      </w:r>
      <w:r>
        <w:rPr>
          <w:spacing w:val="-4"/>
        </w:rPr>
        <w:t>point </w:t>
      </w:r>
      <w:r>
        <w:rPr>
          <w:spacing w:val="-5"/>
        </w:rPr>
        <w:t>for capability</w:t>
      </w:r>
      <w:r>
        <w:rPr>
          <w:spacing w:val="-22"/>
        </w:rPr>
        <w:t> </w:t>
      </w:r>
      <w:r>
        <w:rPr>
          <w:spacing w:val="-5"/>
        </w:rPr>
        <w:t>assessment</w:t>
      </w:r>
      <w:r>
        <w:rPr>
          <w:spacing w:val="-21"/>
        </w:rPr>
        <w:t> </w:t>
      </w:r>
      <w:r>
        <w:rPr>
          <w:spacing w:val="-4"/>
        </w:rPr>
        <w:t>and</w:t>
      </w:r>
      <w:r>
        <w:rPr>
          <w:spacing w:val="-22"/>
        </w:rPr>
        <w:t> </w:t>
      </w:r>
      <w:r>
        <w:rPr>
          <w:spacing w:val="-5"/>
        </w:rPr>
        <w:t>development</w:t>
      </w:r>
      <w:r>
        <w:rPr>
          <w:spacing w:val="-21"/>
        </w:rPr>
        <w:t> </w:t>
      </w:r>
      <w:r>
        <w:rPr>
          <w:spacing w:val="-5"/>
        </w:rPr>
        <w:t>planning.</w:t>
      </w:r>
    </w:p>
    <w:p>
      <w:pPr>
        <w:pStyle w:val="BodyText"/>
        <w:spacing w:before="8"/>
        <w:rPr>
          <w:sz w:val="23"/>
        </w:rPr>
      </w:pPr>
    </w:p>
    <w:p>
      <w:pPr>
        <w:pStyle w:val="BodyText"/>
        <w:spacing w:line="249" w:lineRule="auto"/>
        <w:ind w:left="436" w:right="764"/>
      </w:pPr>
      <w:r>
        <w:rPr>
          <w:spacing w:val="-4"/>
        </w:rPr>
        <w:t>The </w:t>
      </w:r>
      <w:r>
        <w:rPr>
          <w:spacing w:val="-5"/>
        </w:rPr>
        <w:t>second </w:t>
      </w:r>
      <w:r>
        <w:rPr>
          <w:spacing w:val="-4"/>
        </w:rPr>
        <w:t>phase </w:t>
      </w:r>
      <w:r>
        <w:rPr>
          <w:spacing w:val="-3"/>
        </w:rPr>
        <w:t>of </w:t>
      </w:r>
      <w:r>
        <w:rPr>
          <w:spacing w:val="-4"/>
        </w:rPr>
        <w:t>the </w:t>
      </w:r>
      <w:r>
        <w:rPr>
          <w:spacing w:val="-5"/>
        </w:rPr>
        <w:t>Program </w:t>
      </w:r>
      <w:r>
        <w:rPr>
          <w:spacing w:val="-6"/>
        </w:rPr>
        <w:t>introduced </w:t>
      </w:r>
      <w:r>
        <w:rPr>
          <w:spacing w:val="-5"/>
        </w:rPr>
        <w:t>business </w:t>
      </w:r>
      <w:r>
        <w:rPr>
          <w:spacing w:val="-4"/>
        </w:rPr>
        <w:t>specific </w:t>
      </w:r>
      <w:r>
        <w:rPr>
          <w:spacing w:val="-7"/>
        </w:rPr>
        <w:t>‘Technical </w:t>
      </w:r>
      <w:r>
        <w:rPr>
          <w:spacing w:val="-5"/>
        </w:rPr>
        <w:t>Skills </w:t>
      </w:r>
      <w:r>
        <w:rPr>
          <w:spacing w:val="-4"/>
        </w:rPr>
        <w:t>and </w:t>
      </w:r>
      <w:r>
        <w:rPr>
          <w:spacing w:val="-5"/>
        </w:rPr>
        <w:t>Knowledge’ applicable</w:t>
      </w:r>
      <w:r>
        <w:rPr>
          <w:spacing w:val="-29"/>
        </w:rPr>
        <w:t> </w:t>
      </w:r>
      <w:r>
        <w:rPr>
          <w:spacing w:val="-3"/>
        </w:rPr>
        <w:t>to</w:t>
      </w:r>
      <w:r>
        <w:rPr>
          <w:spacing w:val="-28"/>
        </w:rPr>
        <w:t> </w:t>
      </w:r>
      <w:r>
        <w:rPr>
          <w:spacing w:val="-5"/>
        </w:rPr>
        <w:t>particular</w:t>
      </w:r>
      <w:r>
        <w:rPr>
          <w:spacing w:val="-28"/>
        </w:rPr>
        <w:t> </w:t>
      </w:r>
      <w:r>
        <w:rPr>
          <w:spacing w:val="-5"/>
        </w:rPr>
        <w:t>roles</w:t>
      </w:r>
      <w:r>
        <w:rPr>
          <w:spacing w:val="-28"/>
        </w:rPr>
        <w:t> </w:t>
      </w:r>
      <w:r>
        <w:rPr>
          <w:spacing w:val="-4"/>
        </w:rPr>
        <w:t>and</w:t>
      </w:r>
      <w:r>
        <w:rPr>
          <w:spacing w:val="-28"/>
        </w:rPr>
        <w:t> </w:t>
      </w:r>
      <w:r>
        <w:rPr>
          <w:spacing w:val="-5"/>
        </w:rPr>
        <w:t>functional</w:t>
      </w:r>
      <w:r>
        <w:rPr>
          <w:spacing w:val="-28"/>
        </w:rPr>
        <w:t> </w:t>
      </w:r>
      <w:r>
        <w:rPr>
          <w:spacing w:val="-5"/>
        </w:rPr>
        <w:t>areas</w:t>
      </w:r>
      <w:r>
        <w:rPr>
          <w:spacing w:val="-28"/>
        </w:rPr>
        <w:t> </w:t>
      </w:r>
      <w:r>
        <w:rPr>
          <w:spacing w:val="-5"/>
        </w:rPr>
        <w:t>that </w:t>
      </w:r>
      <w:r>
        <w:rPr>
          <w:spacing w:val="-4"/>
        </w:rPr>
        <w:t>apply</w:t>
      </w:r>
      <w:r>
        <w:rPr>
          <w:spacing w:val="-15"/>
        </w:rPr>
        <w:t> </w:t>
      </w:r>
      <w:r>
        <w:rPr>
          <w:spacing w:val="-4"/>
        </w:rPr>
        <w:t>over</w:t>
      </w:r>
      <w:r>
        <w:rPr>
          <w:spacing w:val="-14"/>
        </w:rPr>
        <w:t> </w:t>
      </w:r>
      <w:r>
        <w:rPr>
          <w:spacing w:val="-4"/>
        </w:rPr>
        <w:t>and</w:t>
      </w:r>
      <w:r>
        <w:rPr>
          <w:spacing w:val="-15"/>
        </w:rPr>
        <w:t> </w:t>
      </w:r>
      <w:r>
        <w:rPr>
          <w:spacing w:val="-4"/>
        </w:rPr>
        <w:t>above</w:t>
      </w:r>
      <w:r>
        <w:rPr>
          <w:spacing w:val="-14"/>
        </w:rPr>
        <w:t> </w:t>
      </w:r>
      <w:r>
        <w:rPr>
          <w:spacing w:val="-4"/>
        </w:rPr>
        <w:t>the</w:t>
      </w:r>
      <w:r>
        <w:rPr>
          <w:spacing w:val="-15"/>
        </w:rPr>
        <w:t> </w:t>
      </w:r>
      <w:r>
        <w:rPr>
          <w:spacing w:val="-5"/>
        </w:rPr>
        <w:t>‘Core</w:t>
      </w:r>
      <w:r>
        <w:rPr>
          <w:spacing w:val="-14"/>
        </w:rPr>
        <w:t> </w:t>
      </w:r>
      <w:r>
        <w:rPr>
          <w:spacing w:val="-5"/>
        </w:rPr>
        <w:t>Capabilities’.</w:t>
      </w:r>
    </w:p>
    <w:p>
      <w:pPr>
        <w:pStyle w:val="BodyText"/>
        <w:spacing w:before="3"/>
        <w:rPr>
          <w:sz w:val="23"/>
        </w:rPr>
      </w:pPr>
    </w:p>
    <w:p>
      <w:pPr>
        <w:pStyle w:val="BodyText"/>
        <w:spacing w:line="249" w:lineRule="auto"/>
        <w:ind w:left="436" w:right="1140"/>
        <w:jc w:val="both"/>
      </w:pPr>
      <w:r>
        <w:rPr>
          <w:spacing w:val="-5"/>
        </w:rPr>
        <w:t>Throughout </w:t>
      </w:r>
      <w:r>
        <w:rPr>
          <w:spacing w:val="-4"/>
        </w:rPr>
        <w:t>the </w:t>
      </w:r>
      <w:r>
        <w:rPr>
          <w:spacing w:val="-5"/>
        </w:rPr>
        <w:t>change process, managers and staff </w:t>
      </w:r>
      <w:r>
        <w:rPr>
          <w:spacing w:val="-4"/>
        </w:rPr>
        <w:t>have been </w:t>
      </w:r>
      <w:r>
        <w:rPr>
          <w:spacing w:val="-5"/>
        </w:rPr>
        <w:t>supported through </w:t>
      </w:r>
      <w:r>
        <w:rPr>
          <w:spacing w:val="-4"/>
        </w:rPr>
        <w:t>the </w:t>
      </w:r>
      <w:r>
        <w:rPr>
          <w:spacing w:val="-6"/>
        </w:rPr>
        <w:t>provision </w:t>
      </w:r>
      <w:r>
        <w:rPr>
          <w:spacing w:val="-3"/>
        </w:rPr>
        <w:t>of</w:t>
      </w:r>
      <w:r>
        <w:rPr>
          <w:spacing w:val="-24"/>
        </w:rPr>
        <w:t> </w:t>
      </w:r>
      <w:r>
        <w:rPr>
          <w:spacing w:val="-5"/>
        </w:rPr>
        <w:t>workshops,</w:t>
      </w:r>
      <w:r>
        <w:rPr>
          <w:spacing w:val="-23"/>
        </w:rPr>
        <w:t> </w:t>
      </w:r>
      <w:r>
        <w:rPr>
          <w:spacing w:val="-5"/>
        </w:rPr>
        <w:t>online</w:t>
      </w:r>
      <w:r>
        <w:rPr>
          <w:spacing w:val="-24"/>
        </w:rPr>
        <w:t> </w:t>
      </w:r>
      <w:r>
        <w:rPr>
          <w:spacing w:val="-5"/>
        </w:rPr>
        <w:t>training,</w:t>
      </w:r>
      <w:r>
        <w:rPr>
          <w:spacing w:val="-23"/>
        </w:rPr>
        <w:t> </w:t>
      </w:r>
      <w:r>
        <w:rPr/>
        <w:t>a</w:t>
      </w:r>
      <w:r>
        <w:rPr>
          <w:spacing w:val="-24"/>
        </w:rPr>
        <w:t> </w:t>
      </w:r>
      <w:r>
        <w:rPr>
          <w:spacing w:val="-4"/>
        </w:rPr>
        <w:t>PDP</w:t>
      </w:r>
      <w:r>
        <w:rPr>
          <w:spacing w:val="-23"/>
        </w:rPr>
        <w:t> </w:t>
      </w:r>
      <w:r>
        <w:rPr>
          <w:spacing w:val="-5"/>
        </w:rPr>
        <w:t>toolkit,</w:t>
      </w:r>
      <w:r>
        <w:rPr>
          <w:spacing w:val="-24"/>
        </w:rPr>
        <w:t> </w:t>
      </w:r>
      <w:r>
        <w:rPr>
          <w:spacing w:val="-5"/>
        </w:rPr>
        <w:t>team</w:t>
      </w:r>
    </w:p>
    <w:p>
      <w:pPr>
        <w:pStyle w:val="BodyText"/>
        <w:spacing w:line="249" w:lineRule="auto" w:before="3"/>
        <w:ind w:left="436" w:right="937"/>
      </w:pPr>
      <w:r>
        <w:rPr/>
        <w:pict>
          <v:group style="position:absolute;margin-left:643.353455pt;margin-top:22.15847pt;width:198.7pt;height:172.85pt;mso-position-horizontal-relative:page;mso-position-vertical-relative:paragraph;z-index:-683896" coordorigin="12867,443" coordsize="3974,3457">
            <v:shape style="position:absolute;left:2973;top:14664;width:2854;height:3452" coordorigin="2973,14665" coordsize="2854,3452" path="m16625,708l16838,921m16392,585l16838,1031m16218,522l16838,1141m16069,483l16838,1252m15936,460l16838,1362m15814,449l16838,1472m15701,446l16838,1583m15594,450l16838,1693m15493,459l16838,1803m15398,474l16838,1914m15307,493l16838,2024m15220,517l16838,2135m15136,543l16838,2245m15056,574l16838,2355m14980,608l16838,2466m14906,644l16838,2576m14835,684l16838,2686m14767,726l16838,2797m14702,771l16838,2907m14639,819l16838,3017m14579,869l16838,3128m14521,921l16838,3238m14465,976l16838,3348m14413,1034l16838,3459m14362,1094l16788,3520m14315,1156l16726,3568m14270,1221l16661,3613m14227,1289l16593,3655m14187,1360l16522,3695m14150,1433l16449,3732m14116,1509l16373,3766m14085,1589l16293,3797m14058,1672l16210,3824m14034,1759l16123,3848m14015,1849l16033,3868m13999,1944l15938,3883m13989,2045l15837,3893m13985,2150l15732,3897m13987,2263l15619,3895m13997,2384l15498,3885m14019,2516l15366,3863m14055,2663l15219,3827m14116,2833l15049,3766m14228,3056l14826,3654e" filled="false" stroked="true" strokeweight=".25pt" strokecolor="#aebd37">
              <v:path arrowok="t"/>
              <v:stroke dashstyle="solid"/>
            </v:shape>
            <v:shape style="position:absolute;left:20;top:-3891;width:1781;height:1762" coordorigin="21,-3890" coordsize="1781,1762" path="m13317,2914l12988,2585m13509,2996l12906,2393m13648,3025l12877,2254m13766,3032l12870,2136m13869,3025l12877,2033m13963,3009l12893,1939m14049,2984l12918,1853m14128,2953l12949,1774m14201,2915l12986,1701m14268,2872l13029,1633m14331,2824l13077,1571m14388,2772l13130,1513m14441,2714l13187,1460m14489,2652l13250,1412m14533,2585l13317,1370m14570,2512l13390,1332m14601,2433l13469,1301m14626,2347l13554,1276m14643,2254l13660,1270m14650,2151l13770,1270m14644,2034l13880,1270m14616,1896l14006,1286m14536,1705l14197,1366e" filled="false" stroked="true" strokeweight=".25pt" strokecolor="#6f2770">
              <v:path arrowok="t"/>
              <v:stroke dashstyle="solid"/>
            </v:shape>
            <w10:wrap type="none"/>
          </v:group>
        </w:pict>
      </w:r>
      <w:r>
        <w:rPr>
          <w:spacing w:val="-4"/>
        </w:rPr>
        <w:t>and</w:t>
      </w:r>
      <w:r>
        <w:rPr>
          <w:spacing w:val="-37"/>
        </w:rPr>
        <w:t> </w:t>
      </w:r>
      <w:r>
        <w:rPr>
          <w:spacing w:val="-5"/>
        </w:rPr>
        <w:t>individual</w:t>
      </w:r>
      <w:r>
        <w:rPr>
          <w:spacing w:val="-36"/>
        </w:rPr>
        <w:t> </w:t>
      </w:r>
      <w:r>
        <w:rPr>
          <w:spacing w:val="-5"/>
        </w:rPr>
        <w:t>assistance,</w:t>
      </w:r>
      <w:r>
        <w:rPr>
          <w:spacing w:val="-36"/>
        </w:rPr>
        <w:t> </w:t>
      </w:r>
      <w:r>
        <w:rPr>
          <w:spacing w:val="-4"/>
        </w:rPr>
        <w:t>and</w:t>
      </w:r>
      <w:r>
        <w:rPr>
          <w:spacing w:val="-36"/>
        </w:rPr>
        <w:t> </w:t>
      </w:r>
      <w:r>
        <w:rPr>
          <w:spacing w:val="-5"/>
        </w:rPr>
        <w:t>online</w:t>
      </w:r>
      <w:r>
        <w:rPr>
          <w:spacing w:val="-36"/>
        </w:rPr>
        <w:t> </w:t>
      </w:r>
      <w:r>
        <w:rPr>
          <w:spacing w:val="-5"/>
        </w:rPr>
        <w:t>information</w:t>
      </w:r>
      <w:r>
        <w:rPr>
          <w:spacing w:val="-36"/>
        </w:rPr>
        <w:t> </w:t>
      </w:r>
      <w:r>
        <w:rPr>
          <w:spacing w:val="-5"/>
        </w:rPr>
        <w:t>via </w:t>
      </w:r>
      <w:r>
        <w:rPr>
          <w:spacing w:val="-8"/>
        </w:rPr>
        <w:t>Finance’s</w:t>
      </w:r>
      <w:r>
        <w:rPr>
          <w:spacing w:val="-10"/>
        </w:rPr>
        <w:t> </w:t>
      </w:r>
      <w:r>
        <w:rPr>
          <w:spacing w:val="-5"/>
        </w:rPr>
        <w:t>intranet.</w:t>
      </w:r>
    </w:p>
    <w:p>
      <w:pPr>
        <w:spacing w:after="0" w:line="249" w:lineRule="auto"/>
        <w:sectPr>
          <w:type w:val="continuous"/>
          <w:pgSz w:w="16840" w:h="11910" w:orient="landscape"/>
          <w:pgMar w:top="1100" w:bottom="280" w:left="0" w:right="0"/>
          <w:cols w:num="3" w:equalWidth="0">
            <w:col w:w="5457" w:space="40"/>
            <w:col w:w="5281" w:space="39"/>
            <w:col w:w="6023"/>
          </w:cols>
        </w:sectPr>
      </w:pPr>
    </w:p>
    <w:p>
      <w:pPr>
        <w:tabs>
          <w:tab w:pos="4810" w:val="left" w:leader="none"/>
          <w:tab w:pos="9621" w:val="left" w:leader="none"/>
          <w:tab w:pos="14432" w:val="left" w:leader="none"/>
        </w:tabs>
        <w:spacing w:line="240" w:lineRule="auto"/>
        <w:ind w:left="0" w:right="-58" w:firstLine="0"/>
        <w:rPr>
          <w:sz w:val="20"/>
        </w:rPr>
      </w:pPr>
      <w:bookmarkStart w:name="_bookmark48" w:id="49"/>
      <w:bookmarkEnd w:id="49"/>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sz w:val="20"/>
        </w:rPr>
      </w:pPr>
    </w:p>
    <w:p>
      <w:pPr>
        <w:pStyle w:val="BodyText"/>
        <w:rPr>
          <w:sz w:val="21"/>
        </w:rPr>
      </w:pPr>
    </w:p>
    <w:p>
      <w:pPr>
        <w:pStyle w:val="Heading1"/>
      </w:pPr>
      <w:r>
        <w:rPr/>
        <w:pict>
          <v:shape style="position:absolute;margin-left:601.348999pt;margin-top:-67.374214pt;width:120.3pt;height:42.55pt;mso-position-horizontal-relative:page;mso-position-vertical-relative:paragraph;z-index:29008" type="#_x0000_t202" filled="true" fillcolor="#d4d896"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29032"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29056"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Governance Disclosures</w:t>
      </w:r>
    </w:p>
    <w:p>
      <w:pPr>
        <w:spacing w:after="0"/>
        <w:sectPr>
          <w:footerReference w:type="default" r:id="rId220"/>
          <w:pgSz w:w="16840" w:h="11910" w:orient="landscape"/>
          <w:pgMar w:footer="774" w:header="0" w:top="0" w:bottom="960" w:left="0" w:right="0"/>
        </w:sectPr>
      </w:pPr>
    </w:p>
    <w:p>
      <w:pPr>
        <w:pStyle w:val="Heading4"/>
        <w:spacing w:before="113"/>
      </w:pPr>
      <w:r>
        <w:rPr/>
        <w:pict>
          <v:group style="position:absolute;margin-left:564.258423pt;margin-top:466.898804pt;width:110.8pt;height:97.7pt;mso-position-horizontal-relative:page;mso-position-vertical-relative:page;z-index:-683512" coordorigin="11285,9338" coordsize="2216,1954">
            <v:shape style="position:absolute;left:-1663;top:20017;width:962;height:962" coordorigin="-1662,20018" coordsize="962,962" path="m11930,10354l12223,10647m11793,10328l12249,10784m11688,10333l12244,10889m11602,10357l12220,10975m11527,10392l12185,11050m11462,10438l12139,11115m11406,10493l12085,11171m11360,10556l12021,11217m11323,10629l11948,11254m11297,10714l11863,11280m11288,10815l11762,11289m11308,10946l11631,11269e" filled="false" stroked="true" strokeweight=".25pt" strokecolor="#aebd37">
              <v:path arrowok="t"/>
              <v:stroke dashstyle="solid"/>
            </v:shape>
            <v:shape style="position:absolute;left:-4488;top:564;width:1796;height:1796" coordorigin="-4488,565" coordsize="1796,1796" path="m12153,11016l11822,10686m12346,11099l11740,10493m12486,11129l11710,10353m12604,11136l11702,10235m12708,11130l11709,10131m12802,11113l11725,10037m12888,11089l11749,9951m12967,11058l11781,9872m13041,11021l11818,9798m13109,10979l11860,9730m13172,10931l11907,9667m13230,10879l11960,9609m13283,10822l12016,9555m13332,10760l12078,9507m13375,10693l12145,9464m13413,10621l12218,9426m13446,10543l12296,9393m13472,10459l12380,9367m13490,10367l12472,9349m13498,10265l12574,9340m13495,10151l12688,9344m13472,10018l12821,9367m13408,9844l12995,9431e" filled="false" stroked="true" strokeweight=".25pt" strokecolor="#6f2770">
              <v:path arrowok="t"/>
              <v:stroke dashstyle="solid"/>
            </v:shape>
            <w10:wrap type="none"/>
          </v:group>
        </w:pict>
      </w:r>
      <w:r>
        <w:rPr>
          <w:color w:val="6F2770"/>
        </w:rPr>
        <w:t>Senior officers</w:t>
      </w:r>
    </w:p>
    <w:p>
      <w:pPr>
        <w:pStyle w:val="BodyText"/>
        <w:spacing w:line="249" w:lineRule="auto" w:before="246"/>
        <w:ind w:left="765" w:right="107"/>
      </w:pPr>
      <w:r>
        <w:rPr/>
        <w:t>In</w:t>
      </w:r>
      <w:r>
        <w:rPr>
          <w:spacing w:val="-19"/>
        </w:rPr>
        <w:t> </w:t>
      </w:r>
      <w:r>
        <w:rPr/>
        <w:t>2017-18,</w:t>
      </w:r>
      <w:r>
        <w:rPr>
          <w:spacing w:val="-19"/>
        </w:rPr>
        <w:t> </w:t>
      </w:r>
      <w:r>
        <w:rPr/>
        <w:t>there</w:t>
      </w:r>
      <w:r>
        <w:rPr>
          <w:spacing w:val="-19"/>
        </w:rPr>
        <w:t> </w:t>
      </w:r>
      <w:r>
        <w:rPr/>
        <w:t>were</w:t>
      </w:r>
      <w:r>
        <w:rPr>
          <w:spacing w:val="-19"/>
        </w:rPr>
        <w:t> </w:t>
      </w:r>
      <w:r>
        <w:rPr/>
        <w:t>no</w:t>
      </w:r>
      <w:r>
        <w:rPr>
          <w:spacing w:val="-19"/>
        </w:rPr>
        <w:t> </w:t>
      </w:r>
      <w:r>
        <w:rPr/>
        <w:t>disclosures</w:t>
      </w:r>
      <w:r>
        <w:rPr>
          <w:spacing w:val="-18"/>
        </w:rPr>
        <w:t> </w:t>
      </w:r>
      <w:r>
        <w:rPr/>
        <w:t>from</w:t>
      </w:r>
      <w:r>
        <w:rPr>
          <w:spacing w:val="-19"/>
        </w:rPr>
        <w:t> </w:t>
      </w:r>
      <w:r>
        <w:rPr>
          <w:spacing w:val="-3"/>
        </w:rPr>
        <w:t>senior </w:t>
      </w:r>
      <w:r>
        <w:rPr/>
        <w:t>officers</w:t>
      </w:r>
      <w:r>
        <w:rPr>
          <w:spacing w:val="-19"/>
        </w:rPr>
        <w:t> </w:t>
      </w:r>
      <w:r>
        <w:rPr/>
        <w:t>that</w:t>
      </w:r>
      <w:r>
        <w:rPr>
          <w:spacing w:val="-18"/>
        </w:rPr>
        <w:t> </w:t>
      </w:r>
      <w:r>
        <w:rPr/>
        <w:t>they</w:t>
      </w:r>
      <w:r>
        <w:rPr>
          <w:spacing w:val="-19"/>
        </w:rPr>
        <w:t> </w:t>
      </w:r>
      <w:r>
        <w:rPr/>
        <w:t>held</w:t>
      </w:r>
      <w:r>
        <w:rPr>
          <w:spacing w:val="-18"/>
        </w:rPr>
        <w:t> </w:t>
      </w:r>
      <w:r>
        <w:rPr/>
        <w:t>any</w:t>
      </w:r>
      <w:r>
        <w:rPr>
          <w:spacing w:val="-19"/>
        </w:rPr>
        <w:t> </w:t>
      </w:r>
      <w:r>
        <w:rPr/>
        <w:t>shares,</w:t>
      </w:r>
      <w:r>
        <w:rPr>
          <w:spacing w:val="-18"/>
        </w:rPr>
        <w:t> </w:t>
      </w:r>
      <w:r>
        <w:rPr/>
        <w:t>a</w:t>
      </w:r>
      <w:r>
        <w:rPr>
          <w:spacing w:val="-19"/>
        </w:rPr>
        <w:t> </w:t>
      </w:r>
      <w:r>
        <w:rPr/>
        <w:t>requirement under </w:t>
      </w:r>
      <w:r>
        <w:rPr>
          <w:spacing w:val="-5"/>
        </w:rPr>
        <w:t>Treasurer’s </w:t>
      </w:r>
      <w:r>
        <w:rPr/>
        <w:t>Instruction 903 (14).</w:t>
      </w:r>
      <w:r>
        <w:rPr>
          <w:spacing w:val="-34"/>
        </w:rPr>
        <w:t> </w:t>
      </w:r>
      <w:r>
        <w:rPr/>
        <w:t>No</w:t>
      </w:r>
    </w:p>
    <w:p>
      <w:pPr>
        <w:pStyle w:val="BodyText"/>
        <w:spacing w:line="249" w:lineRule="auto" w:before="2"/>
        <w:ind w:left="765" w:right="154"/>
      </w:pPr>
      <w:r>
        <w:rPr/>
        <w:t>senior officers, firms of which senior officers are members,</w:t>
      </w:r>
      <w:r>
        <w:rPr>
          <w:spacing w:val="-23"/>
        </w:rPr>
        <w:t> </w:t>
      </w:r>
      <w:r>
        <w:rPr/>
        <w:t>or</w:t>
      </w:r>
      <w:r>
        <w:rPr>
          <w:spacing w:val="-22"/>
        </w:rPr>
        <w:t> </w:t>
      </w:r>
      <w:r>
        <w:rPr/>
        <w:t>entities</w:t>
      </w:r>
      <w:r>
        <w:rPr>
          <w:spacing w:val="-23"/>
        </w:rPr>
        <w:t> </w:t>
      </w:r>
      <w:r>
        <w:rPr/>
        <w:t>in</w:t>
      </w:r>
      <w:r>
        <w:rPr>
          <w:spacing w:val="-23"/>
        </w:rPr>
        <w:t> </w:t>
      </w:r>
      <w:r>
        <w:rPr/>
        <w:t>which</w:t>
      </w:r>
      <w:r>
        <w:rPr>
          <w:spacing w:val="-22"/>
        </w:rPr>
        <w:t> </w:t>
      </w:r>
      <w:r>
        <w:rPr/>
        <w:t>senior</w:t>
      </w:r>
      <w:r>
        <w:rPr>
          <w:spacing w:val="-23"/>
        </w:rPr>
        <w:t> </w:t>
      </w:r>
      <w:r>
        <w:rPr/>
        <w:t>officers</w:t>
      </w:r>
      <w:r>
        <w:rPr>
          <w:spacing w:val="-22"/>
        </w:rPr>
        <w:t> </w:t>
      </w:r>
      <w:r>
        <w:rPr>
          <w:spacing w:val="-5"/>
        </w:rPr>
        <w:t>have </w:t>
      </w:r>
      <w:r>
        <w:rPr/>
        <w:t>substantial</w:t>
      </w:r>
      <w:r>
        <w:rPr>
          <w:spacing w:val="-27"/>
        </w:rPr>
        <w:t> </w:t>
      </w:r>
      <w:r>
        <w:rPr/>
        <w:t>interests,</w:t>
      </w:r>
      <w:r>
        <w:rPr>
          <w:spacing w:val="-27"/>
        </w:rPr>
        <w:t> </w:t>
      </w:r>
      <w:r>
        <w:rPr/>
        <w:t>had</w:t>
      </w:r>
      <w:r>
        <w:rPr>
          <w:spacing w:val="-27"/>
        </w:rPr>
        <w:t> </w:t>
      </w:r>
      <w:r>
        <w:rPr/>
        <w:t>any</w:t>
      </w:r>
      <w:r>
        <w:rPr>
          <w:spacing w:val="-27"/>
        </w:rPr>
        <w:t> </w:t>
      </w:r>
      <w:r>
        <w:rPr/>
        <w:t>interests</w:t>
      </w:r>
      <w:r>
        <w:rPr>
          <w:spacing w:val="-27"/>
        </w:rPr>
        <w:t> </w:t>
      </w:r>
      <w:r>
        <w:rPr/>
        <w:t>in</w:t>
      </w:r>
      <w:r>
        <w:rPr>
          <w:spacing w:val="-26"/>
        </w:rPr>
        <w:t> </w:t>
      </w:r>
      <w:r>
        <w:rPr/>
        <w:t>existing or</w:t>
      </w:r>
      <w:r>
        <w:rPr>
          <w:spacing w:val="-11"/>
        </w:rPr>
        <w:t> </w:t>
      </w:r>
      <w:r>
        <w:rPr/>
        <w:t>proposed</w:t>
      </w:r>
      <w:r>
        <w:rPr>
          <w:spacing w:val="-11"/>
        </w:rPr>
        <w:t> </w:t>
      </w:r>
      <w:r>
        <w:rPr/>
        <w:t>contracts</w:t>
      </w:r>
      <w:r>
        <w:rPr>
          <w:spacing w:val="-11"/>
        </w:rPr>
        <w:t> </w:t>
      </w:r>
      <w:r>
        <w:rPr/>
        <w:t>with</w:t>
      </w:r>
      <w:r>
        <w:rPr>
          <w:spacing w:val="-10"/>
        </w:rPr>
        <w:t> </w:t>
      </w:r>
      <w:r>
        <w:rPr/>
        <w:t>the</w:t>
      </w:r>
      <w:r>
        <w:rPr>
          <w:spacing w:val="-11"/>
        </w:rPr>
        <w:t> </w:t>
      </w:r>
      <w:r>
        <w:rPr/>
        <w:t>Department</w:t>
      </w:r>
      <w:r>
        <w:rPr>
          <w:spacing w:val="-11"/>
        </w:rPr>
        <w:t> </w:t>
      </w:r>
      <w:r>
        <w:rPr>
          <w:spacing w:val="-4"/>
        </w:rPr>
        <w:t>other </w:t>
      </w:r>
      <w:r>
        <w:rPr/>
        <w:t>than</w:t>
      </w:r>
      <w:r>
        <w:rPr>
          <w:spacing w:val="-16"/>
        </w:rPr>
        <w:t> </w:t>
      </w:r>
      <w:r>
        <w:rPr/>
        <w:t>normal</w:t>
      </w:r>
      <w:r>
        <w:rPr>
          <w:spacing w:val="-16"/>
        </w:rPr>
        <w:t> </w:t>
      </w:r>
      <w:r>
        <w:rPr/>
        <w:t>contracts</w:t>
      </w:r>
      <w:r>
        <w:rPr>
          <w:spacing w:val="-15"/>
        </w:rPr>
        <w:t> </w:t>
      </w:r>
      <w:r>
        <w:rPr/>
        <w:t>of</w:t>
      </w:r>
      <w:r>
        <w:rPr>
          <w:spacing w:val="-16"/>
        </w:rPr>
        <w:t> </w:t>
      </w:r>
      <w:r>
        <w:rPr/>
        <w:t>employment</w:t>
      </w:r>
      <w:r>
        <w:rPr>
          <w:spacing w:val="-15"/>
        </w:rPr>
        <w:t> </w:t>
      </w:r>
      <w:r>
        <w:rPr/>
        <w:t>of</w:t>
      </w:r>
      <w:r>
        <w:rPr>
          <w:spacing w:val="-16"/>
        </w:rPr>
        <w:t> </w:t>
      </w:r>
      <w:r>
        <w:rPr/>
        <w:t>service.</w:t>
      </w:r>
    </w:p>
    <w:p>
      <w:pPr>
        <w:pStyle w:val="BodyText"/>
        <w:spacing w:before="6"/>
        <w:rPr>
          <w:sz w:val="26"/>
        </w:rPr>
      </w:pPr>
    </w:p>
    <w:p>
      <w:pPr>
        <w:pStyle w:val="Heading4"/>
        <w:spacing w:line="249" w:lineRule="auto" w:before="1"/>
        <w:ind w:right="1443"/>
      </w:pPr>
      <w:r>
        <w:rPr>
          <w:color w:val="6F2770"/>
        </w:rPr>
        <w:t>Board and</w:t>
      </w:r>
      <w:r>
        <w:rPr>
          <w:color w:val="6F2770"/>
          <w:spacing w:val="-65"/>
        </w:rPr>
        <w:t> </w:t>
      </w:r>
      <w:r>
        <w:rPr>
          <w:color w:val="6F2770"/>
        </w:rPr>
        <w:t>committee remuneration</w:t>
      </w:r>
    </w:p>
    <w:p>
      <w:pPr>
        <w:pStyle w:val="BodyText"/>
        <w:spacing w:line="249" w:lineRule="auto" w:before="230"/>
        <w:ind w:left="765" w:right="407"/>
      </w:pPr>
      <w:r>
        <w:rPr/>
        <w:t>In</w:t>
      </w:r>
      <w:r>
        <w:rPr>
          <w:spacing w:val="-15"/>
        </w:rPr>
        <w:t> </w:t>
      </w:r>
      <w:r>
        <w:rPr/>
        <w:t>2017-18,</w:t>
      </w:r>
      <w:r>
        <w:rPr>
          <w:spacing w:val="-15"/>
        </w:rPr>
        <w:t> </w:t>
      </w:r>
      <w:r>
        <w:rPr/>
        <w:t>the</w:t>
      </w:r>
      <w:r>
        <w:rPr>
          <w:spacing w:val="-14"/>
        </w:rPr>
        <w:t> </w:t>
      </w:r>
      <w:r>
        <w:rPr/>
        <w:t>Department</w:t>
      </w:r>
      <w:r>
        <w:rPr>
          <w:spacing w:val="-15"/>
        </w:rPr>
        <w:t> </w:t>
      </w:r>
      <w:r>
        <w:rPr/>
        <w:t>of</w:t>
      </w:r>
      <w:r>
        <w:rPr>
          <w:spacing w:val="-14"/>
        </w:rPr>
        <w:t> </w:t>
      </w:r>
      <w:r>
        <w:rPr/>
        <w:t>Finance</w:t>
      </w:r>
      <w:r>
        <w:rPr>
          <w:spacing w:val="-15"/>
        </w:rPr>
        <w:t> </w:t>
      </w:r>
      <w:r>
        <w:rPr/>
        <w:t>had</w:t>
      </w:r>
      <w:r>
        <w:rPr>
          <w:spacing w:val="-14"/>
        </w:rPr>
        <w:t> </w:t>
      </w:r>
      <w:r>
        <w:rPr>
          <w:spacing w:val="-9"/>
        </w:rPr>
        <w:t>no </w:t>
      </w:r>
      <w:r>
        <w:rPr/>
        <w:t>board</w:t>
      </w:r>
      <w:r>
        <w:rPr>
          <w:spacing w:val="-10"/>
        </w:rPr>
        <w:t> </w:t>
      </w:r>
      <w:r>
        <w:rPr/>
        <w:t>or</w:t>
      </w:r>
      <w:r>
        <w:rPr>
          <w:spacing w:val="-9"/>
        </w:rPr>
        <w:t> </w:t>
      </w:r>
      <w:r>
        <w:rPr/>
        <w:t>committee</w:t>
      </w:r>
      <w:r>
        <w:rPr>
          <w:spacing w:val="-9"/>
        </w:rPr>
        <w:t> </w:t>
      </w:r>
      <w:r>
        <w:rPr/>
        <w:t>costs</w:t>
      </w:r>
      <w:r>
        <w:rPr>
          <w:spacing w:val="-9"/>
        </w:rPr>
        <w:t> </w:t>
      </w:r>
      <w:r>
        <w:rPr/>
        <w:t>and</w:t>
      </w:r>
      <w:r>
        <w:rPr>
          <w:spacing w:val="-10"/>
        </w:rPr>
        <w:t> </w:t>
      </w:r>
      <w:r>
        <w:rPr/>
        <w:t>memberships.</w:t>
      </w:r>
    </w:p>
    <w:p>
      <w:pPr>
        <w:pStyle w:val="BodyText"/>
        <w:spacing w:before="3"/>
        <w:rPr>
          <w:sz w:val="26"/>
        </w:rPr>
      </w:pPr>
    </w:p>
    <w:p>
      <w:pPr>
        <w:pStyle w:val="Heading4"/>
        <w:spacing w:before="0"/>
      </w:pPr>
      <w:r>
        <w:rPr>
          <w:color w:val="6F2770"/>
        </w:rPr>
        <w:t>Governance committees</w:t>
      </w:r>
    </w:p>
    <w:p>
      <w:pPr>
        <w:pStyle w:val="BodyText"/>
        <w:spacing w:line="249" w:lineRule="auto" w:before="246"/>
        <w:ind w:left="765" w:right="222"/>
      </w:pPr>
      <w:r>
        <w:rPr/>
        <w:t>Strong</w:t>
      </w:r>
      <w:r>
        <w:rPr>
          <w:spacing w:val="-22"/>
        </w:rPr>
        <w:t> </w:t>
      </w:r>
      <w:r>
        <w:rPr/>
        <w:t>governance</w:t>
      </w:r>
      <w:r>
        <w:rPr>
          <w:spacing w:val="-21"/>
        </w:rPr>
        <w:t> </w:t>
      </w:r>
      <w:r>
        <w:rPr/>
        <w:t>is</w:t>
      </w:r>
      <w:r>
        <w:rPr>
          <w:spacing w:val="-21"/>
        </w:rPr>
        <w:t> </w:t>
      </w:r>
      <w:r>
        <w:rPr/>
        <w:t>the</w:t>
      </w:r>
      <w:r>
        <w:rPr>
          <w:spacing w:val="-21"/>
        </w:rPr>
        <w:t> </w:t>
      </w:r>
      <w:r>
        <w:rPr/>
        <w:t>cornerstone</w:t>
      </w:r>
      <w:r>
        <w:rPr>
          <w:spacing w:val="-21"/>
        </w:rPr>
        <w:t> </w:t>
      </w:r>
      <w:r>
        <w:rPr/>
        <w:t>of</w:t>
      </w:r>
      <w:r>
        <w:rPr>
          <w:spacing w:val="-22"/>
        </w:rPr>
        <w:t> </w:t>
      </w:r>
      <w:r>
        <w:rPr>
          <w:spacing w:val="-3"/>
        </w:rPr>
        <w:t>efficient </w:t>
      </w:r>
      <w:r>
        <w:rPr/>
        <w:t>and</w:t>
      </w:r>
      <w:r>
        <w:rPr>
          <w:spacing w:val="-17"/>
        </w:rPr>
        <w:t> </w:t>
      </w:r>
      <w:r>
        <w:rPr/>
        <w:t>effective</w:t>
      </w:r>
      <w:r>
        <w:rPr>
          <w:spacing w:val="-16"/>
        </w:rPr>
        <w:t> </w:t>
      </w:r>
      <w:r>
        <w:rPr/>
        <w:t>organisational</w:t>
      </w:r>
      <w:r>
        <w:rPr>
          <w:spacing w:val="-16"/>
        </w:rPr>
        <w:t> </w:t>
      </w:r>
      <w:r>
        <w:rPr/>
        <w:t>performance</w:t>
      </w:r>
      <w:r>
        <w:rPr>
          <w:spacing w:val="-16"/>
        </w:rPr>
        <w:t> </w:t>
      </w:r>
      <w:r>
        <w:rPr/>
        <w:t>and</w:t>
      </w:r>
    </w:p>
    <w:p>
      <w:pPr>
        <w:pStyle w:val="BodyText"/>
        <w:spacing w:line="249" w:lineRule="auto" w:before="1"/>
        <w:ind w:left="765" w:right="560"/>
      </w:pPr>
      <w:r>
        <w:rPr/>
        <w:t>is</w:t>
      </w:r>
      <w:r>
        <w:rPr>
          <w:spacing w:val="-22"/>
        </w:rPr>
        <w:t> </w:t>
      </w:r>
      <w:r>
        <w:rPr/>
        <w:t>underpinned</w:t>
      </w:r>
      <w:r>
        <w:rPr>
          <w:spacing w:val="-21"/>
        </w:rPr>
        <w:t> </w:t>
      </w:r>
      <w:r>
        <w:rPr/>
        <w:t>by</w:t>
      </w:r>
      <w:r>
        <w:rPr>
          <w:spacing w:val="-21"/>
        </w:rPr>
        <w:t> </w:t>
      </w:r>
      <w:r>
        <w:rPr/>
        <w:t>a</w:t>
      </w:r>
      <w:r>
        <w:rPr>
          <w:spacing w:val="-21"/>
        </w:rPr>
        <w:t> </w:t>
      </w:r>
      <w:r>
        <w:rPr/>
        <w:t>number</w:t>
      </w:r>
      <w:r>
        <w:rPr>
          <w:spacing w:val="-21"/>
        </w:rPr>
        <w:t> </w:t>
      </w:r>
      <w:r>
        <w:rPr/>
        <w:t>of</w:t>
      </w:r>
      <w:r>
        <w:rPr>
          <w:spacing w:val="-21"/>
        </w:rPr>
        <w:t> </w:t>
      </w:r>
      <w:r>
        <w:rPr/>
        <w:t>accountability requirements.</w:t>
      </w:r>
      <w:r>
        <w:rPr>
          <w:spacing w:val="-26"/>
        </w:rPr>
        <w:t> </w:t>
      </w:r>
      <w:r>
        <w:rPr/>
        <w:t>In</w:t>
      </w:r>
      <w:r>
        <w:rPr>
          <w:spacing w:val="-25"/>
        </w:rPr>
        <w:t> </w:t>
      </w:r>
      <w:r>
        <w:rPr/>
        <w:t>accordance</w:t>
      </w:r>
      <w:r>
        <w:rPr>
          <w:spacing w:val="-25"/>
        </w:rPr>
        <w:t> </w:t>
      </w:r>
      <w:r>
        <w:rPr/>
        <w:t>with</w:t>
      </w:r>
      <w:r>
        <w:rPr>
          <w:spacing w:val="-25"/>
        </w:rPr>
        <w:t> </w:t>
      </w:r>
      <w:r>
        <w:rPr/>
        <w:t>legislative requirements and industry</w:t>
      </w:r>
      <w:r>
        <w:rPr>
          <w:spacing w:val="-23"/>
        </w:rPr>
        <w:t> </w:t>
      </w:r>
      <w:r>
        <w:rPr/>
        <w:t>standards,</w:t>
      </w:r>
    </w:p>
    <w:p>
      <w:pPr>
        <w:pStyle w:val="BodyText"/>
        <w:spacing w:line="249" w:lineRule="auto" w:before="3"/>
        <w:ind w:left="765" w:right="-11"/>
      </w:pPr>
      <w:r>
        <w:rPr/>
        <w:t>the Department of Finance regularly convenes several governance committees to ensure accountability, integrity and transparency in financial</w:t>
      </w:r>
      <w:r>
        <w:rPr>
          <w:spacing w:val="-36"/>
        </w:rPr>
        <w:t> </w:t>
      </w:r>
      <w:r>
        <w:rPr/>
        <w:t>management,</w:t>
      </w:r>
      <w:r>
        <w:rPr>
          <w:spacing w:val="-36"/>
        </w:rPr>
        <w:t> </w:t>
      </w:r>
      <w:r>
        <w:rPr/>
        <w:t>technology</w:t>
      </w:r>
      <w:r>
        <w:rPr>
          <w:spacing w:val="-35"/>
        </w:rPr>
        <w:t> </w:t>
      </w:r>
      <w:r>
        <w:rPr/>
        <w:t>and</w:t>
      </w:r>
      <w:r>
        <w:rPr>
          <w:spacing w:val="-36"/>
        </w:rPr>
        <w:t> </w:t>
      </w:r>
      <w:r>
        <w:rPr>
          <w:spacing w:val="-2"/>
        </w:rPr>
        <w:t>information,</w:t>
      </w:r>
    </w:p>
    <w:p>
      <w:pPr>
        <w:pStyle w:val="BodyText"/>
        <w:spacing w:line="249" w:lineRule="auto" w:before="145"/>
        <w:ind w:left="384" w:right="215"/>
      </w:pPr>
      <w:r>
        <w:rPr/>
        <w:br w:type="column"/>
      </w:r>
      <w:r>
        <w:rPr/>
        <w:t>people and communications, and audit and </w:t>
      </w:r>
      <w:r>
        <w:rPr>
          <w:spacing w:val="-4"/>
        </w:rPr>
        <w:t>risk </w:t>
      </w:r>
      <w:r>
        <w:rPr/>
        <w:t>management.</w:t>
      </w:r>
    </w:p>
    <w:p>
      <w:pPr>
        <w:pStyle w:val="BodyText"/>
        <w:spacing w:before="1"/>
        <w:rPr>
          <w:sz w:val="23"/>
        </w:rPr>
      </w:pPr>
    </w:p>
    <w:p>
      <w:pPr>
        <w:pStyle w:val="BodyText"/>
        <w:spacing w:line="249" w:lineRule="auto"/>
        <w:ind w:left="384" w:right="14"/>
        <w:jc w:val="both"/>
      </w:pPr>
      <w:r>
        <w:rPr/>
        <w:t>The</w:t>
      </w:r>
      <w:r>
        <w:rPr>
          <w:spacing w:val="-37"/>
        </w:rPr>
        <w:t> </w:t>
      </w:r>
      <w:r>
        <w:rPr>
          <w:spacing w:val="-3"/>
        </w:rPr>
        <w:t>Department’s</w:t>
      </w:r>
      <w:r>
        <w:rPr>
          <w:spacing w:val="-36"/>
        </w:rPr>
        <w:t> </w:t>
      </w:r>
      <w:r>
        <w:rPr/>
        <w:t>governance</w:t>
      </w:r>
      <w:r>
        <w:rPr>
          <w:spacing w:val="-36"/>
        </w:rPr>
        <w:t> </w:t>
      </w:r>
      <w:r>
        <w:rPr/>
        <w:t>framework</w:t>
      </w:r>
      <w:r>
        <w:rPr>
          <w:spacing w:val="-37"/>
        </w:rPr>
        <w:t> </w:t>
      </w:r>
      <w:r>
        <w:rPr/>
        <w:t>identifies practices</w:t>
      </w:r>
      <w:r>
        <w:rPr>
          <w:spacing w:val="-13"/>
        </w:rPr>
        <w:t> </w:t>
      </w:r>
      <w:r>
        <w:rPr/>
        <w:t>that</w:t>
      </w:r>
      <w:r>
        <w:rPr>
          <w:spacing w:val="-13"/>
        </w:rPr>
        <w:t> </w:t>
      </w:r>
      <w:r>
        <w:rPr/>
        <w:t>drive</w:t>
      </w:r>
      <w:r>
        <w:rPr>
          <w:spacing w:val="-12"/>
        </w:rPr>
        <w:t> </w:t>
      </w:r>
      <w:r>
        <w:rPr/>
        <w:t>and</w:t>
      </w:r>
      <w:r>
        <w:rPr>
          <w:spacing w:val="-13"/>
        </w:rPr>
        <w:t> </w:t>
      </w:r>
      <w:r>
        <w:rPr/>
        <w:t>support</w:t>
      </w:r>
      <w:r>
        <w:rPr>
          <w:spacing w:val="-13"/>
        </w:rPr>
        <w:t> </w:t>
      </w:r>
      <w:r>
        <w:rPr/>
        <w:t>good</w:t>
      </w:r>
      <w:r>
        <w:rPr>
          <w:spacing w:val="-12"/>
        </w:rPr>
        <w:t> </w:t>
      </w:r>
      <w:r>
        <w:rPr/>
        <w:t>governance and encourage performance</w:t>
      </w:r>
      <w:r>
        <w:rPr>
          <w:spacing w:val="-21"/>
        </w:rPr>
        <w:t> </w:t>
      </w:r>
      <w:r>
        <w:rPr/>
        <w:t>improvement</w:t>
      </w:r>
    </w:p>
    <w:p>
      <w:pPr>
        <w:pStyle w:val="BodyText"/>
        <w:spacing w:line="249" w:lineRule="auto" w:before="3"/>
        <w:ind w:left="384" w:right="491"/>
      </w:pPr>
      <w:r>
        <w:rPr/>
        <w:t>while meeting our obligations and legislative requirements.</w:t>
      </w:r>
      <w:r>
        <w:rPr>
          <w:spacing w:val="-35"/>
        </w:rPr>
        <w:t> </w:t>
      </w:r>
      <w:r>
        <w:rPr/>
        <w:t>This</w:t>
      </w:r>
      <w:r>
        <w:rPr>
          <w:spacing w:val="-35"/>
        </w:rPr>
        <w:t> </w:t>
      </w:r>
      <w:r>
        <w:rPr>
          <w:spacing w:val="-5"/>
        </w:rPr>
        <w:t>year,</w:t>
      </w:r>
      <w:r>
        <w:rPr>
          <w:spacing w:val="-35"/>
        </w:rPr>
        <w:t> </w:t>
      </w:r>
      <w:r>
        <w:rPr/>
        <w:t>Finance</w:t>
      </w:r>
      <w:r>
        <w:rPr>
          <w:spacing w:val="-35"/>
        </w:rPr>
        <w:t> </w:t>
      </w:r>
      <w:r>
        <w:rPr/>
        <w:t>enhanced</w:t>
      </w:r>
      <w:r>
        <w:rPr>
          <w:spacing w:val="-35"/>
        </w:rPr>
        <w:t> </w:t>
      </w:r>
      <w:r>
        <w:rPr>
          <w:spacing w:val="-6"/>
        </w:rPr>
        <w:t>its</w:t>
      </w:r>
    </w:p>
    <w:p>
      <w:pPr>
        <w:pStyle w:val="BodyText"/>
        <w:spacing w:line="249" w:lineRule="auto" w:before="1"/>
        <w:ind w:left="384" w:right="-10"/>
      </w:pPr>
      <w:r>
        <w:rPr/>
        <w:t>well-established</w:t>
      </w:r>
      <w:r>
        <w:rPr>
          <w:spacing w:val="-31"/>
        </w:rPr>
        <w:t> </w:t>
      </w:r>
      <w:r>
        <w:rPr/>
        <w:t>governance</w:t>
      </w:r>
      <w:r>
        <w:rPr>
          <w:spacing w:val="-30"/>
        </w:rPr>
        <w:t> </w:t>
      </w:r>
      <w:r>
        <w:rPr/>
        <w:t>capability</w:t>
      </w:r>
      <w:r>
        <w:rPr>
          <w:spacing w:val="-31"/>
        </w:rPr>
        <w:t> </w:t>
      </w:r>
      <w:r>
        <w:rPr/>
        <w:t>by</w:t>
      </w:r>
      <w:r>
        <w:rPr>
          <w:spacing w:val="-30"/>
        </w:rPr>
        <w:t> </w:t>
      </w:r>
      <w:r>
        <w:rPr>
          <w:spacing w:val="-3"/>
        </w:rPr>
        <w:t>adopting </w:t>
      </w:r>
      <w:r>
        <w:rPr/>
        <w:t>a department-wide approach to technology governance to achieve a more efficient use of resources. Initiatives to enhance</w:t>
      </w:r>
      <w:r>
        <w:rPr>
          <w:spacing w:val="-40"/>
        </w:rPr>
        <w:t> </w:t>
      </w:r>
      <w:r>
        <w:rPr/>
        <w:t>processes</w:t>
      </w:r>
    </w:p>
    <w:p>
      <w:pPr>
        <w:pStyle w:val="BodyText"/>
        <w:spacing w:line="249" w:lineRule="auto" w:before="4"/>
        <w:ind w:left="384" w:right="464"/>
      </w:pPr>
      <w:r>
        <w:rPr/>
        <w:t>for</w:t>
      </w:r>
      <w:r>
        <w:rPr>
          <w:spacing w:val="-21"/>
        </w:rPr>
        <w:t> </w:t>
      </w:r>
      <w:r>
        <w:rPr/>
        <w:t>making</w:t>
      </w:r>
      <w:r>
        <w:rPr>
          <w:spacing w:val="-21"/>
        </w:rPr>
        <w:t> </w:t>
      </w:r>
      <w:r>
        <w:rPr/>
        <w:t>and</w:t>
      </w:r>
      <w:r>
        <w:rPr>
          <w:spacing w:val="-21"/>
        </w:rPr>
        <w:t> </w:t>
      </w:r>
      <w:r>
        <w:rPr/>
        <w:t>implementing</w:t>
      </w:r>
      <w:r>
        <w:rPr>
          <w:spacing w:val="-21"/>
        </w:rPr>
        <w:t> </w:t>
      </w:r>
      <w:r>
        <w:rPr/>
        <w:t>decisions</w:t>
      </w:r>
      <w:r>
        <w:rPr>
          <w:spacing w:val="-21"/>
        </w:rPr>
        <w:t> </w:t>
      </w:r>
      <w:r>
        <w:rPr/>
        <w:t>will</w:t>
      </w:r>
      <w:r>
        <w:rPr>
          <w:spacing w:val="-21"/>
        </w:rPr>
        <w:t> </w:t>
      </w:r>
      <w:r>
        <w:rPr>
          <w:spacing w:val="-8"/>
        </w:rPr>
        <w:t>be </w:t>
      </w:r>
      <w:r>
        <w:rPr/>
        <w:t>pursued in the coming</w:t>
      </w:r>
      <w:r>
        <w:rPr>
          <w:spacing w:val="-9"/>
        </w:rPr>
        <w:t> </w:t>
      </w:r>
      <w:r>
        <w:rPr>
          <w:spacing w:val="-5"/>
        </w:rPr>
        <w:t>year.</w:t>
      </w:r>
    </w:p>
    <w:p>
      <w:pPr>
        <w:pStyle w:val="BodyText"/>
        <w:spacing w:before="3"/>
        <w:rPr>
          <w:sz w:val="26"/>
        </w:rPr>
      </w:pPr>
    </w:p>
    <w:p>
      <w:pPr>
        <w:pStyle w:val="Heading4"/>
        <w:spacing w:before="1"/>
        <w:ind w:left="384"/>
      </w:pPr>
      <w:r>
        <w:rPr>
          <w:color w:val="6F2770"/>
        </w:rPr>
        <w:t>Corporate Executive</w:t>
      </w:r>
    </w:p>
    <w:p>
      <w:pPr>
        <w:pStyle w:val="BodyText"/>
        <w:spacing w:line="249" w:lineRule="auto" w:before="245"/>
        <w:ind w:left="384" w:right="49"/>
      </w:pPr>
      <w:r>
        <w:rPr/>
        <w:t>The </w:t>
      </w:r>
      <w:r>
        <w:rPr>
          <w:spacing w:val="-3"/>
        </w:rPr>
        <w:t>Department’s </w:t>
      </w:r>
      <w:r>
        <w:rPr/>
        <w:t>Corporate Executive provided leadership for and oversight of core business while continuing to drive innovation to enable the sector to better deliver results for the </w:t>
      </w:r>
      <w:r>
        <w:rPr>
          <w:spacing w:val="-3"/>
        </w:rPr>
        <w:t>community. </w:t>
      </w:r>
      <w:r>
        <w:rPr/>
        <w:t>Recognising the </w:t>
      </w:r>
      <w:r>
        <w:rPr>
          <w:spacing w:val="-3"/>
        </w:rPr>
        <w:t>Department’s </w:t>
      </w:r>
      <w:r>
        <w:rPr/>
        <w:t>role as a central </w:t>
      </w:r>
      <w:r>
        <w:rPr>
          <w:spacing w:val="-3"/>
        </w:rPr>
        <w:t>agency, </w:t>
      </w:r>
      <w:r>
        <w:rPr/>
        <w:t>the Corporate Executive committed substantial resources to cross-sector Public Sector</w:t>
      </w:r>
      <w:r>
        <w:rPr>
          <w:spacing w:val="-25"/>
        </w:rPr>
        <w:t> </w:t>
      </w:r>
      <w:r>
        <w:rPr/>
        <w:t>Reform</w:t>
      </w:r>
      <w:r>
        <w:rPr>
          <w:spacing w:val="-25"/>
        </w:rPr>
        <w:t> </w:t>
      </w:r>
      <w:r>
        <w:rPr/>
        <w:t>initiatives</w:t>
      </w:r>
      <w:r>
        <w:rPr>
          <w:spacing w:val="-25"/>
        </w:rPr>
        <w:t> </w:t>
      </w:r>
      <w:r>
        <w:rPr/>
        <w:t>and</w:t>
      </w:r>
      <w:r>
        <w:rPr>
          <w:spacing w:val="-25"/>
        </w:rPr>
        <w:t> </w:t>
      </w:r>
      <w:r>
        <w:rPr/>
        <w:t>is</w:t>
      </w:r>
      <w:r>
        <w:rPr>
          <w:spacing w:val="-25"/>
        </w:rPr>
        <w:t> </w:t>
      </w:r>
      <w:r>
        <w:rPr/>
        <w:t>leading</w:t>
      </w:r>
      <w:r>
        <w:rPr>
          <w:spacing w:val="-25"/>
        </w:rPr>
        <w:t> </w:t>
      </w:r>
      <w:r>
        <w:rPr/>
        <w:t>the</w:t>
      </w:r>
      <w:r>
        <w:rPr>
          <w:spacing w:val="-25"/>
        </w:rPr>
        <w:t> </w:t>
      </w:r>
      <w:r>
        <w:rPr>
          <w:spacing w:val="-3"/>
        </w:rPr>
        <w:t>agency </w:t>
      </w:r>
      <w:r>
        <w:rPr/>
        <w:t>through the implementation of many of these initiatives. Enhancing procurement policy and practice,</w:t>
      </w:r>
      <w:r>
        <w:rPr>
          <w:spacing w:val="-24"/>
        </w:rPr>
        <w:t> </w:t>
      </w:r>
      <w:r>
        <w:rPr/>
        <w:t>and</w:t>
      </w:r>
      <w:r>
        <w:rPr>
          <w:spacing w:val="-24"/>
        </w:rPr>
        <w:t> </w:t>
      </w:r>
      <w:r>
        <w:rPr/>
        <w:t>the</w:t>
      </w:r>
      <w:r>
        <w:rPr>
          <w:spacing w:val="-24"/>
        </w:rPr>
        <w:t> </w:t>
      </w:r>
      <w:r>
        <w:rPr/>
        <w:t>provision</w:t>
      </w:r>
      <w:r>
        <w:rPr>
          <w:spacing w:val="-23"/>
        </w:rPr>
        <w:t> </w:t>
      </w:r>
      <w:r>
        <w:rPr/>
        <w:t>of</w:t>
      </w:r>
      <w:r>
        <w:rPr>
          <w:spacing w:val="-24"/>
        </w:rPr>
        <w:t> </w:t>
      </w:r>
      <w:r>
        <w:rPr/>
        <w:t>functional</w:t>
      </w:r>
      <w:r>
        <w:rPr>
          <w:spacing w:val="-24"/>
        </w:rPr>
        <w:t> </w:t>
      </w:r>
      <w:r>
        <w:rPr/>
        <w:t>leadership in</w:t>
      </w:r>
      <w:r>
        <w:rPr>
          <w:spacing w:val="-22"/>
        </w:rPr>
        <w:t> </w:t>
      </w:r>
      <w:r>
        <w:rPr/>
        <w:t>procurement</w:t>
      </w:r>
      <w:r>
        <w:rPr>
          <w:spacing w:val="-21"/>
        </w:rPr>
        <w:t> </w:t>
      </w:r>
      <w:r>
        <w:rPr/>
        <w:t>and</w:t>
      </w:r>
      <w:r>
        <w:rPr>
          <w:spacing w:val="-22"/>
        </w:rPr>
        <w:t> </w:t>
      </w:r>
      <w:r>
        <w:rPr/>
        <w:t>project</w:t>
      </w:r>
      <w:r>
        <w:rPr>
          <w:spacing w:val="-21"/>
        </w:rPr>
        <w:t> </w:t>
      </w:r>
      <w:r>
        <w:rPr/>
        <w:t>management</w:t>
      </w:r>
      <w:r>
        <w:rPr>
          <w:spacing w:val="-21"/>
        </w:rPr>
        <w:t> </w:t>
      </w:r>
      <w:r>
        <w:rPr/>
        <w:t>remains a key focus for</w:t>
      </w:r>
      <w:r>
        <w:rPr>
          <w:spacing w:val="-6"/>
        </w:rPr>
        <w:t> </w:t>
      </w:r>
      <w:r>
        <w:rPr/>
        <w:t>members.</w:t>
      </w:r>
    </w:p>
    <w:p>
      <w:pPr>
        <w:pStyle w:val="Heading4"/>
        <w:spacing w:line="249" w:lineRule="auto" w:before="113"/>
        <w:ind w:left="387" w:right="1582"/>
      </w:pPr>
      <w:r>
        <w:rPr/>
        <w:br w:type="column"/>
      </w:r>
      <w:r>
        <w:rPr>
          <w:color w:val="6F2770"/>
        </w:rPr>
        <w:t>Finance</w:t>
      </w:r>
      <w:r>
        <w:rPr>
          <w:color w:val="6F2770"/>
          <w:spacing w:val="-57"/>
        </w:rPr>
        <w:t> </w:t>
      </w:r>
      <w:r>
        <w:rPr>
          <w:color w:val="6F2770"/>
        </w:rPr>
        <w:t>and</w:t>
      </w:r>
      <w:r>
        <w:rPr>
          <w:color w:val="6F2770"/>
          <w:spacing w:val="-57"/>
        </w:rPr>
        <w:t> </w:t>
      </w:r>
      <w:r>
        <w:rPr>
          <w:color w:val="6F2770"/>
          <w:spacing w:val="-4"/>
        </w:rPr>
        <w:t>Procurement </w:t>
      </w:r>
      <w:r>
        <w:rPr>
          <w:color w:val="6F2770"/>
        </w:rPr>
        <w:t>Committee</w:t>
      </w:r>
    </w:p>
    <w:p>
      <w:pPr>
        <w:pStyle w:val="BodyText"/>
        <w:spacing w:line="249" w:lineRule="auto" w:before="231"/>
        <w:ind w:left="387" w:right="755"/>
      </w:pPr>
      <w:r>
        <w:rPr/>
        <w:t>The</w:t>
      </w:r>
      <w:r>
        <w:rPr>
          <w:spacing w:val="-31"/>
        </w:rPr>
        <w:t> </w:t>
      </w:r>
      <w:r>
        <w:rPr/>
        <w:t>Finance</w:t>
      </w:r>
      <w:r>
        <w:rPr>
          <w:spacing w:val="-30"/>
        </w:rPr>
        <w:t> </w:t>
      </w:r>
      <w:r>
        <w:rPr/>
        <w:t>and</w:t>
      </w:r>
      <w:r>
        <w:rPr>
          <w:spacing w:val="-31"/>
        </w:rPr>
        <w:t> </w:t>
      </w:r>
      <w:r>
        <w:rPr/>
        <w:t>Procurement</w:t>
      </w:r>
      <w:r>
        <w:rPr>
          <w:spacing w:val="-30"/>
        </w:rPr>
        <w:t> </w:t>
      </w:r>
      <w:r>
        <w:rPr/>
        <w:t>Committee</w:t>
      </w:r>
      <w:r>
        <w:rPr>
          <w:spacing w:val="-31"/>
        </w:rPr>
        <w:t> </w:t>
      </w:r>
      <w:r>
        <w:rPr>
          <w:spacing w:val="-3"/>
        </w:rPr>
        <w:t>provides </w:t>
      </w:r>
      <w:r>
        <w:rPr/>
        <w:t>direction</w:t>
      </w:r>
      <w:r>
        <w:rPr>
          <w:spacing w:val="-11"/>
        </w:rPr>
        <w:t> </w:t>
      </w:r>
      <w:r>
        <w:rPr/>
        <w:t>and</w:t>
      </w:r>
      <w:r>
        <w:rPr>
          <w:spacing w:val="-11"/>
        </w:rPr>
        <w:t> </w:t>
      </w:r>
      <w:r>
        <w:rPr/>
        <w:t>leadership</w:t>
      </w:r>
      <w:r>
        <w:rPr>
          <w:spacing w:val="-10"/>
        </w:rPr>
        <w:t> </w:t>
      </w:r>
      <w:r>
        <w:rPr/>
        <w:t>in</w:t>
      </w:r>
      <w:r>
        <w:rPr>
          <w:spacing w:val="-11"/>
        </w:rPr>
        <w:t> </w:t>
      </w:r>
      <w:r>
        <w:rPr/>
        <w:t>the</w:t>
      </w:r>
      <w:r>
        <w:rPr>
          <w:spacing w:val="-11"/>
        </w:rPr>
        <w:t> </w:t>
      </w:r>
      <w:r>
        <w:rPr/>
        <w:t>management</w:t>
      </w:r>
      <w:r>
        <w:rPr>
          <w:spacing w:val="-10"/>
        </w:rPr>
        <w:t> </w:t>
      </w:r>
      <w:r>
        <w:rPr/>
        <w:t>of</w:t>
      </w:r>
    </w:p>
    <w:p>
      <w:pPr>
        <w:pStyle w:val="BodyText"/>
        <w:spacing w:line="249" w:lineRule="auto" w:before="1"/>
        <w:ind w:left="387" w:right="871"/>
      </w:pPr>
      <w:r>
        <w:rPr/>
        <w:t>the</w:t>
      </w:r>
      <w:r>
        <w:rPr>
          <w:spacing w:val="-28"/>
        </w:rPr>
        <w:t> </w:t>
      </w:r>
      <w:r>
        <w:rPr>
          <w:spacing w:val="-3"/>
        </w:rPr>
        <w:t>Department’s</w:t>
      </w:r>
      <w:r>
        <w:rPr>
          <w:spacing w:val="-28"/>
        </w:rPr>
        <w:t> </w:t>
      </w:r>
      <w:r>
        <w:rPr/>
        <w:t>financial</w:t>
      </w:r>
      <w:r>
        <w:rPr>
          <w:spacing w:val="-28"/>
        </w:rPr>
        <w:t> </w:t>
      </w:r>
      <w:r>
        <w:rPr/>
        <w:t>responsibilities,</w:t>
      </w:r>
      <w:r>
        <w:rPr>
          <w:spacing w:val="-28"/>
        </w:rPr>
        <w:t> </w:t>
      </w:r>
      <w:r>
        <w:rPr/>
        <w:t>as</w:t>
      </w:r>
      <w:r>
        <w:rPr>
          <w:spacing w:val="-27"/>
        </w:rPr>
        <w:t> </w:t>
      </w:r>
      <w:r>
        <w:rPr/>
        <w:t>well as making recommendations on </w:t>
      </w:r>
      <w:r>
        <w:rPr>
          <w:spacing w:val="-3"/>
        </w:rPr>
        <w:t>Finance’s </w:t>
      </w:r>
      <w:r>
        <w:rPr/>
        <w:t>own procurement activities. This year the committee made substantial improvements to financial reporting</w:t>
      </w:r>
      <w:r>
        <w:rPr>
          <w:spacing w:val="-23"/>
        </w:rPr>
        <w:t> </w:t>
      </w:r>
      <w:r>
        <w:rPr/>
        <w:t>across</w:t>
      </w:r>
      <w:r>
        <w:rPr>
          <w:spacing w:val="-23"/>
        </w:rPr>
        <w:t> </w:t>
      </w:r>
      <w:r>
        <w:rPr/>
        <w:t>the</w:t>
      </w:r>
      <w:r>
        <w:rPr>
          <w:spacing w:val="-23"/>
        </w:rPr>
        <w:t> </w:t>
      </w:r>
      <w:r>
        <w:rPr>
          <w:spacing w:val="-3"/>
        </w:rPr>
        <w:t>agency,</w:t>
      </w:r>
      <w:r>
        <w:rPr>
          <w:spacing w:val="-23"/>
        </w:rPr>
        <w:t> </w:t>
      </w:r>
      <w:r>
        <w:rPr/>
        <w:t>introducing</w:t>
      </w:r>
      <w:r>
        <w:rPr>
          <w:spacing w:val="-23"/>
        </w:rPr>
        <w:t> </w:t>
      </w:r>
      <w:r>
        <w:rPr/>
        <w:t>an</w:t>
      </w:r>
      <w:r>
        <w:rPr>
          <w:spacing w:val="-23"/>
        </w:rPr>
        <w:t> </w:t>
      </w:r>
      <w:r>
        <w:rPr>
          <w:spacing w:val="-3"/>
        </w:rPr>
        <w:t>online </w:t>
      </w:r>
      <w:r>
        <w:rPr/>
        <w:t>reporting tool that provides management and business users with access to real-time financial information.</w:t>
      </w:r>
    </w:p>
    <w:p>
      <w:pPr>
        <w:pStyle w:val="BodyText"/>
        <w:spacing w:before="7"/>
        <w:rPr>
          <w:sz w:val="23"/>
        </w:rPr>
      </w:pPr>
    </w:p>
    <w:p>
      <w:pPr>
        <w:pStyle w:val="BodyText"/>
        <w:spacing w:line="249" w:lineRule="auto"/>
        <w:ind w:left="387" w:right="757"/>
      </w:pPr>
      <w:r>
        <w:rPr/>
        <w:t>The committee also approved a procurement framework to help departmental purchasing officers</w:t>
      </w:r>
      <w:r>
        <w:rPr>
          <w:spacing w:val="-36"/>
        </w:rPr>
        <w:t> </w:t>
      </w:r>
      <w:r>
        <w:rPr/>
        <w:t>choose</w:t>
      </w:r>
      <w:r>
        <w:rPr>
          <w:spacing w:val="-36"/>
        </w:rPr>
        <w:t> </w:t>
      </w:r>
      <w:r>
        <w:rPr/>
        <w:t>appropriate</w:t>
      </w:r>
      <w:r>
        <w:rPr>
          <w:spacing w:val="-36"/>
        </w:rPr>
        <w:t> </w:t>
      </w:r>
      <w:r>
        <w:rPr/>
        <w:t>procurement</w:t>
      </w:r>
      <w:r>
        <w:rPr>
          <w:spacing w:val="-35"/>
        </w:rPr>
        <w:t> </w:t>
      </w:r>
      <w:r>
        <w:rPr/>
        <w:t>channels.</w:t>
      </w:r>
    </w:p>
    <w:p>
      <w:pPr>
        <w:pStyle w:val="BodyText"/>
        <w:spacing w:before="2"/>
        <w:rPr>
          <w:sz w:val="23"/>
        </w:rPr>
      </w:pPr>
    </w:p>
    <w:p>
      <w:pPr>
        <w:pStyle w:val="BodyText"/>
        <w:spacing w:line="249" w:lineRule="auto"/>
        <w:ind w:left="387" w:right="810"/>
      </w:pPr>
      <w:r>
        <w:rPr/>
        <w:t>Leveraging off the contract register introduced in 2016-17 in line with Treasurer’s Instruction 820, the committee introduced new contract reporting, providing better oversight of contract activity across the Department.</w:t>
      </w:r>
    </w:p>
    <w:p>
      <w:pPr>
        <w:pStyle w:val="BodyText"/>
        <w:rPr>
          <w:sz w:val="20"/>
        </w:rPr>
      </w:pPr>
    </w:p>
    <w:p>
      <w:pPr>
        <w:pStyle w:val="BodyText"/>
        <w:spacing w:before="3"/>
        <w:rPr>
          <w:sz w:val="11"/>
        </w:rPr>
      </w:pPr>
      <w:r>
        <w:rPr/>
        <w:pict>
          <v:group style="position:absolute;margin-left:745.877991pt;margin-top:8.459144pt;width:39.450pt;height:39.450pt;mso-position-horizontal-relative:page;mso-position-vertical-relative:paragraph;z-index:26912;mso-wrap-distance-left:0;mso-wrap-distance-right:0" coordorigin="14918,169" coordsize="789,789">
            <v:line style="position:absolute" from="15380,174" to="15702,496" stroked="true" strokeweight=".25pt" strokecolor="#bbbcbb">
              <v:stroke dashstyle="solid"/>
            </v:line>
            <v:line style="position:absolute" from="15267,172" to="15704,608" stroked="true" strokeweight=".25pt" strokecolor="#bbbcbb">
              <v:stroke dashstyle="solid"/>
            </v:line>
            <v:line style="position:absolute" from="15177,192" to="15684,698" stroked="true" strokeweight=".25pt" strokecolor="#bbbcbb">
              <v:stroke dashstyle="solid"/>
            </v:line>
            <v:line style="position:absolute" from="15103,228" to="15647,772" stroked="true" strokeweight=".25pt" strokecolor="#bbbcbb">
              <v:stroke dashstyle="solid"/>
            </v:line>
            <v:line style="position:absolute" from="15041,277" to="15598,834" stroked="true" strokeweight=".25pt" strokecolor="#bbbcbb">
              <v:stroke dashstyle="solid"/>
            </v:line>
            <v:line style="position:absolute" from="14990,336" to="15539,885" stroked="true" strokeweight=".25pt" strokecolor="#bbbcbb">
              <v:stroke dashstyle="solid"/>
            </v:line>
            <v:line style="position:absolute" from="14950,407" to="15469,925" stroked="true" strokeweight=".25pt" strokecolor="#bbbcbb">
              <v:stroke dashstyle="solid"/>
            </v:line>
            <v:line style="position:absolute" from="14924,490" to="15385,951" stroked="true" strokeweight=".25pt" strokecolor="#bbbcbb">
              <v:stroke dashstyle="solid"/>
            </v:line>
            <v:line style="position:absolute" from="14920,597" to="15278,955" stroked="true" strokeweight=".25pt" strokecolor="#bbbcbb">
              <v:stroke dashstyle="solid"/>
            </v:line>
            <v:line style="position:absolute" from="14967,754" to="15121,908" stroked="true" strokeweight=".25pt" strokecolor="#bbbcbb">
              <v:stroke dashstyle="solid"/>
            </v:line>
            <w10:wrap type="topAndBottom"/>
          </v:group>
        </w:pict>
      </w:r>
    </w:p>
    <w:p>
      <w:pPr>
        <w:spacing w:after="0"/>
        <w:rPr>
          <w:sz w:val="11"/>
        </w:rPr>
        <w:sectPr>
          <w:type w:val="continuous"/>
          <w:pgSz w:w="16840" w:h="11910" w:orient="landscape"/>
          <w:pgMar w:top="1100" w:bottom="280" w:left="0" w:right="0"/>
          <w:cols w:num="3" w:equalWidth="0">
            <w:col w:w="5585" w:space="40"/>
            <w:col w:w="5202" w:space="39"/>
            <w:col w:w="5974"/>
          </w:cols>
        </w:sectPr>
      </w:pPr>
    </w:p>
    <w:p>
      <w:pPr>
        <w:tabs>
          <w:tab w:pos="4810" w:val="left" w:leader="none"/>
          <w:tab w:pos="9621"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02" w:right="0" w:firstLine="0"/>
                    <w:jc w:val="left"/>
                    <w:rPr>
                      <w:sz w:val="20"/>
                    </w:rPr>
                  </w:pPr>
                  <w:hyperlink w:history="true" w:anchor="_bookmark52">
                    <w:r>
                      <w:rPr>
                        <w:sz w:val="20"/>
                      </w:rPr>
                      <w:t>APPENDIX</w:t>
                    </w:r>
                  </w:hyperlink>
                </w:p>
              </w:txbxContent>
            </v:textbox>
          </v:shape>
        </w:pict>
      </w:r>
      <w:r>
        <w:rPr>
          <w:sz w:val="20"/>
        </w:rPr>
      </w:r>
    </w:p>
    <w:p>
      <w:pPr>
        <w:pStyle w:val="BodyText"/>
        <w:rPr>
          <w:sz w:val="20"/>
        </w:rPr>
      </w:pPr>
    </w:p>
    <w:p>
      <w:pPr>
        <w:pStyle w:val="BodyText"/>
        <w:spacing w:before="5"/>
        <w:rPr>
          <w:sz w:val="26"/>
        </w:rPr>
      </w:pPr>
    </w:p>
    <w:p>
      <w:pPr>
        <w:spacing w:after="0"/>
        <w:rPr>
          <w:sz w:val="26"/>
        </w:rPr>
        <w:sectPr>
          <w:footerReference w:type="default" r:id="rId221"/>
          <w:pgSz w:w="16840" w:h="11910" w:orient="landscape"/>
          <w:pgMar w:footer="0" w:header="0" w:top="0" w:bottom="0" w:left="0" w:right="0"/>
        </w:sectPr>
      </w:pPr>
    </w:p>
    <w:p>
      <w:pPr>
        <w:pStyle w:val="Heading4"/>
        <w:spacing w:line="249" w:lineRule="auto" w:before="110"/>
      </w:pPr>
      <w:r>
        <w:rPr/>
        <w:pict>
          <v:shape style="position:absolute;margin-left:601.348999pt;margin-top:-70.506226pt;width:120.3pt;height:42.55pt;mso-position-horizontal-relative:page;mso-position-vertical-relative:paragraph;z-index:29248"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360.811798pt;margin-top:-70.506226pt;width:120.3pt;height:42.55pt;mso-position-horizontal-relative:page;mso-position-vertical-relative:paragraph;z-index:29272"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120.271004pt;margin-top:-70.506226pt;width:120.3pt;height:42.55pt;mso-position-horizontal-relative:page;mso-position-vertical-relative:paragraph;z-index:29296"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Digital Services and </w:t>
      </w:r>
      <w:r>
        <w:rPr>
          <w:color w:val="6F2770"/>
          <w:w w:val="95"/>
        </w:rPr>
        <w:t>Information</w:t>
      </w:r>
      <w:r>
        <w:rPr>
          <w:color w:val="6F2770"/>
          <w:spacing w:val="54"/>
          <w:w w:val="95"/>
        </w:rPr>
        <w:t> </w:t>
      </w:r>
      <w:r>
        <w:rPr>
          <w:color w:val="6F2770"/>
          <w:w w:val="95"/>
        </w:rPr>
        <w:t>Committee</w:t>
      </w:r>
    </w:p>
    <w:p>
      <w:pPr>
        <w:pStyle w:val="BodyText"/>
        <w:spacing w:line="249" w:lineRule="auto" w:before="231"/>
        <w:ind w:left="765" w:right="528"/>
      </w:pPr>
      <w:r>
        <w:rPr/>
        <w:t>In</w:t>
      </w:r>
      <w:r>
        <w:rPr>
          <w:spacing w:val="-21"/>
        </w:rPr>
        <w:t> </w:t>
      </w:r>
      <w:r>
        <w:rPr/>
        <w:t>2017,</w:t>
      </w:r>
      <w:r>
        <w:rPr>
          <w:spacing w:val="-20"/>
        </w:rPr>
        <w:t> </w:t>
      </w:r>
      <w:r>
        <w:rPr/>
        <w:t>the</w:t>
      </w:r>
      <w:r>
        <w:rPr>
          <w:spacing w:val="-20"/>
        </w:rPr>
        <w:t> </w:t>
      </w:r>
      <w:r>
        <w:rPr/>
        <w:t>Digital</w:t>
      </w:r>
      <w:r>
        <w:rPr>
          <w:spacing w:val="-20"/>
        </w:rPr>
        <w:t> </w:t>
      </w:r>
      <w:r>
        <w:rPr/>
        <w:t>Services</w:t>
      </w:r>
      <w:r>
        <w:rPr>
          <w:spacing w:val="-20"/>
        </w:rPr>
        <w:t> </w:t>
      </w:r>
      <w:r>
        <w:rPr/>
        <w:t>and</w:t>
      </w:r>
      <w:r>
        <w:rPr>
          <w:spacing w:val="-20"/>
        </w:rPr>
        <w:t> </w:t>
      </w:r>
      <w:r>
        <w:rPr/>
        <w:t>Information Committee</w:t>
      </w:r>
      <w:r>
        <w:rPr>
          <w:spacing w:val="-31"/>
        </w:rPr>
        <w:t> </w:t>
      </w:r>
      <w:r>
        <w:rPr/>
        <w:t>(DSIC)</w:t>
      </w:r>
      <w:r>
        <w:rPr>
          <w:spacing w:val="-30"/>
        </w:rPr>
        <w:t> </w:t>
      </w:r>
      <w:r>
        <w:rPr/>
        <w:t>was</w:t>
      </w:r>
      <w:r>
        <w:rPr>
          <w:spacing w:val="-30"/>
        </w:rPr>
        <w:t> </w:t>
      </w:r>
      <w:r>
        <w:rPr/>
        <w:t>established</w:t>
      </w:r>
      <w:r>
        <w:rPr>
          <w:spacing w:val="-30"/>
        </w:rPr>
        <w:t> </w:t>
      </w:r>
      <w:r>
        <w:rPr/>
        <w:t>to</w:t>
      </w:r>
      <w:r>
        <w:rPr>
          <w:spacing w:val="-30"/>
        </w:rPr>
        <w:t> </w:t>
      </w:r>
      <w:r>
        <w:rPr>
          <w:spacing w:val="-4"/>
        </w:rPr>
        <w:t>replace </w:t>
      </w:r>
      <w:r>
        <w:rPr/>
        <w:t>the</w:t>
      </w:r>
      <w:r>
        <w:rPr>
          <w:spacing w:val="-18"/>
        </w:rPr>
        <w:t> </w:t>
      </w:r>
      <w:r>
        <w:rPr/>
        <w:t>existing</w:t>
      </w:r>
      <w:r>
        <w:rPr>
          <w:spacing w:val="-17"/>
        </w:rPr>
        <w:t> </w:t>
      </w:r>
      <w:r>
        <w:rPr/>
        <w:t>technology</w:t>
      </w:r>
      <w:r>
        <w:rPr>
          <w:spacing w:val="-18"/>
        </w:rPr>
        <w:t> </w:t>
      </w:r>
      <w:r>
        <w:rPr/>
        <w:t>governance</w:t>
      </w:r>
      <w:r>
        <w:rPr>
          <w:spacing w:val="-17"/>
        </w:rPr>
        <w:t> </w:t>
      </w:r>
      <w:r>
        <w:rPr/>
        <w:t>regime</w:t>
      </w:r>
    </w:p>
    <w:p>
      <w:pPr>
        <w:pStyle w:val="BodyText"/>
        <w:spacing w:line="249" w:lineRule="auto" w:before="2"/>
        <w:ind w:left="765" w:right="48"/>
      </w:pPr>
      <w:r>
        <w:rPr/>
        <w:t>following</w:t>
      </w:r>
      <w:r>
        <w:rPr>
          <w:spacing w:val="-28"/>
        </w:rPr>
        <w:t> </w:t>
      </w:r>
      <w:r>
        <w:rPr/>
        <w:t>a</w:t>
      </w:r>
      <w:r>
        <w:rPr>
          <w:spacing w:val="-28"/>
        </w:rPr>
        <w:t> </w:t>
      </w:r>
      <w:r>
        <w:rPr/>
        <w:t>department-wide</w:t>
      </w:r>
      <w:r>
        <w:rPr>
          <w:spacing w:val="-28"/>
        </w:rPr>
        <w:t> </w:t>
      </w:r>
      <w:r>
        <w:rPr/>
        <w:t>review</w:t>
      </w:r>
      <w:r>
        <w:rPr>
          <w:spacing w:val="-28"/>
        </w:rPr>
        <w:t> </w:t>
      </w:r>
      <w:r>
        <w:rPr/>
        <w:t>of</w:t>
      </w:r>
      <w:r>
        <w:rPr>
          <w:spacing w:val="-28"/>
        </w:rPr>
        <w:t> </w:t>
      </w:r>
      <w:r>
        <w:rPr/>
        <w:t>governance arrangements.</w:t>
      </w:r>
    </w:p>
    <w:p>
      <w:pPr>
        <w:pStyle w:val="BodyText"/>
        <w:spacing w:before="1"/>
        <w:rPr>
          <w:sz w:val="23"/>
        </w:rPr>
      </w:pPr>
    </w:p>
    <w:p>
      <w:pPr>
        <w:pStyle w:val="BodyText"/>
        <w:spacing w:line="249" w:lineRule="auto" w:before="1"/>
        <w:ind w:left="765" w:right="-7"/>
      </w:pPr>
      <w:r>
        <w:rPr/>
        <w:t>The</w:t>
      </w:r>
      <w:r>
        <w:rPr>
          <w:spacing w:val="-25"/>
        </w:rPr>
        <w:t> </w:t>
      </w:r>
      <w:r>
        <w:rPr/>
        <w:t>new</w:t>
      </w:r>
      <w:r>
        <w:rPr>
          <w:spacing w:val="-25"/>
        </w:rPr>
        <w:t> </w:t>
      </w:r>
      <w:r>
        <w:rPr/>
        <w:t>committee</w:t>
      </w:r>
      <w:r>
        <w:rPr>
          <w:spacing w:val="-25"/>
        </w:rPr>
        <w:t> </w:t>
      </w:r>
      <w:r>
        <w:rPr/>
        <w:t>comprises</w:t>
      </w:r>
      <w:r>
        <w:rPr>
          <w:spacing w:val="-24"/>
        </w:rPr>
        <w:t> </w:t>
      </w:r>
      <w:r>
        <w:rPr/>
        <w:t>executive</w:t>
      </w:r>
      <w:r>
        <w:rPr>
          <w:spacing w:val="-25"/>
        </w:rPr>
        <w:t> </w:t>
      </w:r>
      <w:r>
        <w:rPr>
          <w:spacing w:val="-3"/>
        </w:rPr>
        <w:t>members </w:t>
      </w:r>
      <w:r>
        <w:rPr/>
        <w:t>from</w:t>
      </w:r>
      <w:r>
        <w:rPr>
          <w:spacing w:val="-23"/>
        </w:rPr>
        <w:t> </w:t>
      </w:r>
      <w:r>
        <w:rPr/>
        <w:t>all</w:t>
      </w:r>
      <w:r>
        <w:rPr>
          <w:spacing w:val="-23"/>
        </w:rPr>
        <w:t> </w:t>
      </w:r>
      <w:r>
        <w:rPr/>
        <w:t>business</w:t>
      </w:r>
      <w:r>
        <w:rPr>
          <w:spacing w:val="-22"/>
        </w:rPr>
        <w:t> </w:t>
      </w:r>
      <w:r>
        <w:rPr/>
        <w:t>units,</w:t>
      </w:r>
      <w:r>
        <w:rPr>
          <w:spacing w:val="-23"/>
        </w:rPr>
        <w:t> </w:t>
      </w:r>
      <w:r>
        <w:rPr/>
        <w:t>relevant</w:t>
      </w:r>
      <w:r>
        <w:rPr>
          <w:spacing w:val="-22"/>
        </w:rPr>
        <w:t> </w:t>
      </w:r>
      <w:r>
        <w:rPr/>
        <w:t>technical</w:t>
      </w:r>
      <w:r>
        <w:rPr>
          <w:spacing w:val="-23"/>
        </w:rPr>
        <w:t> </w:t>
      </w:r>
      <w:r>
        <w:rPr/>
        <w:t>staff</w:t>
      </w:r>
      <w:r>
        <w:rPr>
          <w:spacing w:val="-22"/>
        </w:rPr>
        <w:t> </w:t>
      </w:r>
      <w:r>
        <w:rPr/>
        <w:t>and a</w:t>
      </w:r>
      <w:r>
        <w:rPr>
          <w:spacing w:val="-21"/>
        </w:rPr>
        <w:t> </w:t>
      </w:r>
      <w:r>
        <w:rPr/>
        <w:t>representative</w:t>
      </w:r>
      <w:r>
        <w:rPr>
          <w:spacing w:val="-20"/>
        </w:rPr>
        <w:t> </w:t>
      </w:r>
      <w:r>
        <w:rPr/>
        <w:t>from</w:t>
      </w:r>
      <w:r>
        <w:rPr>
          <w:spacing w:val="-21"/>
        </w:rPr>
        <w:t> </w:t>
      </w:r>
      <w:r>
        <w:rPr/>
        <w:t>the</w:t>
      </w:r>
      <w:r>
        <w:rPr>
          <w:spacing w:val="-20"/>
        </w:rPr>
        <w:t> </w:t>
      </w:r>
      <w:r>
        <w:rPr/>
        <w:t>Department</w:t>
      </w:r>
      <w:r>
        <w:rPr>
          <w:spacing w:val="-21"/>
        </w:rPr>
        <w:t> </w:t>
      </w:r>
      <w:r>
        <w:rPr/>
        <w:t>of</w:t>
      </w:r>
      <w:r>
        <w:rPr>
          <w:spacing w:val="-20"/>
        </w:rPr>
        <w:t> </w:t>
      </w:r>
      <w:r>
        <w:rPr>
          <w:spacing w:val="-6"/>
        </w:rPr>
        <w:t>Treasury. </w:t>
      </w:r>
      <w:r>
        <w:rPr/>
        <w:t>The committee is focused on how Finance can better</w:t>
      </w:r>
      <w:r>
        <w:rPr>
          <w:spacing w:val="-12"/>
        </w:rPr>
        <w:t> </w:t>
      </w:r>
      <w:r>
        <w:rPr/>
        <w:t>deliver</w:t>
      </w:r>
      <w:r>
        <w:rPr>
          <w:spacing w:val="-11"/>
        </w:rPr>
        <w:t> </w:t>
      </w:r>
      <w:r>
        <w:rPr/>
        <w:t>services</w:t>
      </w:r>
      <w:r>
        <w:rPr>
          <w:spacing w:val="-12"/>
        </w:rPr>
        <w:t> </w:t>
      </w:r>
      <w:r>
        <w:rPr/>
        <w:t>and</w:t>
      </w:r>
      <w:r>
        <w:rPr>
          <w:spacing w:val="-11"/>
        </w:rPr>
        <w:t> </w:t>
      </w:r>
      <w:r>
        <w:rPr/>
        <w:t>improve</w:t>
      </w:r>
      <w:r>
        <w:rPr>
          <w:spacing w:val="-12"/>
        </w:rPr>
        <w:t> </w:t>
      </w:r>
      <w:r>
        <w:rPr/>
        <w:t>the</w:t>
      </w:r>
      <w:r>
        <w:rPr>
          <w:spacing w:val="-11"/>
        </w:rPr>
        <w:t> </w:t>
      </w:r>
      <w:r>
        <w:rPr/>
        <w:t>quality</w:t>
      </w:r>
    </w:p>
    <w:p>
      <w:pPr>
        <w:pStyle w:val="BodyText"/>
        <w:spacing w:line="249" w:lineRule="auto" w:before="4"/>
        <w:ind w:left="765" w:right="382"/>
      </w:pPr>
      <w:r>
        <w:rPr/>
        <w:t>of</w:t>
      </w:r>
      <w:r>
        <w:rPr>
          <w:spacing w:val="-17"/>
        </w:rPr>
        <w:t> </w:t>
      </w:r>
      <w:r>
        <w:rPr/>
        <w:t>advice</w:t>
      </w:r>
      <w:r>
        <w:rPr>
          <w:spacing w:val="-16"/>
        </w:rPr>
        <w:t> </w:t>
      </w:r>
      <w:r>
        <w:rPr/>
        <w:t>through</w:t>
      </w:r>
      <w:r>
        <w:rPr>
          <w:spacing w:val="-16"/>
        </w:rPr>
        <w:t> </w:t>
      </w:r>
      <w:r>
        <w:rPr/>
        <w:t>better</w:t>
      </w:r>
      <w:r>
        <w:rPr>
          <w:spacing w:val="-16"/>
        </w:rPr>
        <w:t> </w:t>
      </w:r>
      <w:r>
        <w:rPr/>
        <w:t>use</w:t>
      </w:r>
      <w:r>
        <w:rPr>
          <w:spacing w:val="-17"/>
        </w:rPr>
        <w:t> </w:t>
      </w:r>
      <w:r>
        <w:rPr/>
        <w:t>of</w:t>
      </w:r>
      <w:r>
        <w:rPr>
          <w:spacing w:val="-16"/>
        </w:rPr>
        <w:t> </w:t>
      </w:r>
      <w:r>
        <w:rPr/>
        <w:t>information</w:t>
      </w:r>
      <w:r>
        <w:rPr>
          <w:spacing w:val="-16"/>
        </w:rPr>
        <w:t> </w:t>
      </w:r>
      <w:r>
        <w:rPr>
          <w:spacing w:val="-6"/>
        </w:rPr>
        <w:t>and </w:t>
      </w:r>
      <w:r>
        <w:rPr/>
        <w:t>enabling technologies. These objectives are approached in a manner consistent with the </w:t>
      </w:r>
      <w:r>
        <w:rPr>
          <w:spacing w:val="-4"/>
        </w:rPr>
        <w:t>State’s </w:t>
      </w:r>
      <w:r>
        <w:rPr/>
        <w:t>Digital WA</w:t>
      </w:r>
      <w:r>
        <w:rPr>
          <w:spacing w:val="-4"/>
        </w:rPr>
        <w:t> </w:t>
      </w:r>
      <w:r>
        <w:rPr>
          <w:spacing w:val="-3"/>
        </w:rPr>
        <w:t>strategy.</w:t>
      </w:r>
    </w:p>
    <w:p>
      <w:pPr>
        <w:pStyle w:val="BodyText"/>
        <w:spacing w:before="3"/>
        <w:rPr>
          <w:sz w:val="23"/>
        </w:rPr>
      </w:pPr>
    </w:p>
    <w:p>
      <w:pPr>
        <w:pStyle w:val="BodyText"/>
        <w:spacing w:line="249" w:lineRule="auto"/>
        <w:ind w:left="765" w:right="154"/>
      </w:pPr>
      <w:r>
        <w:rPr/>
        <w:t>DSIC is supported by the </w:t>
      </w:r>
      <w:r>
        <w:rPr>
          <w:spacing w:val="-4"/>
        </w:rPr>
        <w:t>Tactical </w:t>
      </w:r>
      <w:r>
        <w:rPr/>
        <w:t>Information Management</w:t>
      </w:r>
      <w:r>
        <w:rPr>
          <w:spacing w:val="-37"/>
        </w:rPr>
        <w:t> </w:t>
      </w:r>
      <w:r>
        <w:rPr/>
        <w:t>and</w:t>
      </w:r>
      <w:r>
        <w:rPr>
          <w:spacing w:val="-37"/>
        </w:rPr>
        <w:t> </w:t>
      </w:r>
      <w:r>
        <w:rPr>
          <w:spacing w:val="-4"/>
        </w:rPr>
        <w:t>Tactical</w:t>
      </w:r>
      <w:r>
        <w:rPr>
          <w:spacing w:val="-37"/>
        </w:rPr>
        <w:t> </w:t>
      </w:r>
      <w:r>
        <w:rPr>
          <w:spacing w:val="-3"/>
        </w:rPr>
        <w:t>Technology</w:t>
      </w:r>
      <w:r>
        <w:rPr>
          <w:spacing w:val="-37"/>
        </w:rPr>
        <w:t> </w:t>
      </w:r>
      <w:r>
        <w:rPr/>
        <w:t>Operations sub-committees.</w:t>
      </w:r>
      <w:r>
        <w:rPr>
          <w:spacing w:val="-21"/>
        </w:rPr>
        <w:t> </w:t>
      </w:r>
      <w:r>
        <w:rPr/>
        <w:t>These</w:t>
      </w:r>
      <w:r>
        <w:rPr>
          <w:spacing w:val="-22"/>
        </w:rPr>
        <w:t> </w:t>
      </w:r>
      <w:r>
        <w:rPr/>
        <w:t>sub-committees</w:t>
      </w:r>
      <w:r>
        <w:rPr>
          <w:spacing w:val="-21"/>
        </w:rPr>
        <w:t> </w:t>
      </w:r>
      <w:r>
        <w:rPr/>
        <w:t>provide advice</w:t>
      </w:r>
      <w:r>
        <w:rPr>
          <w:spacing w:val="-16"/>
        </w:rPr>
        <w:t> </w:t>
      </w:r>
      <w:r>
        <w:rPr/>
        <w:t>to</w:t>
      </w:r>
      <w:r>
        <w:rPr>
          <w:spacing w:val="-15"/>
        </w:rPr>
        <w:t> </w:t>
      </w:r>
      <w:r>
        <w:rPr/>
        <w:t>inform</w:t>
      </w:r>
      <w:r>
        <w:rPr>
          <w:spacing w:val="-15"/>
        </w:rPr>
        <w:t> </w:t>
      </w:r>
      <w:r>
        <w:rPr/>
        <w:t>decision-making</w:t>
      </w:r>
      <w:r>
        <w:rPr>
          <w:spacing w:val="-15"/>
        </w:rPr>
        <w:t> </w:t>
      </w:r>
      <w:r>
        <w:rPr/>
        <w:t>on</w:t>
      </w:r>
      <w:r>
        <w:rPr>
          <w:spacing w:val="-16"/>
        </w:rPr>
        <w:t> </w:t>
      </w:r>
      <w:r>
        <w:rPr/>
        <w:t>the</w:t>
      </w:r>
      <w:r>
        <w:rPr>
          <w:spacing w:val="-15"/>
        </w:rPr>
        <w:t> </w:t>
      </w:r>
      <w:r>
        <w:rPr/>
        <w:t>best</w:t>
      </w:r>
      <w:r>
        <w:rPr>
          <w:spacing w:val="-15"/>
        </w:rPr>
        <w:t> </w:t>
      </w:r>
      <w:r>
        <w:rPr>
          <w:spacing w:val="-4"/>
        </w:rPr>
        <w:t>use </w:t>
      </w:r>
      <w:r>
        <w:rPr/>
        <w:t>of</w:t>
      </w:r>
      <w:r>
        <w:rPr>
          <w:spacing w:val="-19"/>
        </w:rPr>
        <w:t> </w:t>
      </w:r>
      <w:r>
        <w:rPr/>
        <w:t>information</w:t>
      </w:r>
      <w:r>
        <w:rPr>
          <w:spacing w:val="-20"/>
        </w:rPr>
        <w:t> </w:t>
      </w:r>
      <w:r>
        <w:rPr/>
        <w:t>and</w:t>
      </w:r>
      <w:r>
        <w:rPr>
          <w:spacing w:val="-19"/>
        </w:rPr>
        <w:t> </w:t>
      </w:r>
      <w:r>
        <w:rPr/>
        <w:t>technology</w:t>
      </w:r>
      <w:r>
        <w:rPr>
          <w:spacing w:val="-19"/>
        </w:rPr>
        <w:t> </w:t>
      </w:r>
      <w:r>
        <w:rPr/>
        <w:t>in</w:t>
      </w:r>
      <w:r>
        <w:rPr>
          <w:spacing w:val="-19"/>
        </w:rPr>
        <w:t> </w:t>
      </w:r>
      <w:r>
        <w:rPr/>
        <w:t>the</w:t>
      </w:r>
      <w:r>
        <w:rPr>
          <w:spacing w:val="-19"/>
        </w:rPr>
        <w:t> </w:t>
      </w:r>
      <w:r>
        <w:rPr/>
        <w:t>Department.</w:t>
      </w:r>
    </w:p>
    <w:p>
      <w:pPr>
        <w:pStyle w:val="BodyText"/>
        <w:spacing w:before="142"/>
        <w:ind w:left="385"/>
      </w:pPr>
      <w:r>
        <w:rPr/>
        <w:br w:type="column"/>
      </w:r>
      <w:r>
        <w:rPr/>
        <w:t>Committee achievements this year included:</w:t>
      </w:r>
    </w:p>
    <w:p>
      <w:pPr>
        <w:pStyle w:val="BodyText"/>
        <w:spacing w:before="10"/>
        <w:rPr>
          <w:sz w:val="23"/>
        </w:rPr>
      </w:pPr>
    </w:p>
    <w:p>
      <w:pPr>
        <w:pStyle w:val="BodyText"/>
        <w:spacing w:line="249" w:lineRule="auto"/>
        <w:ind w:left="689" w:right="-7" w:hanging="305"/>
      </w:pPr>
      <w:r>
        <w:rPr>
          <w:position w:val="-1"/>
        </w:rPr>
        <w:drawing>
          <wp:inline distT="0" distB="0" distL="0" distR="0">
            <wp:extent cx="125997" cy="125999"/>
            <wp:effectExtent l="0" t="0" r="0" b="0"/>
            <wp:docPr id="107" name="image106.png" descr=""/>
            <wp:cNvGraphicFramePr>
              <a:graphicFrameLocks noChangeAspect="1"/>
            </wp:cNvGraphicFramePr>
            <a:graphic>
              <a:graphicData uri="http://schemas.openxmlformats.org/drawingml/2006/picture">
                <pic:pic>
                  <pic:nvPicPr>
                    <pic:cNvPr id="108" name="image106.png"/>
                    <pic:cNvPicPr/>
                  </pic:nvPicPr>
                  <pic:blipFill>
                    <a:blip r:embed="rId222" cstate="print"/>
                    <a:stretch>
                      <a:fillRect/>
                    </a:stretch>
                  </pic:blipFill>
                  <pic:spPr>
                    <a:xfrm>
                      <a:off x="0" y="0"/>
                      <a:ext cx="125997" cy="125999"/>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7"/>
          <w:sz w:val="20"/>
        </w:rPr>
        <w:t> </w:t>
      </w:r>
      <w:r>
        <w:rPr/>
        <w:t>development of the Department of </w:t>
      </w:r>
      <w:r>
        <w:rPr>
          <w:spacing w:val="-3"/>
        </w:rPr>
        <w:t>Finance’s </w:t>
      </w:r>
      <w:r>
        <w:rPr/>
        <w:t>Digital Strategy 2018-2022 that articulates the </w:t>
      </w:r>
      <w:r>
        <w:rPr>
          <w:spacing w:val="-3"/>
        </w:rPr>
        <w:t>Department’s</w:t>
      </w:r>
      <w:r>
        <w:rPr>
          <w:spacing w:val="-23"/>
        </w:rPr>
        <w:t> </w:t>
      </w:r>
      <w:r>
        <w:rPr/>
        <w:t>digital</w:t>
      </w:r>
      <w:r>
        <w:rPr>
          <w:spacing w:val="-22"/>
        </w:rPr>
        <w:t> </w:t>
      </w:r>
      <w:r>
        <w:rPr/>
        <w:t>vision,</w:t>
      </w:r>
      <w:r>
        <w:rPr>
          <w:spacing w:val="-23"/>
        </w:rPr>
        <w:t> </w:t>
      </w:r>
      <w:r>
        <w:rPr/>
        <w:t>customer</w:t>
      </w:r>
      <w:r>
        <w:rPr>
          <w:spacing w:val="-22"/>
        </w:rPr>
        <w:t> </w:t>
      </w:r>
      <w:r>
        <w:rPr/>
        <w:t>statement of</w:t>
      </w:r>
      <w:r>
        <w:rPr>
          <w:spacing w:val="-23"/>
        </w:rPr>
        <w:t> </w:t>
      </w:r>
      <w:r>
        <w:rPr/>
        <w:t>intent,</w:t>
      </w:r>
      <w:r>
        <w:rPr>
          <w:spacing w:val="-22"/>
        </w:rPr>
        <w:t> </w:t>
      </w:r>
      <w:r>
        <w:rPr/>
        <w:t>digital</w:t>
      </w:r>
      <w:r>
        <w:rPr>
          <w:spacing w:val="-22"/>
        </w:rPr>
        <w:t> </w:t>
      </w:r>
      <w:r>
        <w:rPr/>
        <w:t>goals</w:t>
      </w:r>
      <w:r>
        <w:rPr>
          <w:spacing w:val="-23"/>
        </w:rPr>
        <w:t> </w:t>
      </w:r>
      <w:r>
        <w:rPr/>
        <w:t>and</w:t>
      </w:r>
      <w:r>
        <w:rPr>
          <w:spacing w:val="-22"/>
        </w:rPr>
        <w:t> </w:t>
      </w:r>
      <w:r>
        <w:rPr/>
        <w:t>supporting</w:t>
      </w:r>
      <w:r>
        <w:rPr>
          <w:spacing w:val="-22"/>
        </w:rPr>
        <w:t> </w:t>
      </w:r>
      <w:r>
        <w:rPr/>
        <w:t>principles;</w:t>
      </w:r>
    </w:p>
    <w:p>
      <w:pPr>
        <w:pStyle w:val="BodyText"/>
        <w:spacing w:line="249" w:lineRule="auto" w:before="4"/>
        <w:ind w:left="690" w:right="570" w:hanging="306"/>
      </w:pPr>
      <w:r>
        <w:rPr>
          <w:position w:val="-1"/>
        </w:rPr>
        <w:drawing>
          <wp:inline distT="0" distB="0" distL="0" distR="0">
            <wp:extent cx="125997" cy="125999"/>
            <wp:effectExtent l="0" t="0" r="0" b="0"/>
            <wp:docPr id="109" name="image105.png" descr=""/>
            <wp:cNvGraphicFramePr>
              <a:graphicFrameLocks noChangeAspect="1"/>
            </wp:cNvGraphicFramePr>
            <a:graphic>
              <a:graphicData uri="http://schemas.openxmlformats.org/drawingml/2006/picture">
                <pic:pic>
                  <pic:nvPicPr>
                    <pic:cNvPr id="110" name="image105.png"/>
                    <pic:cNvPicPr/>
                  </pic:nvPicPr>
                  <pic:blipFill>
                    <a:blip r:embed="rId216" cstate="print"/>
                    <a:stretch>
                      <a:fillRect/>
                    </a:stretch>
                  </pic:blipFill>
                  <pic:spPr>
                    <a:xfrm>
                      <a:off x="0" y="0"/>
                      <a:ext cx="125997" cy="125999"/>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7"/>
          <w:sz w:val="20"/>
        </w:rPr>
        <w:t> </w:t>
      </w:r>
      <w:r>
        <w:rPr/>
        <w:t>agreement of aspirational targets to transition</w:t>
      </w:r>
      <w:r>
        <w:rPr>
          <w:spacing w:val="-17"/>
        </w:rPr>
        <w:t> </w:t>
      </w:r>
      <w:r>
        <w:rPr/>
        <w:t>the</w:t>
      </w:r>
      <w:r>
        <w:rPr>
          <w:spacing w:val="-17"/>
        </w:rPr>
        <w:t> </w:t>
      </w:r>
      <w:r>
        <w:rPr/>
        <w:t>majority</w:t>
      </w:r>
      <w:r>
        <w:rPr>
          <w:spacing w:val="-17"/>
        </w:rPr>
        <w:t> </w:t>
      </w:r>
      <w:r>
        <w:rPr/>
        <w:t>of</w:t>
      </w:r>
      <w:r>
        <w:rPr>
          <w:spacing w:val="-17"/>
        </w:rPr>
        <w:t> </w:t>
      </w:r>
      <w:r>
        <w:rPr/>
        <w:t>the</w:t>
      </w:r>
      <w:r>
        <w:rPr>
          <w:spacing w:val="-16"/>
        </w:rPr>
        <w:t> </w:t>
      </w:r>
      <w:r>
        <w:rPr>
          <w:spacing w:val="-5"/>
        </w:rPr>
        <w:t>Department’s </w:t>
      </w:r>
      <w:r>
        <w:rPr/>
        <w:t>customer-facing</w:t>
      </w:r>
      <w:r>
        <w:rPr>
          <w:spacing w:val="-23"/>
        </w:rPr>
        <w:t> </w:t>
      </w:r>
      <w:r>
        <w:rPr/>
        <w:t>services</w:t>
      </w:r>
      <w:r>
        <w:rPr>
          <w:spacing w:val="-22"/>
        </w:rPr>
        <w:t> </w:t>
      </w:r>
      <w:r>
        <w:rPr/>
        <w:t>online</w:t>
      </w:r>
      <w:r>
        <w:rPr>
          <w:spacing w:val="-22"/>
        </w:rPr>
        <w:t> </w:t>
      </w:r>
      <w:r>
        <w:rPr/>
        <w:t>by</w:t>
      </w:r>
      <w:r>
        <w:rPr>
          <w:spacing w:val="-23"/>
        </w:rPr>
        <w:t> </w:t>
      </w:r>
      <w:r>
        <w:rPr/>
        <w:t>2022;</w:t>
      </w:r>
    </w:p>
    <w:p>
      <w:pPr>
        <w:pStyle w:val="BodyText"/>
        <w:spacing w:line="249" w:lineRule="auto" w:before="3"/>
        <w:ind w:left="690" w:right="105" w:hanging="306"/>
      </w:pPr>
      <w:r>
        <w:rPr>
          <w:position w:val="-1"/>
        </w:rPr>
        <w:drawing>
          <wp:inline distT="0" distB="0" distL="0" distR="0">
            <wp:extent cx="125997" cy="125997"/>
            <wp:effectExtent l="0" t="0" r="0" b="0"/>
            <wp:docPr id="111" name="image107.png" descr=""/>
            <wp:cNvGraphicFramePr>
              <a:graphicFrameLocks noChangeAspect="1"/>
            </wp:cNvGraphicFramePr>
            <a:graphic>
              <a:graphicData uri="http://schemas.openxmlformats.org/drawingml/2006/picture">
                <pic:pic>
                  <pic:nvPicPr>
                    <pic:cNvPr id="112" name="image107.png"/>
                    <pic:cNvPicPr/>
                  </pic:nvPicPr>
                  <pic:blipFill>
                    <a:blip r:embed="rId223" cstate="print"/>
                    <a:stretch>
                      <a:fillRect/>
                    </a:stretch>
                  </pic:blipFill>
                  <pic:spPr>
                    <a:xfrm>
                      <a:off x="0" y="0"/>
                      <a:ext cx="125997"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endorsing</w:t>
      </w:r>
      <w:r>
        <w:rPr>
          <w:spacing w:val="-39"/>
        </w:rPr>
        <w:t> </w:t>
      </w:r>
      <w:r>
        <w:rPr/>
        <w:t>Information</w:t>
      </w:r>
      <w:r>
        <w:rPr>
          <w:spacing w:val="-38"/>
        </w:rPr>
        <w:t> </w:t>
      </w:r>
      <w:r>
        <w:rPr/>
        <w:t>Classification</w:t>
      </w:r>
      <w:r>
        <w:rPr>
          <w:spacing w:val="-39"/>
        </w:rPr>
        <w:t> </w:t>
      </w:r>
      <w:r>
        <w:rPr/>
        <w:t>Policy</w:t>
      </w:r>
      <w:r>
        <w:rPr>
          <w:spacing w:val="-38"/>
        </w:rPr>
        <w:t> </w:t>
      </w:r>
      <w:r>
        <w:rPr>
          <w:spacing w:val="-6"/>
        </w:rPr>
        <w:t>and </w:t>
      </w:r>
      <w:r>
        <w:rPr/>
        <w:t>Guidelines</w:t>
      </w:r>
      <w:r>
        <w:rPr>
          <w:spacing w:val="-30"/>
        </w:rPr>
        <w:t> </w:t>
      </w:r>
      <w:r>
        <w:rPr/>
        <w:t>to</w:t>
      </w:r>
      <w:r>
        <w:rPr>
          <w:spacing w:val="-29"/>
        </w:rPr>
        <w:t> </w:t>
      </w:r>
      <w:r>
        <w:rPr/>
        <w:t>assign</w:t>
      </w:r>
      <w:r>
        <w:rPr>
          <w:spacing w:val="-30"/>
        </w:rPr>
        <w:t> </w:t>
      </w:r>
      <w:r>
        <w:rPr/>
        <w:t>appropriate</w:t>
      </w:r>
      <w:r>
        <w:rPr>
          <w:spacing w:val="-29"/>
        </w:rPr>
        <w:t> </w:t>
      </w:r>
      <w:r>
        <w:rPr/>
        <w:t>classification on</w:t>
      </w:r>
      <w:r>
        <w:rPr>
          <w:spacing w:val="-19"/>
        </w:rPr>
        <w:t> </w:t>
      </w:r>
      <w:r>
        <w:rPr/>
        <w:t>sensitive</w:t>
      </w:r>
      <w:r>
        <w:rPr>
          <w:spacing w:val="-19"/>
        </w:rPr>
        <w:t> </w:t>
      </w:r>
      <w:r>
        <w:rPr/>
        <w:t>material</w:t>
      </w:r>
      <w:r>
        <w:rPr>
          <w:spacing w:val="-18"/>
        </w:rPr>
        <w:t> </w:t>
      </w:r>
      <w:r>
        <w:rPr/>
        <w:t>held</w:t>
      </w:r>
      <w:r>
        <w:rPr>
          <w:spacing w:val="-19"/>
        </w:rPr>
        <w:t> </w:t>
      </w:r>
      <w:r>
        <w:rPr/>
        <w:t>by</w:t>
      </w:r>
      <w:r>
        <w:rPr>
          <w:spacing w:val="-18"/>
        </w:rPr>
        <w:t> </w:t>
      </w:r>
      <w:r>
        <w:rPr/>
        <w:t>the</w:t>
      </w:r>
      <w:r>
        <w:rPr>
          <w:spacing w:val="-19"/>
        </w:rPr>
        <w:t> </w:t>
      </w:r>
      <w:r>
        <w:rPr/>
        <w:t>Department;</w:t>
      </w:r>
    </w:p>
    <w:p>
      <w:pPr>
        <w:pStyle w:val="BodyText"/>
        <w:spacing w:line="252" w:lineRule="auto"/>
        <w:ind w:left="690" w:right="61" w:hanging="306"/>
      </w:pPr>
      <w:r>
        <w:rPr/>
        <w:drawing>
          <wp:inline distT="0" distB="0" distL="0" distR="0">
            <wp:extent cx="125997" cy="125997"/>
            <wp:effectExtent l="0" t="0" r="0" b="0"/>
            <wp:docPr id="113" name="image108.png" descr=""/>
            <wp:cNvGraphicFramePr>
              <a:graphicFrameLocks noChangeAspect="1"/>
            </wp:cNvGraphicFramePr>
            <a:graphic>
              <a:graphicData uri="http://schemas.openxmlformats.org/drawingml/2006/picture">
                <pic:pic>
                  <pic:nvPicPr>
                    <pic:cNvPr id="114" name="image108.png"/>
                    <pic:cNvPicPr/>
                  </pic:nvPicPr>
                  <pic:blipFill>
                    <a:blip r:embed="rId224" cstate="print"/>
                    <a:stretch>
                      <a:fillRect/>
                    </a:stretch>
                  </pic:blipFill>
                  <pic:spPr>
                    <a:xfrm>
                      <a:off x="0" y="0"/>
                      <a:ext cx="125997" cy="125997"/>
                    </a:xfrm>
                    <a:prstGeom prst="rect">
                      <a:avLst/>
                    </a:prstGeom>
                  </pic:spPr>
                </pic:pic>
              </a:graphicData>
            </a:graphic>
          </wp:inline>
        </w:drawing>
      </w:r>
      <w:r>
        <w:rPr/>
      </w:r>
      <w:r>
        <w:rPr>
          <w:rFonts w:ascii="Times New Roman" w:hAnsi="Times New Roman"/>
          <w:position w:val="2"/>
          <w:sz w:val="20"/>
        </w:rPr>
        <w:t> </w:t>
      </w:r>
      <w:r>
        <w:rPr>
          <w:rFonts w:ascii="Times New Roman" w:hAnsi="Times New Roman"/>
          <w:spacing w:val="7"/>
          <w:position w:val="2"/>
          <w:sz w:val="20"/>
        </w:rPr>
        <w:t> </w:t>
      </w:r>
      <w:r>
        <w:rPr>
          <w:position w:val="2"/>
        </w:rPr>
        <w:t>monitoring</w:t>
      </w:r>
      <w:r>
        <w:rPr>
          <w:spacing w:val="-27"/>
          <w:position w:val="2"/>
        </w:rPr>
        <w:t> </w:t>
      </w:r>
      <w:r>
        <w:rPr>
          <w:position w:val="2"/>
        </w:rPr>
        <w:t>the</w:t>
      </w:r>
      <w:r>
        <w:rPr>
          <w:spacing w:val="-26"/>
          <w:position w:val="2"/>
        </w:rPr>
        <w:t> </w:t>
      </w:r>
      <w:r>
        <w:rPr>
          <w:position w:val="2"/>
        </w:rPr>
        <w:t>implementation</w:t>
      </w:r>
      <w:r>
        <w:rPr>
          <w:spacing w:val="-27"/>
          <w:position w:val="2"/>
        </w:rPr>
        <w:t> </w:t>
      </w:r>
      <w:r>
        <w:rPr>
          <w:position w:val="2"/>
        </w:rPr>
        <w:t>of</w:t>
      </w:r>
      <w:r>
        <w:rPr>
          <w:spacing w:val="-26"/>
          <w:position w:val="2"/>
        </w:rPr>
        <w:t> </w:t>
      </w:r>
      <w:r>
        <w:rPr>
          <w:position w:val="2"/>
        </w:rPr>
        <w:t>initiatives</w:t>
      </w:r>
      <w:r>
        <w:rPr>
          <w:spacing w:val="-27"/>
          <w:position w:val="2"/>
        </w:rPr>
        <w:t> </w:t>
      </w:r>
      <w:r>
        <w:rPr>
          <w:spacing w:val="-5"/>
          <w:position w:val="2"/>
        </w:rPr>
        <w:t>that </w:t>
      </w:r>
      <w:r>
        <w:rPr/>
        <w:t>form part of the </w:t>
      </w:r>
      <w:r>
        <w:rPr>
          <w:spacing w:val="-3"/>
        </w:rPr>
        <w:t>Department’s </w:t>
      </w:r>
      <w:r>
        <w:rPr/>
        <w:t>Information Security</w:t>
      </w:r>
      <w:r>
        <w:rPr>
          <w:spacing w:val="-33"/>
        </w:rPr>
        <w:t> </w:t>
      </w:r>
      <w:r>
        <w:rPr/>
        <w:t>Management</w:t>
      </w:r>
      <w:r>
        <w:rPr>
          <w:spacing w:val="-33"/>
        </w:rPr>
        <w:t> </w:t>
      </w:r>
      <w:r>
        <w:rPr/>
        <w:t>Framework</w:t>
      </w:r>
      <w:r>
        <w:rPr>
          <w:spacing w:val="-33"/>
        </w:rPr>
        <w:t> </w:t>
      </w:r>
      <w:r>
        <w:rPr/>
        <w:t>(ISMF);</w:t>
      </w:r>
      <w:r>
        <w:rPr>
          <w:spacing w:val="-33"/>
        </w:rPr>
        <w:t> </w:t>
      </w:r>
      <w:r>
        <w:rPr/>
        <w:t>and</w:t>
      </w:r>
    </w:p>
    <w:p>
      <w:pPr>
        <w:pStyle w:val="BodyText"/>
        <w:spacing w:line="249" w:lineRule="auto"/>
        <w:ind w:left="690" w:hanging="306"/>
      </w:pPr>
      <w:r>
        <w:rPr/>
        <w:drawing>
          <wp:inline distT="0" distB="0" distL="0" distR="0">
            <wp:extent cx="125997" cy="125999"/>
            <wp:effectExtent l="0" t="0" r="0" b="0"/>
            <wp:docPr id="115" name="image62.png" descr=""/>
            <wp:cNvGraphicFramePr>
              <a:graphicFrameLocks noChangeAspect="1"/>
            </wp:cNvGraphicFramePr>
            <a:graphic>
              <a:graphicData uri="http://schemas.openxmlformats.org/drawingml/2006/picture">
                <pic:pic>
                  <pic:nvPicPr>
                    <pic:cNvPr id="116" name="image62.png"/>
                    <pic:cNvPicPr/>
                  </pic:nvPicPr>
                  <pic:blipFill>
                    <a:blip r:embed="rId90" cstate="print"/>
                    <a:stretch>
                      <a:fillRect/>
                    </a:stretch>
                  </pic:blipFill>
                  <pic:spPr>
                    <a:xfrm>
                      <a:off x="0" y="0"/>
                      <a:ext cx="125997"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establishment of a Website Redevelopment </w:t>
      </w:r>
      <w:r>
        <w:rPr/>
        <w:t>Project to respond to changing customer expectations</w:t>
      </w:r>
      <w:r>
        <w:rPr>
          <w:spacing w:val="-20"/>
        </w:rPr>
        <w:t> </w:t>
      </w:r>
      <w:r>
        <w:rPr/>
        <w:t>and</w:t>
      </w:r>
      <w:r>
        <w:rPr>
          <w:spacing w:val="-19"/>
        </w:rPr>
        <w:t> </w:t>
      </w:r>
      <w:r>
        <w:rPr/>
        <w:t>embrace</w:t>
      </w:r>
      <w:r>
        <w:rPr>
          <w:spacing w:val="-20"/>
        </w:rPr>
        <w:t> </w:t>
      </w:r>
      <w:r>
        <w:rPr/>
        <w:t>modern</w:t>
      </w:r>
      <w:r>
        <w:rPr>
          <w:spacing w:val="-19"/>
        </w:rPr>
        <w:t> </w:t>
      </w:r>
      <w:r>
        <w:rPr>
          <w:spacing w:val="-3"/>
        </w:rPr>
        <w:t>standards.</w:t>
      </w:r>
    </w:p>
    <w:p>
      <w:pPr>
        <w:pStyle w:val="BodyText"/>
        <w:spacing w:before="2"/>
        <w:rPr>
          <w:sz w:val="26"/>
        </w:rPr>
      </w:pPr>
    </w:p>
    <w:p>
      <w:pPr>
        <w:pStyle w:val="Heading4"/>
        <w:spacing w:line="249" w:lineRule="auto" w:before="0"/>
        <w:ind w:left="384" w:right="323"/>
      </w:pPr>
      <w:r>
        <w:rPr>
          <w:color w:val="6F2770"/>
        </w:rPr>
        <w:t>People</w:t>
      </w:r>
      <w:r>
        <w:rPr>
          <w:color w:val="6F2770"/>
          <w:spacing w:val="-63"/>
        </w:rPr>
        <w:t> </w:t>
      </w:r>
      <w:r>
        <w:rPr>
          <w:color w:val="6F2770"/>
        </w:rPr>
        <w:t>and</w:t>
      </w:r>
      <w:r>
        <w:rPr>
          <w:color w:val="6F2770"/>
          <w:spacing w:val="-63"/>
        </w:rPr>
        <w:t> </w:t>
      </w:r>
      <w:r>
        <w:rPr>
          <w:color w:val="6F2770"/>
        </w:rPr>
        <w:t>Communications Committee</w:t>
      </w:r>
    </w:p>
    <w:p>
      <w:pPr>
        <w:pStyle w:val="BodyText"/>
        <w:spacing w:line="249" w:lineRule="auto" w:before="230"/>
        <w:ind w:left="384" w:right="105"/>
      </w:pPr>
      <w:r>
        <w:rPr/>
        <w:t>A key focus of the Committee has been embedding and evaluating the </w:t>
      </w:r>
      <w:r>
        <w:rPr>
          <w:spacing w:val="-3"/>
        </w:rPr>
        <w:t>Department’s </w:t>
      </w:r>
      <w:r>
        <w:rPr>
          <w:w w:val="95"/>
        </w:rPr>
        <w:t>Lifting Organisational Performance Program. </w:t>
      </w:r>
      <w:r>
        <w:rPr>
          <w:spacing w:val="-5"/>
          <w:w w:val="95"/>
        </w:rPr>
        <w:t>This </w:t>
      </w:r>
      <w:r>
        <w:rPr/>
        <w:t>important</w:t>
      </w:r>
      <w:r>
        <w:rPr>
          <w:spacing w:val="-19"/>
        </w:rPr>
        <w:t> </w:t>
      </w:r>
      <w:r>
        <w:rPr/>
        <w:t>initiative</w:t>
      </w:r>
      <w:r>
        <w:rPr>
          <w:spacing w:val="-19"/>
        </w:rPr>
        <w:t> </w:t>
      </w:r>
      <w:r>
        <w:rPr/>
        <w:t>seeks</w:t>
      </w:r>
      <w:r>
        <w:rPr>
          <w:spacing w:val="-19"/>
        </w:rPr>
        <w:t> </w:t>
      </w:r>
      <w:r>
        <w:rPr/>
        <w:t>to</w:t>
      </w:r>
      <w:r>
        <w:rPr>
          <w:spacing w:val="-19"/>
        </w:rPr>
        <w:t> </w:t>
      </w:r>
      <w:r>
        <w:rPr/>
        <w:t>support</w:t>
      </w:r>
      <w:r>
        <w:rPr>
          <w:spacing w:val="-19"/>
        </w:rPr>
        <w:t> </w:t>
      </w:r>
      <w:r>
        <w:rPr/>
        <w:t>staff</w:t>
      </w:r>
      <w:r>
        <w:rPr>
          <w:spacing w:val="-19"/>
        </w:rPr>
        <w:t> </w:t>
      </w:r>
      <w:r>
        <w:rPr/>
        <w:t>in</w:t>
      </w:r>
      <w:r>
        <w:rPr>
          <w:spacing w:val="-19"/>
        </w:rPr>
        <w:t> </w:t>
      </w:r>
      <w:r>
        <w:rPr/>
        <w:t>lifting the </w:t>
      </w:r>
      <w:r>
        <w:rPr>
          <w:spacing w:val="-3"/>
        </w:rPr>
        <w:t>quality, </w:t>
      </w:r>
      <w:r>
        <w:rPr/>
        <w:t>responsiveness and reliability of the work delivered across the</w:t>
      </w:r>
      <w:r>
        <w:rPr>
          <w:spacing w:val="-22"/>
        </w:rPr>
        <w:t> </w:t>
      </w:r>
      <w:r>
        <w:rPr/>
        <w:t>Department.</w:t>
      </w:r>
    </w:p>
    <w:p>
      <w:pPr>
        <w:pStyle w:val="BodyText"/>
        <w:spacing w:before="142"/>
        <w:ind w:left="386"/>
      </w:pPr>
      <w:r>
        <w:rPr/>
        <w:br w:type="column"/>
      </w:r>
      <w:r>
        <w:rPr/>
        <w:t>In addition, the Committee also:</w:t>
      </w:r>
    </w:p>
    <w:p>
      <w:pPr>
        <w:pStyle w:val="BodyText"/>
        <w:spacing w:before="10"/>
        <w:rPr>
          <w:sz w:val="23"/>
        </w:rPr>
      </w:pPr>
    </w:p>
    <w:p>
      <w:pPr>
        <w:pStyle w:val="BodyText"/>
        <w:spacing w:line="249" w:lineRule="auto"/>
        <w:ind w:left="691" w:right="747"/>
      </w:pPr>
      <w:r>
        <w:rPr/>
        <w:t>realigned membership with the Joint Consultative Committee, enabling continuity across forums, strengthening the </w:t>
      </w:r>
      <w:r>
        <w:rPr>
          <w:spacing w:val="-5"/>
        </w:rPr>
        <w:t>Department’s </w:t>
      </w:r>
      <w:r>
        <w:rPr/>
        <w:t>focus on people issues;</w:t>
      </w:r>
    </w:p>
    <w:p>
      <w:pPr>
        <w:pStyle w:val="BodyText"/>
        <w:spacing w:line="249" w:lineRule="auto" w:before="4"/>
        <w:ind w:left="691" w:right="1080"/>
      </w:pPr>
      <w:r>
        <w:rPr/>
        <w:t>reviewed and consolidated Departmental policies</w:t>
      </w:r>
      <w:r>
        <w:rPr>
          <w:spacing w:val="-20"/>
        </w:rPr>
        <w:t> </w:t>
      </w:r>
      <w:r>
        <w:rPr/>
        <w:t>to</w:t>
      </w:r>
      <w:r>
        <w:rPr>
          <w:spacing w:val="-20"/>
        </w:rPr>
        <w:t> </w:t>
      </w:r>
      <w:r>
        <w:rPr/>
        <w:t>reduce</w:t>
      </w:r>
      <w:r>
        <w:rPr>
          <w:spacing w:val="-20"/>
        </w:rPr>
        <w:t> </w:t>
      </w:r>
      <w:r>
        <w:rPr/>
        <w:t>unnecessary</w:t>
      </w:r>
      <w:r>
        <w:rPr>
          <w:spacing w:val="-20"/>
        </w:rPr>
        <w:t> </w:t>
      </w:r>
      <w:r>
        <w:rPr/>
        <w:t>red</w:t>
      </w:r>
      <w:r>
        <w:rPr>
          <w:spacing w:val="-20"/>
        </w:rPr>
        <w:t> </w:t>
      </w:r>
      <w:r>
        <w:rPr/>
        <w:t>tape</w:t>
      </w:r>
      <w:r>
        <w:rPr>
          <w:spacing w:val="-19"/>
        </w:rPr>
        <w:t> </w:t>
      </w:r>
      <w:r>
        <w:rPr>
          <w:spacing w:val="-6"/>
        </w:rPr>
        <w:t>and </w:t>
      </w:r>
      <w:r>
        <w:rPr/>
        <w:t>regulatory burden for</w:t>
      </w:r>
      <w:r>
        <w:rPr>
          <w:spacing w:val="-9"/>
        </w:rPr>
        <w:t> </w:t>
      </w:r>
      <w:r>
        <w:rPr/>
        <w:t>staff;</w:t>
      </w:r>
    </w:p>
    <w:p>
      <w:pPr>
        <w:pStyle w:val="BodyText"/>
        <w:spacing w:line="249" w:lineRule="auto" w:before="3"/>
        <w:ind w:left="691" w:right="1164"/>
      </w:pPr>
      <w:r>
        <w:rPr>
          <w:w w:val="95"/>
        </w:rPr>
        <w:t>facilitated implementation of activity-based </w:t>
      </w:r>
      <w:r>
        <w:rPr/>
        <w:t>working through the review of policies that affected or inhibited its introduction; reviewed the Living Our Values awards process and streamlined the nomination process;</w:t>
      </w:r>
    </w:p>
    <w:p>
      <w:pPr>
        <w:pStyle w:val="BodyText"/>
        <w:spacing w:line="249" w:lineRule="auto" w:before="5"/>
        <w:ind w:left="691" w:right="780"/>
      </w:pPr>
      <w:r>
        <w:rPr/>
        <w:t>identified strategic workforce planning and succession management initiatives; and supported the Reconciliation Committee with the</w:t>
      </w:r>
      <w:r>
        <w:rPr>
          <w:spacing w:val="-21"/>
        </w:rPr>
        <w:t> </w:t>
      </w:r>
      <w:r>
        <w:rPr/>
        <w:t>development</w:t>
      </w:r>
      <w:r>
        <w:rPr>
          <w:spacing w:val="-21"/>
        </w:rPr>
        <w:t> </w:t>
      </w:r>
      <w:r>
        <w:rPr/>
        <w:t>of</w:t>
      </w:r>
      <w:r>
        <w:rPr>
          <w:spacing w:val="-20"/>
        </w:rPr>
        <w:t> </w:t>
      </w:r>
      <w:r>
        <w:rPr/>
        <w:t>a</w:t>
      </w:r>
      <w:r>
        <w:rPr>
          <w:spacing w:val="-21"/>
        </w:rPr>
        <w:t> </w:t>
      </w:r>
      <w:r>
        <w:rPr/>
        <w:t>new</w:t>
      </w:r>
      <w:r>
        <w:rPr>
          <w:spacing w:val="-20"/>
        </w:rPr>
        <w:t> </w:t>
      </w:r>
      <w:r>
        <w:rPr/>
        <w:t>Reconciliation</w:t>
      </w:r>
      <w:r>
        <w:rPr>
          <w:spacing w:val="-21"/>
        </w:rPr>
        <w:t> </w:t>
      </w:r>
      <w:r>
        <w:rPr>
          <w:spacing w:val="-3"/>
        </w:rPr>
        <w:t>Action </w:t>
      </w:r>
      <w:r>
        <w:rPr/>
        <w:t>Plan. The achievements of the Reconciliation Committee are outlined on page</w:t>
      </w:r>
      <w:r>
        <w:rPr>
          <w:spacing w:val="-21"/>
        </w:rPr>
        <w:t> </w:t>
      </w:r>
      <w:hyperlink w:history="true" w:anchor="_bookmark49">
        <w:r>
          <w:rPr>
            <w:color w:val="215E9E"/>
            <w:u w:val="single" w:color="215E9E"/>
          </w:rPr>
          <w:t>114</w:t>
        </w:r>
      </w:hyperlink>
      <w:r>
        <w:rPr/>
        <w:t>.</w:t>
      </w:r>
    </w:p>
    <w:p>
      <w:pPr>
        <w:spacing w:after="0" w:line="249" w:lineRule="auto"/>
        <w:sectPr>
          <w:type w:val="continuous"/>
          <w:pgSz w:w="16840" w:h="11910" w:orient="landscape"/>
          <w:pgMar w:top="1100" w:bottom="280" w:left="0" w:right="0"/>
          <w:cols w:num="3" w:equalWidth="0">
            <w:col w:w="5585" w:space="40"/>
            <w:col w:w="5204" w:space="39"/>
            <w:col w:w="5972"/>
          </w:cols>
        </w:sectPr>
      </w:pPr>
    </w:p>
    <w:p>
      <w:pPr>
        <w:pStyle w:val="BodyText"/>
        <w:rPr>
          <w:sz w:val="20"/>
        </w:rPr>
      </w:pPr>
      <w:r>
        <w:rPr/>
        <w:pict>
          <v:group style="position:absolute;margin-left:240.539398pt;margin-top:.000001pt;width:601.4pt;height:595.3pt;mso-position-horizontal-relative:page;mso-position-vertical-relative:page;z-index:-683320" coordorigin="4811,0" coordsize="12028,11906">
            <v:shape style="position:absolute;left:6462;top:149;width:10376;height:11756" type="#_x0000_t75" stroked="false">
              <v:imagedata r:id="rId67" o:title=""/>
            </v:shape>
            <v:shape style="position:absolute;left:11253;top:2108;width:199;height:199" type="#_x0000_t75" stroked="false">
              <v:imagedata r:id="rId225" o:title=""/>
            </v:shape>
            <v:shape style="position:absolute;left:11253;top:3157;width:199;height:199" type="#_x0000_t75" stroked="false">
              <v:imagedata r:id="rId226" o:title=""/>
            </v:shape>
            <v:shape style="position:absolute;left:11253;top:3957;width:199;height:199" type="#_x0000_t75" stroked="false">
              <v:imagedata r:id="rId227" o:title=""/>
            </v:shape>
            <v:shape style="position:absolute;left:11253;top:4750;width:199;height:199" type="#_x0000_t75" stroked="false">
              <v:imagedata r:id="rId228" o:title=""/>
            </v:shape>
            <v:shape style="position:absolute;left:11253;top:5538;width:199;height:199" type="#_x0000_t75" stroked="false">
              <v:imagedata r:id="rId229" o:title=""/>
            </v:shape>
            <v:shape style="position:absolute;left:11253;top:6071;width:199;height:199" type="#_x0000_t75" stroked="false">
              <v:imagedata r:id="rId230" o:title=""/>
            </v:shape>
            <v:rect style="position:absolute;left:4810;top:0;width:2406;height:851" filled="true" fillcolor="#cbb8cc"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d4d896" stroked="false">
              <v:fill type="solid"/>
            </v:rect>
            <v:rect style="position:absolute;left:14432;top:0;width:2406;height:851" filled="true" fillcolor="#bba1bc" stroked="false">
              <v:fill type="solid"/>
            </v:rect>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10886" w:val="left" w:leader="none"/>
          <w:tab w:pos="11199" w:val="left" w:leader="none"/>
        </w:tabs>
        <w:spacing w:before="108"/>
        <w:ind w:left="765" w:right="0" w:firstLine="0"/>
        <w:jc w:val="left"/>
        <w:rPr>
          <w:b/>
          <w:sz w:val="20"/>
        </w:rPr>
      </w:pPr>
      <w:r>
        <w:rPr/>
        <w:pict>
          <v:shape style="position:absolute;margin-left:171.439468pt;margin-top:447.928986pt;width:190.3pt;height:143pt;mso-position-horizontal-relative:page;mso-position-vertical-relative:paragraph;z-index:29200" coordorigin="3429,8959" coordsize="3806,2860" path="m3979,-1797l4560,-1215m3738,-1927l4691,-974m3557,-1998l4762,-793m3402,-2042l4806,-638m3264,-2070l4834,-500m3149,-2074l4850,-374m3039,-2074l4858,-256m2928,-2074l4858,-145m2818,-2074l4853,-40m2708,-2074l4842,60m2609,-2063l4827,155m2517,-2044l4808,246m2430,-2021l4785,334m2346,-1995l4759,418m2265,-1965l4729,499m2187,-1933l4697,577m2112,-1898l4662,652m2039,-1860l4624,725m1969,-1820l4574,785m1902,-1777l4463,785m1837,-1731l4353,785m1774,-1684l4243,785m1714,-1634l4132,785m1656,-1582l4022,785m1600,-1527l3912,785m1546,-1471l3801,785m1495,-1412l3691,785m1446,-1350l3581,785m1399,-1287l3470,785m1355,-1221l3360,785m1313,-1152l3250,785m1273,-1082l3139,785m1236,-1008l3029,785m1202,-932l2919,785m1170,-853l2808,785m1142,-771l2698,785m1117,-686l2588,785m1096,-597l2477,785m1078,-504l2367,785m1065,-407l2257,785m1056,-305l2146,785m1052,-199l2036,785m1056,-85l1926,785m1066,36l1815,785m1086,166l1705,785m1119,310l1594,785m1172,472l1484,785m1258,669l1374,785e" filled="false" stroked="true" strokeweight=".25pt" strokecolor="#aebd37">
            <v:path arrowok="t"/>
            <v:stroke dashstyle="solid"/>
            <w10:wrap type="none"/>
          </v:shape>
        </w:pict>
      </w:r>
      <w:r>
        <w:rPr/>
        <w:pict>
          <v:group style="position:absolute;margin-left:0pt;margin-top:-9.455017pt;width:24.1pt;height:41.55pt;mso-position-horizontal-relative:page;mso-position-vertical-relative:paragraph;z-index:29224"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FFFFFF"/>
          <w:w w:val="100"/>
          <w:sz w:val="20"/>
          <w:u w:val="single" w:color="939598"/>
        </w:rPr>
        <w:t> </w:t>
      </w:r>
      <w:r>
        <w:rPr>
          <w:b/>
          <w:color w:val="FFFFFF"/>
          <w:sz w:val="20"/>
          <w:u w:val="single" w:color="939598"/>
        </w:rPr>
        <w:tab/>
      </w:r>
      <w:r>
        <w:rPr>
          <w:b/>
          <w:color w:val="FFFFFF"/>
          <w:sz w:val="20"/>
        </w:rPr>
        <w:tab/>
        <w:t>Department of Finance Annual Report 2017-18</w:t>
      </w:r>
      <w:r>
        <w:rPr>
          <w:b/>
          <w:color w:val="FFFFFF"/>
          <w:spacing w:val="24"/>
          <w:sz w:val="20"/>
        </w:rPr>
        <w:t> </w:t>
      </w:r>
      <w:r>
        <w:rPr>
          <w:b/>
          <w:color w:val="FFFFFF"/>
          <w:sz w:val="20"/>
        </w:rPr>
        <w:t>111</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49" w:id="50"/>
      <w:bookmarkEnd w:id="50"/>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5"/>
        <w:rPr>
          <w:b/>
          <w:sz w:val="26"/>
        </w:rPr>
      </w:pPr>
    </w:p>
    <w:p>
      <w:pPr>
        <w:spacing w:after="0"/>
        <w:rPr>
          <w:sz w:val="26"/>
        </w:rPr>
        <w:sectPr>
          <w:footerReference w:type="default" r:id="rId231"/>
          <w:pgSz w:w="16840" w:h="11910" w:orient="landscape"/>
          <w:pgMar w:footer="0" w:header="0" w:top="0" w:bottom="0" w:left="0" w:right="0"/>
        </w:sectPr>
      </w:pPr>
    </w:p>
    <w:p>
      <w:pPr>
        <w:pStyle w:val="Heading4"/>
        <w:spacing w:before="110"/>
      </w:pPr>
      <w:r>
        <w:rPr/>
        <w:pict>
          <v:shape style="position:absolute;margin-left:601.348999pt;margin-top:-70.506226pt;width:120.3pt;height:42.55pt;mso-position-horizontal-relative:page;mso-position-vertical-relative:paragraph;z-index:29560" type="#_x0000_t202" filled="true" fillcolor="#d4d896"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70.506226pt;width:120.3pt;height:42.55pt;mso-position-horizontal-relative:page;mso-position-vertical-relative:paragraph;z-index:29584"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70.506226pt;width:120.3pt;height:42.55pt;mso-position-horizontal-relative:page;mso-position-vertical-relative:paragraph;z-index:29608"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Audit and Risk Management Committee</w:t>
      </w:r>
    </w:p>
    <w:p>
      <w:pPr>
        <w:pStyle w:val="BodyText"/>
        <w:spacing w:line="249" w:lineRule="auto" w:before="246"/>
        <w:ind w:left="765" w:right="370"/>
      </w:pPr>
      <w:r>
        <w:rPr/>
        <w:t>The</w:t>
      </w:r>
      <w:r>
        <w:rPr>
          <w:spacing w:val="-22"/>
        </w:rPr>
        <w:t> </w:t>
      </w:r>
      <w:r>
        <w:rPr/>
        <w:t>Audit</w:t>
      </w:r>
      <w:r>
        <w:rPr>
          <w:spacing w:val="-21"/>
        </w:rPr>
        <w:t> </w:t>
      </w:r>
      <w:r>
        <w:rPr/>
        <w:t>and</w:t>
      </w:r>
      <w:r>
        <w:rPr>
          <w:spacing w:val="-21"/>
        </w:rPr>
        <w:t> </w:t>
      </w:r>
      <w:r>
        <w:rPr/>
        <w:t>Risk</w:t>
      </w:r>
      <w:r>
        <w:rPr>
          <w:spacing w:val="-21"/>
        </w:rPr>
        <w:t> </w:t>
      </w:r>
      <w:r>
        <w:rPr/>
        <w:t>Management</w:t>
      </w:r>
      <w:r>
        <w:rPr>
          <w:spacing w:val="-21"/>
        </w:rPr>
        <w:t> </w:t>
      </w:r>
      <w:r>
        <w:rPr/>
        <w:t>Committee</w:t>
      </w:r>
      <w:r>
        <w:rPr>
          <w:spacing w:val="-21"/>
        </w:rPr>
        <w:t> </w:t>
      </w:r>
      <w:r>
        <w:rPr/>
        <w:t>oversees</w:t>
      </w:r>
      <w:r>
        <w:rPr>
          <w:spacing w:val="-21"/>
        </w:rPr>
        <w:t> </w:t>
      </w:r>
      <w:r>
        <w:rPr/>
        <w:t>the</w:t>
      </w:r>
      <w:r>
        <w:rPr>
          <w:spacing w:val="-21"/>
        </w:rPr>
        <w:t> </w:t>
      </w:r>
      <w:r>
        <w:rPr/>
        <w:t>operation</w:t>
      </w:r>
      <w:r>
        <w:rPr>
          <w:spacing w:val="-21"/>
        </w:rPr>
        <w:t> </w:t>
      </w:r>
      <w:r>
        <w:rPr/>
        <w:t>of</w:t>
      </w:r>
      <w:r>
        <w:rPr>
          <w:spacing w:val="-21"/>
        </w:rPr>
        <w:t> </w:t>
      </w:r>
      <w:r>
        <w:rPr>
          <w:spacing w:val="-6"/>
        </w:rPr>
        <w:t>the </w:t>
      </w:r>
      <w:r>
        <w:rPr>
          <w:spacing w:val="-3"/>
        </w:rPr>
        <w:t>Department’s</w:t>
      </w:r>
      <w:r>
        <w:rPr>
          <w:spacing w:val="-19"/>
        </w:rPr>
        <w:t> </w:t>
      </w:r>
      <w:r>
        <w:rPr/>
        <w:t>internal</w:t>
      </w:r>
      <w:r>
        <w:rPr>
          <w:spacing w:val="-19"/>
        </w:rPr>
        <w:t> </w:t>
      </w:r>
      <w:r>
        <w:rPr/>
        <w:t>audit</w:t>
      </w:r>
      <w:r>
        <w:rPr>
          <w:spacing w:val="-19"/>
        </w:rPr>
        <w:t> </w:t>
      </w:r>
      <w:r>
        <w:rPr/>
        <w:t>and</w:t>
      </w:r>
      <w:r>
        <w:rPr>
          <w:spacing w:val="-19"/>
        </w:rPr>
        <w:t> </w:t>
      </w:r>
      <w:r>
        <w:rPr/>
        <w:t>risk</w:t>
      </w:r>
      <w:r>
        <w:rPr>
          <w:spacing w:val="-18"/>
        </w:rPr>
        <w:t> </w:t>
      </w:r>
      <w:r>
        <w:rPr/>
        <w:t>management</w:t>
      </w:r>
      <w:r>
        <w:rPr>
          <w:spacing w:val="-19"/>
        </w:rPr>
        <w:t> </w:t>
      </w:r>
      <w:r>
        <w:rPr/>
        <w:t>functions,</w:t>
      </w:r>
      <w:r>
        <w:rPr>
          <w:spacing w:val="-19"/>
        </w:rPr>
        <w:t> </w:t>
      </w:r>
      <w:r>
        <w:rPr/>
        <w:t>endorses</w:t>
      </w:r>
      <w:r>
        <w:rPr>
          <w:spacing w:val="-19"/>
        </w:rPr>
        <w:t> </w:t>
      </w:r>
      <w:r>
        <w:rPr/>
        <w:t>the annual internal audit plan and monitors its</w:t>
      </w:r>
      <w:r>
        <w:rPr>
          <w:spacing w:val="-28"/>
        </w:rPr>
        <w:t> </w:t>
      </w:r>
      <w:r>
        <w:rPr/>
        <w:t>progress.</w:t>
      </w:r>
    </w:p>
    <w:p>
      <w:pPr>
        <w:pStyle w:val="BodyText"/>
        <w:spacing w:line="528" w:lineRule="exact" w:before="50"/>
        <w:ind w:left="765"/>
      </w:pPr>
      <w:r>
        <w:rPr/>
        <w:t>This</w:t>
      </w:r>
      <w:r>
        <w:rPr>
          <w:spacing w:val="-22"/>
        </w:rPr>
        <w:t> </w:t>
      </w:r>
      <w:r>
        <w:rPr>
          <w:spacing w:val="-5"/>
        </w:rPr>
        <w:t>year,</w:t>
      </w:r>
      <w:r>
        <w:rPr>
          <w:spacing w:val="-22"/>
        </w:rPr>
        <w:t> </w:t>
      </w:r>
      <w:r>
        <w:rPr/>
        <w:t>the</w:t>
      </w:r>
      <w:r>
        <w:rPr>
          <w:spacing w:val="-21"/>
        </w:rPr>
        <w:t> </w:t>
      </w:r>
      <w:r>
        <w:rPr/>
        <w:t>Committee</w:t>
      </w:r>
      <w:r>
        <w:rPr>
          <w:spacing w:val="-22"/>
        </w:rPr>
        <w:t> </w:t>
      </w:r>
      <w:r>
        <w:rPr/>
        <w:t>enhanced</w:t>
      </w:r>
      <w:r>
        <w:rPr>
          <w:spacing w:val="-22"/>
        </w:rPr>
        <w:t> </w:t>
      </w:r>
      <w:r>
        <w:rPr/>
        <w:t>audit</w:t>
      </w:r>
      <w:r>
        <w:rPr>
          <w:spacing w:val="-21"/>
        </w:rPr>
        <w:t> </w:t>
      </w:r>
      <w:r>
        <w:rPr/>
        <w:t>and</w:t>
      </w:r>
      <w:r>
        <w:rPr>
          <w:spacing w:val="-22"/>
        </w:rPr>
        <w:t> </w:t>
      </w:r>
      <w:r>
        <w:rPr/>
        <w:t>risk</w:t>
      </w:r>
      <w:r>
        <w:rPr>
          <w:spacing w:val="-22"/>
        </w:rPr>
        <w:t> </w:t>
      </w:r>
      <w:r>
        <w:rPr/>
        <w:t>management</w:t>
      </w:r>
      <w:r>
        <w:rPr>
          <w:spacing w:val="-21"/>
        </w:rPr>
        <w:t> </w:t>
      </w:r>
      <w:r>
        <w:rPr/>
        <w:t>operations</w:t>
      </w:r>
      <w:r>
        <w:rPr>
          <w:spacing w:val="-22"/>
        </w:rPr>
        <w:t> </w:t>
      </w:r>
      <w:r>
        <w:rPr>
          <w:spacing w:val="-7"/>
        </w:rPr>
        <w:t>by:</w:t>
      </w:r>
      <w:r>
        <w:rPr>
          <w:w w:val="98"/>
        </w:rPr>
        <w:t> </w:t>
      </w:r>
      <w:r>
        <w:rPr>
          <w:w w:val="98"/>
          <w:position w:val="-1"/>
        </w:rPr>
        <w:drawing>
          <wp:inline distT="0" distB="0" distL="0" distR="0">
            <wp:extent cx="125999" cy="125999"/>
            <wp:effectExtent l="0" t="0" r="0" b="0"/>
            <wp:docPr id="117" name="image115.png" descr=""/>
            <wp:cNvGraphicFramePr>
              <a:graphicFrameLocks noChangeAspect="1"/>
            </wp:cNvGraphicFramePr>
            <a:graphic>
              <a:graphicData uri="http://schemas.openxmlformats.org/drawingml/2006/picture">
                <pic:pic>
                  <pic:nvPicPr>
                    <pic:cNvPr id="118" name="image115.png"/>
                    <pic:cNvPicPr/>
                  </pic:nvPicPr>
                  <pic:blipFill>
                    <a:blip r:embed="rId232" cstate="print"/>
                    <a:stretch>
                      <a:fillRect/>
                    </a:stretch>
                  </pic:blipFill>
                  <pic:spPr>
                    <a:xfrm>
                      <a:off x="0" y="0"/>
                      <a:ext cx="125999" cy="125999"/>
                    </a:xfrm>
                    <a:prstGeom prst="rect">
                      <a:avLst/>
                    </a:prstGeom>
                  </pic:spPr>
                </pic:pic>
              </a:graphicData>
            </a:graphic>
          </wp:inline>
        </w:drawing>
      </w:r>
      <w:r>
        <w:rPr>
          <w:w w:val="98"/>
          <w:position w:val="-1"/>
        </w:rPr>
      </w:r>
      <w:r>
        <w:rPr>
          <w:rFonts w:ascii="Times New Roman"/>
          <w:w w:val="98"/>
        </w:rPr>
        <w:t> </w:t>
      </w:r>
      <w:r>
        <w:rPr>
          <w:rFonts w:ascii="Times New Roman"/>
          <w:spacing w:val="-2"/>
          <w:w w:val="98"/>
        </w:rPr>
        <w:t> </w:t>
      </w:r>
      <w:r>
        <w:rPr/>
        <w:t>successfully</w:t>
      </w:r>
      <w:r>
        <w:rPr>
          <w:spacing w:val="-10"/>
        </w:rPr>
        <w:t> </w:t>
      </w:r>
      <w:r>
        <w:rPr/>
        <w:t>completing</w:t>
      </w:r>
      <w:r>
        <w:rPr>
          <w:spacing w:val="-10"/>
        </w:rPr>
        <w:t> </w:t>
      </w:r>
      <w:r>
        <w:rPr/>
        <w:t>all</w:t>
      </w:r>
      <w:r>
        <w:rPr>
          <w:spacing w:val="-9"/>
        </w:rPr>
        <w:t> </w:t>
      </w:r>
      <w:r>
        <w:rPr/>
        <w:t>quarterly</w:t>
      </w:r>
      <w:r>
        <w:rPr>
          <w:spacing w:val="-10"/>
        </w:rPr>
        <w:t> </w:t>
      </w:r>
      <w:r>
        <w:rPr/>
        <w:t>meetings</w:t>
      </w:r>
      <w:r>
        <w:rPr>
          <w:spacing w:val="-9"/>
        </w:rPr>
        <w:t> </w:t>
      </w:r>
      <w:r>
        <w:rPr/>
        <w:t>and</w:t>
      </w:r>
      <w:r>
        <w:rPr>
          <w:spacing w:val="-10"/>
        </w:rPr>
        <w:t> </w:t>
      </w:r>
      <w:r>
        <w:rPr/>
        <w:t>the</w:t>
      </w:r>
      <w:r>
        <w:rPr>
          <w:spacing w:val="-9"/>
        </w:rPr>
        <w:t> </w:t>
      </w:r>
      <w:r>
        <w:rPr/>
        <w:t>work</w:t>
      </w:r>
      <w:r>
        <w:rPr>
          <w:spacing w:val="-10"/>
        </w:rPr>
        <w:t> </w:t>
      </w:r>
      <w:r>
        <w:rPr/>
        <w:t>plan</w:t>
      </w:r>
      <w:r>
        <w:rPr>
          <w:spacing w:val="-10"/>
        </w:rPr>
        <w:t> </w:t>
      </w:r>
      <w:r>
        <w:rPr/>
        <w:t>for</w:t>
      </w:r>
    </w:p>
    <w:p>
      <w:pPr>
        <w:pStyle w:val="BodyText"/>
        <w:spacing w:line="205" w:lineRule="exact"/>
        <w:ind w:left="1071"/>
      </w:pPr>
      <w:r>
        <w:rPr/>
        <w:t>2017-18;</w:t>
      </w:r>
    </w:p>
    <w:p>
      <w:pPr>
        <w:pStyle w:val="BodyText"/>
        <w:spacing w:line="249" w:lineRule="auto" w:before="11"/>
        <w:ind w:left="1071" w:right="373" w:hanging="306"/>
      </w:pPr>
      <w:r>
        <w:rPr>
          <w:position w:val="-1"/>
        </w:rPr>
        <w:drawing>
          <wp:inline distT="0" distB="0" distL="0" distR="0">
            <wp:extent cx="125999" cy="125999"/>
            <wp:effectExtent l="0" t="0" r="0" b="0"/>
            <wp:docPr id="119" name="image116.png" descr=""/>
            <wp:cNvGraphicFramePr>
              <a:graphicFrameLocks noChangeAspect="1"/>
            </wp:cNvGraphicFramePr>
            <a:graphic>
              <a:graphicData uri="http://schemas.openxmlformats.org/drawingml/2006/picture">
                <pic:pic>
                  <pic:nvPicPr>
                    <pic:cNvPr id="120" name="image116.png"/>
                    <pic:cNvPicPr/>
                  </pic:nvPicPr>
                  <pic:blipFill>
                    <a:blip r:embed="rId23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significantly</w:t>
      </w:r>
      <w:r>
        <w:rPr>
          <w:spacing w:val="-26"/>
        </w:rPr>
        <w:t> </w:t>
      </w:r>
      <w:r>
        <w:rPr/>
        <w:t>improving</w:t>
      </w:r>
      <w:r>
        <w:rPr>
          <w:spacing w:val="-25"/>
        </w:rPr>
        <w:t> </w:t>
      </w:r>
      <w:r>
        <w:rPr/>
        <w:t>reporting</w:t>
      </w:r>
      <w:r>
        <w:rPr>
          <w:spacing w:val="-25"/>
        </w:rPr>
        <w:t> </w:t>
      </w:r>
      <w:r>
        <w:rPr/>
        <w:t>and</w:t>
      </w:r>
      <w:r>
        <w:rPr>
          <w:spacing w:val="-25"/>
        </w:rPr>
        <w:t> </w:t>
      </w:r>
      <w:r>
        <w:rPr/>
        <w:t>monitoring</w:t>
      </w:r>
      <w:r>
        <w:rPr>
          <w:spacing w:val="-25"/>
        </w:rPr>
        <w:t> </w:t>
      </w:r>
      <w:r>
        <w:rPr/>
        <w:t>of</w:t>
      </w:r>
      <w:r>
        <w:rPr>
          <w:spacing w:val="-25"/>
        </w:rPr>
        <w:t> </w:t>
      </w:r>
      <w:r>
        <w:rPr/>
        <w:t>high-risks</w:t>
      </w:r>
      <w:r>
        <w:rPr>
          <w:spacing w:val="-25"/>
        </w:rPr>
        <w:t> </w:t>
      </w:r>
      <w:r>
        <w:rPr/>
        <w:t>across</w:t>
      </w:r>
      <w:r>
        <w:rPr>
          <w:spacing w:val="-25"/>
        </w:rPr>
        <w:t> </w:t>
      </w:r>
      <w:r>
        <w:rPr>
          <w:spacing w:val="-6"/>
        </w:rPr>
        <w:t>the </w:t>
      </w:r>
      <w:r>
        <w:rPr/>
        <w:t>department;</w:t>
      </w:r>
    </w:p>
    <w:p>
      <w:pPr>
        <w:pStyle w:val="BodyText"/>
        <w:spacing w:line="249" w:lineRule="auto" w:before="2"/>
        <w:ind w:left="1071" w:right="452" w:hanging="306"/>
      </w:pPr>
      <w:r>
        <w:rPr>
          <w:position w:val="-2"/>
        </w:rPr>
        <w:drawing>
          <wp:inline distT="0" distB="0" distL="0" distR="0">
            <wp:extent cx="125999" cy="125999"/>
            <wp:effectExtent l="0" t="0" r="0" b="0"/>
            <wp:docPr id="121" name="image116.png" descr=""/>
            <wp:cNvGraphicFramePr>
              <a:graphicFrameLocks noChangeAspect="1"/>
            </wp:cNvGraphicFramePr>
            <a:graphic>
              <a:graphicData uri="http://schemas.openxmlformats.org/drawingml/2006/picture">
                <pic:pic>
                  <pic:nvPicPr>
                    <pic:cNvPr id="122" name="image116.png"/>
                    <pic:cNvPicPr/>
                  </pic:nvPicPr>
                  <pic:blipFill>
                    <a:blip r:embed="rId233"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increasing</w:t>
      </w:r>
      <w:r>
        <w:rPr>
          <w:spacing w:val="-24"/>
        </w:rPr>
        <w:t> </w:t>
      </w:r>
      <w:r>
        <w:rPr/>
        <w:t>visibility</w:t>
      </w:r>
      <w:r>
        <w:rPr>
          <w:spacing w:val="-24"/>
        </w:rPr>
        <w:t> </w:t>
      </w:r>
      <w:r>
        <w:rPr/>
        <w:t>and</w:t>
      </w:r>
      <w:r>
        <w:rPr>
          <w:spacing w:val="-24"/>
        </w:rPr>
        <w:t> </w:t>
      </w:r>
      <w:r>
        <w:rPr/>
        <w:t>oversight</w:t>
      </w:r>
      <w:r>
        <w:rPr>
          <w:spacing w:val="-24"/>
        </w:rPr>
        <w:t> </w:t>
      </w:r>
      <w:r>
        <w:rPr/>
        <w:t>of</w:t>
      </w:r>
      <w:r>
        <w:rPr>
          <w:spacing w:val="-24"/>
        </w:rPr>
        <w:t> </w:t>
      </w:r>
      <w:r>
        <w:rPr/>
        <w:t>risks</w:t>
      </w:r>
      <w:r>
        <w:rPr>
          <w:spacing w:val="-24"/>
        </w:rPr>
        <w:t> </w:t>
      </w:r>
      <w:r>
        <w:rPr/>
        <w:t>associated</w:t>
      </w:r>
      <w:r>
        <w:rPr>
          <w:spacing w:val="-24"/>
        </w:rPr>
        <w:t> </w:t>
      </w:r>
      <w:r>
        <w:rPr/>
        <w:t>with</w:t>
      </w:r>
      <w:r>
        <w:rPr>
          <w:spacing w:val="-24"/>
        </w:rPr>
        <w:t> </w:t>
      </w:r>
      <w:r>
        <w:rPr/>
        <w:t>capital</w:t>
      </w:r>
      <w:r>
        <w:rPr>
          <w:spacing w:val="-24"/>
        </w:rPr>
        <w:t> </w:t>
      </w:r>
      <w:r>
        <w:rPr>
          <w:spacing w:val="-4"/>
        </w:rPr>
        <w:t>works </w:t>
      </w:r>
      <w:r>
        <w:rPr/>
        <w:t>projects;</w:t>
      </w:r>
    </w:p>
    <w:p>
      <w:pPr>
        <w:pStyle w:val="BodyText"/>
        <w:spacing w:line="249" w:lineRule="auto" w:before="2"/>
        <w:ind w:left="1071" w:right="360" w:hanging="306"/>
        <w:jc w:val="both"/>
      </w:pPr>
      <w:r>
        <w:rPr>
          <w:position w:val="-1"/>
        </w:rPr>
        <w:drawing>
          <wp:inline distT="0" distB="0" distL="0" distR="0">
            <wp:extent cx="125999" cy="125999"/>
            <wp:effectExtent l="0" t="0" r="0" b="0"/>
            <wp:docPr id="123" name="image116.png" descr=""/>
            <wp:cNvGraphicFramePr>
              <a:graphicFrameLocks noChangeAspect="1"/>
            </wp:cNvGraphicFramePr>
            <a:graphic>
              <a:graphicData uri="http://schemas.openxmlformats.org/drawingml/2006/picture">
                <pic:pic>
                  <pic:nvPicPr>
                    <pic:cNvPr id="124" name="image116.png"/>
                    <pic:cNvPicPr/>
                  </pic:nvPicPr>
                  <pic:blipFill>
                    <a:blip r:embed="rId23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developing</w:t>
      </w:r>
      <w:r>
        <w:rPr>
          <w:spacing w:val="-35"/>
        </w:rPr>
        <w:t> </w:t>
      </w:r>
      <w:r>
        <w:rPr/>
        <w:t>management</w:t>
      </w:r>
      <w:r>
        <w:rPr>
          <w:spacing w:val="-35"/>
        </w:rPr>
        <w:t> </w:t>
      </w:r>
      <w:r>
        <w:rPr/>
        <w:t>and</w:t>
      </w:r>
      <w:r>
        <w:rPr>
          <w:spacing w:val="-35"/>
        </w:rPr>
        <w:t> </w:t>
      </w:r>
      <w:r>
        <w:rPr/>
        <w:t>staff</w:t>
      </w:r>
      <w:r>
        <w:rPr>
          <w:spacing w:val="-35"/>
        </w:rPr>
        <w:t> </w:t>
      </w:r>
      <w:r>
        <w:rPr/>
        <w:t>awareness</w:t>
      </w:r>
      <w:r>
        <w:rPr>
          <w:spacing w:val="-35"/>
        </w:rPr>
        <w:t> </w:t>
      </w:r>
      <w:r>
        <w:rPr/>
        <w:t>levels</w:t>
      </w:r>
      <w:r>
        <w:rPr>
          <w:spacing w:val="-35"/>
        </w:rPr>
        <w:t> </w:t>
      </w:r>
      <w:r>
        <w:rPr/>
        <w:t>through</w:t>
      </w:r>
      <w:r>
        <w:rPr>
          <w:spacing w:val="-35"/>
        </w:rPr>
        <w:t> </w:t>
      </w:r>
      <w:r>
        <w:rPr/>
        <w:t>mandatory requirements</w:t>
      </w:r>
      <w:r>
        <w:rPr>
          <w:spacing w:val="-26"/>
        </w:rPr>
        <w:t> </w:t>
      </w:r>
      <w:r>
        <w:rPr/>
        <w:t>to</w:t>
      </w:r>
      <w:r>
        <w:rPr>
          <w:spacing w:val="-25"/>
        </w:rPr>
        <w:t> </w:t>
      </w:r>
      <w:r>
        <w:rPr/>
        <w:t>complete</w:t>
      </w:r>
      <w:r>
        <w:rPr>
          <w:spacing w:val="-26"/>
        </w:rPr>
        <w:t> </w:t>
      </w:r>
      <w:r>
        <w:rPr/>
        <w:t>the</w:t>
      </w:r>
      <w:r>
        <w:rPr>
          <w:spacing w:val="-25"/>
        </w:rPr>
        <w:t> </w:t>
      </w:r>
      <w:r>
        <w:rPr/>
        <w:t>updated</w:t>
      </w:r>
      <w:r>
        <w:rPr>
          <w:spacing w:val="-26"/>
        </w:rPr>
        <w:t> </w:t>
      </w:r>
      <w:r>
        <w:rPr/>
        <w:t>online</w:t>
      </w:r>
      <w:r>
        <w:rPr>
          <w:spacing w:val="-25"/>
        </w:rPr>
        <w:t> </w:t>
      </w:r>
      <w:r>
        <w:rPr/>
        <w:t>Risk</w:t>
      </w:r>
      <w:r>
        <w:rPr>
          <w:spacing w:val="-26"/>
        </w:rPr>
        <w:t> </w:t>
      </w:r>
      <w:r>
        <w:rPr/>
        <w:t>Awareness</w:t>
      </w:r>
      <w:r>
        <w:rPr>
          <w:spacing w:val="-25"/>
        </w:rPr>
        <w:t> </w:t>
      </w:r>
      <w:r>
        <w:rPr/>
        <w:t>Learning Module;</w:t>
      </w:r>
    </w:p>
    <w:p>
      <w:pPr>
        <w:pStyle w:val="BodyText"/>
        <w:spacing w:before="3"/>
        <w:ind w:left="765"/>
      </w:pPr>
      <w:r>
        <w:rPr>
          <w:position w:val="-1"/>
        </w:rPr>
        <w:drawing>
          <wp:inline distT="0" distB="0" distL="0" distR="0">
            <wp:extent cx="125999" cy="125999"/>
            <wp:effectExtent l="0" t="0" r="0" b="0"/>
            <wp:docPr id="125" name="image116.png" descr=""/>
            <wp:cNvGraphicFramePr>
              <a:graphicFrameLocks noChangeAspect="1"/>
            </wp:cNvGraphicFramePr>
            <a:graphic>
              <a:graphicData uri="http://schemas.openxmlformats.org/drawingml/2006/picture">
                <pic:pic>
                  <pic:nvPicPr>
                    <pic:cNvPr id="126" name="image116.png"/>
                    <pic:cNvPicPr/>
                  </pic:nvPicPr>
                  <pic:blipFill>
                    <a:blip r:embed="rId233" cstate="print"/>
                    <a:stretch>
                      <a:fillRect/>
                    </a:stretch>
                  </pic:blipFill>
                  <pic:spPr>
                    <a:xfrm>
                      <a:off x="0" y="0"/>
                      <a:ext cx="125999" cy="125999"/>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7"/>
          <w:sz w:val="20"/>
        </w:rPr>
        <w:t> </w:t>
      </w:r>
      <w:r>
        <w:rPr/>
        <w:t>ensuring</w:t>
      </w:r>
      <w:r>
        <w:rPr>
          <w:spacing w:val="-20"/>
        </w:rPr>
        <w:t> </w:t>
      </w:r>
      <w:r>
        <w:rPr/>
        <w:t>the</w:t>
      </w:r>
      <w:r>
        <w:rPr>
          <w:spacing w:val="-20"/>
        </w:rPr>
        <w:t> </w:t>
      </w:r>
      <w:r>
        <w:rPr>
          <w:spacing w:val="-3"/>
        </w:rPr>
        <w:t>Department’s</w:t>
      </w:r>
      <w:r>
        <w:rPr>
          <w:spacing w:val="-19"/>
        </w:rPr>
        <w:t> </w:t>
      </w:r>
      <w:r>
        <w:rPr/>
        <w:t>Internal</w:t>
      </w:r>
      <w:r>
        <w:rPr>
          <w:spacing w:val="-20"/>
        </w:rPr>
        <w:t> </w:t>
      </w:r>
      <w:r>
        <w:rPr/>
        <w:t>Audit</w:t>
      </w:r>
      <w:r>
        <w:rPr>
          <w:spacing w:val="-20"/>
        </w:rPr>
        <w:t> </w:t>
      </w:r>
      <w:r>
        <w:rPr/>
        <w:t>plan</w:t>
      </w:r>
      <w:r>
        <w:rPr>
          <w:spacing w:val="-19"/>
        </w:rPr>
        <w:t> </w:t>
      </w:r>
      <w:r>
        <w:rPr/>
        <w:t>covered</w:t>
      </w:r>
      <w:r>
        <w:rPr>
          <w:spacing w:val="-20"/>
        </w:rPr>
        <w:t> </w:t>
      </w:r>
      <w:r>
        <w:rPr/>
        <w:t>key</w:t>
      </w:r>
      <w:r>
        <w:rPr>
          <w:spacing w:val="-19"/>
        </w:rPr>
        <w:t> </w:t>
      </w:r>
      <w:r>
        <w:rPr/>
        <w:t>emerging</w:t>
      </w:r>
      <w:r>
        <w:rPr>
          <w:spacing w:val="-20"/>
        </w:rPr>
        <w:t> </w:t>
      </w:r>
      <w:r>
        <w:rPr/>
        <w:t>risks.</w:t>
      </w:r>
    </w:p>
    <w:p>
      <w:pPr>
        <w:pStyle w:val="BodyText"/>
        <w:spacing w:before="11"/>
        <w:ind w:left="1071"/>
      </w:pPr>
      <w:r>
        <w:rPr/>
        <w:t>Additional actions included:</w:t>
      </w:r>
    </w:p>
    <w:p>
      <w:pPr>
        <w:pStyle w:val="BodyText"/>
        <w:spacing w:line="249" w:lineRule="auto" w:before="11"/>
        <w:ind w:left="1560" w:right="524"/>
      </w:pPr>
      <w:r>
        <w:rPr/>
        <w:pict>
          <v:group style="position:absolute;margin-left:64.878601pt;margin-top:5.385077pt;width:4.8pt;height:4.8pt;mso-position-horizontal-relative:page;mso-position-vertical-relative:paragraph;z-index:29440" coordorigin="1298,108" coordsize="96,96">
            <v:shape style="position:absolute;left:1302;top:112;width:86;height:86" coordorigin="1303,113" coordsize="86,86" path="m1345,113l1329,116,1315,125,1306,139,1303,155,1306,172,1315,185,1329,194,1345,198,1362,194,1372,187,1345,187,1333,185,1322,178,1315,168,1313,155,1315,143,1322,132,1333,126,1345,123,1372,123,1362,116,1345,113xm1372,123l1345,123,1358,126,1368,132,1375,143,1377,155,1375,168,1368,178,1358,185,1345,187,1372,187,1375,185,1384,172,1388,155,1384,139,1375,125,1372,123xe" filled="true" fillcolor="#aebd37" stroked="false">
              <v:path arrowok="t"/>
              <v:fill type="solid"/>
            </v:shape>
            <v:shape style="position:absolute;left:-43;top:5164;width:86;height:86" coordorigin="-43,5164" coordsize="86,86" path="m1345,198l1329,194,1315,185,1306,172,1303,155,1306,139,1315,125,1329,116,1345,113,1362,116,1375,125,1384,139,1388,155,1384,172,1375,185,1362,194,1345,198xm1345,123l1333,126,1322,132,1315,143,1313,155,1315,168,1322,178,1333,185,1345,187,1358,185,1368,178,1375,168,1377,155,1375,143,1368,132,1358,126,1345,123xe" filled="false" stroked="true" strokeweight=".5pt" strokecolor="#aebd37">
              <v:path arrowok="t"/>
              <v:stroke dashstyle="solid"/>
            </v:shape>
            <w10:wrap type="none"/>
          </v:group>
        </w:pict>
      </w:r>
      <w:r>
        <w:rPr/>
        <w:t>a</w:t>
      </w:r>
      <w:r>
        <w:rPr>
          <w:spacing w:val="-24"/>
        </w:rPr>
        <w:t> </w:t>
      </w:r>
      <w:r>
        <w:rPr/>
        <w:t>comprehensive</w:t>
      </w:r>
      <w:r>
        <w:rPr>
          <w:spacing w:val="-24"/>
        </w:rPr>
        <w:t> </w:t>
      </w:r>
      <w:r>
        <w:rPr/>
        <w:t>information</w:t>
      </w:r>
      <w:r>
        <w:rPr>
          <w:spacing w:val="-24"/>
        </w:rPr>
        <w:t> </w:t>
      </w:r>
      <w:r>
        <w:rPr/>
        <w:t>security</w:t>
      </w:r>
      <w:r>
        <w:rPr>
          <w:spacing w:val="-24"/>
        </w:rPr>
        <w:t> </w:t>
      </w:r>
      <w:r>
        <w:rPr/>
        <w:t>review</w:t>
      </w:r>
      <w:r>
        <w:rPr>
          <w:spacing w:val="-23"/>
        </w:rPr>
        <w:t> </w:t>
      </w:r>
      <w:r>
        <w:rPr/>
        <w:t>prior</w:t>
      </w:r>
      <w:r>
        <w:rPr>
          <w:spacing w:val="-24"/>
        </w:rPr>
        <w:t> </w:t>
      </w:r>
      <w:r>
        <w:rPr/>
        <w:t>to</w:t>
      </w:r>
      <w:r>
        <w:rPr>
          <w:spacing w:val="-24"/>
        </w:rPr>
        <w:t> </w:t>
      </w:r>
      <w:r>
        <w:rPr/>
        <w:t>moving</w:t>
      </w:r>
      <w:r>
        <w:rPr>
          <w:spacing w:val="-24"/>
        </w:rPr>
        <w:t> </w:t>
      </w:r>
      <w:r>
        <w:rPr>
          <w:spacing w:val="-5"/>
        </w:rPr>
        <w:t>into </w:t>
      </w:r>
      <w:r>
        <w:rPr/>
        <w:t>cloud arrangements in line with the GovNext</w:t>
      </w:r>
      <w:r>
        <w:rPr>
          <w:spacing w:val="-44"/>
        </w:rPr>
        <w:t> </w:t>
      </w:r>
      <w:r>
        <w:rPr/>
        <w:t>reform;</w:t>
      </w:r>
    </w:p>
    <w:p>
      <w:pPr>
        <w:pStyle w:val="BodyText"/>
        <w:spacing w:line="249" w:lineRule="auto" w:before="2"/>
        <w:ind w:left="1560" w:right="13"/>
      </w:pPr>
      <w:r>
        <w:rPr/>
        <w:pict>
          <v:group style="position:absolute;margin-left:64.878601pt;margin-top:5.055867pt;width:4.8pt;height:4.8pt;mso-position-horizontal-relative:page;mso-position-vertical-relative:paragraph;z-index:29464" coordorigin="1298,101" coordsize="96,96">
            <v:shape style="position:absolute;left:1302;top:106;width:86;height:86" coordorigin="1303,106" coordsize="86,86" path="m1345,106l1329,109,1315,119,1306,132,1303,149,1306,165,1315,179,1329,188,1345,191,1362,188,1372,181,1345,181,1333,178,1322,171,1315,161,1313,149,1315,136,1322,126,1333,119,1345,116,1372,116,1362,109,1345,106xm1372,116l1345,116,1358,119,1368,126,1375,136,1377,149,1375,161,1368,171,1358,178,1345,181,1372,181,1375,179,1384,165,1388,149,1384,132,1375,119,1372,116xe" filled="true" fillcolor="#aebd37" stroked="false">
              <v:path arrowok="t"/>
              <v:fill type="solid"/>
            </v:shape>
            <v:shape style="position:absolute;left:-43;top:4627;width:86;height:86" coordorigin="-43,4627" coordsize="86,86" path="m1345,191l1329,188,1315,179,1306,165,1303,149,1306,132,1315,119,1329,109,1345,106,1362,109,1375,119,1384,132,1388,149,1384,165,1375,179,1362,188,1345,191xm1345,116l1333,119,1322,126,1315,136,1313,149,1315,161,1322,171,1333,178,1345,181,1358,178,1368,171,1375,161,1377,149,1375,136,1368,126,1358,119,1345,116xe" filled="false" stroked="true" strokeweight=".5pt" strokecolor="#aebd37">
              <v:path arrowok="t"/>
              <v:stroke dashstyle="solid"/>
            </v:shape>
            <w10:wrap type="none"/>
          </v:group>
        </w:pict>
      </w:r>
      <w:r>
        <w:rPr/>
        <w:pict>
          <v:group style="position:absolute;margin-left:64.878601pt;margin-top:31.576567pt;width:4.8pt;height:4.8pt;mso-position-horizontal-relative:page;mso-position-vertical-relative:paragraph;z-index:29488" coordorigin="1298,632" coordsize="96,96">
            <v:shape style="position:absolute;left:1302;top:636;width:86;height:86" coordorigin="1303,637" coordsize="86,86" path="m1345,637l1329,640,1315,649,1306,663,1303,679,1306,696,1315,709,1329,718,1345,722,1362,718,1372,711,1345,711,1333,709,1322,702,1315,692,1313,679,1315,667,1322,656,1333,649,1345,647,1372,647,1362,640,1345,637xm1372,647l1345,647,1358,649,1368,656,1375,667,1377,679,1375,692,1368,702,1358,709,1345,711,1372,711,1375,709,1384,696,1388,679,1384,663,1375,649,1372,647xe" filled="true" fillcolor="#aebd37" stroked="false">
              <v:path arrowok="t"/>
              <v:fill type="solid"/>
            </v:shape>
            <v:shape style="position:absolute;left:-43;top:4627;width:86;height:86" coordorigin="-43,4627" coordsize="86,86" path="m1345,722l1329,718,1315,709,1306,696,1303,679,1306,663,1315,649,1329,640,1345,637,1362,640,1375,649,1384,663,1388,679,1384,696,1375,709,1362,718,1345,722xm1345,647l1333,649,1322,656,1315,667,1313,679,1315,692,1322,702,1333,709,1345,711,1358,709,1368,702,1375,692,1377,679,1375,667,1368,656,1358,649,1345,647xe" filled="false" stroked="true" strokeweight=".5pt" strokecolor="#aebd37">
              <v:path arrowok="t"/>
              <v:stroke dashstyle="solid"/>
            </v:shape>
            <w10:wrap type="none"/>
          </v:group>
        </w:pict>
      </w:r>
      <w:r>
        <w:rPr/>
        <w:t>assessment</w:t>
      </w:r>
      <w:r>
        <w:rPr>
          <w:spacing w:val="-18"/>
        </w:rPr>
        <w:t> </w:t>
      </w:r>
      <w:r>
        <w:rPr/>
        <w:t>of</w:t>
      </w:r>
      <w:r>
        <w:rPr>
          <w:spacing w:val="-17"/>
        </w:rPr>
        <w:t> </w:t>
      </w:r>
      <w:r>
        <w:rPr/>
        <w:t>the</w:t>
      </w:r>
      <w:r>
        <w:rPr>
          <w:spacing w:val="-18"/>
        </w:rPr>
        <w:t> </w:t>
      </w:r>
      <w:r>
        <w:rPr/>
        <w:t>risk</w:t>
      </w:r>
      <w:r>
        <w:rPr>
          <w:spacing w:val="-17"/>
        </w:rPr>
        <w:t> </w:t>
      </w:r>
      <w:r>
        <w:rPr/>
        <w:t>management</w:t>
      </w:r>
      <w:r>
        <w:rPr>
          <w:spacing w:val="-17"/>
        </w:rPr>
        <w:t> </w:t>
      </w:r>
      <w:r>
        <w:rPr/>
        <w:t>function</w:t>
      </w:r>
      <w:r>
        <w:rPr>
          <w:spacing w:val="-18"/>
        </w:rPr>
        <w:t> </w:t>
      </w:r>
      <w:r>
        <w:rPr/>
        <w:t>in</w:t>
      </w:r>
      <w:r>
        <w:rPr>
          <w:spacing w:val="-17"/>
        </w:rPr>
        <w:t> </w:t>
      </w:r>
      <w:r>
        <w:rPr/>
        <w:t>capital</w:t>
      </w:r>
      <w:r>
        <w:rPr>
          <w:spacing w:val="-18"/>
        </w:rPr>
        <w:t> </w:t>
      </w:r>
      <w:r>
        <w:rPr/>
        <w:t>works</w:t>
      </w:r>
      <w:r>
        <w:rPr>
          <w:spacing w:val="-17"/>
        </w:rPr>
        <w:t> </w:t>
      </w:r>
      <w:r>
        <w:rPr>
          <w:spacing w:val="-4"/>
        </w:rPr>
        <w:t>projects </w:t>
      </w:r>
      <w:r>
        <w:rPr/>
        <w:t>managed by the Building Management and Works business unit; assessment of the operational effectiveness of the “Project Bank Accounts” process, which was designed to speed up the payment process and protect the interests of sub-contractors;</w:t>
      </w:r>
      <w:r>
        <w:rPr>
          <w:spacing w:val="-24"/>
        </w:rPr>
        <w:t> </w:t>
      </w:r>
      <w:r>
        <w:rPr/>
        <w:t>and</w:t>
      </w:r>
    </w:p>
    <w:p>
      <w:pPr>
        <w:pStyle w:val="BodyText"/>
        <w:spacing w:line="249" w:lineRule="auto" w:before="4"/>
        <w:ind w:left="1560" w:right="454"/>
        <w:jc w:val="both"/>
      </w:pPr>
      <w:r>
        <w:rPr/>
        <w:pict>
          <v:group style="position:absolute;margin-left:64.878601pt;margin-top:4.625268pt;width:4.8pt;height:4.8pt;mso-position-horizontal-relative:page;mso-position-vertical-relative:paragraph;z-index:29512" coordorigin="1298,93" coordsize="96,96">
            <v:shape style="position:absolute;left:1302;top:97;width:86;height:86" coordorigin="1303,98" coordsize="86,86" path="m1345,98l1329,101,1315,110,1306,123,1303,140,1306,157,1315,170,1329,179,1345,183,1362,179,1372,172,1345,172,1333,170,1322,163,1315,153,1313,140,1315,128,1322,117,1333,110,1345,108,1372,108,1362,101,1345,98xm1372,108l1345,108,1358,110,1368,117,1375,128,1377,140,1375,153,1368,163,1358,170,1345,172,1372,172,1375,170,1384,157,1388,140,1384,123,1375,110,1372,108xe" filled="true" fillcolor="#aebd37" stroked="false">
              <v:path arrowok="t"/>
              <v:fill type="solid"/>
            </v:shape>
            <v:shape style="position:absolute;left:-43;top:3309;width:86;height:86" coordorigin="-43,3309" coordsize="86,86" path="m1345,183l1329,179,1315,170,1306,157,1303,140,1306,123,1315,110,1329,101,1345,98,1362,101,1375,110,1384,123,1388,140,1384,157,1375,170,1362,179,1345,183xm1345,108l1333,110,1322,117,1315,128,1313,140,1315,153,1322,163,1333,170,1345,172,1358,170,1368,163,1375,153,1377,140,1375,128,1368,117,1358,110,1345,108xe" filled="false" stroked="true" strokeweight=".5pt" strokecolor="#aebd37">
              <v:path arrowok="t"/>
              <v:stroke dashstyle="solid"/>
            </v:shape>
            <w10:wrap type="none"/>
          </v:group>
        </w:pict>
      </w:r>
      <w:r>
        <w:rPr/>
        <w:t>testing</w:t>
      </w:r>
      <w:r>
        <w:rPr>
          <w:spacing w:val="-23"/>
        </w:rPr>
        <w:t> </w:t>
      </w:r>
      <w:r>
        <w:rPr/>
        <w:t>the</w:t>
      </w:r>
      <w:r>
        <w:rPr>
          <w:spacing w:val="-22"/>
        </w:rPr>
        <w:t> </w:t>
      </w:r>
      <w:r>
        <w:rPr/>
        <w:t>Online</w:t>
      </w:r>
      <w:r>
        <w:rPr>
          <w:spacing w:val="-22"/>
        </w:rPr>
        <w:t> </w:t>
      </w:r>
      <w:r>
        <w:rPr/>
        <w:t>Duties</w:t>
      </w:r>
      <w:r>
        <w:rPr>
          <w:spacing w:val="-22"/>
        </w:rPr>
        <w:t> </w:t>
      </w:r>
      <w:r>
        <w:rPr/>
        <w:t>Lodgment</w:t>
      </w:r>
      <w:r>
        <w:rPr>
          <w:spacing w:val="-23"/>
        </w:rPr>
        <w:t> </w:t>
      </w:r>
      <w:r>
        <w:rPr/>
        <w:t>functionality</w:t>
      </w:r>
      <w:r>
        <w:rPr>
          <w:spacing w:val="-22"/>
        </w:rPr>
        <w:t> </w:t>
      </w:r>
      <w:r>
        <w:rPr/>
        <w:t>for</w:t>
      </w:r>
      <w:r>
        <w:rPr>
          <w:spacing w:val="-22"/>
        </w:rPr>
        <w:t> </w:t>
      </w:r>
      <w:r>
        <w:rPr/>
        <w:t>the</w:t>
      </w:r>
      <w:r>
        <w:rPr>
          <w:spacing w:val="-22"/>
        </w:rPr>
        <w:t> </w:t>
      </w:r>
      <w:r>
        <w:rPr>
          <w:spacing w:val="-3"/>
        </w:rPr>
        <w:t>electronic </w:t>
      </w:r>
      <w:r>
        <w:rPr/>
        <w:t>lodgement</w:t>
      </w:r>
      <w:r>
        <w:rPr>
          <w:spacing w:val="-25"/>
        </w:rPr>
        <w:t> </w:t>
      </w:r>
      <w:r>
        <w:rPr/>
        <w:t>of</w:t>
      </w:r>
      <w:r>
        <w:rPr>
          <w:spacing w:val="-24"/>
        </w:rPr>
        <w:t> </w:t>
      </w:r>
      <w:r>
        <w:rPr/>
        <w:t>dutiable</w:t>
      </w:r>
      <w:r>
        <w:rPr>
          <w:spacing w:val="-24"/>
        </w:rPr>
        <w:t> </w:t>
      </w:r>
      <w:r>
        <w:rPr/>
        <w:t>transactions,</w:t>
      </w:r>
      <w:r>
        <w:rPr>
          <w:spacing w:val="-25"/>
        </w:rPr>
        <w:t> </w:t>
      </w:r>
      <w:r>
        <w:rPr/>
        <w:t>which</w:t>
      </w:r>
      <w:r>
        <w:rPr>
          <w:spacing w:val="-24"/>
        </w:rPr>
        <w:t> </w:t>
      </w:r>
      <w:r>
        <w:rPr/>
        <w:t>is</w:t>
      </w:r>
      <w:r>
        <w:rPr>
          <w:spacing w:val="-24"/>
        </w:rPr>
        <w:t> </w:t>
      </w:r>
      <w:r>
        <w:rPr/>
        <w:t>a</w:t>
      </w:r>
      <w:r>
        <w:rPr>
          <w:spacing w:val="-25"/>
        </w:rPr>
        <w:t> </w:t>
      </w:r>
      <w:r>
        <w:rPr/>
        <w:t>significant</w:t>
      </w:r>
      <w:r>
        <w:rPr>
          <w:spacing w:val="-24"/>
        </w:rPr>
        <w:t> </w:t>
      </w:r>
      <w:r>
        <w:rPr/>
        <w:t>revenue stream to government;</w:t>
      </w:r>
      <w:r>
        <w:rPr>
          <w:spacing w:val="-3"/>
        </w:rPr>
        <w:t> </w:t>
      </w:r>
      <w:r>
        <w:rPr/>
        <w:t>and</w:t>
      </w:r>
    </w:p>
    <w:p>
      <w:pPr>
        <w:pStyle w:val="BodyText"/>
        <w:spacing w:line="249" w:lineRule="auto" w:before="3"/>
        <w:ind w:left="1071" w:right="398" w:hanging="306"/>
      </w:pPr>
      <w:r>
        <w:rPr>
          <w:position w:val="-1"/>
        </w:rPr>
        <w:drawing>
          <wp:inline distT="0" distB="0" distL="0" distR="0">
            <wp:extent cx="125999" cy="125997"/>
            <wp:effectExtent l="0" t="0" r="0" b="0"/>
            <wp:docPr id="127" name="image116.png" descr=""/>
            <wp:cNvGraphicFramePr>
              <a:graphicFrameLocks noChangeAspect="1"/>
            </wp:cNvGraphicFramePr>
            <a:graphic>
              <a:graphicData uri="http://schemas.openxmlformats.org/drawingml/2006/picture">
                <pic:pic>
                  <pic:nvPicPr>
                    <pic:cNvPr id="128" name="image116.png"/>
                    <pic:cNvPicPr/>
                  </pic:nvPicPr>
                  <pic:blipFill>
                    <a:blip r:embed="rId233"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through</w:t>
      </w:r>
      <w:r>
        <w:rPr>
          <w:spacing w:val="-22"/>
        </w:rPr>
        <w:t> </w:t>
      </w:r>
      <w:r>
        <w:rPr/>
        <w:t>diligent</w:t>
      </w:r>
      <w:r>
        <w:rPr>
          <w:spacing w:val="-22"/>
        </w:rPr>
        <w:t> </w:t>
      </w:r>
      <w:r>
        <w:rPr/>
        <w:t>monitoring,</w:t>
      </w:r>
      <w:r>
        <w:rPr>
          <w:spacing w:val="-22"/>
        </w:rPr>
        <w:t> </w:t>
      </w:r>
      <w:r>
        <w:rPr/>
        <w:t>the</w:t>
      </w:r>
      <w:r>
        <w:rPr>
          <w:spacing w:val="-22"/>
        </w:rPr>
        <w:t> </w:t>
      </w:r>
      <w:r>
        <w:rPr/>
        <w:t>number</w:t>
      </w:r>
      <w:r>
        <w:rPr>
          <w:spacing w:val="-22"/>
        </w:rPr>
        <w:t> </w:t>
      </w:r>
      <w:r>
        <w:rPr/>
        <w:t>of</w:t>
      </w:r>
      <w:r>
        <w:rPr>
          <w:spacing w:val="-21"/>
        </w:rPr>
        <w:t> </w:t>
      </w:r>
      <w:r>
        <w:rPr/>
        <w:t>outstanding</w:t>
      </w:r>
      <w:r>
        <w:rPr>
          <w:spacing w:val="-22"/>
        </w:rPr>
        <w:t> </w:t>
      </w:r>
      <w:r>
        <w:rPr/>
        <w:t>Auditor</w:t>
      </w:r>
      <w:r>
        <w:rPr>
          <w:spacing w:val="-22"/>
        </w:rPr>
        <w:t> </w:t>
      </w:r>
      <w:r>
        <w:rPr>
          <w:spacing w:val="-3"/>
        </w:rPr>
        <w:t>General </w:t>
      </w:r>
      <w:r>
        <w:rPr/>
        <w:t>findings reduced by 61 per cent from</w:t>
      </w:r>
      <w:r>
        <w:rPr>
          <w:spacing w:val="-11"/>
        </w:rPr>
        <w:t> </w:t>
      </w:r>
      <w:r>
        <w:rPr/>
        <w:t>2016-17.</w:t>
      </w:r>
    </w:p>
    <w:p>
      <w:pPr>
        <w:pStyle w:val="Heading4"/>
        <w:spacing w:before="110"/>
        <w:ind w:left="425"/>
      </w:pPr>
      <w:r>
        <w:rPr/>
        <w:br w:type="column"/>
      </w:r>
      <w:r>
        <w:rPr>
          <w:color w:val="6F2770"/>
        </w:rPr>
        <w:t>Unauthorised use of credit cards</w:t>
      </w:r>
    </w:p>
    <w:p>
      <w:pPr>
        <w:pStyle w:val="BodyText"/>
        <w:spacing w:line="249" w:lineRule="auto" w:before="246"/>
        <w:ind w:left="425" w:right="766"/>
      </w:pPr>
      <w:r>
        <w:rPr/>
        <w:t>The Department of Finance uses corporate credit cards as a purchasing tool to</w:t>
      </w:r>
      <w:r>
        <w:rPr>
          <w:spacing w:val="-15"/>
        </w:rPr>
        <w:t> </w:t>
      </w:r>
      <w:r>
        <w:rPr/>
        <w:t>reduce</w:t>
      </w:r>
      <w:r>
        <w:rPr>
          <w:spacing w:val="-14"/>
        </w:rPr>
        <w:t> </w:t>
      </w:r>
      <w:r>
        <w:rPr/>
        <w:t>the</w:t>
      </w:r>
      <w:r>
        <w:rPr>
          <w:spacing w:val="-15"/>
        </w:rPr>
        <w:t> </w:t>
      </w:r>
      <w:r>
        <w:rPr/>
        <w:t>cost</w:t>
      </w:r>
      <w:r>
        <w:rPr>
          <w:spacing w:val="-14"/>
        </w:rPr>
        <w:t> </w:t>
      </w:r>
      <w:r>
        <w:rPr/>
        <w:t>of</w:t>
      </w:r>
      <w:r>
        <w:rPr>
          <w:spacing w:val="-15"/>
        </w:rPr>
        <w:t> </w:t>
      </w:r>
      <w:r>
        <w:rPr/>
        <w:t>invoice</w:t>
      </w:r>
      <w:r>
        <w:rPr>
          <w:spacing w:val="-14"/>
        </w:rPr>
        <w:t> </w:t>
      </w:r>
      <w:r>
        <w:rPr/>
        <w:t>payments.</w:t>
      </w:r>
      <w:r>
        <w:rPr>
          <w:spacing w:val="-15"/>
        </w:rPr>
        <w:t> </w:t>
      </w:r>
      <w:r>
        <w:rPr/>
        <w:t>There</w:t>
      </w:r>
      <w:r>
        <w:rPr>
          <w:spacing w:val="-14"/>
        </w:rPr>
        <w:t> </w:t>
      </w:r>
      <w:r>
        <w:rPr/>
        <w:t>is</w:t>
      </w:r>
      <w:r>
        <w:rPr>
          <w:spacing w:val="-14"/>
        </w:rPr>
        <w:t> </w:t>
      </w:r>
      <w:r>
        <w:rPr/>
        <w:t>a</w:t>
      </w:r>
      <w:r>
        <w:rPr>
          <w:spacing w:val="-15"/>
        </w:rPr>
        <w:t> </w:t>
      </w:r>
      <w:r>
        <w:rPr/>
        <w:t>strong</w:t>
      </w:r>
      <w:r>
        <w:rPr>
          <w:spacing w:val="-14"/>
        </w:rPr>
        <w:t> </w:t>
      </w:r>
      <w:r>
        <w:rPr/>
        <w:t>control</w:t>
      </w:r>
      <w:r>
        <w:rPr>
          <w:spacing w:val="-15"/>
        </w:rPr>
        <w:t> </w:t>
      </w:r>
      <w:r>
        <w:rPr/>
        <w:t>framework</w:t>
      </w:r>
      <w:r>
        <w:rPr>
          <w:spacing w:val="-14"/>
        </w:rPr>
        <w:t> </w:t>
      </w:r>
      <w:r>
        <w:rPr/>
        <w:t>in place</w:t>
      </w:r>
      <w:r>
        <w:rPr>
          <w:spacing w:val="-17"/>
        </w:rPr>
        <w:t> </w:t>
      </w:r>
      <w:r>
        <w:rPr/>
        <w:t>to</w:t>
      </w:r>
      <w:r>
        <w:rPr>
          <w:spacing w:val="-17"/>
        </w:rPr>
        <w:t> </w:t>
      </w:r>
      <w:r>
        <w:rPr/>
        <w:t>support</w:t>
      </w:r>
      <w:r>
        <w:rPr>
          <w:spacing w:val="-17"/>
        </w:rPr>
        <w:t> </w:t>
      </w:r>
      <w:r>
        <w:rPr/>
        <w:t>the</w:t>
      </w:r>
      <w:r>
        <w:rPr>
          <w:spacing w:val="-17"/>
        </w:rPr>
        <w:t> </w:t>
      </w:r>
      <w:r>
        <w:rPr/>
        <w:t>use</w:t>
      </w:r>
      <w:r>
        <w:rPr>
          <w:spacing w:val="-16"/>
        </w:rPr>
        <w:t> </w:t>
      </w:r>
      <w:r>
        <w:rPr/>
        <w:t>of</w:t>
      </w:r>
      <w:r>
        <w:rPr>
          <w:spacing w:val="-17"/>
        </w:rPr>
        <w:t> </w:t>
      </w:r>
      <w:r>
        <w:rPr/>
        <w:t>purchasing</w:t>
      </w:r>
      <w:r>
        <w:rPr>
          <w:spacing w:val="-17"/>
        </w:rPr>
        <w:t> </w:t>
      </w:r>
      <w:r>
        <w:rPr/>
        <w:t>cards</w:t>
      </w:r>
      <w:r>
        <w:rPr>
          <w:spacing w:val="-17"/>
        </w:rPr>
        <w:t> </w:t>
      </w:r>
      <w:r>
        <w:rPr/>
        <w:t>across</w:t>
      </w:r>
      <w:r>
        <w:rPr>
          <w:spacing w:val="-16"/>
        </w:rPr>
        <w:t> </w:t>
      </w:r>
      <w:r>
        <w:rPr/>
        <w:t>the</w:t>
      </w:r>
      <w:r>
        <w:rPr>
          <w:spacing w:val="-17"/>
        </w:rPr>
        <w:t> </w:t>
      </w:r>
      <w:r>
        <w:rPr/>
        <w:t>Department,</w:t>
      </w:r>
      <w:r>
        <w:rPr>
          <w:spacing w:val="-17"/>
        </w:rPr>
        <w:t> </w:t>
      </w:r>
      <w:r>
        <w:rPr/>
        <w:t>including supervisor approval of all staff transactions and high-level oversight by the </w:t>
      </w:r>
      <w:r>
        <w:rPr>
          <w:spacing w:val="-3"/>
        </w:rPr>
        <w:t>Department’s </w:t>
      </w:r>
      <w:r>
        <w:rPr/>
        <w:t>Finance and Procurement</w:t>
      </w:r>
      <w:r>
        <w:rPr>
          <w:spacing w:val="-9"/>
        </w:rPr>
        <w:t> </w:t>
      </w:r>
      <w:r>
        <w:rPr/>
        <w:t>Committee.</w:t>
      </w:r>
    </w:p>
    <w:p>
      <w:pPr>
        <w:pStyle w:val="BodyText"/>
        <w:spacing w:line="249" w:lineRule="auto" w:before="118"/>
        <w:ind w:left="425" w:right="934"/>
      </w:pPr>
      <w:r>
        <w:rPr/>
        <w:t>Processes</w:t>
      </w:r>
      <w:r>
        <w:rPr>
          <w:spacing w:val="-26"/>
        </w:rPr>
        <w:t> </w:t>
      </w:r>
      <w:r>
        <w:rPr/>
        <w:t>are</w:t>
      </w:r>
      <w:r>
        <w:rPr>
          <w:spacing w:val="-25"/>
        </w:rPr>
        <w:t> </w:t>
      </w:r>
      <w:r>
        <w:rPr/>
        <w:t>in</w:t>
      </w:r>
      <w:r>
        <w:rPr>
          <w:spacing w:val="-26"/>
        </w:rPr>
        <w:t> </w:t>
      </w:r>
      <w:r>
        <w:rPr/>
        <w:t>place</w:t>
      </w:r>
      <w:r>
        <w:rPr>
          <w:spacing w:val="-25"/>
        </w:rPr>
        <w:t> </w:t>
      </w:r>
      <w:r>
        <w:rPr/>
        <w:t>to</w:t>
      </w:r>
      <w:r>
        <w:rPr>
          <w:spacing w:val="-25"/>
        </w:rPr>
        <w:t> </w:t>
      </w:r>
      <w:r>
        <w:rPr/>
        <w:t>ensure</w:t>
      </w:r>
      <w:r>
        <w:rPr>
          <w:spacing w:val="-26"/>
        </w:rPr>
        <w:t> </w:t>
      </w:r>
      <w:r>
        <w:rPr/>
        <w:t>the</w:t>
      </w:r>
      <w:r>
        <w:rPr>
          <w:spacing w:val="-25"/>
        </w:rPr>
        <w:t> </w:t>
      </w:r>
      <w:r>
        <w:rPr/>
        <w:t>early</w:t>
      </w:r>
      <w:r>
        <w:rPr>
          <w:spacing w:val="-25"/>
        </w:rPr>
        <w:t> </w:t>
      </w:r>
      <w:r>
        <w:rPr/>
        <w:t>detection</w:t>
      </w:r>
      <w:r>
        <w:rPr>
          <w:spacing w:val="-26"/>
        </w:rPr>
        <w:t> </w:t>
      </w:r>
      <w:r>
        <w:rPr/>
        <w:t>of</w:t>
      </w:r>
      <w:r>
        <w:rPr>
          <w:spacing w:val="-25"/>
        </w:rPr>
        <w:t> </w:t>
      </w:r>
      <w:r>
        <w:rPr/>
        <w:t>inadvertent/accidental personal misuse of Department of Finance purchasing cards, and timely repayment of associated</w:t>
      </w:r>
      <w:r>
        <w:rPr>
          <w:spacing w:val="-3"/>
        </w:rPr>
        <w:t> </w:t>
      </w:r>
      <w:r>
        <w:rPr/>
        <w:t>costs.</w:t>
      </w:r>
    </w:p>
    <w:p>
      <w:pPr>
        <w:pStyle w:val="BodyText"/>
        <w:spacing w:line="249" w:lineRule="auto" w:before="116"/>
        <w:ind w:left="425" w:right="903"/>
      </w:pPr>
      <w:r>
        <w:rPr/>
        <w:pict>
          <v:shape style="position:absolute;margin-left:431.574799pt;margin-top:88.960869pt;width:372.55pt;height:194.85pt;mso-position-horizontal-relative:page;mso-position-vertical-relative:paragraph;z-index:2963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4"/>
                    <w:gridCol w:w="1418"/>
                  </w:tblGrid>
                  <w:tr>
                    <w:trPr>
                      <w:trHeight w:val="305" w:hRule="atLeast"/>
                    </w:trPr>
                    <w:tc>
                      <w:tcPr>
                        <w:tcW w:w="7442" w:type="dxa"/>
                        <w:gridSpan w:val="2"/>
                        <w:tcBorders>
                          <w:left w:val="single" w:sz="8" w:space="0" w:color="FFFFFF"/>
                        </w:tcBorders>
                        <w:shd w:val="clear" w:color="auto" w:fill="783A79"/>
                      </w:tcPr>
                      <w:p>
                        <w:pPr>
                          <w:pStyle w:val="TableParagraph"/>
                          <w:tabs>
                            <w:tab w:pos="7327" w:val="right" w:leader="none"/>
                          </w:tabs>
                          <w:spacing w:before="42"/>
                          <w:ind w:left="113"/>
                          <w:rPr>
                            <w:b/>
                            <w:sz w:val="19"/>
                          </w:rPr>
                        </w:pPr>
                        <w:r>
                          <w:rPr>
                            <w:b/>
                            <w:color w:val="FFFFFF"/>
                            <w:sz w:val="19"/>
                          </w:rPr>
                          <w:t>Measure</w:t>
                          <w:tab/>
                          <w:t>2017-18</w:t>
                        </w:r>
                      </w:p>
                    </w:tc>
                  </w:tr>
                  <w:tr>
                    <w:trPr>
                      <w:trHeight w:val="751" w:hRule="atLeast"/>
                    </w:trPr>
                    <w:tc>
                      <w:tcPr>
                        <w:tcW w:w="6024" w:type="dxa"/>
                        <w:tcBorders>
                          <w:left w:val="single" w:sz="8" w:space="0" w:color="FFFFFF"/>
                          <w:bottom w:val="single" w:sz="8" w:space="0" w:color="FFFFFF"/>
                        </w:tcBorders>
                        <w:shd w:val="clear" w:color="auto" w:fill="F4F4F4"/>
                      </w:tcPr>
                      <w:p>
                        <w:pPr>
                          <w:pStyle w:val="TableParagraph"/>
                          <w:spacing w:line="249" w:lineRule="auto" w:before="42"/>
                          <w:ind w:left="113" w:right="117"/>
                          <w:rPr>
                            <w:sz w:val="19"/>
                          </w:rPr>
                        </w:pPr>
                        <w:r>
                          <w:rPr>
                            <w:sz w:val="19"/>
                          </w:rPr>
                          <w:t>Number</w:t>
                        </w:r>
                        <w:r>
                          <w:rPr>
                            <w:spacing w:val="-16"/>
                            <w:sz w:val="19"/>
                          </w:rPr>
                          <w:t> </w:t>
                        </w:r>
                        <w:r>
                          <w:rPr>
                            <w:sz w:val="19"/>
                          </w:rPr>
                          <w:t>of</w:t>
                        </w:r>
                        <w:r>
                          <w:rPr>
                            <w:spacing w:val="-15"/>
                            <w:sz w:val="19"/>
                          </w:rPr>
                          <w:t> </w:t>
                        </w:r>
                        <w:r>
                          <w:rPr>
                            <w:sz w:val="19"/>
                          </w:rPr>
                          <w:t>instances</w:t>
                        </w:r>
                        <w:r>
                          <w:rPr>
                            <w:spacing w:val="-16"/>
                            <w:sz w:val="19"/>
                          </w:rPr>
                          <w:t> </w:t>
                        </w:r>
                        <w:r>
                          <w:rPr>
                            <w:sz w:val="19"/>
                          </w:rPr>
                          <w:t>a</w:t>
                        </w:r>
                        <w:r>
                          <w:rPr>
                            <w:spacing w:val="-15"/>
                            <w:sz w:val="19"/>
                          </w:rPr>
                          <w:t> </w:t>
                        </w:r>
                        <w:r>
                          <w:rPr>
                            <w:sz w:val="19"/>
                          </w:rPr>
                          <w:t>government</w:t>
                        </w:r>
                        <w:r>
                          <w:rPr>
                            <w:spacing w:val="-15"/>
                            <w:sz w:val="19"/>
                          </w:rPr>
                          <w:t> </w:t>
                        </w:r>
                        <w:r>
                          <w:rPr>
                            <w:sz w:val="19"/>
                          </w:rPr>
                          <w:t>purchasing</w:t>
                        </w:r>
                        <w:r>
                          <w:rPr>
                            <w:spacing w:val="-16"/>
                            <w:sz w:val="19"/>
                          </w:rPr>
                          <w:t> </w:t>
                        </w:r>
                        <w:r>
                          <w:rPr>
                            <w:sz w:val="19"/>
                          </w:rPr>
                          <w:t>card</w:t>
                        </w:r>
                        <w:r>
                          <w:rPr>
                            <w:spacing w:val="-15"/>
                            <w:sz w:val="19"/>
                          </w:rPr>
                          <w:t> </w:t>
                        </w:r>
                        <w:r>
                          <w:rPr>
                            <w:sz w:val="19"/>
                          </w:rPr>
                          <w:t>has</w:t>
                        </w:r>
                        <w:r>
                          <w:rPr>
                            <w:spacing w:val="-16"/>
                            <w:sz w:val="19"/>
                          </w:rPr>
                          <w:t> </w:t>
                        </w:r>
                        <w:r>
                          <w:rPr>
                            <w:sz w:val="19"/>
                          </w:rPr>
                          <w:t>been</w:t>
                        </w:r>
                        <w:r>
                          <w:rPr>
                            <w:spacing w:val="-15"/>
                            <w:sz w:val="19"/>
                          </w:rPr>
                          <w:t> </w:t>
                        </w:r>
                        <w:r>
                          <w:rPr>
                            <w:sz w:val="19"/>
                          </w:rPr>
                          <w:t>used</w:t>
                        </w:r>
                        <w:r>
                          <w:rPr>
                            <w:spacing w:val="-15"/>
                            <w:sz w:val="19"/>
                          </w:rPr>
                          <w:t> </w:t>
                        </w:r>
                        <w:r>
                          <w:rPr>
                            <w:spacing w:val="-6"/>
                            <w:sz w:val="19"/>
                          </w:rPr>
                          <w:t>for </w:t>
                        </w:r>
                        <w:r>
                          <w:rPr>
                            <w:sz w:val="19"/>
                          </w:rPr>
                          <w:t>personal</w:t>
                        </w:r>
                        <w:r>
                          <w:rPr>
                            <w:spacing w:val="-1"/>
                            <w:sz w:val="19"/>
                          </w:rPr>
                          <w:t> </w:t>
                        </w:r>
                        <w:r>
                          <w:rPr>
                            <w:sz w:val="19"/>
                          </w:rPr>
                          <w:t>use</w:t>
                        </w:r>
                      </w:p>
                    </w:tc>
                    <w:tc>
                      <w:tcPr>
                        <w:tcW w:w="1418" w:type="dxa"/>
                        <w:vMerge w:val="restart"/>
                        <w:shd w:val="clear" w:color="auto" w:fill="DFE1B8"/>
                      </w:tcPr>
                      <w:p>
                        <w:pPr>
                          <w:pStyle w:val="TableParagraph"/>
                          <w:spacing w:before="42"/>
                          <w:ind w:right="102"/>
                          <w:jc w:val="right"/>
                          <w:rPr>
                            <w:sz w:val="19"/>
                          </w:rPr>
                        </w:pPr>
                        <w:r>
                          <w:rPr>
                            <w:w w:val="95"/>
                            <w:sz w:val="19"/>
                          </w:rPr>
                          <w:t>14</w:t>
                        </w:r>
                      </w:p>
                      <w:p>
                        <w:pPr>
                          <w:pStyle w:val="TableParagraph"/>
                          <w:spacing w:before="0"/>
                          <w:rPr>
                            <w:b/>
                            <w:sz w:val="22"/>
                          </w:rPr>
                        </w:pPr>
                      </w:p>
                      <w:p>
                        <w:pPr>
                          <w:pStyle w:val="TableParagraph"/>
                          <w:spacing w:before="3"/>
                          <w:rPr>
                            <w:b/>
                            <w:sz w:val="25"/>
                          </w:rPr>
                        </w:pPr>
                      </w:p>
                      <w:p>
                        <w:pPr>
                          <w:pStyle w:val="TableParagraph"/>
                          <w:spacing w:before="0"/>
                          <w:ind w:right="102"/>
                          <w:jc w:val="right"/>
                          <w:rPr>
                            <w:sz w:val="19"/>
                          </w:rPr>
                        </w:pPr>
                        <w:r>
                          <w:rPr>
                            <w:w w:val="95"/>
                            <w:sz w:val="19"/>
                          </w:rPr>
                          <w:t>$674.09</w:t>
                        </w:r>
                      </w:p>
                      <w:p>
                        <w:pPr>
                          <w:pStyle w:val="TableParagraph"/>
                          <w:spacing w:before="4"/>
                          <w:rPr>
                            <w:b/>
                            <w:sz w:val="27"/>
                          </w:rPr>
                        </w:pPr>
                      </w:p>
                      <w:p>
                        <w:pPr>
                          <w:pStyle w:val="TableParagraph"/>
                          <w:spacing w:before="1"/>
                          <w:ind w:right="102"/>
                          <w:jc w:val="right"/>
                          <w:rPr>
                            <w:sz w:val="19"/>
                          </w:rPr>
                        </w:pPr>
                        <w:r>
                          <w:rPr>
                            <w:w w:val="95"/>
                            <w:sz w:val="19"/>
                          </w:rPr>
                          <w:t>$293.71</w:t>
                        </w:r>
                      </w:p>
                      <w:p>
                        <w:pPr>
                          <w:pStyle w:val="TableParagraph"/>
                          <w:spacing w:before="0"/>
                          <w:rPr>
                            <w:b/>
                            <w:sz w:val="22"/>
                          </w:rPr>
                        </w:pPr>
                      </w:p>
                      <w:p>
                        <w:pPr>
                          <w:pStyle w:val="TableParagraph"/>
                          <w:spacing w:before="2"/>
                          <w:rPr>
                            <w:b/>
                            <w:sz w:val="25"/>
                          </w:rPr>
                        </w:pPr>
                      </w:p>
                      <w:p>
                        <w:pPr>
                          <w:pStyle w:val="TableParagraph"/>
                          <w:spacing w:before="0"/>
                          <w:ind w:right="102"/>
                          <w:jc w:val="right"/>
                          <w:rPr>
                            <w:sz w:val="19"/>
                          </w:rPr>
                        </w:pPr>
                        <w:r>
                          <w:rPr>
                            <w:w w:val="95"/>
                            <w:sz w:val="19"/>
                          </w:rPr>
                          <w:t>$380.38</w:t>
                        </w:r>
                      </w:p>
                      <w:p>
                        <w:pPr>
                          <w:pStyle w:val="TableParagraph"/>
                          <w:spacing w:before="0"/>
                          <w:rPr>
                            <w:b/>
                            <w:sz w:val="22"/>
                          </w:rPr>
                        </w:pPr>
                      </w:p>
                      <w:p>
                        <w:pPr>
                          <w:pStyle w:val="TableParagraph"/>
                          <w:spacing w:before="3"/>
                          <w:rPr>
                            <w:b/>
                            <w:sz w:val="25"/>
                          </w:rPr>
                        </w:pPr>
                      </w:p>
                      <w:p>
                        <w:pPr>
                          <w:pStyle w:val="TableParagraph"/>
                          <w:spacing w:before="0"/>
                          <w:ind w:right="102"/>
                          <w:jc w:val="right"/>
                          <w:rPr>
                            <w:sz w:val="19"/>
                          </w:rPr>
                        </w:pPr>
                        <w:r>
                          <w:rPr>
                            <w:w w:val="99"/>
                            <w:sz w:val="19"/>
                          </w:rPr>
                          <w:t>0</w:t>
                        </w:r>
                      </w:p>
                    </w:tc>
                  </w:tr>
                  <w:tr>
                    <w:trPr>
                      <w:trHeight w:val="513" w:hRule="atLeast"/>
                    </w:trPr>
                    <w:tc>
                      <w:tcPr>
                        <w:tcW w:w="6024"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Aggregate</w:t>
                        </w:r>
                        <w:r>
                          <w:rPr>
                            <w:spacing w:val="-15"/>
                            <w:sz w:val="19"/>
                          </w:rPr>
                          <w:t> </w:t>
                        </w:r>
                        <w:r>
                          <w:rPr>
                            <w:sz w:val="19"/>
                          </w:rPr>
                          <w:t>amount</w:t>
                        </w:r>
                        <w:r>
                          <w:rPr>
                            <w:spacing w:val="-15"/>
                            <w:sz w:val="19"/>
                          </w:rPr>
                          <w:t> </w:t>
                        </w:r>
                        <w:r>
                          <w:rPr>
                            <w:sz w:val="19"/>
                          </w:rPr>
                          <w:t>of</w:t>
                        </w:r>
                        <w:r>
                          <w:rPr>
                            <w:spacing w:val="-15"/>
                            <w:sz w:val="19"/>
                          </w:rPr>
                          <w:t> </w:t>
                        </w:r>
                        <w:r>
                          <w:rPr>
                            <w:sz w:val="19"/>
                          </w:rPr>
                          <w:t>personal</w:t>
                        </w:r>
                        <w:r>
                          <w:rPr>
                            <w:spacing w:val="-15"/>
                            <w:sz w:val="19"/>
                          </w:rPr>
                          <w:t> </w:t>
                        </w:r>
                        <w:r>
                          <w:rPr>
                            <w:sz w:val="19"/>
                          </w:rPr>
                          <w:t>use</w:t>
                        </w:r>
                        <w:r>
                          <w:rPr>
                            <w:spacing w:val="-15"/>
                            <w:sz w:val="19"/>
                          </w:rPr>
                          <w:t> </w:t>
                        </w:r>
                        <w:r>
                          <w:rPr>
                            <w:sz w:val="19"/>
                          </w:rPr>
                          <w:t>expenditure</w:t>
                        </w:r>
                        <w:r>
                          <w:rPr>
                            <w:spacing w:val="-15"/>
                            <w:sz w:val="19"/>
                          </w:rPr>
                          <w:t> </w:t>
                        </w:r>
                        <w:r>
                          <w:rPr>
                            <w:sz w:val="19"/>
                          </w:rPr>
                          <w:t>for</w:t>
                        </w:r>
                        <w:r>
                          <w:rPr>
                            <w:spacing w:val="-15"/>
                            <w:sz w:val="19"/>
                          </w:rPr>
                          <w:t> </w:t>
                        </w:r>
                        <w:r>
                          <w:rPr>
                            <w:sz w:val="19"/>
                          </w:rPr>
                          <w:t>the</w:t>
                        </w:r>
                        <w:r>
                          <w:rPr>
                            <w:spacing w:val="-15"/>
                            <w:sz w:val="19"/>
                          </w:rPr>
                          <w:t> </w:t>
                        </w:r>
                        <w:r>
                          <w:rPr>
                            <w:sz w:val="19"/>
                          </w:rPr>
                          <w:t>reporting</w:t>
                        </w:r>
                        <w:r>
                          <w:rPr>
                            <w:spacing w:val="-14"/>
                            <w:sz w:val="19"/>
                          </w:rPr>
                          <w:t> </w:t>
                        </w:r>
                        <w:r>
                          <w:rPr>
                            <w:sz w:val="19"/>
                          </w:rPr>
                          <w:t>period</w:t>
                        </w:r>
                      </w:p>
                    </w:tc>
                    <w:tc>
                      <w:tcPr>
                        <w:tcW w:w="1418" w:type="dxa"/>
                        <w:vMerge/>
                        <w:tcBorders>
                          <w:top w:val="nil"/>
                        </w:tcBorders>
                        <w:shd w:val="clear" w:color="auto" w:fill="DFE1B8"/>
                      </w:tcPr>
                      <w:p>
                        <w:pPr>
                          <w:rPr>
                            <w:sz w:val="2"/>
                            <w:szCs w:val="2"/>
                          </w:rPr>
                        </w:pPr>
                      </w:p>
                    </w:tc>
                  </w:tr>
                  <w:tr>
                    <w:trPr>
                      <w:trHeight w:val="741" w:hRule="atLeast"/>
                    </w:trPr>
                    <w:tc>
                      <w:tcPr>
                        <w:tcW w:w="6024" w:type="dxa"/>
                        <w:tcBorders>
                          <w:top w:val="single" w:sz="8" w:space="0" w:color="FFFFFF"/>
                          <w:left w:val="single" w:sz="8" w:space="0" w:color="FFFFFF"/>
                          <w:bottom w:val="single" w:sz="8" w:space="0" w:color="FFFFFF"/>
                        </w:tcBorders>
                        <w:shd w:val="clear" w:color="auto" w:fill="F4F4F4"/>
                      </w:tcPr>
                      <w:p>
                        <w:pPr>
                          <w:pStyle w:val="TableParagraph"/>
                          <w:spacing w:line="249" w:lineRule="auto"/>
                          <w:ind w:left="113" w:right="120"/>
                          <w:rPr>
                            <w:sz w:val="19"/>
                          </w:rPr>
                        </w:pPr>
                        <w:r>
                          <w:rPr>
                            <w:sz w:val="19"/>
                          </w:rPr>
                          <w:t>Aggregate</w:t>
                        </w:r>
                        <w:r>
                          <w:rPr>
                            <w:spacing w:val="-16"/>
                            <w:sz w:val="19"/>
                          </w:rPr>
                          <w:t> </w:t>
                        </w:r>
                        <w:r>
                          <w:rPr>
                            <w:sz w:val="19"/>
                          </w:rPr>
                          <w:t>amount</w:t>
                        </w:r>
                        <w:r>
                          <w:rPr>
                            <w:spacing w:val="-16"/>
                            <w:sz w:val="19"/>
                          </w:rPr>
                          <w:t> </w:t>
                        </w:r>
                        <w:r>
                          <w:rPr>
                            <w:sz w:val="19"/>
                          </w:rPr>
                          <w:t>of</w:t>
                        </w:r>
                        <w:r>
                          <w:rPr>
                            <w:spacing w:val="-16"/>
                            <w:sz w:val="19"/>
                          </w:rPr>
                          <w:t> </w:t>
                        </w:r>
                        <w:r>
                          <w:rPr>
                            <w:sz w:val="19"/>
                          </w:rPr>
                          <w:t>personal</w:t>
                        </w:r>
                        <w:r>
                          <w:rPr>
                            <w:spacing w:val="-16"/>
                            <w:sz w:val="19"/>
                          </w:rPr>
                          <w:t> </w:t>
                        </w:r>
                        <w:r>
                          <w:rPr>
                            <w:sz w:val="19"/>
                          </w:rPr>
                          <w:t>use</w:t>
                        </w:r>
                        <w:r>
                          <w:rPr>
                            <w:spacing w:val="-16"/>
                            <w:sz w:val="19"/>
                          </w:rPr>
                          <w:t> </w:t>
                        </w:r>
                        <w:r>
                          <w:rPr>
                            <w:sz w:val="19"/>
                          </w:rPr>
                          <w:t>expenditure</w:t>
                        </w:r>
                        <w:r>
                          <w:rPr>
                            <w:spacing w:val="-16"/>
                            <w:sz w:val="19"/>
                          </w:rPr>
                          <w:t> </w:t>
                        </w:r>
                        <w:r>
                          <w:rPr>
                            <w:sz w:val="19"/>
                          </w:rPr>
                          <w:t>settled</w:t>
                        </w:r>
                        <w:r>
                          <w:rPr>
                            <w:spacing w:val="-16"/>
                            <w:sz w:val="19"/>
                          </w:rPr>
                          <w:t> </w:t>
                        </w:r>
                        <w:r>
                          <w:rPr>
                            <w:sz w:val="19"/>
                          </w:rPr>
                          <w:t>by</w:t>
                        </w:r>
                        <w:r>
                          <w:rPr>
                            <w:spacing w:val="-16"/>
                            <w:sz w:val="19"/>
                          </w:rPr>
                          <w:t> </w:t>
                        </w:r>
                        <w:r>
                          <w:rPr>
                            <w:sz w:val="19"/>
                          </w:rPr>
                          <w:t>the</w:t>
                        </w:r>
                        <w:r>
                          <w:rPr>
                            <w:spacing w:val="-16"/>
                            <w:sz w:val="19"/>
                          </w:rPr>
                          <w:t> </w:t>
                        </w:r>
                        <w:r>
                          <w:rPr>
                            <w:sz w:val="19"/>
                          </w:rPr>
                          <w:t>due</w:t>
                        </w:r>
                        <w:r>
                          <w:rPr>
                            <w:spacing w:val="-16"/>
                            <w:sz w:val="19"/>
                          </w:rPr>
                          <w:t> </w:t>
                        </w:r>
                        <w:r>
                          <w:rPr>
                            <w:spacing w:val="-4"/>
                            <w:sz w:val="19"/>
                          </w:rPr>
                          <w:t>date </w:t>
                        </w:r>
                        <w:r>
                          <w:rPr>
                            <w:sz w:val="19"/>
                          </w:rPr>
                          <w:t>(within five working</w:t>
                        </w:r>
                        <w:r>
                          <w:rPr>
                            <w:spacing w:val="-4"/>
                            <w:sz w:val="19"/>
                          </w:rPr>
                          <w:t> </w:t>
                        </w:r>
                        <w:r>
                          <w:rPr>
                            <w:sz w:val="19"/>
                          </w:rPr>
                          <w:t>days)</w:t>
                        </w:r>
                      </w:p>
                    </w:tc>
                    <w:tc>
                      <w:tcPr>
                        <w:tcW w:w="1418" w:type="dxa"/>
                        <w:vMerge/>
                        <w:tcBorders>
                          <w:top w:val="nil"/>
                        </w:tcBorders>
                        <w:shd w:val="clear" w:color="auto" w:fill="DFE1B8"/>
                      </w:tcPr>
                      <w:p>
                        <w:pPr>
                          <w:rPr>
                            <w:sz w:val="2"/>
                            <w:szCs w:val="2"/>
                          </w:rPr>
                        </w:pPr>
                      </w:p>
                    </w:tc>
                  </w:tr>
                  <w:tr>
                    <w:trPr>
                      <w:trHeight w:val="741" w:hRule="atLeast"/>
                    </w:trPr>
                    <w:tc>
                      <w:tcPr>
                        <w:tcW w:w="6024" w:type="dxa"/>
                        <w:tcBorders>
                          <w:top w:val="single" w:sz="8" w:space="0" w:color="FFFFFF"/>
                          <w:left w:val="single" w:sz="8" w:space="0" w:color="FFFFFF"/>
                          <w:bottom w:val="single" w:sz="8" w:space="0" w:color="FFFFFF"/>
                        </w:tcBorders>
                        <w:shd w:val="clear" w:color="auto" w:fill="FAF9F9"/>
                      </w:tcPr>
                      <w:p>
                        <w:pPr>
                          <w:pStyle w:val="TableParagraph"/>
                          <w:spacing w:line="249" w:lineRule="auto"/>
                          <w:ind w:left="113" w:right="161"/>
                          <w:rPr>
                            <w:sz w:val="19"/>
                          </w:rPr>
                        </w:pPr>
                        <w:r>
                          <w:rPr>
                            <w:sz w:val="19"/>
                          </w:rPr>
                          <w:t>Aggregate</w:t>
                        </w:r>
                        <w:r>
                          <w:rPr>
                            <w:spacing w:val="-19"/>
                            <w:sz w:val="19"/>
                          </w:rPr>
                          <w:t> </w:t>
                        </w:r>
                        <w:r>
                          <w:rPr>
                            <w:sz w:val="19"/>
                          </w:rPr>
                          <w:t>amount</w:t>
                        </w:r>
                        <w:r>
                          <w:rPr>
                            <w:spacing w:val="-18"/>
                            <w:sz w:val="19"/>
                          </w:rPr>
                          <w:t> </w:t>
                        </w:r>
                        <w:r>
                          <w:rPr>
                            <w:sz w:val="19"/>
                          </w:rPr>
                          <w:t>of</w:t>
                        </w:r>
                        <w:r>
                          <w:rPr>
                            <w:spacing w:val="-19"/>
                            <w:sz w:val="19"/>
                          </w:rPr>
                          <w:t> </w:t>
                        </w:r>
                        <w:r>
                          <w:rPr>
                            <w:sz w:val="19"/>
                          </w:rPr>
                          <w:t>personal</w:t>
                        </w:r>
                        <w:r>
                          <w:rPr>
                            <w:spacing w:val="-18"/>
                            <w:sz w:val="19"/>
                          </w:rPr>
                          <w:t> </w:t>
                        </w:r>
                        <w:r>
                          <w:rPr>
                            <w:sz w:val="19"/>
                          </w:rPr>
                          <w:t>use</w:t>
                        </w:r>
                        <w:r>
                          <w:rPr>
                            <w:spacing w:val="-19"/>
                            <w:sz w:val="19"/>
                          </w:rPr>
                          <w:t> </w:t>
                        </w:r>
                        <w:r>
                          <w:rPr>
                            <w:sz w:val="19"/>
                          </w:rPr>
                          <w:t>expenditure</w:t>
                        </w:r>
                        <w:r>
                          <w:rPr>
                            <w:spacing w:val="-18"/>
                            <w:sz w:val="19"/>
                          </w:rPr>
                          <w:t> </w:t>
                        </w:r>
                        <w:r>
                          <w:rPr>
                            <w:sz w:val="19"/>
                          </w:rPr>
                          <w:t>settled</w:t>
                        </w:r>
                        <w:r>
                          <w:rPr>
                            <w:spacing w:val="-19"/>
                            <w:sz w:val="19"/>
                          </w:rPr>
                          <w:t> </w:t>
                        </w:r>
                        <w:r>
                          <w:rPr>
                            <w:sz w:val="19"/>
                          </w:rPr>
                          <w:t>after</w:t>
                        </w:r>
                        <w:r>
                          <w:rPr>
                            <w:spacing w:val="-18"/>
                            <w:sz w:val="19"/>
                          </w:rPr>
                          <w:t> </w:t>
                        </w:r>
                        <w:r>
                          <w:rPr>
                            <w:sz w:val="19"/>
                          </w:rPr>
                          <w:t>the</w:t>
                        </w:r>
                        <w:r>
                          <w:rPr>
                            <w:spacing w:val="-19"/>
                            <w:sz w:val="19"/>
                          </w:rPr>
                          <w:t> </w:t>
                        </w:r>
                        <w:r>
                          <w:rPr>
                            <w:spacing w:val="-3"/>
                            <w:sz w:val="19"/>
                          </w:rPr>
                          <w:t>period </w:t>
                        </w:r>
                        <w:r>
                          <w:rPr>
                            <w:sz w:val="19"/>
                          </w:rPr>
                          <w:t>(after five working</w:t>
                        </w:r>
                        <w:r>
                          <w:rPr>
                            <w:spacing w:val="-5"/>
                            <w:sz w:val="19"/>
                          </w:rPr>
                          <w:t> </w:t>
                        </w:r>
                        <w:r>
                          <w:rPr>
                            <w:sz w:val="19"/>
                          </w:rPr>
                          <w:t>days)</w:t>
                        </w:r>
                      </w:p>
                    </w:tc>
                    <w:tc>
                      <w:tcPr>
                        <w:tcW w:w="1418" w:type="dxa"/>
                        <w:vMerge/>
                        <w:tcBorders>
                          <w:top w:val="nil"/>
                        </w:tcBorders>
                        <w:shd w:val="clear" w:color="auto" w:fill="DFE1B8"/>
                      </w:tcPr>
                      <w:p>
                        <w:pPr>
                          <w:rPr>
                            <w:sz w:val="2"/>
                            <w:szCs w:val="2"/>
                          </w:rPr>
                        </w:pPr>
                      </w:p>
                    </w:tc>
                  </w:tr>
                  <w:tr>
                    <w:trPr>
                      <w:trHeight w:val="741" w:hRule="atLeast"/>
                    </w:trPr>
                    <w:tc>
                      <w:tcPr>
                        <w:tcW w:w="6024" w:type="dxa"/>
                        <w:tcBorders>
                          <w:top w:val="single" w:sz="8" w:space="0" w:color="FFFFFF"/>
                          <w:left w:val="single" w:sz="8" w:space="0" w:color="FFFFFF"/>
                          <w:bottom w:val="single" w:sz="8" w:space="0" w:color="FFFFFF"/>
                        </w:tcBorders>
                        <w:shd w:val="clear" w:color="auto" w:fill="F4F4F4"/>
                      </w:tcPr>
                      <w:p>
                        <w:pPr>
                          <w:pStyle w:val="TableParagraph"/>
                          <w:spacing w:line="249" w:lineRule="auto"/>
                          <w:ind w:left="113" w:right="137"/>
                          <w:rPr>
                            <w:sz w:val="19"/>
                          </w:rPr>
                        </w:pPr>
                        <w:r>
                          <w:rPr>
                            <w:sz w:val="19"/>
                          </w:rPr>
                          <w:t>Aggregate</w:t>
                        </w:r>
                        <w:r>
                          <w:rPr>
                            <w:spacing w:val="-21"/>
                            <w:sz w:val="19"/>
                          </w:rPr>
                          <w:t> </w:t>
                        </w:r>
                        <w:r>
                          <w:rPr>
                            <w:sz w:val="19"/>
                          </w:rPr>
                          <w:t>amount</w:t>
                        </w:r>
                        <w:r>
                          <w:rPr>
                            <w:spacing w:val="-20"/>
                            <w:sz w:val="19"/>
                          </w:rPr>
                          <w:t> </w:t>
                        </w:r>
                        <w:r>
                          <w:rPr>
                            <w:sz w:val="19"/>
                          </w:rPr>
                          <w:t>of</w:t>
                        </w:r>
                        <w:r>
                          <w:rPr>
                            <w:spacing w:val="-20"/>
                            <w:sz w:val="19"/>
                          </w:rPr>
                          <w:t> </w:t>
                        </w:r>
                        <w:r>
                          <w:rPr>
                            <w:sz w:val="19"/>
                          </w:rPr>
                          <w:t>personal</w:t>
                        </w:r>
                        <w:r>
                          <w:rPr>
                            <w:spacing w:val="-20"/>
                            <w:sz w:val="19"/>
                          </w:rPr>
                          <w:t> </w:t>
                        </w:r>
                        <w:r>
                          <w:rPr>
                            <w:sz w:val="19"/>
                          </w:rPr>
                          <w:t>use</w:t>
                        </w:r>
                        <w:r>
                          <w:rPr>
                            <w:spacing w:val="-20"/>
                            <w:sz w:val="19"/>
                          </w:rPr>
                          <w:t> </w:t>
                        </w:r>
                        <w:r>
                          <w:rPr>
                            <w:sz w:val="19"/>
                          </w:rPr>
                          <w:t>expenditure</w:t>
                        </w:r>
                        <w:r>
                          <w:rPr>
                            <w:spacing w:val="-20"/>
                            <w:sz w:val="19"/>
                          </w:rPr>
                          <w:t> </w:t>
                        </w:r>
                        <w:r>
                          <w:rPr>
                            <w:sz w:val="19"/>
                          </w:rPr>
                          <w:t>outstanding</w:t>
                        </w:r>
                        <w:r>
                          <w:rPr>
                            <w:spacing w:val="-20"/>
                            <w:sz w:val="19"/>
                          </w:rPr>
                          <w:t> </w:t>
                        </w:r>
                        <w:r>
                          <w:rPr>
                            <w:sz w:val="19"/>
                          </w:rPr>
                          <w:t>at</w:t>
                        </w:r>
                        <w:r>
                          <w:rPr>
                            <w:spacing w:val="-20"/>
                            <w:sz w:val="19"/>
                          </w:rPr>
                          <w:t> </w:t>
                        </w:r>
                        <w:r>
                          <w:rPr>
                            <w:spacing w:val="-3"/>
                            <w:sz w:val="19"/>
                          </w:rPr>
                          <w:t>balance </w:t>
                        </w:r>
                        <w:r>
                          <w:rPr>
                            <w:sz w:val="19"/>
                          </w:rPr>
                          <w:t>date</w:t>
                        </w:r>
                      </w:p>
                    </w:tc>
                    <w:tc>
                      <w:tcPr>
                        <w:tcW w:w="1418" w:type="dxa"/>
                        <w:vMerge/>
                        <w:tcBorders>
                          <w:top w:val="nil"/>
                        </w:tcBorders>
                        <w:shd w:val="clear" w:color="auto" w:fill="DFE1B8"/>
                      </w:tcPr>
                      <w:p>
                        <w:pPr>
                          <w:rPr>
                            <w:sz w:val="2"/>
                            <w:szCs w:val="2"/>
                          </w:rPr>
                        </w:pPr>
                      </w:p>
                    </w:tc>
                  </w:tr>
                </w:tbl>
                <w:p>
                  <w:pPr>
                    <w:pStyle w:val="BodyText"/>
                  </w:pPr>
                </w:p>
              </w:txbxContent>
            </v:textbox>
            <w10:wrap type="none"/>
          </v:shape>
        </w:pict>
      </w:r>
      <w:r>
        <w:rPr/>
        <w:t>This </w:t>
      </w:r>
      <w:r>
        <w:rPr>
          <w:spacing w:val="-5"/>
        </w:rPr>
        <w:t>year, </w:t>
      </w:r>
      <w:r>
        <w:rPr/>
        <w:t>there was minor inadvertent use of credit cards. The Department performed</w:t>
      </w:r>
      <w:r>
        <w:rPr>
          <w:spacing w:val="-14"/>
        </w:rPr>
        <w:t> </w:t>
      </w:r>
      <w:r>
        <w:rPr/>
        <w:t>12,586</w:t>
      </w:r>
      <w:r>
        <w:rPr>
          <w:spacing w:val="-14"/>
        </w:rPr>
        <w:t> </w:t>
      </w:r>
      <w:r>
        <w:rPr/>
        <w:t>credit</w:t>
      </w:r>
      <w:r>
        <w:rPr>
          <w:spacing w:val="-14"/>
        </w:rPr>
        <w:t> </w:t>
      </w:r>
      <w:r>
        <w:rPr/>
        <w:t>card</w:t>
      </w:r>
      <w:r>
        <w:rPr>
          <w:spacing w:val="-13"/>
        </w:rPr>
        <w:t> </w:t>
      </w:r>
      <w:r>
        <w:rPr/>
        <w:t>transactions,</w:t>
      </w:r>
      <w:r>
        <w:rPr>
          <w:spacing w:val="-14"/>
        </w:rPr>
        <w:t> </w:t>
      </w:r>
      <w:r>
        <w:rPr/>
        <w:t>14</w:t>
      </w:r>
      <w:r>
        <w:rPr>
          <w:spacing w:val="-14"/>
        </w:rPr>
        <w:t> </w:t>
      </w:r>
      <w:r>
        <w:rPr/>
        <w:t>of</w:t>
      </w:r>
      <w:r>
        <w:rPr>
          <w:spacing w:val="-13"/>
        </w:rPr>
        <w:t> </w:t>
      </w:r>
      <w:r>
        <w:rPr/>
        <w:t>which</w:t>
      </w:r>
      <w:r>
        <w:rPr>
          <w:spacing w:val="-14"/>
        </w:rPr>
        <w:t> </w:t>
      </w:r>
      <w:r>
        <w:rPr/>
        <w:t>were</w:t>
      </w:r>
      <w:r>
        <w:rPr>
          <w:spacing w:val="-14"/>
        </w:rPr>
        <w:t> </w:t>
      </w:r>
      <w:r>
        <w:rPr/>
        <w:t>identified</w:t>
      </w:r>
      <w:r>
        <w:rPr>
          <w:spacing w:val="-13"/>
        </w:rPr>
        <w:t> </w:t>
      </w:r>
      <w:r>
        <w:rPr/>
        <w:t>as</w:t>
      </w:r>
      <w:r>
        <w:rPr>
          <w:spacing w:val="-14"/>
        </w:rPr>
        <w:t> </w:t>
      </w:r>
      <w:r>
        <w:rPr>
          <w:spacing w:val="-6"/>
        </w:rPr>
        <w:t>not </w:t>
      </w:r>
      <w:r>
        <w:rPr/>
        <w:t>related</w:t>
      </w:r>
      <w:r>
        <w:rPr>
          <w:spacing w:val="-19"/>
        </w:rPr>
        <w:t> </w:t>
      </w:r>
      <w:r>
        <w:rPr/>
        <w:t>to</w:t>
      </w:r>
      <w:r>
        <w:rPr>
          <w:spacing w:val="-19"/>
        </w:rPr>
        <w:t> </w:t>
      </w:r>
      <w:r>
        <w:rPr/>
        <w:t>departmental</w:t>
      </w:r>
      <w:r>
        <w:rPr>
          <w:spacing w:val="-19"/>
        </w:rPr>
        <w:t> </w:t>
      </w:r>
      <w:r>
        <w:rPr/>
        <w:t>operations.</w:t>
      </w:r>
      <w:r>
        <w:rPr>
          <w:spacing w:val="-19"/>
        </w:rPr>
        <w:t> </w:t>
      </w:r>
      <w:r>
        <w:rPr/>
        <w:t>These</w:t>
      </w:r>
      <w:r>
        <w:rPr>
          <w:spacing w:val="-19"/>
        </w:rPr>
        <w:t> </w:t>
      </w:r>
      <w:r>
        <w:rPr/>
        <w:t>14</w:t>
      </w:r>
      <w:r>
        <w:rPr>
          <w:spacing w:val="-18"/>
        </w:rPr>
        <w:t> </w:t>
      </w:r>
      <w:r>
        <w:rPr/>
        <w:t>transactions</w:t>
      </w:r>
      <w:r>
        <w:rPr>
          <w:spacing w:val="-19"/>
        </w:rPr>
        <w:t> </w:t>
      </w:r>
      <w:r>
        <w:rPr/>
        <w:t>represent</w:t>
      </w:r>
      <w:r>
        <w:rPr>
          <w:spacing w:val="-19"/>
        </w:rPr>
        <w:t> </w:t>
      </w:r>
      <w:r>
        <w:rPr/>
        <w:t>0.1</w:t>
      </w:r>
      <w:r>
        <w:rPr>
          <w:spacing w:val="-19"/>
        </w:rPr>
        <w:t> </w:t>
      </w:r>
      <w:r>
        <w:rPr/>
        <w:t>per cent of the </w:t>
      </w:r>
      <w:r>
        <w:rPr>
          <w:spacing w:val="-3"/>
        </w:rPr>
        <w:t>Department’s </w:t>
      </w:r>
      <w:r>
        <w:rPr/>
        <w:t>total credit card transactions completed during the </w:t>
      </w:r>
      <w:r>
        <w:rPr>
          <w:spacing w:val="-5"/>
        </w:rPr>
        <w:t>year.</w:t>
      </w:r>
    </w:p>
    <w:p>
      <w:pPr>
        <w:spacing w:after="0" w:line="249" w:lineRule="auto"/>
        <w:sectPr>
          <w:type w:val="continuous"/>
          <w:pgSz w:w="16840" w:h="11910" w:orient="landscape"/>
          <w:pgMar w:top="1100" w:bottom="280" w:left="0" w:right="0"/>
          <w:cols w:num="2" w:equalWidth="0">
            <w:col w:w="8166" w:space="40"/>
            <w:col w:w="86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tabs>
          <w:tab w:pos="5951" w:val="left" w:leader="none"/>
          <w:tab w:pos="16072" w:val="left" w:leader="none"/>
        </w:tabs>
        <w:spacing w:before="1"/>
        <w:ind w:left="765" w:right="0" w:firstLine="0"/>
        <w:jc w:val="left"/>
        <w:rPr>
          <w:b/>
          <w:sz w:val="20"/>
        </w:rPr>
      </w:pPr>
      <w:r>
        <w:rPr/>
        <w:pict>
          <v:group style="position:absolute;margin-left:747.514404pt;margin-top:-205.001541pt;width:94.4pt;height:238.9pt;mso-position-horizontal-relative:page;mso-position-vertical-relative:paragraph;z-index:-683080" coordorigin="14950,-4100" coordsize="1888,4778">
            <v:shape style="position:absolute;left:14950;top:-4101;width:1888;height:4778" type="#_x0000_t75" stroked="false">
              <v:imagedata r:id="rId234" o:title=""/>
            </v:shape>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ffffff" stroked="false">
              <v:path arrowok="t"/>
              <v:fill type="solid"/>
            </v:shape>
            <v:shape style="position:absolute;left:16356;top:-297;width:482;height:831" coordorigin="16357,-296" coordsize="482,831" path="m16772,-296l16697,-289,16627,-270,16562,-239,16504,-198,16454,-148,16413,-90,16383,-26,16363,44,16357,119,16363,194,16383,264,16413,329,16454,387,16504,437,16562,478,16627,508,16697,528,16772,534,16789,534,16805,533,16822,531,16838,529,16838,-290,16822,-293,16805,-295,16789,-296,16772,-296xe" filled="true" fillcolor="#aebd37" stroked="false">
              <v:path arrowok="t"/>
              <v:fill opacity="13107f" type="solid"/>
            </v:shape>
            <v:shape style="position:absolute;left:16571;top:33;width:93;height:171" coordorigin="16571,33" coordsize="93,171" path="m16590,33l16582,33,16571,43,16571,52,16638,118,16638,120,16571,187,16571,195,16579,203,16582,204,16589,204,16592,203,16655,139,16662,130,16664,120,16664,118,16662,108,16655,99,16590,33xe" filled="true" fillcolor="#000000" stroked="false">
              <v:path arrowok="t"/>
              <v:fill type="solid"/>
            </v:shape>
            <w10:wrap type="none"/>
          </v:group>
        </w:pict>
      </w:r>
      <w:r>
        <w:rPr/>
        <w:pict>
          <v:group style="position:absolute;margin-left:0pt;margin-top:-14.805017pt;width:24.1pt;height:41.55pt;mso-position-horizontal-relative:page;mso-position-vertical-relative:paragraph;z-index:29536" coordorigin="0,-296" coordsize="482,831">
            <v:shape style="position:absolute;left:0;top:-297;width:482;height:831" coordorigin="0,-296" coordsize="482,831" path="m66,-296l49,-296,33,-295,16,-293,0,-290,0,529,16,531,33,533,49,534,66,534,140,528,211,508,275,478,333,437,383,387,424,329,455,264,474,194,481,119,474,44,455,-26,424,-90,383,-148,333,-198,275,-239,211,-270,140,-289,66,-296xe" filled="true" fillcolor="#ffffff" stroked="false">
              <v:path arrowok="t"/>
              <v:fill type="solid"/>
            </v:shape>
            <v:shape style="position:absolute;left:0;top:-297;width:482;height:831" coordorigin="0,-296" coordsize="482,831" path="m66,-296l49,-296,33,-295,16,-293,0,-290,0,529,16,531,33,533,49,534,66,534,140,528,211,508,275,478,333,437,383,387,424,329,455,264,474,194,481,119,474,44,455,-26,424,-90,383,-148,333,-198,275,-239,211,-270,140,-289,66,-296xe" filled="true" fillcolor="#aebd37" stroked="false">
              <v:path arrowok="t"/>
              <v:fill opacity="13107f" type="solid"/>
            </v:shape>
            <v:shape style="position:absolute;left:174;top:33;width:93;height:171" coordorigin="174,33" coordsize="93,171" path="m256,33l248,33,182,99,176,108,174,118,174,120,176,130,182,139,245,203,249,204,256,204,259,203,267,195,267,187,200,120,200,118,267,52,267,43,256,33xe" filled="true" fillcolor="#000000" stroked="false">
              <v:path arrowok="t"/>
              <v:fill type="solid"/>
            </v:shape>
            <w10:wrap type="none"/>
          </v:group>
        </w:pict>
      </w:r>
      <w:r>
        <w:rPr>
          <w:b/>
          <w:color w:val="6F2770"/>
          <w:sz w:val="20"/>
        </w:rPr>
        <w:t>112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pStyle w:val="BodyText"/>
        <w:rPr>
          <w:sz w:val="20"/>
        </w:rPr>
      </w:pPr>
      <w:bookmarkStart w:name="_bookmark50" w:id="51"/>
      <w:bookmarkEnd w:id="51"/>
      <w:r>
        <w:rPr/>
      </w: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line style="position:absolute" from="0,0" to="0,850" stroked="true" strokeweight="0pt" strokecolor="#bba1bc">
              <v:stroke dashstyle="solid"/>
            </v:line>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3"/>
        <w:rPr>
          <w:b/>
          <w:sz w:val="19"/>
        </w:rPr>
      </w:pPr>
    </w:p>
    <w:p>
      <w:pPr>
        <w:spacing w:after="0"/>
        <w:rPr>
          <w:sz w:val="19"/>
        </w:rPr>
        <w:sectPr>
          <w:footerReference w:type="default" r:id="rId235"/>
          <w:pgSz w:w="16840" w:h="11910" w:orient="landscape"/>
          <w:pgMar w:footer="0" w:header="0" w:top="0" w:bottom="0" w:left="0" w:right="0"/>
        </w:sectPr>
      </w:pPr>
    </w:p>
    <w:p>
      <w:pPr>
        <w:pStyle w:val="Heading1"/>
        <w:spacing w:line="208" w:lineRule="auto" w:before="180"/>
        <w:ind w:right="141"/>
      </w:pPr>
      <w:r>
        <w:rPr/>
        <w:pict>
          <v:group style="position:absolute;margin-left:0pt;margin-top:43.392311pt;width:561.35pt;height:484.55pt;mso-position-horizontal-relative:page;mso-position-vertical-relative:paragraph;z-index:-682792" coordorigin="0,868" coordsize="11227,9691">
            <v:shape style="position:absolute;left:0;top:867;width:11227;height:9691" type="#_x0000_t75" stroked="false">
              <v:imagedata r:id="rId236" o:title=""/>
            </v:shape>
            <v:shape style="position:absolute;left:8631;top:3239;width:199;height:199" type="#_x0000_t75" stroked="false">
              <v:imagedata r:id="rId183" o:title=""/>
            </v:shape>
            <v:shape style="position:absolute;left:8631;top:3777;width:199;height:199" type="#_x0000_t75" stroked="false">
              <v:imagedata r:id="rId105" o:title=""/>
            </v:shape>
            <v:shape style="position:absolute;left:8631;top:4548;width:199;height:199" type="#_x0000_t75" stroked="false">
              <v:imagedata r:id="rId105" o:title=""/>
            </v:shape>
            <v:shape style="position:absolute;left:8631;top:5342;width:199;height:199" type="#_x0000_t75" stroked="false">
              <v:imagedata r:id="rId237" o:title=""/>
            </v:shape>
            <v:shape style="position:absolute;left:8631;top:6136;width:199;height:199" type="#_x0000_t75" stroked="false">
              <v:imagedata r:id="rId183" o:title=""/>
            </v:shape>
            <v:shape style="position:absolute;left:0;top:9584;width:482;height:831" coordorigin="0,9584" coordsize="482,831" path="m66,9584l49,9585,33,9586,16,9588,0,9590,0,10409,16,10411,33,10413,49,10414,66,10415,140,10408,211,10389,275,10358,333,10317,383,10267,424,10209,455,10144,474,10074,481,10000,474,9925,455,9855,424,9790,383,9732,333,9682,275,9641,211,9610,140,9591,66,9584xe" filled="true" fillcolor="#ffffff" stroked="false">
              <v:path arrowok="t"/>
              <v:fill type="solid"/>
            </v:shape>
            <v:shape style="position:absolute;left:0;top:9584;width:482;height:831" coordorigin="0,9584" coordsize="482,831" path="m66,9584l49,9585,33,9586,16,9588,0,9590,0,10409,16,10411,33,10413,49,10414,66,10415,140,10408,211,10389,275,10358,333,10317,383,10267,424,10209,455,10144,474,10074,481,10000,474,9925,455,9855,424,9790,383,9732,333,9682,275,9641,211,9610,140,9591,66,9584xe" filled="true" fillcolor="#aebd37" stroked="false">
              <v:path arrowok="t"/>
              <v:fill opacity="13107f" type="solid"/>
            </v:shape>
            <v:shape style="position:absolute;left:174;top:9913;width:93;height:171" coordorigin="174,9914" coordsize="93,171" path="m256,9914l248,9914,182,9979,176,9989,174,9999,174,10001,176,10010,182,10020,245,10083,249,10084,256,10084,259,10083,267,10075,267,10067,200,10001,200,9999,267,9932,267,9924,256,9914xe" filled="true" fillcolor="#000000" stroked="false">
              <v:path arrowok="t"/>
              <v:fill type="solid"/>
            </v:shape>
            <w10:wrap type="none"/>
          </v:group>
        </w:pict>
      </w:r>
      <w:r>
        <w:rPr/>
        <w:pict>
          <v:group style="position:absolute;margin-left:120.271004pt;margin-top:-67.363998pt;width:721.65pt;height:42.55pt;mso-position-horizontal-relative:page;mso-position-vertical-relative:paragraph;z-index:29872" coordorigin="2405,-1347" coordsize="14433,851">
            <v:rect style="position:absolute;left:14432;top:-1348;width:2406;height:851" filled="true" fillcolor="#bba1bc" stroked="false">
              <v:fill type="solid"/>
            </v:rect>
            <v:shape style="position:absolute;left:14432;top:-1348;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8;width:2406;height:851" type="#_x0000_t202" filled="true" fillcolor="#d4d896"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8;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8;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8;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8;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Other Legal </w:t>
      </w:r>
      <w:r>
        <w:rPr>
          <w:color w:val="6F2770"/>
          <w:w w:val="90"/>
        </w:rPr>
        <w:t>Requirements</w:t>
      </w:r>
    </w:p>
    <w:p>
      <w:pPr>
        <w:pStyle w:val="Heading4"/>
        <w:spacing w:line="249" w:lineRule="auto" w:before="133"/>
        <w:ind w:right="141"/>
      </w:pPr>
      <w:r>
        <w:rPr>
          <w:color w:val="6F2770"/>
        </w:rPr>
        <w:t>Expenditure</w:t>
      </w:r>
      <w:r>
        <w:rPr>
          <w:color w:val="6F2770"/>
          <w:spacing w:val="-58"/>
        </w:rPr>
        <w:t> </w:t>
      </w:r>
      <w:r>
        <w:rPr>
          <w:color w:val="6F2770"/>
        </w:rPr>
        <w:t>on</w:t>
      </w:r>
      <w:r>
        <w:rPr>
          <w:color w:val="6F2770"/>
          <w:spacing w:val="-58"/>
        </w:rPr>
        <w:t> </w:t>
      </w:r>
      <w:r>
        <w:rPr>
          <w:color w:val="6F2770"/>
        </w:rPr>
        <w:t>advertising,</w:t>
      </w:r>
      <w:r>
        <w:rPr>
          <w:color w:val="6F2770"/>
          <w:spacing w:val="-57"/>
        </w:rPr>
        <w:t> </w:t>
      </w:r>
      <w:r>
        <w:rPr>
          <w:color w:val="6F2770"/>
        </w:rPr>
        <w:t>market</w:t>
      </w:r>
      <w:r>
        <w:rPr>
          <w:color w:val="6F2770"/>
          <w:spacing w:val="-58"/>
        </w:rPr>
        <w:t> </w:t>
      </w:r>
      <w:r>
        <w:rPr>
          <w:color w:val="6F2770"/>
          <w:spacing w:val="-4"/>
        </w:rPr>
        <w:t>research, </w:t>
      </w:r>
      <w:r>
        <w:rPr>
          <w:color w:val="6F2770"/>
        </w:rPr>
        <w:t>polling and direct mail</w:t>
      </w:r>
    </w:p>
    <w:p>
      <w:pPr>
        <w:pStyle w:val="BodyText"/>
        <w:spacing w:line="249" w:lineRule="auto" w:before="230"/>
        <w:ind w:left="765"/>
      </w:pPr>
      <w:r>
        <w:rPr/>
        <w:t>In</w:t>
      </w:r>
      <w:r>
        <w:rPr>
          <w:spacing w:val="-21"/>
        </w:rPr>
        <w:t> </w:t>
      </w:r>
      <w:r>
        <w:rPr>
          <w:spacing w:val="-4"/>
        </w:rPr>
        <w:t>accordance</w:t>
      </w:r>
      <w:r>
        <w:rPr>
          <w:spacing w:val="-20"/>
        </w:rPr>
        <w:t> </w:t>
      </w:r>
      <w:r>
        <w:rPr>
          <w:spacing w:val="-3"/>
        </w:rPr>
        <w:t>with</w:t>
      </w:r>
      <w:r>
        <w:rPr>
          <w:spacing w:val="-21"/>
        </w:rPr>
        <w:t> </w:t>
      </w:r>
      <w:r>
        <w:rPr>
          <w:spacing w:val="-3"/>
        </w:rPr>
        <w:t>section</w:t>
      </w:r>
      <w:r>
        <w:rPr>
          <w:spacing w:val="-20"/>
        </w:rPr>
        <w:t> </w:t>
      </w:r>
      <w:r>
        <w:rPr>
          <w:spacing w:val="-3"/>
        </w:rPr>
        <w:t>175ZE</w:t>
      </w:r>
      <w:r>
        <w:rPr>
          <w:spacing w:val="-21"/>
        </w:rPr>
        <w:t> </w:t>
      </w:r>
      <w:r>
        <w:rPr/>
        <w:t>of</w:t>
      </w:r>
      <w:r>
        <w:rPr>
          <w:spacing w:val="-20"/>
        </w:rPr>
        <w:t> </w:t>
      </w:r>
      <w:r>
        <w:rPr/>
        <w:t>the</w:t>
      </w:r>
      <w:r>
        <w:rPr>
          <w:spacing w:val="-21"/>
        </w:rPr>
        <w:t> </w:t>
      </w:r>
      <w:r>
        <w:rPr>
          <w:i/>
          <w:spacing w:val="-3"/>
        </w:rPr>
        <w:t>Electoral</w:t>
      </w:r>
      <w:r>
        <w:rPr>
          <w:i/>
          <w:spacing w:val="-20"/>
        </w:rPr>
        <w:t> </w:t>
      </w:r>
      <w:r>
        <w:rPr>
          <w:i/>
        </w:rPr>
        <w:t>Act</w:t>
      </w:r>
      <w:r>
        <w:rPr>
          <w:i/>
          <w:spacing w:val="-21"/>
        </w:rPr>
        <w:t> </w:t>
      </w:r>
      <w:r>
        <w:rPr>
          <w:i/>
          <w:spacing w:val="-3"/>
        </w:rPr>
        <w:t>1907</w:t>
      </w:r>
      <w:r>
        <w:rPr>
          <w:spacing w:val="-3"/>
        </w:rPr>
        <w:t>,</w:t>
      </w:r>
      <w:r>
        <w:rPr>
          <w:spacing w:val="-20"/>
        </w:rPr>
        <w:t> </w:t>
      </w:r>
      <w:r>
        <w:rPr>
          <w:spacing w:val="-3"/>
        </w:rPr>
        <w:t>total</w:t>
      </w:r>
      <w:r>
        <w:rPr>
          <w:spacing w:val="-20"/>
        </w:rPr>
        <w:t> </w:t>
      </w:r>
      <w:r>
        <w:rPr>
          <w:spacing w:val="-3"/>
        </w:rPr>
        <w:t>advertising </w:t>
      </w:r>
      <w:r>
        <w:rPr>
          <w:spacing w:val="-4"/>
        </w:rPr>
        <w:t>related expenditure </w:t>
      </w:r>
      <w:r>
        <w:rPr>
          <w:spacing w:val="-3"/>
        </w:rPr>
        <w:t>this year </w:t>
      </w:r>
      <w:r>
        <w:rPr/>
        <w:t>was</w:t>
      </w:r>
      <w:r>
        <w:rPr>
          <w:spacing w:val="-20"/>
        </w:rPr>
        <w:t> </w:t>
      </w:r>
      <w:r>
        <w:rPr>
          <w:spacing w:val="-3"/>
        </w:rPr>
        <w:t>$10,061.</w:t>
      </w:r>
    </w:p>
    <w:p>
      <w:pPr>
        <w:pStyle w:val="Heading4"/>
        <w:spacing w:before="173"/>
      </w:pPr>
      <w:r>
        <w:rPr/>
        <w:br w:type="column"/>
      </w:r>
      <w:r>
        <w:rPr>
          <w:color w:val="6F2770"/>
        </w:rPr>
        <w:t>Disability Access and Inclusion Plan outcomes</w:t>
      </w:r>
    </w:p>
    <w:p>
      <w:pPr>
        <w:pStyle w:val="BodyText"/>
        <w:spacing w:line="249" w:lineRule="auto" w:before="245"/>
        <w:ind w:left="765" w:right="1124"/>
      </w:pPr>
      <w:r>
        <w:rPr/>
        <w:t>The Department is committed to access and inclusion for people with disabilities.</w:t>
      </w:r>
      <w:r>
        <w:rPr>
          <w:spacing w:val="-27"/>
        </w:rPr>
        <w:t> </w:t>
      </w:r>
      <w:r>
        <w:rPr/>
        <w:t>Through</w:t>
      </w:r>
      <w:r>
        <w:rPr>
          <w:spacing w:val="-26"/>
        </w:rPr>
        <w:t> </w:t>
      </w:r>
      <w:r>
        <w:rPr/>
        <w:t>the</w:t>
      </w:r>
      <w:r>
        <w:rPr>
          <w:spacing w:val="-26"/>
        </w:rPr>
        <w:t> </w:t>
      </w:r>
      <w:r>
        <w:rPr>
          <w:spacing w:val="-3"/>
        </w:rPr>
        <w:t>Department’s</w:t>
      </w:r>
      <w:r>
        <w:rPr>
          <w:spacing w:val="-26"/>
        </w:rPr>
        <w:t> </w:t>
      </w:r>
      <w:r>
        <w:rPr/>
        <w:t>Disability</w:t>
      </w:r>
      <w:r>
        <w:rPr>
          <w:spacing w:val="-26"/>
        </w:rPr>
        <w:t> </w:t>
      </w:r>
      <w:r>
        <w:rPr/>
        <w:t>Access</w:t>
      </w:r>
      <w:r>
        <w:rPr>
          <w:spacing w:val="-26"/>
        </w:rPr>
        <w:t> </w:t>
      </w:r>
      <w:r>
        <w:rPr/>
        <w:t>and</w:t>
      </w:r>
      <w:r>
        <w:rPr>
          <w:spacing w:val="-26"/>
        </w:rPr>
        <w:t> </w:t>
      </w:r>
      <w:r>
        <w:rPr/>
        <w:t>Inclusion</w:t>
      </w:r>
      <w:r>
        <w:rPr>
          <w:spacing w:val="-26"/>
        </w:rPr>
        <w:t> </w:t>
      </w:r>
      <w:r>
        <w:rPr/>
        <w:t>Plan (DAIP),</w:t>
      </w:r>
      <w:r>
        <w:rPr>
          <w:spacing w:val="-23"/>
        </w:rPr>
        <w:t> </w:t>
      </w:r>
      <w:r>
        <w:rPr/>
        <w:t>it</w:t>
      </w:r>
      <w:r>
        <w:rPr>
          <w:spacing w:val="-23"/>
        </w:rPr>
        <w:t> </w:t>
      </w:r>
      <w:r>
        <w:rPr/>
        <w:t>seeks</w:t>
      </w:r>
      <w:r>
        <w:rPr>
          <w:spacing w:val="-22"/>
        </w:rPr>
        <w:t> </w:t>
      </w:r>
      <w:r>
        <w:rPr/>
        <w:t>to</w:t>
      </w:r>
      <w:r>
        <w:rPr>
          <w:spacing w:val="-23"/>
        </w:rPr>
        <w:t> </w:t>
      </w:r>
      <w:r>
        <w:rPr/>
        <w:t>ensure</w:t>
      </w:r>
      <w:r>
        <w:rPr>
          <w:spacing w:val="-22"/>
        </w:rPr>
        <w:t> </w:t>
      </w:r>
      <w:r>
        <w:rPr/>
        <w:t>that</w:t>
      </w:r>
      <w:r>
        <w:rPr>
          <w:spacing w:val="-23"/>
        </w:rPr>
        <w:t> </w:t>
      </w:r>
      <w:r>
        <w:rPr/>
        <w:t>people</w:t>
      </w:r>
      <w:r>
        <w:rPr>
          <w:spacing w:val="-23"/>
        </w:rPr>
        <w:t> </w:t>
      </w:r>
      <w:r>
        <w:rPr/>
        <w:t>with</w:t>
      </w:r>
      <w:r>
        <w:rPr>
          <w:spacing w:val="-22"/>
        </w:rPr>
        <w:t> </w:t>
      </w:r>
      <w:r>
        <w:rPr/>
        <w:t>a</w:t>
      </w:r>
      <w:r>
        <w:rPr>
          <w:spacing w:val="-23"/>
        </w:rPr>
        <w:t> </w:t>
      </w:r>
      <w:r>
        <w:rPr/>
        <w:t>disability</w:t>
      </w:r>
      <w:r>
        <w:rPr>
          <w:spacing w:val="-22"/>
        </w:rPr>
        <w:t> </w:t>
      </w:r>
      <w:r>
        <w:rPr/>
        <w:t>have</w:t>
      </w:r>
      <w:r>
        <w:rPr>
          <w:spacing w:val="-23"/>
        </w:rPr>
        <w:t> </w:t>
      </w:r>
      <w:r>
        <w:rPr/>
        <w:t>an</w:t>
      </w:r>
      <w:r>
        <w:rPr>
          <w:spacing w:val="-22"/>
        </w:rPr>
        <w:t> </w:t>
      </w:r>
      <w:r>
        <w:rPr/>
        <w:t>equal</w:t>
      </w:r>
      <w:r>
        <w:rPr>
          <w:spacing w:val="-23"/>
        </w:rPr>
        <w:t> </w:t>
      </w:r>
      <w:r>
        <w:rPr/>
        <w:t>level</w:t>
      </w:r>
      <w:r>
        <w:rPr>
          <w:spacing w:val="-23"/>
        </w:rPr>
        <w:t> </w:t>
      </w:r>
      <w:r>
        <w:rPr>
          <w:spacing w:val="-9"/>
        </w:rPr>
        <w:t>of </w:t>
      </w:r>
      <w:r>
        <w:rPr/>
        <w:t>inclusion and access to services and</w:t>
      </w:r>
      <w:r>
        <w:rPr>
          <w:spacing w:val="-19"/>
        </w:rPr>
        <w:t> </w:t>
      </w:r>
      <w:r>
        <w:rPr/>
        <w:t>employment.</w:t>
      </w:r>
    </w:p>
    <w:p>
      <w:pPr>
        <w:pStyle w:val="BodyText"/>
        <w:spacing w:before="3"/>
        <w:rPr>
          <w:sz w:val="23"/>
        </w:rPr>
      </w:pPr>
    </w:p>
    <w:p>
      <w:pPr>
        <w:pStyle w:val="BodyText"/>
        <w:spacing w:line="249" w:lineRule="auto"/>
        <w:ind w:left="765" w:right="840"/>
      </w:pPr>
      <w:r>
        <w:rPr/>
        <w:t>The </w:t>
      </w:r>
      <w:r>
        <w:rPr>
          <w:spacing w:val="-3"/>
        </w:rPr>
        <w:t>Department’s </w:t>
      </w:r>
      <w:r>
        <w:rPr/>
        <w:t>DAIP Committee meets quarterly to drive initiatives and review</w:t>
      </w:r>
      <w:r>
        <w:rPr>
          <w:spacing w:val="-27"/>
        </w:rPr>
        <w:t> </w:t>
      </w:r>
      <w:r>
        <w:rPr/>
        <w:t>matters</w:t>
      </w:r>
      <w:r>
        <w:rPr>
          <w:spacing w:val="-27"/>
        </w:rPr>
        <w:t> </w:t>
      </w:r>
      <w:r>
        <w:rPr/>
        <w:t>affected</w:t>
      </w:r>
      <w:r>
        <w:rPr>
          <w:spacing w:val="-26"/>
        </w:rPr>
        <w:t> </w:t>
      </w:r>
      <w:r>
        <w:rPr/>
        <w:t>by</w:t>
      </w:r>
      <w:r>
        <w:rPr>
          <w:spacing w:val="-27"/>
        </w:rPr>
        <w:t> </w:t>
      </w:r>
      <w:r>
        <w:rPr/>
        <w:t>the</w:t>
      </w:r>
      <w:r>
        <w:rPr>
          <w:spacing w:val="-27"/>
        </w:rPr>
        <w:t> </w:t>
      </w:r>
      <w:r>
        <w:rPr/>
        <w:t>DAIP</w:t>
      </w:r>
      <w:r>
        <w:rPr>
          <w:spacing w:val="-26"/>
        </w:rPr>
        <w:t> </w:t>
      </w:r>
      <w:r>
        <w:rPr/>
        <w:t>Plan.</w:t>
      </w:r>
      <w:r>
        <w:rPr>
          <w:spacing w:val="-27"/>
        </w:rPr>
        <w:t> </w:t>
      </w:r>
      <w:r>
        <w:rPr/>
        <w:t>New</w:t>
      </w:r>
      <w:r>
        <w:rPr>
          <w:spacing w:val="-26"/>
        </w:rPr>
        <w:t> </w:t>
      </w:r>
      <w:r>
        <w:rPr/>
        <w:t>DAIP</w:t>
      </w:r>
      <w:r>
        <w:rPr>
          <w:spacing w:val="-27"/>
        </w:rPr>
        <w:t> </w:t>
      </w:r>
      <w:r>
        <w:rPr/>
        <w:t>initiatives</w:t>
      </w:r>
      <w:r>
        <w:rPr>
          <w:spacing w:val="-27"/>
        </w:rPr>
        <w:t> </w:t>
      </w:r>
      <w:r>
        <w:rPr/>
        <w:t>implemented</w:t>
      </w:r>
      <w:r>
        <w:rPr>
          <w:spacing w:val="-26"/>
        </w:rPr>
        <w:t> </w:t>
      </w:r>
      <w:r>
        <w:rPr>
          <w:spacing w:val="-9"/>
        </w:rPr>
        <w:t>in </w:t>
      </w:r>
      <w:r>
        <w:rPr/>
        <w:t>2017-18</w:t>
      </w:r>
      <w:r>
        <w:rPr>
          <w:spacing w:val="-1"/>
        </w:rPr>
        <w:t> </w:t>
      </w:r>
      <w:r>
        <w:rPr/>
        <w:t>included:</w:t>
      </w:r>
    </w:p>
    <w:p>
      <w:pPr>
        <w:pStyle w:val="BodyText"/>
        <w:spacing w:before="2"/>
        <w:rPr>
          <w:sz w:val="23"/>
        </w:rPr>
      </w:pPr>
    </w:p>
    <w:p>
      <w:pPr>
        <w:pStyle w:val="BodyText"/>
        <w:spacing w:line="249" w:lineRule="auto" w:before="1"/>
        <w:ind w:left="1071" w:right="915"/>
      </w:pPr>
      <w:r>
        <w:rPr/>
        <w:pict>
          <v:shape style="position:absolute;margin-left:38.2677pt;margin-top:24.561876pt;width:371.85pt;height:202.6pt;mso-position-horizontal-relative:page;mso-position-vertical-relative:paragraph;z-index:2992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2"/>
                    <w:gridCol w:w="1417"/>
                    <w:gridCol w:w="1417"/>
                  </w:tblGrid>
                  <w:tr>
                    <w:trPr>
                      <w:trHeight w:val="305" w:hRule="atLeast"/>
                    </w:trPr>
                    <w:tc>
                      <w:tcPr>
                        <w:tcW w:w="7426" w:type="dxa"/>
                        <w:gridSpan w:val="3"/>
                        <w:tcBorders>
                          <w:left w:val="single" w:sz="8" w:space="0" w:color="FFFFFF"/>
                        </w:tcBorders>
                      </w:tcPr>
                      <w:p>
                        <w:pPr>
                          <w:pStyle w:val="TableParagraph"/>
                          <w:tabs>
                            <w:tab w:pos="5301" w:val="left" w:leader="none"/>
                            <w:tab w:pos="6444" w:val="left" w:leader="none"/>
                          </w:tabs>
                          <w:spacing w:before="42"/>
                          <w:ind w:left="113"/>
                          <w:rPr>
                            <w:b/>
                            <w:sz w:val="19"/>
                          </w:rPr>
                        </w:pPr>
                        <w:r>
                          <w:rPr>
                            <w:b/>
                            <w:color w:val="FFFFFF"/>
                            <w:sz w:val="19"/>
                          </w:rPr>
                          <w:t>Agency/Organisation</w:t>
                          <w:tab/>
                        </w:r>
                        <w:r>
                          <w:rPr>
                            <w:b/>
                            <w:color w:val="FFFFFF"/>
                            <w:spacing w:val="-5"/>
                            <w:sz w:val="19"/>
                          </w:rPr>
                          <w:t>Total</w:t>
                        </w:r>
                        <w:r>
                          <w:rPr>
                            <w:b/>
                            <w:color w:val="FFFFFF"/>
                            <w:spacing w:val="2"/>
                            <w:sz w:val="19"/>
                          </w:rPr>
                          <w:t> </w:t>
                        </w:r>
                        <w:r>
                          <w:rPr>
                            <w:b/>
                            <w:color w:val="FFFFFF"/>
                            <w:sz w:val="19"/>
                          </w:rPr>
                          <w:t>$</w:t>
                          <w:tab/>
                          <w:t>Amount</w:t>
                        </w:r>
                        <w:r>
                          <w:rPr>
                            <w:b/>
                            <w:color w:val="FFFFFF"/>
                            <w:spacing w:val="-3"/>
                            <w:sz w:val="19"/>
                          </w:rPr>
                          <w:t> </w:t>
                        </w:r>
                        <w:r>
                          <w:rPr>
                            <w:b/>
                            <w:color w:val="FFFFFF"/>
                            <w:sz w:val="19"/>
                          </w:rPr>
                          <w:t>$</w:t>
                        </w:r>
                      </w:p>
                    </w:tc>
                  </w:tr>
                  <w:tr>
                    <w:trPr>
                      <w:trHeight w:val="523" w:hRule="atLeast"/>
                    </w:trPr>
                    <w:tc>
                      <w:tcPr>
                        <w:tcW w:w="4592" w:type="dxa"/>
                        <w:tcBorders>
                          <w:left w:val="single" w:sz="8" w:space="0" w:color="FFFFFF"/>
                          <w:bottom w:val="single" w:sz="8" w:space="0" w:color="FFFFFF"/>
                        </w:tcBorders>
                      </w:tcPr>
                      <w:p>
                        <w:pPr>
                          <w:pStyle w:val="TableParagraph"/>
                          <w:spacing w:before="42"/>
                          <w:ind w:left="113"/>
                          <w:rPr>
                            <w:b/>
                            <w:sz w:val="19"/>
                          </w:rPr>
                        </w:pPr>
                        <w:r>
                          <w:rPr>
                            <w:b/>
                            <w:sz w:val="19"/>
                          </w:rPr>
                          <w:t>Advertising agencies</w:t>
                        </w:r>
                      </w:p>
                    </w:tc>
                    <w:tc>
                      <w:tcPr>
                        <w:tcW w:w="1417" w:type="dxa"/>
                        <w:vMerge w:val="restart"/>
                        <w:tcBorders>
                          <w:right w:val="single" w:sz="4" w:space="0" w:color="FFFFFF"/>
                        </w:tcBorders>
                      </w:tcPr>
                      <w:p>
                        <w:pPr>
                          <w:pStyle w:val="TableParagraph"/>
                          <w:spacing w:before="42"/>
                          <w:ind w:left="733"/>
                          <w:rPr>
                            <w:sz w:val="19"/>
                          </w:rPr>
                        </w:pPr>
                        <w:r>
                          <w:rPr>
                            <w:sz w:val="19"/>
                          </w:rPr>
                          <w:t>10,061</w:t>
                        </w:r>
                      </w:p>
                      <w:p>
                        <w:pPr>
                          <w:pStyle w:val="TableParagraph"/>
                          <w:spacing w:before="0"/>
                          <w:rPr>
                            <w:b/>
                            <w:sz w:val="22"/>
                          </w:rPr>
                        </w:pPr>
                      </w:p>
                      <w:p>
                        <w:pPr>
                          <w:pStyle w:val="TableParagraph"/>
                          <w:spacing w:before="0"/>
                          <w:rPr>
                            <w:b/>
                            <w:sz w:val="22"/>
                          </w:rPr>
                        </w:pPr>
                      </w:p>
                      <w:p>
                        <w:pPr>
                          <w:pStyle w:val="TableParagraph"/>
                          <w:spacing w:before="0"/>
                          <w:rPr>
                            <w:b/>
                            <w:sz w:val="22"/>
                          </w:rPr>
                        </w:pPr>
                      </w:p>
                      <w:p>
                        <w:pPr>
                          <w:pStyle w:val="TableParagraph"/>
                          <w:spacing w:before="2"/>
                          <w:rPr>
                            <w:b/>
                            <w:sz w:val="27"/>
                          </w:rPr>
                        </w:pPr>
                      </w:p>
                      <w:p>
                        <w:pPr>
                          <w:pStyle w:val="TableParagraph"/>
                          <w:spacing w:line="530" w:lineRule="atLeast" w:before="0"/>
                          <w:ind w:left="1109" w:right="95"/>
                          <w:jc w:val="both"/>
                          <w:rPr>
                            <w:sz w:val="19"/>
                          </w:rPr>
                        </w:pPr>
                        <w:r>
                          <w:rPr>
                            <w:w w:val="90"/>
                            <w:sz w:val="19"/>
                          </w:rPr>
                          <w:t>Nil Nil Nil Nil</w:t>
                        </w:r>
                      </w:p>
                    </w:tc>
                    <w:tc>
                      <w:tcPr>
                        <w:tcW w:w="1417" w:type="dxa"/>
                        <w:vMerge w:val="restart"/>
                        <w:tcBorders>
                          <w:left w:val="single" w:sz="4" w:space="0" w:color="FFFFFF"/>
                        </w:tcBorders>
                      </w:tcPr>
                      <w:p>
                        <w:pPr>
                          <w:pStyle w:val="TableParagraph"/>
                          <w:spacing w:before="0"/>
                          <w:rPr>
                            <w:b/>
                            <w:sz w:val="22"/>
                          </w:rPr>
                        </w:pPr>
                      </w:p>
                      <w:p>
                        <w:pPr>
                          <w:pStyle w:val="TableParagraph"/>
                          <w:spacing w:before="1"/>
                          <w:rPr>
                            <w:b/>
                            <w:sz w:val="28"/>
                          </w:rPr>
                        </w:pPr>
                      </w:p>
                      <w:p>
                        <w:pPr>
                          <w:pStyle w:val="TableParagraph"/>
                          <w:spacing w:before="0"/>
                          <w:ind w:left="834"/>
                          <w:rPr>
                            <w:sz w:val="19"/>
                          </w:rPr>
                        </w:pPr>
                        <w:r>
                          <w:rPr>
                            <w:sz w:val="19"/>
                          </w:rPr>
                          <w:t>6,461</w:t>
                        </w:r>
                      </w:p>
                      <w:p>
                        <w:pPr>
                          <w:pStyle w:val="TableParagraph"/>
                          <w:spacing w:before="4"/>
                          <w:rPr>
                            <w:b/>
                            <w:sz w:val="27"/>
                          </w:rPr>
                        </w:pPr>
                      </w:p>
                      <w:p>
                        <w:pPr>
                          <w:pStyle w:val="TableParagraph"/>
                          <w:spacing w:before="1"/>
                          <w:ind w:left="834"/>
                          <w:rPr>
                            <w:sz w:val="19"/>
                          </w:rPr>
                        </w:pPr>
                        <w:r>
                          <w:rPr>
                            <w:sz w:val="19"/>
                          </w:rPr>
                          <w:t>3,600</w:t>
                        </w: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sz w:val="19"/>
                          </w:rPr>
                        </w:pPr>
                        <w:r>
                          <w:rPr>
                            <w:sz w:val="19"/>
                          </w:rPr>
                          <w:t>Adcorp</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sz w:val="19"/>
                          </w:rPr>
                        </w:pPr>
                        <w:r>
                          <w:rPr>
                            <w:sz w:val="19"/>
                          </w:rPr>
                          <w:t>Hays</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b/>
                            <w:sz w:val="19"/>
                          </w:rPr>
                        </w:pPr>
                        <w:r>
                          <w:rPr>
                            <w:b/>
                            <w:sz w:val="19"/>
                          </w:rPr>
                          <w:t>Market Research Organisations</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b/>
                            <w:sz w:val="19"/>
                          </w:rPr>
                        </w:pPr>
                        <w:r>
                          <w:rPr>
                            <w:b/>
                            <w:sz w:val="19"/>
                          </w:rPr>
                          <w:t>Polling Organisations</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b/>
                            <w:sz w:val="19"/>
                          </w:rPr>
                        </w:pPr>
                        <w:r>
                          <w:rPr>
                            <w:b/>
                            <w:sz w:val="19"/>
                          </w:rPr>
                          <w:t>Direct Mailing Organisations</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r>
                    <w:trPr>
                      <w:trHeight w:val="513" w:hRule="atLeast"/>
                    </w:trPr>
                    <w:tc>
                      <w:tcPr>
                        <w:tcW w:w="4592" w:type="dxa"/>
                        <w:tcBorders>
                          <w:top w:val="single" w:sz="8" w:space="0" w:color="FFFFFF"/>
                          <w:left w:val="single" w:sz="8" w:space="0" w:color="FFFFFF"/>
                          <w:bottom w:val="single" w:sz="8" w:space="0" w:color="FFFFFF"/>
                        </w:tcBorders>
                      </w:tcPr>
                      <w:p>
                        <w:pPr>
                          <w:pStyle w:val="TableParagraph"/>
                          <w:ind w:left="113"/>
                          <w:rPr>
                            <w:b/>
                            <w:sz w:val="19"/>
                          </w:rPr>
                        </w:pPr>
                        <w:r>
                          <w:rPr>
                            <w:b/>
                            <w:sz w:val="19"/>
                          </w:rPr>
                          <w:t>Media Advertising Organisations</w:t>
                        </w:r>
                      </w:p>
                    </w:tc>
                    <w:tc>
                      <w:tcPr>
                        <w:tcW w:w="1417" w:type="dxa"/>
                        <w:vMerge/>
                        <w:tcBorders>
                          <w:top w:val="nil"/>
                          <w:right w:val="single" w:sz="4" w:space="0" w:color="FFFFFF"/>
                        </w:tcBorders>
                      </w:tcPr>
                      <w:p>
                        <w:pPr>
                          <w:rPr>
                            <w:sz w:val="2"/>
                            <w:szCs w:val="2"/>
                          </w:rPr>
                        </w:pPr>
                      </w:p>
                    </w:tc>
                    <w:tc>
                      <w:tcPr>
                        <w:tcW w:w="1417" w:type="dxa"/>
                        <w:vMerge/>
                        <w:tcBorders>
                          <w:top w:val="nil"/>
                          <w:left w:val="single" w:sz="4" w:space="0" w:color="FFFFFF"/>
                        </w:tcBorders>
                      </w:tcPr>
                      <w:p>
                        <w:pPr>
                          <w:rPr>
                            <w:sz w:val="2"/>
                            <w:szCs w:val="2"/>
                          </w:rPr>
                        </w:pPr>
                      </w:p>
                    </w:tc>
                  </w:tr>
                </w:tbl>
                <w:p>
                  <w:pPr>
                    <w:pStyle w:val="BodyText"/>
                  </w:pPr>
                </w:p>
              </w:txbxContent>
            </v:textbox>
            <w10:wrap type="none"/>
          </v:shape>
        </w:pict>
      </w:r>
      <w:r>
        <w:rPr/>
        <w:t>the</w:t>
      </w:r>
      <w:r>
        <w:rPr>
          <w:spacing w:val="-24"/>
        </w:rPr>
        <w:t> </w:t>
      </w:r>
      <w:r>
        <w:rPr/>
        <w:t>development</w:t>
      </w:r>
      <w:r>
        <w:rPr>
          <w:spacing w:val="-24"/>
        </w:rPr>
        <w:t> </w:t>
      </w:r>
      <w:r>
        <w:rPr/>
        <w:t>and</w:t>
      </w:r>
      <w:r>
        <w:rPr>
          <w:spacing w:val="-23"/>
        </w:rPr>
        <w:t> </w:t>
      </w:r>
      <w:r>
        <w:rPr/>
        <w:t>endorsement</w:t>
      </w:r>
      <w:r>
        <w:rPr>
          <w:spacing w:val="-24"/>
        </w:rPr>
        <w:t> </w:t>
      </w:r>
      <w:r>
        <w:rPr/>
        <w:t>of</w:t>
      </w:r>
      <w:r>
        <w:rPr>
          <w:spacing w:val="-23"/>
        </w:rPr>
        <w:t> </w:t>
      </w:r>
      <w:r>
        <w:rPr/>
        <w:t>a</w:t>
      </w:r>
      <w:r>
        <w:rPr>
          <w:spacing w:val="-24"/>
        </w:rPr>
        <w:t> </w:t>
      </w:r>
      <w:r>
        <w:rPr/>
        <w:t>five-year</w:t>
      </w:r>
      <w:r>
        <w:rPr>
          <w:spacing w:val="-24"/>
        </w:rPr>
        <w:t> </w:t>
      </w:r>
      <w:r>
        <w:rPr/>
        <w:t>DAIP</w:t>
      </w:r>
      <w:r>
        <w:rPr>
          <w:spacing w:val="-23"/>
        </w:rPr>
        <w:t> </w:t>
      </w:r>
      <w:r>
        <w:rPr/>
        <w:t>for</w:t>
      </w:r>
      <w:r>
        <w:rPr>
          <w:spacing w:val="-24"/>
        </w:rPr>
        <w:t> </w:t>
      </w:r>
      <w:r>
        <w:rPr/>
        <w:t>the</w:t>
      </w:r>
      <w:r>
        <w:rPr>
          <w:spacing w:val="-23"/>
        </w:rPr>
        <w:t> </w:t>
      </w:r>
      <w:r>
        <w:rPr/>
        <w:t>Department for 2017-2022;</w:t>
      </w:r>
    </w:p>
    <w:p>
      <w:pPr>
        <w:pStyle w:val="BodyText"/>
        <w:spacing w:line="249" w:lineRule="auto" w:before="1"/>
        <w:ind w:left="1071" w:right="826"/>
      </w:pPr>
      <w:r>
        <w:rPr/>
        <w:t>in</w:t>
      </w:r>
      <w:r>
        <w:rPr>
          <w:spacing w:val="-15"/>
        </w:rPr>
        <w:t> </w:t>
      </w:r>
      <w:r>
        <w:rPr/>
        <w:t>consultation</w:t>
      </w:r>
      <w:r>
        <w:rPr>
          <w:spacing w:val="-15"/>
        </w:rPr>
        <w:t> </w:t>
      </w:r>
      <w:r>
        <w:rPr/>
        <w:t>with</w:t>
      </w:r>
      <w:r>
        <w:rPr>
          <w:spacing w:val="-14"/>
        </w:rPr>
        <w:t> </w:t>
      </w:r>
      <w:r>
        <w:rPr/>
        <w:t>the</w:t>
      </w:r>
      <w:r>
        <w:rPr>
          <w:spacing w:val="-15"/>
        </w:rPr>
        <w:t> </w:t>
      </w:r>
      <w:r>
        <w:rPr/>
        <w:t>Public</w:t>
      </w:r>
      <w:r>
        <w:rPr>
          <w:spacing w:val="-15"/>
        </w:rPr>
        <w:t> </w:t>
      </w:r>
      <w:r>
        <w:rPr/>
        <w:t>Sector</w:t>
      </w:r>
      <w:r>
        <w:rPr>
          <w:spacing w:val="-14"/>
        </w:rPr>
        <w:t> </w:t>
      </w:r>
      <w:r>
        <w:rPr/>
        <w:t>Commission,</w:t>
      </w:r>
      <w:r>
        <w:rPr>
          <w:spacing w:val="-15"/>
        </w:rPr>
        <w:t> </w:t>
      </w:r>
      <w:r>
        <w:rPr/>
        <w:t>the</w:t>
      </w:r>
      <w:r>
        <w:rPr>
          <w:spacing w:val="-14"/>
        </w:rPr>
        <w:t> </w:t>
      </w:r>
      <w:r>
        <w:rPr/>
        <w:t>recruitment</w:t>
      </w:r>
      <w:r>
        <w:rPr>
          <w:spacing w:val="-15"/>
        </w:rPr>
        <w:t> </w:t>
      </w:r>
      <w:r>
        <w:rPr/>
        <w:t>of</w:t>
      </w:r>
      <w:r>
        <w:rPr>
          <w:spacing w:val="-15"/>
        </w:rPr>
        <w:t> </w:t>
      </w:r>
      <w:r>
        <w:rPr/>
        <w:t>one School</w:t>
      </w:r>
      <w:r>
        <w:rPr>
          <w:spacing w:val="-19"/>
        </w:rPr>
        <w:t> </w:t>
      </w:r>
      <w:r>
        <w:rPr/>
        <w:t>Based</w:t>
      </w:r>
      <w:r>
        <w:rPr>
          <w:spacing w:val="-19"/>
        </w:rPr>
        <w:t> </w:t>
      </w:r>
      <w:r>
        <w:rPr>
          <w:spacing w:val="-3"/>
        </w:rPr>
        <w:t>Trainee</w:t>
      </w:r>
      <w:r>
        <w:rPr>
          <w:spacing w:val="-19"/>
        </w:rPr>
        <w:t> </w:t>
      </w:r>
      <w:r>
        <w:rPr/>
        <w:t>and</w:t>
      </w:r>
      <w:r>
        <w:rPr>
          <w:spacing w:val="-19"/>
        </w:rPr>
        <w:t> </w:t>
      </w:r>
      <w:r>
        <w:rPr/>
        <w:t>continued</w:t>
      </w:r>
      <w:r>
        <w:rPr>
          <w:spacing w:val="-19"/>
        </w:rPr>
        <w:t> </w:t>
      </w:r>
      <w:r>
        <w:rPr/>
        <w:t>employment</w:t>
      </w:r>
      <w:r>
        <w:rPr>
          <w:spacing w:val="-18"/>
        </w:rPr>
        <w:t> </w:t>
      </w:r>
      <w:r>
        <w:rPr/>
        <w:t>and</w:t>
      </w:r>
      <w:r>
        <w:rPr>
          <w:spacing w:val="-19"/>
        </w:rPr>
        <w:t> </w:t>
      </w:r>
      <w:r>
        <w:rPr/>
        <w:t>development</w:t>
      </w:r>
      <w:r>
        <w:rPr>
          <w:spacing w:val="-19"/>
        </w:rPr>
        <w:t> </w:t>
      </w:r>
      <w:r>
        <w:rPr/>
        <w:t>of</w:t>
      </w:r>
      <w:r>
        <w:rPr>
          <w:spacing w:val="-19"/>
        </w:rPr>
        <w:t> </w:t>
      </w:r>
      <w:r>
        <w:rPr>
          <w:spacing w:val="-6"/>
        </w:rPr>
        <w:t>two </w:t>
      </w:r>
      <w:r>
        <w:rPr/>
        <w:t>other</w:t>
      </w:r>
      <w:r>
        <w:rPr>
          <w:spacing w:val="-8"/>
        </w:rPr>
        <w:t> </w:t>
      </w:r>
      <w:r>
        <w:rPr/>
        <w:t>employees</w:t>
      </w:r>
      <w:r>
        <w:rPr>
          <w:spacing w:val="-8"/>
        </w:rPr>
        <w:t> </w:t>
      </w:r>
      <w:r>
        <w:rPr/>
        <w:t>with</w:t>
      </w:r>
      <w:r>
        <w:rPr>
          <w:spacing w:val="-8"/>
        </w:rPr>
        <w:t> </w:t>
      </w:r>
      <w:r>
        <w:rPr/>
        <w:t>a</w:t>
      </w:r>
      <w:r>
        <w:rPr>
          <w:spacing w:val="-7"/>
        </w:rPr>
        <w:t> </w:t>
      </w:r>
      <w:r>
        <w:rPr/>
        <w:t>disability</w:t>
      </w:r>
      <w:r>
        <w:rPr>
          <w:spacing w:val="-8"/>
        </w:rPr>
        <w:t> </w:t>
      </w:r>
      <w:r>
        <w:rPr/>
        <w:t>to</w:t>
      </w:r>
      <w:r>
        <w:rPr>
          <w:spacing w:val="-8"/>
        </w:rPr>
        <w:t> </w:t>
      </w:r>
      <w:r>
        <w:rPr/>
        <w:t>assimilate</w:t>
      </w:r>
      <w:r>
        <w:rPr>
          <w:spacing w:val="-8"/>
        </w:rPr>
        <w:t> </w:t>
      </w:r>
      <w:r>
        <w:rPr/>
        <w:t>into</w:t>
      </w:r>
      <w:r>
        <w:rPr>
          <w:spacing w:val="-7"/>
        </w:rPr>
        <w:t> </w:t>
      </w:r>
      <w:r>
        <w:rPr/>
        <w:t>the</w:t>
      </w:r>
      <w:r>
        <w:rPr>
          <w:spacing w:val="-8"/>
        </w:rPr>
        <w:t> </w:t>
      </w:r>
      <w:r>
        <w:rPr/>
        <w:t>workforce;</w:t>
      </w:r>
    </w:p>
    <w:p>
      <w:pPr>
        <w:pStyle w:val="BodyText"/>
        <w:spacing w:line="249" w:lineRule="auto" w:before="3"/>
        <w:ind w:left="1071" w:right="905"/>
      </w:pPr>
      <w:r>
        <w:rPr/>
        <w:t>the development of a ‘Diversity in Finance Employment Plan 2017-22’ paper</w:t>
      </w:r>
      <w:r>
        <w:rPr>
          <w:spacing w:val="-18"/>
        </w:rPr>
        <w:t> </w:t>
      </w:r>
      <w:r>
        <w:rPr/>
        <w:t>to</w:t>
      </w:r>
      <w:r>
        <w:rPr>
          <w:spacing w:val="-18"/>
        </w:rPr>
        <w:t> </w:t>
      </w:r>
      <w:r>
        <w:rPr/>
        <w:t>assist</w:t>
      </w:r>
      <w:r>
        <w:rPr>
          <w:spacing w:val="-18"/>
        </w:rPr>
        <w:t> </w:t>
      </w:r>
      <w:r>
        <w:rPr/>
        <w:t>the</w:t>
      </w:r>
      <w:r>
        <w:rPr>
          <w:spacing w:val="-17"/>
        </w:rPr>
        <w:t> </w:t>
      </w:r>
      <w:r>
        <w:rPr/>
        <w:t>Department</w:t>
      </w:r>
      <w:r>
        <w:rPr>
          <w:spacing w:val="-18"/>
        </w:rPr>
        <w:t> </w:t>
      </w:r>
      <w:r>
        <w:rPr/>
        <w:t>to</w:t>
      </w:r>
      <w:r>
        <w:rPr>
          <w:spacing w:val="-18"/>
        </w:rPr>
        <w:t> </w:t>
      </w:r>
      <w:r>
        <w:rPr/>
        <w:t>drive</w:t>
      </w:r>
      <w:r>
        <w:rPr>
          <w:spacing w:val="-18"/>
        </w:rPr>
        <w:t> </w:t>
      </w:r>
      <w:r>
        <w:rPr/>
        <w:t>strategies</w:t>
      </w:r>
      <w:r>
        <w:rPr>
          <w:spacing w:val="-17"/>
        </w:rPr>
        <w:t> </w:t>
      </w:r>
      <w:r>
        <w:rPr/>
        <w:t>to</w:t>
      </w:r>
      <w:r>
        <w:rPr>
          <w:spacing w:val="-18"/>
        </w:rPr>
        <w:t> </w:t>
      </w:r>
      <w:r>
        <w:rPr/>
        <w:t>improve</w:t>
      </w:r>
      <w:r>
        <w:rPr>
          <w:spacing w:val="-18"/>
        </w:rPr>
        <w:t> </w:t>
      </w:r>
      <w:r>
        <w:rPr/>
        <w:t>diversity</w:t>
      </w:r>
      <w:r>
        <w:rPr>
          <w:spacing w:val="-18"/>
        </w:rPr>
        <w:t> </w:t>
      </w:r>
      <w:r>
        <w:rPr>
          <w:spacing w:val="-6"/>
        </w:rPr>
        <w:t>and </w:t>
      </w:r>
      <w:r>
        <w:rPr/>
        <w:t>access and</w:t>
      </w:r>
      <w:r>
        <w:rPr>
          <w:spacing w:val="-2"/>
        </w:rPr>
        <w:t> </w:t>
      </w:r>
      <w:r>
        <w:rPr/>
        <w:t>inclusion;</w:t>
      </w:r>
    </w:p>
    <w:p>
      <w:pPr>
        <w:pStyle w:val="BodyText"/>
        <w:spacing w:line="249" w:lineRule="auto" w:before="3"/>
        <w:ind w:left="1071" w:right="1122"/>
      </w:pPr>
      <w:r>
        <w:rPr/>
        <w:t>the success of the ‘Disability Awareness’ eLearning online module assisting</w:t>
      </w:r>
      <w:r>
        <w:rPr>
          <w:spacing w:val="-28"/>
        </w:rPr>
        <w:t> </w:t>
      </w:r>
      <w:r>
        <w:rPr/>
        <w:t>staff</w:t>
      </w:r>
      <w:r>
        <w:rPr>
          <w:spacing w:val="-28"/>
        </w:rPr>
        <w:t> </w:t>
      </w:r>
      <w:r>
        <w:rPr/>
        <w:t>in</w:t>
      </w:r>
      <w:r>
        <w:rPr>
          <w:spacing w:val="-27"/>
        </w:rPr>
        <w:t> </w:t>
      </w:r>
      <w:r>
        <w:rPr/>
        <w:t>understanding</w:t>
      </w:r>
      <w:r>
        <w:rPr>
          <w:spacing w:val="-28"/>
        </w:rPr>
        <w:t> </w:t>
      </w:r>
      <w:r>
        <w:rPr/>
        <w:t>issues</w:t>
      </w:r>
      <w:r>
        <w:rPr>
          <w:spacing w:val="-27"/>
        </w:rPr>
        <w:t> </w:t>
      </w:r>
      <w:r>
        <w:rPr/>
        <w:t>around</w:t>
      </w:r>
      <w:r>
        <w:rPr>
          <w:spacing w:val="-28"/>
        </w:rPr>
        <w:t> </w:t>
      </w:r>
      <w:r>
        <w:rPr/>
        <w:t>disability</w:t>
      </w:r>
      <w:r>
        <w:rPr>
          <w:spacing w:val="-27"/>
        </w:rPr>
        <w:t> </w:t>
      </w:r>
      <w:r>
        <w:rPr/>
        <w:t>in</w:t>
      </w:r>
      <w:r>
        <w:rPr>
          <w:spacing w:val="-28"/>
        </w:rPr>
        <w:t> </w:t>
      </w:r>
      <w:r>
        <w:rPr/>
        <w:t>the</w:t>
      </w:r>
      <w:r>
        <w:rPr>
          <w:spacing w:val="-27"/>
        </w:rPr>
        <w:t> </w:t>
      </w:r>
      <w:r>
        <w:rPr/>
        <w:t>workplace and the wider community;</w:t>
      </w:r>
      <w:r>
        <w:rPr>
          <w:spacing w:val="-4"/>
        </w:rPr>
        <w:t> </w:t>
      </w:r>
      <w:r>
        <w:rPr/>
        <w:t>and</w:t>
      </w:r>
    </w:p>
    <w:p>
      <w:pPr>
        <w:pStyle w:val="BodyText"/>
        <w:spacing w:line="249" w:lineRule="auto" w:before="2"/>
        <w:ind w:left="1071" w:right="1237"/>
      </w:pPr>
      <w:r>
        <w:rPr/>
        <w:t>a</w:t>
      </w:r>
      <w:r>
        <w:rPr>
          <w:spacing w:val="-19"/>
        </w:rPr>
        <w:t> </w:t>
      </w:r>
      <w:r>
        <w:rPr/>
        <w:t>review</w:t>
      </w:r>
      <w:r>
        <w:rPr>
          <w:spacing w:val="-19"/>
        </w:rPr>
        <w:t> </w:t>
      </w:r>
      <w:r>
        <w:rPr/>
        <w:t>and</w:t>
      </w:r>
      <w:r>
        <w:rPr>
          <w:spacing w:val="-18"/>
        </w:rPr>
        <w:t> </w:t>
      </w:r>
      <w:r>
        <w:rPr/>
        <w:t>upgrade</w:t>
      </w:r>
      <w:r>
        <w:rPr>
          <w:spacing w:val="-19"/>
        </w:rPr>
        <w:t> </w:t>
      </w:r>
      <w:r>
        <w:rPr/>
        <w:t>of</w:t>
      </w:r>
      <w:r>
        <w:rPr>
          <w:spacing w:val="-18"/>
        </w:rPr>
        <w:t> </w:t>
      </w:r>
      <w:r>
        <w:rPr/>
        <w:t>the</w:t>
      </w:r>
      <w:r>
        <w:rPr>
          <w:spacing w:val="-19"/>
        </w:rPr>
        <w:t> </w:t>
      </w:r>
      <w:r>
        <w:rPr/>
        <w:t>DAIP</w:t>
      </w:r>
      <w:r>
        <w:rPr>
          <w:spacing w:val="-18"/>
        </w:rPr>
        <w:t> </w:t>
      </w:r>
      <w:r>
        <w:rPr/>
        <w:t>intranet</w:t>
      </w:r>
      <w:r>
        <w:rPr>
          <w:spacing w:val="-19"/>
        </w:rPr>
        <w:t> </w:t>
      </w:r>
      <w:r>
        <w:rPr/>
        <w:t>pages</w:t>
      </w:r>
      <w:r>
        <w:rPr>
          <w:spacing w:val="-18"/>
        </w:rPr>
        <w:t> </w:t>
      </w:r>
      <w:r>
        <w:rPr/>
        <w:t>to</w:t>
      </w:r>
      <w:r>
        <w:rPr>
          <w:spacing w:val="-19"/>
        </w:rPr>
        <w:t> </w:t>
      </w:r>
      <w:r>
        <w:rPr/>
        <w:t>ensure</w:t>
      </w:r>
      <w:r>
        <w:rPr>
          <w:spacing w:val="-18"/>
        </w:rPr>
        <w:t> </w:t>
      </w:r>
      <w:r>
        <w:rPr/>
        <w:t>currency</w:t>
      </w:r>
      <w:r>
        <w:rPr>
          <w:spacing w:val="-19"/>
        </w:rPr>
        <w:t> </w:t>
      </w:r>
      <w:r>
        <w:rPr>
          <w:spacing w:val="-9"/>
        </w:rPr>
        <w:t>of </w:t>
      </w:r>
      <w:r>
        <w:rPr/>
        <w:t>information and resources for</w:t>
      </w:r>
      <w:r>
        <w:rPr>
          <w:spacing w:val="-8"/>
        </w:rPr>
        <w:t> </w:t>
      </w:r>
      <w:r>
        <w:rPr/>
        <w:t>staff.</w:t>
      </w:r>
    </w:p>
    <w:p>
      <w:pPr>
        <w:pStyle w:val="BodyText"/>
        <w:spacing w:before="2"/>
        <w:rPr>
          <w:sz w:val="23"/>
        </w:rPr>
      </w:pPr>
    </w:p>
    <w:p>
      <w:pPr>
        <w:pStyle w:val="BodyText"/>
        <w:spacing w:line="249" w:lineRule="auto"/>
        <w:ind w:left="765" w:right="840"/>
      </w:pPr>
      <w:r>
        <w:rPr/>
        <w:t>The</w:t>
      </w:r>
      <w:r>
        <w:rPr>
          <w:spacing w:val="-18"/>
        </w:rPr>
        <w:t> </w:t>
      </w:r>
      <w:r>
        <w:rPr/>
        <w:t>Department</w:t>
      </w:r>
      <w:r>
        <w:rPr>
          <w:spacing w:val="-17"/>
        </w:rPr>
        <w:t> </w:t>
      </w:r>
      <w:r>
        <w:rPr/>
        <w:t>takes</w:t>
      </w:r>
      <w:r>
        <w:rPr>
          <w:spacing w:val="-17"/>
        </w:rPr>
        <w:t> </w:t>
      </w:r>
      <w:r>
        <w:rPr/>
        <w:t>a</w:t>
      </w:r>
      <w:r>
        <w:rPr>
          <w:spacing w:val="-18"/>
        </w:rPr>
        <w:t> </w:t>
      </w:r>
      <w:r>
        <w:rPr/>
        <w:t>lead</w:t>
      </w:r>
      <w:r>
        <w:rPr>
          <w:spacing w:val="-17"/>
        </w:rPr>
        <w:t> </w:t>
      </w:r>
      <w:r>
        <w:rPr/>
        <w:t>role</w:t>
      </w:r>
      <w:r>
        <w:rPr>
          <w:spacing w:val="-17"/>
        </w:rPr>
        <w:t> </w:t>
      </w:r>
      <w:r>
        <w:rPr/>
        <w:t>across</w:t>
      </w:r>
      <w:r>
        <w:rPr>
          <w:spacing w:val="-17"/>
        </w:rPr>
        <w:t> </w:t>
      </w:r>
      <w:r>
        <w:rPr/>
        <w:t>the</w:t>
      </w:r>
      <w:r>
        <w:rPr>
          <w:spacing w:val="-18"/>
        </w:rPr>
        <w:t> </w:t>
      </w:r>
      <w:r>
        <w:rPr/>
        <w:t>sector</w:t>
      </w:r>
      <w:r>
        <w:rPr>
          <w:spacing w:val="-17"/>
        </w:rPr>
        <w:t> </w:t>
      </w:r>
      <w:r>
        <w:rPr/>
        <w:t>by</w:t>
      </w:r>
      <w:r>
        <w:rPr>
          <w:spacing w:val="-17"/>
        </w:rPr>
        <w:t> </w:t>
      </w:r>
      <w:r>
        <w:rPr/>
        <w:t>driving</w:t>
      </w:r>
      <w:r>
        <w:rPr>
          <w:spacing w:val="-18"/>
        </w:rPr>
        <w:t> </w:t>
      </w:r>
      <w:r>
        <w:rPr/>
        <w:t>the</w:t>
      </w:r>
      <w:r>
        <w:rPr>
          <w:spacing w:val="-17"/>
        </w:rPr>
        <w:t> </w:t>
      </w:r>
      <w:r>
        <w:rPr/>
        <w:t>Australian </w:t>
      </w:r>
      <w:r>
        <w:rPr>
          <w:w w:val="95"/>
        </w:rPr>
        <w:t>Disability Enterprises (ADE) initiative through Government Procurement, </w:t>
      </w:r>
      <w:r>
        <w:rPr>
          <w:spacing w:val="-3"/>
          <w:w w:val="95"/>
        </w:rPr>
        <w:t>which </w:t>
      </w:r>
      <w:r>
        <w:rPr/>
        <w:t>assists other Western Australian Government agencies to understand the capabilities and benefits of working with</w:t>
      </w:r>
      <w:r>
        <w:rPr>
          <w:spacing w:val="-16"/>
        </w:rPr>
        <w:t> </w:t>
      </w:r>
      <w:r>
        <w:rPr/>
        <w:t>ADEs.</w:t>
      </w:r>
    </w:p>
    <w:p>
      <w:pPr>
        <w:spacing w:after="0" w:line="249" w:lineRule="auto"/>
        <w:sectPr>
          <w:type w:val="continuous"/>
          <w:pgSz w:w="16840" w:h="11910" w:orient="landscape"/>
          <w:pgMar w:top="1100" w:bottom="280" w:left="0" w:right="0"/>
          <w:cols w:num="2" w:equalWidth="0">
            <w:col w:w="7823" w:space="44"/>
            <w:col w:w="897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tabs>
          <w:tab w:pos="10886" w:val="left" w:leader="none"/>
          <w:tab w:pos="11199" w:val="left" w:leader="none"/>
        </w:tabs>
        <w:spacing w:before="108"/>
        <w:ind w:left="765" w:right="0" w:firstLine="0"/>
        <w:jc w:val="left"/>
        <w:rPr>
          <w:b/>
          <w:sz w:val="20"/>
        </w:rPr>
      </w:pPr>
      <w:r>
        <w:rPr/>
        <w:pict>
          <v:group style="position:absolute;margin-left:817.839111pt;margin-top:-9.455017pt;width:24.1pt;height:41.55pt;mso-position-horizontal-relative:page;mso-position-vertical-relative:paragraph;z-index:29896" coordorigin="16357,-189" coordsize="482,831">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ffffff" stroked="false">
              <v:path arrowok="t"/>
              <v:fill type="solid"/>
            </v:shape>
            <v:shape style="position:absolute;left:16356;top:-190;width:482;height:831" coordorigin="16357,-189" coordsize="482,831" path="m16772,-189l16697,-182,16627,-163,16562,-132,16504,-91,16454,-41,16413,17,16383,81,16363,151,16357,226,16363,301,16383,371,16413,436,16454,494,16504,544,16562,585,16627,615,16697,635,16772,641,16789,641,16805,640,16822,638,16838,636,16838,-183,16822,-186,16805,-188,16789,-189,16772,-189xe" filled="true" fillcolor="#aebd37" stroked="false">
              <v:path arrowok="t"/>
              <v:fill opacity="13107f" type="solid"/>
            </v:shape>
            <v:shape style="position:absolute;left:16571;top:140;width:93;height:171" coordorigin="16571,140" coordsize="93,171" path="m16590,140l16582,140,16571,150,16571,159,16638,225,16638,227,16571,294,16571,302,16579,310,16582,311,16589,311,16592,310,16655,246,16662,237,16664,227,16664,225,16662,215,16655,206,16590,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 Report 2017-18</w:t>
      </w:r>
      <w:r>
        <w:rPr>
          <w:b/>
          <w:color w:val="6D6E71"/>
          <w:spacing w:val="24"/>
          <w:sz w:val="20"/>
        </w:rPr>
        <w:t> </w:t>
      </w:r>
      <w:r>
        <w:rPr>
          <w:b/>
          <w:color w:val="6F2770"/>
          <w:sz w:val="20"/>
        </w:rPr>
        <w:t>113</w:t>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5"/>
        <w:rPr>
          <w:b/>
          <w:sz w:val="26"/>
        </w:rPr>
      </w:pPr>
    </w:p>
    <w:p>
      <w:pPr>
        <w:spacing w:after="0"/>
        <w:rPr>
          <w:sz w:val="26"/>
        </w:rPr>
        <w:sectPr>
          <w:footerReference w:type="default" r:id="rId238"/>
          <w:pgSz w:w="16840" w:h="11910" w:orient="landscape"/>
          <w:pgMar w:footer="0" w:header="0" w:top="0" w:bottom="0" w:left="0" w:right="0"/>
        </w:sectPr>
      </w:pPr>
    </w:p>
    <w:p>
      <w:pPr>
        <w:pStyle w:val="Heading4"/>
        <w:spacing w:before="110"/>
      </w:pPr>
      <w:r>
        <w:rPr/>
        <w:pict>
          <v:group style="position:absolute;margin-left:240.539398pt;margin-top:-70.505524pt;width:601.4pt;height:484.65pt;mso-position-horizontal-relative:page;mso-position-vertical-relative:paragraph;z-index:-682456" coordorigin="4811,-1410" coordsize="12028,9693">
            <v:shape style="position:absolute;left:5611;top:-1411;width:11227;height:9693" type="#_x0000_t75" stroked="false">
              <v:imagedata r:id="rId34" o:title=""/>
            </v:shape>
            <v:rect style="position:absolute;left:4810;top:-1411;width:2406;height:851" filled="true" fillcolor="#cbb8cc" stroked="false">
              <v:fill type="solid"/>
            </v:rect>
            <w10:wrap type="none"/>
          </v:group>
        </w:pict>
      </w:r>
      <w:r>
        <w:rPr/>
        <w:pict>
          <v:shape style="position:absolute;margin-left:601.348999pt;margin-top:-70.506226pt;width:120.3pt;height:42.55pt;mso-position-horizontal-relative:page;mso-position-vertical-relative:paragraph;z-index:30136" type="#_x0000_t202" filled="true" fillcolor="#d4d896"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70.506226pt;width:120.3pt;height:42.55pt;mso-position-horizontal-relative:page;mso-position-vertical-relative:paragraph;z-index:30160"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70.506226pt;width:120.3pt;height:42.55pt;mso-position-horizontal-relative:page;mso-position-vertical-relative:paragraph;z-index:30184"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Reconciliation Committee</w:t>
      </w:r>
    </w:p>
    <w:p>
      <w:pPr>
        <w:pStyle w:val="BodyText"/>
        <w:spacing w:line="249" w:lineRule="auto" w:before="246"/>
        <w:ind w:left="765" w:right="2"/>
      </w:pPr>
      <w:r>
        <w:rPr/>
        <w:t>The Department is committed to the sustainable employment of, and positive economic outcomes </w:t>
      </w:r>
      <w:r>
        <w:rPr>
          <w:spacing w:val="-6"/>
        </w:rPr>
        <w:t>for,</w:t>
      </w:r>
      <w:r>
        <w:rPr>
          <w:spacing w:val="-25"/>
        </w:rPr>
        <w:t> </w:t>
      </w:r>
      <w:r>
        <w:rPr/>
        <w:t>Aboriginal</w:t>
      </w:r>
      <w:r>
        <w:rPr>
          <w:spacing w:val="-24"/>
        </w:rPr>
        <w:t> </w:t>
      </w:r>
      <w:r>
        <w:rPr/>
        <w:t>and</w:t>
      </w:r>
      <w:r>
        <w:rPr>
          <w:spacing w:val="-25"/>
        </w:rPr>
        <w:t> </w:t>
      </w:r>
      <w:r>
        <w:rPr>
          <w:spacing w:val="-5"/>
        </w:rPr>
        <w:t>Torres</w:t>
      </w:r>
      <w:r>
        <w:rPr>
          <w:spacing w:val="-24"/>
        </w:rPr>
        <w:t> </w:t>
      </w:r>
      <w:r>
        <w:rPr/>
        <w:t>Strait</w:t>
      </w:r>
      <w:r>
        <w:rPr>
          <w:spacing w:val="-25"/>
        </w:rPr>
        <w:t> </w:t>
      </w:r>
      <w:r>
        <w:rPr/>
        <w:t>Islander</w:t>
      </w:r>
      <w:r>
        <w:rPr>
          <w:spacing w:val="-24"/>
        </w:rPr>
        <w:t> </w:t>
      </w:r>
      <w:r>
        <w:rPr/>
        <w:t>people</w:t>
      </w:r>
      <w:r>
        <w:rPr>
          <w:spacing w:val="-24"/>
        </w:rPr>
        <w:t> </w:t>
      </w:r>
      <w:r>
        <w:rPr>
          <w:spacing w:val="-6"/>
        </w:rPr>
        <w:t>and </w:t>
      </w:r>
      <w:r>
        <w:rPr/>
        <w:t>communities.</w:t>
      </w:r>
    </w:p>
    <w:p>
      <w:pPr>
        <w:pStyle w:val="BodyText"/>
        <w:spacing w:before="3"/>
        <w:rPr>
          <w:sz w:val="23"/>
        </w:rPr>
      </w:pPr>
    </w:p>
    <w:p>
      <w:pPr>
        <w:pStyle w:val="BodyText"/>
        <w:spacing w:line="249" w:lineRule="auto"/>
        <w:ind w:left="765" w:right="161"/>
      </w:pPr>
      <w:r>
        <w:rPr/>
        <w:t>This</w:t>
      </w:r>
      <w:r>
        <w:rPr>
          <w:spacing w:val="-27"/>
        </w:rPr>
        <w:t> </w:t>
      </w:r>
      <w:r>
        <w:rPr>
          <w:spacing w:val="-5"/>
        </w:rPr>
        <w:t>year,</w:t>
      </w:r>
      <w:r>
        <w:rPr>
          <w:spacing w:val="-27"/>
        </w:rPr>
        <w:t> </w:t>
      </w:r>
      <w:r>
        <w:rPr/>
        <w:t>the</w:t>
      </w:r>
      <w:r>
        <w:rPr>
          <w:spacing w:val="-26"/>
        </w:rPr>
        <w:t> </w:t>
      </w:r>
      <w:r>
        <w:rPr/>
        <w:t>Reconciliation</w:t>
      </w:r>
      <w:r>
        <w:rPr>
          <w:spacing w:val="-27"/>
        </w:rPr>
        <w:t> </w:t>
      </w:r>
      <w:r>
        <w:rPr/>
        <w:t>Committee</w:t>
      </w:r>
      <w:r>
        <w:rPr>
          <w:spacing w:val="-27"/>
        </w:rPr>
        <w:t> </w:t>
      </w:r>
      <w:r>
        <w:rPr/>
        <w:t>has</w:t>
      </w:r>
      <w:r>
        <w:rPr>
          <w:spacing w:val="-27"/>
        </w:rPr>
        <w:t> </w:t>
      </w:r>
      <w:r>
        <w:rPr>
          <w:spacing w:val="-5"/>
        </w:rPr>
        <w:t>been </w:t>
      </w:r>
      <w:r>
        <w:rPr/>
        <w:t>active</w:t>
      </w:r>
      <w:r>
        <w:rPr>
          <w:spacing w:val="-1"/>
        </w:rPr>
        <w:t> </w:t>
      </w:r>
      <w:r>
        <w:rPr/>
        <w:t>with:</w:t>
      </w:r>
    </w:p>
    <w:p>
      <w:pPr>
        <w:pStyle w:val="BodyText"/>
        <w:spacing w:before="1"/>
        <w:rPr>
          <w:sz w:val="23"/>
        </w:rPr>
      </w:pPr>
    </w:p>
    <w:p>
      <w:pPr>
        <w:pStyle w:val="BodyText"/>
        <w:spacing w:line="249" w:lineRule="auto"/>
        <w:ind w:left="1071" w:right="347" w:hanging="306"/>
      </w:pPr>
      <w:r>
        <w:rPr>
          <w:position w:val="-1"/>
        </w:rPr>
        <w:drawing>
          <wp:inline distT="0" distB="0" distL="0" distR="0">
            <wp:extent cx="125999" cy="125999"/>
            <wp:effectExtent l="0" t="0" r="0" b="0"/>
            <wp:docPr id="129" name="image116.png" descr=""/>
            <wp:cNvGraphicFramePr>
              <a:graphicFrameLocks noChangeAspect="1"/>
            </wp:cNvGraphicFramePr>
            <a:graphic>
              <a:graphicData uri="http://schemas.openxmlformats.org/drawingml/2006/picture">
                <pic:pic>
                  <pic:nvPicPr>
                    <pic:cNvPr id="130" name="image116.png"/>
                    <pic:cNvPicPr/>
                  </pic:nvPicPr>
                  <pic:blipFill>
                    <a:blip r:embed="rId233"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developing</w:t>
      </w:r>
      <w:r>
        <w:rPr>
          <w:spacing w:val="-28"/>
        </w:rPr>
        <w:t> </w:t>
      </w:r>
      <w:r>
        <w:rPr/>
        <w:t>a</w:t>
      </w:r>
      <w:r>
        <w:rPr>
          <w:spacing w:val="-28"/>
        </w:rPr>
        <w:t> </w:t>
      </w:r>
      <w:r>
        <w:rPr/>
        <w:t>new</w:t>
      </w:r>
      <w:r>
        <w:rPr>
          <w:spacing w:val="-28"/>
        </w:rPr>
        <w:t> </w:t>
      </w:r>
      <w:r>
        <w:rPr/>
        <w:t>Reconciliation</w:t>
      </w:r>
      <w:r>
        <w:rPr>
          <w:spacing w:val="-28"/>
        </w:rPr>
        <w:t> </w:t>
      </w:r>
      <w:r>
        <w:rPr/>
        <w:t>Action</w:t>
      </w:r>
      <w:r>
        <w:rPr>
          <w:spacing w:val="-28"/>
        </w:rPr>
        <w:t> </w:t>
      </w:r>
      <w:r>
        <w:rPr>
          <w:spacing w:val="-5"/>
        </w:rPr>
        <w:t>Plan </w:t>
      </w:r>
      <w:r>
        <w:rPr/>
        <w:t>with the endorsement of Reconciliation Australia;</w:t>
      </w:r>
    </w:p>
    <w:p>
      <w:pPr>
        <w:pStyle w:val="BodyText"/>
        <w:spacing w:line="249" w:lineRule="auto" w:before="3"/>
        <w:ind w:left="1071" w:right="789" w:hanging="306"/>
      </w:pPr>
      <w:r>
        <w:rPr>
          <w:position w:val="-2"/>
        </w:rPr>
        <w:drawing>
          <wp:inline distT="0" distB="0" distL="0" distR="0">
            <wp:extent cx="125999" cy="125999"/>
            <wp:effectExtent l="0" t="0" r="0" b="0"/>
            <wp:docPr id="131" name="image115.png" descr=""/>
            <wp:cNvGraphicFramePr>
              <a:graphicFrameLocks noChangeAspect="1"/>
            </wp:cNvGraphicFramePr>
            <a:graphic>
              <a:graphicData uri="http://schemas.openxmlformats.org/drawingml/2006/picture">
                <pic:pic>
                  <pic:nvPicPr>
                    <pic:cNvPr id="132" name="image115.png"/>
                    <pic:cNvPicPr/>
                  </pic:nvPicPr>
                  <pic:blipFill>
                    <a:blip r:embed="rId232"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refreshing</w:t>
      </w:r>
      <w:r>
        <w:rPr>
          <w:spacing w:val="-24"/>
        </w:rPr>
        <w:t> </w:t>
      </w:r>
      <w:r>
        <w:rPr/>
        <w:t>the</w:t>
      </w:r>
      <w:r>
        <w:rPr>
          <w:spacing w:val="-24"/>
        </w:rPr>
        <w:t> </w:t>
      </w:r>
      <w:r>
        <w:rPr/>
        <w:t>terms</w:t>
      </w:r>
      <w:r>
        <w:rPr>
          <w:spacing w:val="-24"/>
        </w:rPr>
        <w:t> </w:t>
      </w:r>
      <w:r>
        <w:rPr/>
        <w:t>of</w:t>
      </w:r>
      <w:r>
        <w:rPr>
          <w:spacing w:val="-23"/>
        </w:rPr>
        <w:t> </w:t>
      </w:r>
      <w:r>
        <w:rPr/>
        <w:t>reference</w:t>
      </w:r>
      <w:r>
        <w:rPr>
          <w:spacing w:val="-24"/>
        </w:rPr>
        <w:t> </w:t>
      </w:r>
      <w:r>
        <w:rPr/>
        <w:t>for</w:t>
      </w:r>
      <w:r>
        <w:rPr>
          <w:spacing w:val="-24"/>
        </w:rPr>
        <w:t> </w:t>
      </w:r>
      <w:r>
        <w:rPr>
          <w:spacing w:val="-6"/>
        </w:rPr>
        <w:t>the </w:t>
      </w:r>
      <w:r>
        <w:rPr/>
        <w:t>Committee;</w:t>
      </w:r>
    </w:p>
    <w:p>
      <w:pPr>
        <w:pStyle w:val="BodyText"/>
        <w:spacing w:line="249" w:lineRule="auto" w:before="2"/>
        <w:ind w:left="1071" w:right="217" w:hanging="306"/>
      </w:pPr>
      <w:r>
        <w:rPr>
          <w:position w:val="-1"/>
        </w:rPr>
        <w:drawing>
          <wp:inline distT="0" distB="0" distL="0" distR="0">
            <wp:extent cx="125999" cy="125999"/>
            <wp:effectExtent l="0" t="0" r="0" b="0"/>
            <wp:docPr id="133" name="image120.png" descr=""/>
            <wp:cNvGraphicFramePr>
              <a:graphicFrameLocks noChangeAspect="1"/>
            </wp:cNvGraphicFramePr>
            <a:graphic>
              <a:graphicData uri="http://schemas.openxmlformats.org/drawingml/2006/picture">
                <pic:pic>
                  <pic:nvPicPr>
                    <pic:cNvPr id="134" name="image120.png"/>
                    <pic:cNvPicPr/>
                  </pic:nvPicPr>
                  <pic:blipFill>
                    <a:blip r:embed="rId239" cstate="print"/>
                    <a:stretch>
                      <a:fillRect/>
                    </a:stretch>
                  </pic:blipFill>
                  <pic:spPr>
                    <a:xfrm>
                      <a:off x="0" y="0"/>
                      <a:ext cx="125999" cy="125999"/>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7"/>
          <w:sz w:val="20"/>
        </w:rPr>
        <w:t> </w:t>
      </w:r>
      <w:r>
        <w:rPr/>
        <w:t>renaming the Optima </w:t>
      </w:r>
      <w:r>
        <w:rPr>
          <w:spacing w:val="-4"/>
        </w:rPr>
        <w:t>Centre’s </w:t>
      </w:r>
      <w:r>
        <w:rPr>
          <w:spacing w:val="-7"/>
        </w:rPr>
        <w:t>Town </w:t>
      </w:r>
      <w:r>
        <w:rPr/>
        <w:t>Hall to Keirp</w:t>
      </w:r>
      <w:r>
        <w:rPr>
          <w:spacing w:val="-29"/>
        </w:rPr>
        <w:t> </w:t>
      </w:r>
      <w:r>
        <w:rPr/>
        <w:t>Nyinalungup</w:t>
      </w:r>
      <w:r>
        <w:rPr>
          <w:spacing w:val="-29"/>
        </w:rPr>
        <w:t> </w:t>
      </w:r>
      <w:r>
        <w:rPr/>
        <w:t>(translated</w:t>
      </w:r>
      <w:r>
        <w:rPr>
          <w:spacing w:val="-28"/>
        </w:rPr>
        <w:t> </w:t>
      </w:r>
      <w:r>
        <w:rPr/>
        <w:t>as</w:t>
      </w:r>
      <w:r>
        <w:rPr>
          <w:spacing w:val="-29"/>
        </w:rPr>
        <w:t> </w:t>
      </w:r>
      <w:r>
        <w:rPr/>
        <w:t>‘the</w:t>
      </w:r>
      <w:r>
        <w:rPr>
          <w:spacing w:val="-29"/>
        </w:rPr>
        <w:t> </w:t>
      </w:r>
      <w:r>
        <w:rPr>
          <w:spacing w:val="-3"/>
        </w:rPr>
        <w:t>meeting </w:t>
      </w:r>
      <w:r>
        <w:rPr/>
        <w:t>place near</w:t>
      </w:r>
      <w:r>
        <w:rPr>
          <w:spacing w:val="-3"/>
        </w:rPr>
        <w:t> </w:t>
      </w:r>
      <w:r>
        <w:rPr/>
        <w:t>water’);</w:t>
      </w:r>
    </w:p>
    <w:p>
      <w:pPr>
        <w:pStyle w:val="BodyText"/>
        <w:spacing w:line="249" w:lineRule="auto" w:before="2"/>
        <w:ind w:left="1071" w:right="96" w:hanging="306"/>
      </w:pPr>
      <w:r>
        <w:rPr>
          <w:position w:val="-2"/>
        </w:rPr>
        <w:drawing>
          <wp:inline distT="0" distB="0" distL="0" distR="0">
            <wp:extent cx="125999" cy="125999"/>
            <wp:effectExtent l="0" t="0" r="0" b="0"/>
            <wp:docPr id="135" name="image121.png" descr=""/>
            <wp:cNvGraphicFramePr>
              <a:graphicFrameLocks noChangeAspect="1"/>
            </wp:cNvGraphicFramePr>
            <a:graphic>
              <a:graphicData uri="http://schemas.openxmlformats.org/drawingml/2006/picture">
                <pic:pic>
                  <pic:nvPicPr>
                    <pic:cNvPr id="136" name="image121.png"/>
                    <pic:cNvPicPr/>
                  </pic:nvPicPr>
                  <pic:blipFill>
                    <a:blip r:embed="rId240" cstate="print"/>
                    <a:stretch>
                      <a:fillRect/>
                    </a:stretch>
                  </pic:blipFill>
                  <pic:spPr>
                    <a:xfrm>
                      <a:off x="0" y="0"/>
                      <a:ext cx="125999" cy="125999"/>
                    </a:xfrm>
                    <a:prstGeom prst="rect">
                      <a:avLst/>
                    </a:prstGeom>
                  </pic:spPr>
                </pic:pic>
              </a:graphicData>
            </a:graphic>
          </wp:inline>
        </w:drawing>
      </w:r>
      <w:r>
        <w:rPr>
          <w:position w:val="-2"/>
        </w:rPr>
      </w:r>
      <w:r>
        <w:rPr>
          <w:rFonts w:ascii="Times New Roman"/>
          <w:sz w:val="20"/>
        </w:rPr>
        <w:t> </w:t>
      </w:r>
      <w:r>
        <w:rPr>
          <w:rFonts w:ascii="Times New Roman"/>
          <w:spacing w:val="7"/>
          <w:sz w:val="20"/>
        </w:rPr>
        <w:t> </w:t>
      </w:r>
      <w:r>
        <w:rPr/>
        <w:t>engaging</w:t>
      </w:r>
      <w:r>
        <w:rPr>
          <w:spacing w:val="-26"/>
        </w:rPr>
        <w:t> </w:t>
      </w:r>
      <w:r>
        <w:rPr/>
        <w:t>staff</w:t>
      </w:r>
      <w:r>
        <w:rPr>
          <w:spacing w:val="-26"/>
        </w:rPr>
        <w:t> </w:t>
      </w:r>
      <w:r>
        <w:rPr/>
        <w:t>through</w:t>
      </w:r>
      <w:r>
        <w:rPr>
          <w:spacing w:val="-25"/>
        </w:rPr>
        <w:t> </w:t>
      </w:r>
      <w:r>
        <w:rPr/>
        <w:t>a</w:t>
      </w:r>
      <w:r>
        <w:rPr>
          <w:spacing w:val="-26"/>
        </w:rPr>
        <w:t> </w:t>
      </w:r>
      <w:r>
        <w:rPr/>
        <w:t>number</w:t>
      </w:r>
      <w:r>
        <w:rPr>
          <w:spacing w:val="-25"/>
        </w:rPr>
        <w:t> </w:t>
      </w:r>
      <w:r>
        <w:rPr/>
        <w:t>of</w:t>
      </w:r>
      <w:r>
        <w:rPr>
          <w:spacing w:val="-26"/>
        </w:rPr>
        <w:t> </w:t>
      </w:r>
      <w:r>
        <w:rPr/>
        <w:t>fundraising events;</w:t>
      </w:r>
    </w:p>
    <w:p>
      <w:pPr>
        <w:pStyle w:val="BodyText"/>
        <w:spacing w:line="249" w:lineRule="auto" w:before="2"/>
        <w:ind w:left="1071" w:right="-7" w:hanging="306"/>
      </w:pPr>
      <w:r>
        <w:rPr>
          <w:position w:val="-1"/>
        </w:rPr>
        <w:drawing>
          <wp:inline distT="0" distB="0" distL="0" distR="0">
            <wp:extent cx="125999" cy="125997"/>
            <wp:effectExtent l="0" t="0" r="0" b="0"/>
            <wp:docPr id="137" name="image122.png" descr=""/>
            <wp:cNvGraphicFramePr>
              <a:graphicFrameLocks noChangeAspect="1"/>
            </wp:cNvGraphicFramePr>
            <a:graphic>
              <a:graphicData uri="http://schemas.openxmlformats.org/drawingml/2006/picture">
                <pic:pic>
                  <pic:nvPicPr>
                    <pic:cNvPr id="138" name="image122.png"/>
                    <pic:cNvPicPr/>
                  </pic:nvPicPr>
                  <pic:blipFill>
                    <a:blip r:embed="rId241"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assisting at the Aboriginal Business Expo organised</w:t>
      </w:r>
      <w:r>
        <w:rPr>
          <w:spacing w:val="-24"/>
        </w:rPr>
        <w:t> </w:t>
      </w:r>
      <w:r>
        <w:rPr/>
        <w:t>by</w:t>
      </w:r>
      <w:r>
        <w:rPr>
          <w:spacing w:val="-23"/>
        </w:rPr>
        <w:t> </w:t>
      </w:r>
      <w:r>
        <w:rPr/>
        <w:t>Government</w:t>
      </w:r>
      <w:r>
        <w:rPr>
          <w:spacing w:val="-23"/>
        </w:rPr>
        <w:t> </w:t>
      </w:r>
      <w:r>
        <w:rPr/>
        <w:t>Procurement</w:t>
      </w:r>
      <w:r>
        <w:rPr>
          <w:spacing w:val="-23"/>
        </w:rPr>
        <w:t> </w:t>
      </w:r>
      <w:r>
        <w:rPr/>
        <w:t>to</w:t>
      </w:r>
      <w:r>
        <w:rPr>
          <w:spacing w:val="-23"/>
        </w:rPr>
        <w:t> </w:t>
      </w:r>
      <w:r>
        <w:rPr>
          <w:spacing w:val="-5"/>
        </w:rPr>
        <w:t>mark </w:t>
      </w:r>
      <w:r>
        <w:rPr/>
        <w:t>the launch of the Aboriginal Procurement Policy;</w:t>
      </w:r>
    </w:p>
    <w:p>
      <w:pPr>
        <w:pStyle w:val="BodyText"/>
        <w:spacing w:line="249" w:lineRule="auto" w:before="4"/>
        <w:ind w:left="1071" w:right="590"/>
      </w:pPr>
      <w:r>
        <w:rPr/>
        <w:pict>
          <v:group style="position:absolute;margin-left:38.267799pt;margin-top:1.64727pt;width:9.950pt;height:23.15pt;mso-position-horizontal-relative:page;mso-position-vertical-relative:paragraph;z-index:30064" coordorigin="765,33" coordsize="199,463">
            <v:shape style="position:absolute;left:765;top:32;width:199;height:199" type="#_x0000_t75" stroked="false">
              <v:imagedata r:id="rId242" o:title=""/>
            </v:shape>
            <v:shape style="position:absolute;left:765;top:296;width:199;height:199" type="#_x0000_t75" stroked="false">
              <v:imagedata r:id="rId241" o:title=""/>
            </v:shape>
            <w10:wrap type="none"/>
          </v:group>
        </w:pict>
      </w:r>
      <w:r>
        <w:rPr/>
        <w:t>participating</w:t>
      </w:r>
      <w:r>
        <w:rPr>
          <w:spacing w:val="-24"/>
        </w:rPr>
        <w:t> </w:t>
      </w:r>
      <w:r>
        <w:rPr/>
        <w:t>in</w:t>
      </w:r>
      <w:r>
        <w:rPr>
          <w:spacing w:val="-23"/>
        </w:rPr>
        <w:t> </w:t>
      </w:r>
      <w:r>
        <w:rPr/>
        <w:t>the</w:t>
      </w:r>
      <w:r>
        <w:rPr>
          <w:spacing w:val="-23"/>
        </w:rPr>
        <w:t> </w:t>
      </w:r>
      <w:r>
        <w:rPr/>
        <w:t>Run</w:t>
      </w:r>
      <w:r>
        <w:rPr>
          <w:spacing w:val="-23"/>
        </w:rPr>
        <w:t> </w:t>
      </w:r>
      <w:r>
        <w:rPr/>
        <w:t>for</w:t>
      </w:r>
      <w:r>
        <w:rPr>
          <w:spacing w:val="-23"/>
        </w:rPr>
        <w:t> </w:t>
      </w:r>
      <w:r>
        <w:rPr>
          <w:spacing w:val="-2"/>
        </w:rPr>
        <w:t>Reconciliation; </w:t>
      </w:r>
      <w:r>
        <w:rPr/>
        <w:t>volunteering at and joining the </w:t>
      </w:r>
      <w:r>
        <w:rPr>
          <w:spacing w:val="-3"/>
        </w:rPr>
        <w:t>Walk </w:t>
      </w:r>
      <w:r>
        <w:rPr/>
        <w:t>for Reconciliation;</w:t>
      </w:r>
      <w:r>
        <w:rPr>
          <w:spacing w:val="-2"/>
        </w:rPr>
        <w:t> </w:t>
      </w:r>
      <w:r>
        <w:rPr/>
        <w:t>and</w:t>
      </w:r>
    </w:p>
    <w:p>
      <w:pPr>
        <w:pStyle w:val="BodyText"/>
        <w:spacing w:line="252" w:lineRule="auto"/>
        <w:ind w:left="1071" w:hanging="306"/>
      </w:pPr>
      <w:r>
        <w:rPr/>
        <w:drawing>
          <wp:inline distT="0" distB="0" distL="0" distR="0">
            <wp:extent cx="125999" cy="125997"/>
            <wp:effectExtent l="0" t="0" r="0" b="0"/>
            <wp:docPr id="139" name="image122.png" descr=""/>
            <wp:cNvGraphicFramePr>
              <a:graphicFrameLocks noChangeAspect="1"/>
            </wp:cNvGraphicFramePr>
            <a:graphic>
              <a:graphicData uri="http://schemas.openxmlformats.org/drawingml/2006/picture">
                <pic:pic>
                  <pic:nvPicPr>
                    <pic:cNvPr id="140" name="image122.png"/>
                    <pic:cNvPicPr/>
                  </pic:nvPicPr>
                  <pic:blipFill>
                    <a:blip r:embed="rId241" cstate="print"/>
                    <a:stretch>
                      <a:fillRect/>
                    </a:stretch>
                  </pic:blipFill>
                  <pic:spPr>
                    <a:xfrm>
                      <a:off x="0" y="0"/>
                      <a:ext cx="125999" cy="125997"/>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coordinating a joint celebration of NAIDOC </w:t>
      </w:r>
      <w:r>
        <w:rPr>
          <w:w w:val="95"/>
        </w:rPr>
        <w:t>(originally National Aborigines and Islanders </w:t>
      </w:r>
      <w:r>
        <w:rPr>
          <w:spacing w:val="-6"/>
          <w:w w:val="95"/>
        </w:rPr>
        <w:t>Day </w:t>
      </w:r>
      <w:r>
        <w:rPr/>
        <w:t>Observance Committee) with the Department of</w:t>
      </w:r>
      <w:r>
        <w:rPr>
          <w:spacing w:val="-11"/>
        </w:rPr>
        <w:t> </w:t>
      </w:r>
      <w:r>
        <w:rPr>
          <w:spacing w:val="-3"/>
        </w:rPr>
        <w:t>Training</w:t>
      </w:r>
      <w:r>
        <w:rPr>
          <w:spacing w:val="-10"/>
        </w:rPr>
        <w:t> </w:t>
      </w:r>
      <w:r>
        <w:rPr/>
        <w:t>and</w:t>
      </w:r>
      <w:r>
        <w:rPr>
          <w:spacing w:val="-10"/>
        </w:rPr>
        <w:t> </w:t>
      </w:r>
      <w:r>
        <w:rPr/>
        <w:t>Workforce</w:t>
      </w:r>
      <w:r>
        <w:rPr>
          <w:spacing w:val="-10"/>
        </w:rPr>
        <w:t> </w:t>
      </w:r>
      <w:r>
        <w:rPr/>
        <w:t>Development</w:t>
      </w:r>
      <w:r>
        <w:rPr>
          <w:spacing w:val="-10"/>
        </w:rPr>
        <w:t> </w:t>
      </w:r>
      <w:r>
        <w:rPr/>
        <w:t>at</w:t>
      </w:r>
    </w:p>
    <w:p>
      <w:pPr>
        <w:spacing w:line="249" w:lineRule="auto" w:before="0"/>
        <w:ind w:left="1071" w:right="670" w:firstLine="0"/>
        <w:jc w:val="both"/>
        <w:rPr>
          <w:sz w:val="22"/>
        </w:rPr>
      </w:pPr>
      <w:r>
        <w:rPr>
          <w:sz w:val="22"/>
        </w:rPr>
        <w:t>the</w:t>
      </w:r>
      <w:r>
        <w:rPr>
          <w:spacing w:val="-22"/>
          <w:sz w:val="22"/>
        </w:rPr>
        <w:t> </w:t>
      </w:r>
      <w:r>
        <w:rPr>
          <w:sz w:val="22"/>
        </w:rPr>
        <w:t>Optima</w:t>
      </w:r>
      <w:r>
        <w:rPr>
          <w:spacing w:val="-22"/>
          <w:sz w:val="22"/>
        </w:rPr>
        <w:t> </w:t>
      </w:r>
      <w:r>
        <w:rPr>
          <w:sz w:val="22"/>
        </w:rPr>
        <w:t>Centre</w:t>
      </w:r>
      <w:r>
        <w:rPr>
          <w:spacing w:val="-21"/>
          <w:sz w:val="22"/>
        </w:rPr>
        <w:t> </w:t>
      </w:r>
      <w:r>
        <w:rPr>
          <w:sz w:val="22"/>
        </w:rPr>
        <w:t>in</w:t>
      </w:r>
      <w:r>
        <w:rPr>
          <w:spacing w:val="-22"/>
          <w:sz w:val="22"/>
        </w:rPr>
        <w:t> </w:t>
      </w:r>
      <w:r>
        <w:rPr>
          <w:sz w:val="22"/>
        </w:rPr>
        <w:t>Osborne</w:t>
      </w:r>
      <w:r>
        <w:rPr>
          <w:spacing w:val="-21"/>
          <w:sz w:val="22"/>
        </w:rPr>
        <w:t> </w:t>
      </w:r>
      <w:r>
        <w:rPr>
          <w:sz w:val="22"/>
        </w:rPr>
        <w:t>Park.</w:t>
      </w:r>
      <w:r>
        <w:rPr>
          <w:spacing w:val="-22"/>
          <w:sz w:val="22"/>
        </w:rPr>
        <w:t> </w:t>
      </w:r>
      <w:r>
        <w:rPr>
          <w:spacing w:val="-4"/>
          <w:sz w:val="22"/>
        </w:rPr>
        <w:t>This </w:t>
      </w:r>
      <w:r>
        <w:rPr>
          <w:sz w:val="22"/>
        </w:rPr>
        <w:t>celebration</w:t>
      </w:r>
      <w:r>
        <w:rPr>
          <w:spacing w:val="-16"/>
          <w:sz w:val="22"/>
        </w:rPr>
        <w:t> </w:t>
      </w:r>
      <w:r>
        <w:rPr>
          <w:sz w:val="22"/>
        </w:rPr>
        <w:t>focused</w:t>
      </w:r>
      <w:r>
        <w:rPr>
          <w:spacing w:val="-15"/>
          <w:sz w:val="22"/>
        </w:rPr>
        <w:t> </w:t>
      </w:r>
      <w:r>
        <w:rPr>
          <w:sz w:val="22"/>
        </w:rPr>
        <w:t>on</w:t>
      </w:r>
      <w:r>
        <w:rPr>
          <w:spacing w:val="-16"/>
          <w:sz w:val="22"/>
        </w:rPr>
        <w:t> </w:t>
      </w:r>
      <w:r>
        <w:rPr>
          <w:sz w:val="22"/>
        </w:rPr>
        <w:t>the</w:t>
      </w:r>
      <w:r>
        <w:rPr>
          <w:spacing w:val="-15"/>
          <w:sz w:val="22"/>
        </w:rPr>
        <w:t> </w:t>
      </w:r>
      <w:r>
        <w:rPr>
          <w:sz w:val="22"/>
        </w:rPr>
        <w:t>theme</w:t>
      </w:r>
      <w:r>
        <w:rPr>
          <w:spacing w:val="-15"/>
          <w:sz w:val="22"/>
        </w:rPr>
        <w:t> </w:t>
      </w:r>
      <w:r>
        <w:rPr>
          <w:sz w:val="22"/>
        </w:rPr>
        <w:t>of</w:t>
      </w:r>
      <w:r>
        <w:rPr>
          <w:spacing w:val="-16"/>
          <w:sz w:val="22"/>
        </w:rPr>
        <w:t> </w:t>
      </w:r>
      <w:r>
        <w:rPr>
          <w:i/>
          <w:sz w:val="22"/>
        </w:rPr>
        <w:t>Our </w:t>
      </w:r>
      <w:r>
        <w:rPr>
          <w:i/>
          <w:sz w:val="22"/>
        </w:rPr>
        <w:t>Languages</w:t>
      </w:r>
      <w:r>
        <w:rPr>
          <w:i/>
          <w:spacing w:val="-2"/>
          <w:sz w:val="22"/>
        </w:rPr>
        <w:t> </w:t>
      </w:r>
      <w:r>
        <w:rPr>
          <w:i/>
          <w:sz w:val="22"/>
        </w:rPr>
        <w:t>Matter</w:t>
      </w:r>
      <w:r>
        <w:rPr>
          <w:sz w:val="22"/>
        </w:rPr>
        <w:t>.</w:t>
      </w:r>
    </w:p>
    <w:p>
      <w:pPr>
        <w:pStyle w:val="Heading4"/>
        <w:spacing w:line="249" w:lineRule="auto" w:before="110"/>
        <w:ind w:left="378" w:right="52"/>
      </w:pPr>
      <w:r>
        <w:rPr/>
        <w:br w:type="column"/>
      </w:r>
      <w:r>
        <w:rPr>
          <w:color w:val="6F2770"/>
        </w:rPr>
        <w:t>Compliance</w:t>
      </w:r>
      <w:r>
        <w:rPr>
          <w:color w:val="6F2770"/>
          <w:spacing w:val="-27"/>
        </w:rPr>
        <w:t> </w:t>
      </w:r>
      <w:r>
        <w:rPr>
          <w:color w:val="6F2770"/>
        </w:rPr>
        <w:t>with</w:t>
      </w:r>
      <w:r>
        <w:rPr>
          <w:color w:val="6F2770"/>
          <w:spacing w:val="-27"/>
        </w:rPr>
        <w:t> </w:t>
      </w:r>
      <w:r>
        <w:rPr>
          <w:color w:val="6F2770"/>
        </w:rPr>
        <w:t>public</w:t>
      </w:r>
      <w:r>
        <w:rPr>
          <w:color w:val="6F2770"/>
          <w:spacing w:val="-27"/>
        </w:rPr>
        <w:t> </w:t>
      </w:r>
      <w:r>
        <w:rPr>
          <w:color w:val="6F2770"/>
          <w:spacing w:val="-3"/>
        </w:rPr>
        <w:t>sector </w:t>
      </w:r>
      <w:r>
        <w:rPr>
          <w:color w:val="6F2770"/>
        </w:rPr>
        <w:t>standards and ethical</w:t>
      </w:r>
      <w:r>
        <w:rPr>
          <w:color w:val="6F2770"/>
          <w:spacing w:val="-55"/>
        </w:rPr>
        <w:t> </w:t>
      </w:r>
      <w:r>
        <w:rPr>
          <w:color w:val="6F2770"/>
        </w:rPr>
        <w:t>codes</w:t>
      </w:r>
    </w:p>
    <w:p>
      <w:pPr>
        <w:pStyle w:val="BodyText"/>
        <w:spacing w:line="249" w:lineRule="auto" w:before="80"/>
        <w:ind w:left="378" w:right="-9"/>
      </w:pPr>
      <w:r>
        <w:rPr/>
        <w:t>The Department has maintained its good record complying with public sector standards and the public sector code of ethics, delivering training programs through online and face-to-face sessions,</w:t>
      </w:r>
      <w:r>
        <w:rPr>
          <w:spacing w:val="-30"/>
        </w:rPr>
        <w:t> </w:t>
      </w:r>
      <w:r>
        <w:rPr/>
        <w:t>tailored</w:t>
      </w:r>
      <w:r>
        <w:rPr>
          <w:spacing w:val="-30"/>
        </w:rPr>
        <w:t> </w:t>
      </w:r>
      <w:r>
        <w:rPr/>
        <w:t>for</w:t>
      </w:r>
      <w:r>
        <w:rPr>
          <w:spacing w:val="-30"/>
        </w:rPr>
        <w:t> </w:t>
      </w:r>
      <w:r>
        <w:rPr/>
        <w:t>new</w:t>
      </w:r>
      <w:r>
        <w:rPr>
          <w:spacing w:val="-29"/>
        </w:rPr>
        <w:t> </w:t>
      </w:r>
      <w:r>
        <w:rPr/>
        <w:t>and</w:t>
      </w:r>
      <w:r>
        <w:rPr>
          <w:spacing w:val="-30"/>
        </w:rPr>
        <w:t> </w:t>
      </w:r>
      <w:r>
        <w:rPr/>
        <w:t>existing</w:t>
      </w:r>
      <w:r>
        <w:rPr>
          <w:spacing w:val="-30"/>
        </w:rPr>
        <w:t> </w:t>
      </w:r>
      <w:r>
        <w:rPr/>
        <w:t>employees.</w:t>
      </w:r>
    </w:p>
    <w:p>
      <w:pPr>
        <w:pStyle w:val="BodyText"/>
        <w:spacing w:line="249" w:lineRule="auto" w:before="90"/>
        <w:ind w:left="378" w:right="46"/>
      </w:pPr>
      <w:r>
        <w:rPr/>
        <w:t>Over the </w:t>
      </w:r>
      <w:r>
        <w:rPr>
          <w:spacing w:val="-5"/>
        </w:rPr>
        <w:t>year, </w:t>
      </w:r>
      <w:r>
        <w:rPr/>
        <w:t>the Department continued to provide</w:t>
      </w:r>
      <w:r>
        <w:rPr>
          <w:spacing w:val="-21"/>
        </w:rPr>
        <w:t> </w:t>
      </w:r>
      <w:r>
        <w:rPr/>
        <w:t>proactive</w:t>
      </w:r>
      <w:r>
        <w:rPr>
          <w:spacing w:val="-20"/>
        </w:rPr>
        <w:t> </w:t>
      </w:r>
      <w:r>
        <w:rPr/>
        <w:t>guidance</w:t>
      </w:r>
      <w:r>
        <w:rPr>
          <w:spacing w:val="-21"/>
        </w:rPr>
        <w:t> </w:t>
      </w:r>
      <w:r>
        <w:rPr/>
        <w:t>to</w:t>
      </w:r>
      <w:r>
        <w:rPr>
          <w:spacing w:val="-20"/>
        </w:rPr>
        <w:t> </w:t>
      </w:r>
      <w:r>
        <w:rPr/>
        <w:t>managers</w:t>
      </w:r>
      <w:r>
        <w:rPr>
          <w:spacing w:val="-20"/>
        </w:rPr>
        <w:t> </w:t>
      </w:r>
      <w:r>
        <w:rPr/>
        <w:t>and</w:t>
      </w:r>
      <w:r>
        <w:rPr>
          <w:spacing w:val="-21"/>
        </w:rPr>
        <w:t> </w:t>
      </w:r>
      <w:r>
        <w:rPr>
          <w:spacing w:val="-6"/>
        </w:rPr>
        <w:t>staff </w:t>
      </w:r>
      <w:r>
        <w:rPr/>
        <w:t>to ensure that recruitment processes complied with public sector standards. The Department successfully</w:t>
      </w:r>
      <w:r>
        <w:rPr>
          <w:spacing w:val="-25"/>
        </w:rPr>
        <w:t> </w:t>
      </w:r>
      <w:r>
        <w:rPr/>
        <w:t>completed</w:t>
      </w:r>
      <w:r>
        <w:rPr>
          <w:spacing w:val="-24"/>
        </w:rPr>
        <w:t> </w:t>
      </w:r>
      <w:r>
        <w:rPr/>
        <w:t>86</w:t>
      </w:r>
      <w:r>
        <w:rPr>
          <w:spacing w:val="-24"/>
        </w:rPr>
        <w:t> </w:t>
      </w:r>
      <w:r>
        <w:rPr/>
        <w:t>recruitment</w:t>
      </w:r>
      <w:r>
        <w:rPr>
          <w:spacing w:val="-24"/>
        </w:rPr>
        <w:t> </w:t>
      </w:r>
      <w:r>
        <w:rPr>
          <w:spacing w:val="-3"/>
        </w:rPr>
        <w:t>processes </w:t>
      </w:r>
      <w:r>
        <w:rPr/>
        <w:t>this year from which 2,719 applications were received.</w:t>
      </w:r>
    </w:p>
    <w:p>
      <w:pPr>
        <w:pStyle w:val="BodyText"/>
        <w:spacing w:line="249" w:lineRule="auto" w:before="91"/>
        <w:ind w:left="378" w:right="109"/>
      </w:pPr>
      <w:r>
        <w:rPr/>
        <w:t>Five breach of standard claims were lodged during the </w:t>
      </w:r>
      <w:r>
        <w:rPr>
          <w:spacing w:val="-5"/>
        </w:rPr>
        <w:t>year. </w:t>
      </w:r>
      <w:r>
        <w:rPr/>
        <w:t>Four of these claims related to the</w:t>
      </w:r>
      <w:r>
        <w:rPr>
          <w:spacing w:val="-18"/>
        </w:rPr>
        <w:t> </w:t>
      </w:r>
      <w:r>
        <w:rPr/>
        <w:t>Employment</w:t>
      </w:r>
      <w:r>
        <w:rPr>
          <w:spacing w:val="-17"/>
        </w:rPr>
        <w:t> </w:t>
      </w:r>
      <w:r>
        <w:rPr/>
        <w:t>Standard</w:t>
      </w:r>
      <w:r>
        <w:rPr>
          <w:spacing w:val="-17"/>
        </w:rPr>
        <w:t> </w:t>
      </w:r>
      <w:r>
        <w:rPr/>
        <w:t>and</w:t>
      </w:r>
      <w:r>
        <w:rPr>
          <w:spacing w:val="-18"/>
        </w:rPr>
        <w:t> </w:t>
      </w:r>
      <w:r>
        <w:rPr/>
        <w:t>one</w:t>
      </w:r>
      <w:r>
        <w:rPr>
          <w:spacing w:val="-17"/>
        </w:rPr>
        <w:t> </w:t>
      </w:r>
      <w:r>
        <w:rPr/>
        <w:t>related</w:t>
      </w:r>
      <w:r>
        <w:rPr>
          <w:spacing w:val="-17"/>
        </w:rPr>
        <w:t> </w:t>
      </w:r>
      <w:r>
        <w:rPr/>
        <w:t>to</w:t>
      </w:r>
      <w:r>
        <w:rPr>
          <w:spacing w:val="-17"/>
        </w:rPr>
        <w:t> </w:t>
      </w:r>
      <w:r>
        <w:rPr>
          <w:spacing w:val="-6"/>
        </w:rPr>
        <w:t>the </w:t>
      </w:r>
      <w:r>
        <w:rPr/>
        <w:t>Grievance</w:t>
      </w:r>
      <w:r>
        <w:rPr>
          <w:spacing w:val="-25"/>
        </w:rPr>
        <w:t> </w:t>
      </w:r>
      <w:r>
        <w:rPr/>
        <w:t>Resolution</w:t>
      </w:r>
      <w:r>
        <w:rPr>
          <w:spacing w:val="-25"/>
        </w:rPr>
        <w:t> </w:t>
      </w:r>
      <w:r>
        <w:rPr/>
        <w:t>Standard.</w:t>
      </w:r>
      <w:r>
        <w:rPr>
          <w:spacing w:val="-25"/>
        </w:rPr>
        <w:t> </w:t>
      </w:r>
      <w:r>
        <w:rPr/>
        <w:t>All</w:t>
      </w:r>
      <w:r>
        <w:rPr>
          <w:spacing w:val="-25"/>
        </w:rPr>
        <w:t> </w:t>
      </w:r>
      <w:r>
        <w:rPr/>
        <w:t>claims</w:t>
      </w:r>
      <w:r>
        <w:rPr>
          <w:spacing w:val="-25"/>
        </w:rPr>
        <w:t> </w:t>
      </w:r>
      <w:r>
        <w:rPr/>
        <w:t>were subsequently resolved. One case</w:t>
      </w:r>
      <w:r>
        <w:rPr>
          <w:spacing w:val="-21"/>
        </w:rPr>
        <w:t> </w:t>
      </w:r>
      <w:r>
        <w:rPr/>
        <w:t>of</w:t>
      </w:r>
    </w:p>
    <w:p>
      <w:pPr>
        <w:pStyle w:val="BodyText"/>
        <w:spacing w:line="249" w:lineRule="auto" w:before="5"/>
        <w:ind w:left="378" w:right="179"/>
      </w:pPr>
      <w:r>
        <w:rPr/>
        <w:t>non-compliance with the Code of Conduct was finalised. Three formal grievance cases were completed.</w:t>
      </w:r>
    </w:p>
    <w:p>
      <w:pPr>
        <w:pStyle w:val="BodyText"/>
        <w:spacing w:line="249" w:lineRule="auto" w:before="87"/>
        <w:ind w:left="378" w:right="52"/>
      </w:pPr>
      <w:r>
        <w:rPr>
          <w:w w:val="95"/>
        </w:rPr>
        <w:t>Departmental policies, procedures and guidelines </w:t>
      </w:r>
      <w:r>
        <w:rPr/>
        <w:t>are</w:t>
      </w:r>
      <w:r>
        <w:rPr>
          <w:spacing w:val="-37"/>
        </w:rPr>
        <w:t> </w:t>
      </w:r>
      <w:r>
        <w:rPr/>
        <w:t>maintained</w:t>
      </w:r>
      <w:r>
        <w:rPr>
          <w:spacing w:val="-36"/>
        </w:rPr>
        <w:t> </w:t>
      </w:r>
      <w:r>
        <w:rPr/>
        <w:t>to</w:t>
      </w:r>
      <w:r>
        <w:rPr>
          <w:spacing w:val="-36"/>
        </w:rPr>
        <w:t> </w:t>
      </w:r>
      <w:r>
        <w:rPr/>
        <w:t>satisfy</w:t>
      </w:r>
      <w:r>
        <w:rPr>
          <w:spacing w:val="-36"/>
        </w:rPr>
        <w:t> </w:t>
      </w:r>
      <w:r>
        <w:rPr/>
        <w:t>legislative</w:t>
      </w:r>
      <w:r>
        <w:rPr>
          <w:spacing w:val="-36"/>
        </w:rPr>
        <w:t> </w:t>
      </w:r>
      <w:r>
        <w:rPr/>
        <w:t>requirements.</w:t>
      </w:r>
    </w:p>
    <w:p>
      <w:pPr>
        <w:pStyle w:val="BodyText"/>
        <w:spacing w:before="87"/>
        <w:ind w:left="378"/>
      </w:pPr>
      <w:r>
        <w:rPr/>
        <w:t>One disclosure was received in 2018 under the</w:t>
      </w:r>
    </w:p>
    <w:p>
      <w:pPr>
        <w:spacing w:before="11"/>
        <w:ind w:left="378" w:right="0" w:firstLine="0"/>
        <w:jc w:val="left"/>
        <w:rPr>
          <w:sz w:val="22"/>
        </w:rPr>
      </w:pPr>
      <w:r>
        <w:rPr>
          <w:i/>
          <w:sz w:val="22"/>
        </w:rPr>
        <w:t>Public Interest Disclosure Act 2003</w:t>
      </w:r>
      <w:r>
        <w:rPr>
          <w:sz w:val="22"/>
        </w:rPr>
        <w:t>.</w:t>
      </w:r>
    </w:p>
    <w:p>
      <w:pPr>
        <w:pStyle w:val="BodyText"/>
        <w:spacing w:line="249" w:lineRule="auto" w:before="97"/>
        <w:ind w:left="378" w:right="427"/>
      </w:pPr>
      <w:r>
        <w:rPr/>
        <w:t>The </w:t>
      </w:r>
      <w:r>
        <w:rPr>
          <w:spacing w:val="-3"/>
        </w:rPr>
        <w:t>Department’s </w:t>
      </w:r>
      <w:r>
        <w:rPr/>
        <w:t>operations are subject to scrutiny from a number of external bodies, among</w:t>
      </w:r>
      <w:r>
        <w:rPr>
          <w:spacing w:val="-19"/>
        </w:rPr>
        <w:t> </w:t>
      </w:r>
      <w:r>
        <w:rPr/>
        <w:t>them</w:t>
      </w:r>
      <w:r>
        <w:rPr>
          <w:spacing w:val="-18"/>
        </w:rPr>
        <w:t> </w:t>
      </w:r>
      <w:r>
        <w:rPr/>
        <w:t>the</w:t>
      </w:r>
      <w:r>
        <w:rPr>
          <w:spacing w:val="-19"/>
        </w:rPr>
        <w:t> </w:t>
      </w:r>
      <w:r>
        <w:rPr/>
        <w:t>Office</w:t>
      </w:r>
      <w:r>
        <w:rPr>
          <w:spacing w:val="-18"/>
        </w:rPr>
        <w:t> </w:t>
      </w:r>
      <w:r>
        <w:rPr/>
        <w:t>of</w:t>
      </w:r>
      <w:r>
        <w:rPr>
          <w:spacing w:val="-19"/>
        </w:rPr>
        <w:t> </w:t>
      </w:r>
      <w:r>
        <w:rPr/>
        <w:t>the</w:t>
      </w:r>
      <w:r>
        <w:rPr>
          <w:spacing w:val="-18"/>
        </w:rPr>
        <w:t> </w:t>
      </w:r>
      <w:r>
        <w:rPr/>
        <w:t>Auditor</w:t>
      </w:r>
      <w:r>
        <w:rPr>
          <w:spacing w:val="-19"/>
        </w:rPr>
        <w:t> </w:t>
      </w:r>
      <w:r>
        <w:rPr>
          <w:spacing w:val="-3"/>
        </w:rPr>
        <w:t>General </w:t>
      </w:r>
      <w:r>
        <w:rPr/>
        <w:t>(OAG).</w:t>
      </w:r>
    </w:p>
    <w:p>
      <w:pPr>
        <w:pStyle w:val="BodyText"/>
        <w:spacing w:line="249" w:lineRule="auto" w:before="88"/>
        <w:ind w:left="378" w:right="337"/>
      </w:pPr>
      <w:r>
        <w:rPr/>
        <w:t>In</w:t>
      </w:r>
      <w:r>
        <w:rPr>
          <w:spacing w:val="-20"/>
        </w:rPr>
        <w:t> </w:t>
      </w:r>
      <w:r>
        <w:rPr/>
        <w:t>2017-18,</w:t>
      </w:r>
      <w:r>
        <w:rPr>
          <w:spacing w:val="-19"/>
        </w:rPr>
        <w:t> </w:t>
      </w:r>
      <w:r>
        <w:rPr/>
        <w:t>OAG</w:t>
      </w:r>
      <w:r>
        <w:rPr>
          <w:spacing w:val="-19"/>
        </w:rPr>
        <w:t> </w:t>
      </w:r>
      <w:r>
        <w:rPr/>
        <w:t>examined</w:t>
      </w:r>
      <w:r>
        <w:rPr>
          <w:spacing w:val="-19"/>
        </w:rPr>
        <w:t> </w:t>
      </w:r>
      <w:r>
        <w:rPr/>
        <w:t>various</w:t>
      </w:r>
      <w:r>
        <w:rPr>
          <w:spacing w:val="-20"/>
        </w:rPr>
        <w:t> </w:t>
      </w:r>
      <w:r>
        <w:rPr/>
        <w:t>aspects</w:t>
      </w:r>
      <w:r>
        <w:rPr>
          <w:spacing w:val="-19"/>
        </w:rPr>
        <w:t> </w:t>
      </w:r>
      <w:r>
        <w:rPr>
          <w:spacing w:val="-9"/>
        </w:rPr>
        <w:t>of </w:t>
      </w:r>
      <w:r>
        <w:rPr>
          <w:spacing w:val="-3"/>
        </w:rPr>
        <w:t>Finance’s</w:t>
      </w:r>
      <w:r>
        <w:rPr>
          <w:spacing w:val="-16"/>
        </w:rPr>
        <w:t> </w:t>
      </w:r>
      <w:r>
        <w:rPr/>
        <w:t>policies</w:t>
      </w:r>
      <w:r>
        <w:rPr>
          <w:spacing w:val="-15"/>
        </w:rPr>
        <w:t> </w:t>
      </w:r>
      <w:r>
        <w:rPr/>
        <w:t>and</w:t>
      </w:r>
      <w:r>
        <w:rPr>
          <w:spacing w:val="-15"/>
        </w:rPr>
        <w:t> </w:t>
      </w:r>
      <w:r>
        <w:rPr/>
        <w:t>practices</w:t>
      </w:r>
      <w:r>
        <w:rPr>
          <w:spacing w:val="-15"/>
        </w:rPr>
        <w:t> </w:t>
      </w:r>
      <w:r>
        <w:rPr/>
        <w:t>in</w:t>
      </w:r>
      <w:r>
        <w:rPr>
          <w:spacing w:val="-15"/>
        </w:rPr>
        <w:t> </w:t>
      </w:r>
      <w:r>
        <w:rPr/>
        <w:t>relation</w:t>
      </w:r>
      <w:r>
        <w:rPr>
          <w:spacing w:val="-15"/>
        </w:rPr>
        <w:t> </w:t>
      </w:r>
      <w:r>
        <w:rPr/>
        <w:t>to</w:t>
      </w:r>
    </w:p>
    <w:p>
      <w:pPr>
        <w:pStyle w:val="BodyText"/>
        <w:spacing w:line="249" w:lineRule="auto" w:before="142"/>
        <w:ind w:left="469" w:right="757"/>
      </w:pPr>
      <w:r>
        <w:rPr/>
        <w:br w:type="column"/>
      </w:r>
      <w:r>
        <w:rPr/>
        <w:t>employees declaring offers of gifts or benefits by external</w:t>
      </w:r>
      <w:r>
        <w:rPr>
          <w:spacing w:val="-25"/>
        </w:rPr>
        <w:t> </w:t>
      </w:r>
      <w:r>
        <w:rPr/>
        <w:t>entities</w:t>
      </w:r>
      <w:r>
        <w:rPr>
          <w:spacing w:val="-24"/>
        </w:rPr>
        <w:t> </w:t>
      </w:r>
      <w:r>
        <w:rPr/>
        <w:t>in</w:t>
      </w:r>
      <w:r>
        <w:rPr>
          <w:spacing w:val="-25"/>
        </w:rPr>
        <w:t> </w:t>
      </w:r>
      <w:r>
        <w:rPr/>
        <w:t>the</w:t>
      </w:r>
      <w:r>
        <w:rPr>
          <w:spacing w:val="-24"/>
        </w:rPr>
        <w:t> </w:t>
      </w:r>
      <w:r>
        <w:rPr/>
        <w:t>course</w:t>
      </w:r>
      <w:r>
        <w:rPr>
          <w:spacing w:val="-25"/>
        </w:rPr>
        <w:t> </w:t>
      </w:r>
      <w:r>
        <w:rPr/>
        <w:t>of</w:t>
      </w:r>
      <w:r>
        <w:rPr>
          <w:spacing w:val="-24"/>
        </w:rPr>
        <w:t> </w:t>
      </w:r>
      <w:r>
        <w:rPr/>
        <w:t>undertaking</w:t>
      </w:r>
      <w:r>
        <w:rPr>
          <w:spacing w:val="-25"/>
        </w:rPr>
        <w:t> </w:t>
      </w:r>
      <w:r>
        <w:rPr>
          <w:spacing w:val="-3"/>
        </w:rPr>
        <w:t>official </w:t>
      </w:r>
      <w:r>
        <w:rPr/>
        <w:t>duties. The benchmarking review rated </w:t>
      </w:r>
      <w:r>
        <w:rPr>
          <w:spacing w:val="-3"/>
        </w:rPr>
        <w:t>Finance’s </w:t>
      </w:r>
      <w:r>
        <w:rPr/>
        <w:t>performance as achieving the best possible outcomes in all lines of</w:t>
      </w:r>
      <w:r>
        <w:rPr>
          <w:spacing w:val="-16"/>
        </w:rPr>
        <w:t> </w:t>
      </w:r>
      <w:r>
        <w:rPr>
          <w:spacing w:val="-3"/>
        </w:rPr>
        <w:t>enquiry.</w:t>
      </w:r>
    </w:p>
    <w:p>
      <w:pPr>
        <w:pStyle w:val="BodyText"/>
        <w:spacing w:line="249" w:lineRule="auto" w:before="89"/>
        <w:ind w:left="469" w:right="1116"/>
      </w:pPr>
      <w:r>
        <w:rPr/>
        <w:t>The Department welcomed the findings of </w:t>
      </w:r>
      <w:r>
        <w:rPr>
          <w:spacing w:val="-5"/>
        </w:rPr>
        <w:t>OAG’s</w:t>
      </w:r>
      <w:r>
        <w:rPr>
          <w:spacing w:val="-26"/>
        </w:rPr>
        <w:t> </w:t>
      </w:r>
      <w:r>
        <w:rPr/>
        <w:t>Parliamentary</w:t>
      </w:r>
      <w:r>
        <w:rPr>
          <w:spacing w:val="-25"/>
        </w:rPr>
        <w:t> </w:t>
      </w:r>
      <w:r>
        <w:rPr/>
        <w:t>report</w:t>
      </w:r>
      <w:r>
        <w:rPr>
          <w:spacing w:val="-25"/>
        </w:rPr>
        <w:t> </w:t>
      </w:r>
      <w:r>
        <w:rPr/>
        <w:t>on</w:t>
      </w:r>
      <w:r>
        <w:rPr>
          <w:spacing w:val="-26"/>
        </w:rPr>
        <w:t> </w:t>
      </w:r>
      <w:r>
        <w:rPr/>
        <w:t>its</w:t>
      </w:r>
      <w:r>
        <w:rPr>
          <w:spacing w:val="-25"/>
        </w:rPr>
        <w:t> </w:t>
      </w:r>
      <w:r>
        <w:rPr/>
        <w:t>performance and</w:t>
      </w:r>
      <w:r>
        <w:rPr>
          <w:spacing w:val="-18"/>
        </w:rPr>
        <w:t> </w:t>
      </w:r>
      <w:r>
        <w:rPr/>
        <w:t>remains</w:t>
      </w:r>
      <w:r>
        <w:rPr>
          <w:spacing w:val="-18"/>
        </w:rPr>
        <w:t> </w:t>
      </w:r>
      <w:r>
        <w:rPr/>
        <w:t>committed</w:t>
      </w:r>
      <w:r>
        <w:rPr>
          <w:spacing w:val="-17"/>
        </w:rPr>
        <w:t> </w:t>
      </w:r>
      <w:r>
        <w:rPr/>
        <w:t>to</w:t>
      </w:r>
      <w:r>
        <w:rPr>
          <w:spacing w:val="-18"/>
        </w:rPr>
        <w:t> </w:t>
      </w:r>
      <w:r>
        <w:rPr/>
        <w:t>ensuring</w:t>
      </w:r>
      <w:r>
        <w:rPr>
          <w:spacing w:val="-18"/>
        </w:rPr>
        <w:t> </w:t>
      </w:r>
      <w:r>
        <w:rPr/>
        <w:t>the</w:t>
      </w:r>
      <w:r>
        <w:rPr>
          <w:spacing w:val="-17"/>
        </w:rPr>
        <w:t> </w:t>
      </w:r>
      <w:r>
        <w:rPr>
          <w:spacing w:val="-3"/>
        </w:rPr>
        <w:t>highest</w:t>
      </w:r>
    </w:p>
    <w:p>
      <w:pPr>
        <w:pStyle w:val="BodyText"/>
        <w:spacing w:line="249" w:lineRule="auto" w:before="3"/>
        <w:ind w:left="469" w:right="781"/>
      </w:pPr>
      <w:r>
        <w:rPr/>
        <w:t>standards</w:t>
      </w:r>
      <w:r>
        <w:rPr>
          <w:spacing w:val="-18"/>
        </w:rPr>
        <w:t> </w:t>
      </w:r>
      <w:r>
        <w:rPr/>
        <w:t>of</w:t>
      </w:r>
      <w:r>
        <w:rPr>
          <w:spacing w:val="-19"/>
        </w:rPr>
        <w:t> </w:t>
      </w:r>
      <w:r>
        <w:rPr/>
        <w:t>transparency</w:t>
      </w:r>
      <w:r>
        <w:rPr>
          <w:spacing w:val="-18"/>
        </w:rPr>
        <w:t> </w:t>
      </w:r>
      <w:r>
        <w:rPr/>
        <w:t>and</w:t>
      </w:r>
      <w:r>
        <w:rPr>
          <w:spacing w:val="-18"/>
        </w:rPr>
        <w:t> </w:t>
      </w:r>
      <w:r>
        <w:rPr/>
        <w:t>integrity</w:t>
      </w:r>
      <w:r>
        <w:rPr>
          <w:spacing w:val="-18"/>
        </w:rPr>
        <w:t> </w:t>
      </w:r>
      <w:r>
        <w:rPr/>
        <w:t>in</w:t>
      </w:r>
      <w:r>
        <w:rPr>
          <w:spacing w:val="-18"/>
        </w:rPr>
        <w:t> </w:t>
      </w:r>
      <w:r>
        <w:rPr/>
        <w:t>the</w:t>
      </w:r>
      <w:r>
        <w:rPr>
          <w:spacing w:val="-18"/>
        </w:rPr>
        <w:t> </w:t>
      </w:r>
      <w:r>
        <w:rPr>
          <w:spacing w:val="-5"/>
        </w:rPr>
        <w:t>work </w:t>
      </w:r>
      <w:r>
        <w:rPr/>
        <w:t>environment.</w:t>
      </w:r>
    </w:p>
    <w:p>
      <w:pPr>
        <w:pStyle w:val="Heading4"/>
        <w:spacing w:before="152"/>
        <w:ind w:left="469"/>
      </w:pPr>
      <w:r>
        <w:rPr>
          <w:color w:val="6F2770"/>
        </w:rPr>
        <w:t>Recordkeeping plans</w:t>
      </w:r>
    </w:p>
    <w:p>
      <w:pPr>
        <w:pStyle w:val="BodyText"/>
        <w:spacing w:line="249" w:lineRule="auto" w:before="95"/>
        <w:ind w:left="469" w:right="915"/>
      </w:pPr>
      <w:r>
        <w:rPr/>
        <w:t>The Department is preparing a revised Recordkeeping Plan for submission to the State Records</w:t>
      </w:r>
      <w:r>
        <w:rPr>
          <w:spacing w:val="-17"/>
        </w:rPr>
        <w:t> </w:t>
      </w:r>
      <w:r>
        <w:rPr/>
        <w:t>Office</w:t>
      </w:r>
      <w:r>
        <w:rPr>
          <w:spacing w:val="-17"/>
        </w:rPr>
        <w:t> </w:t>
      </w:r>
      <w:r>
        <w:rPr/>
        <w:t>in</w:t>
      </w:r>
      <w:r>
        <w:rPr>
          <w:spacing w:val="-17"/>
        </w:rPr>
        <w:t> </w:t>
      </w:r>
      <w:r>
        <w:rPr/>
        <w:t>the</w:t>
      </w:r>
      <w:r>
        <w:rPr>
          <w:spacing w:val="-16"/>
        </w:rPr>
        <w:t> </w:t>
      </w:r>
      <w:r>
        <w:rPr/>
        <w:t>latter</w:t>
      </w:r>
      <w:r>
        <w:rPr>
          <w:spacing w:val="-17"/>
        </w:rPr>
        <w:t> </w:t>
      </w:r>
      <w:r>
        <w:rPr/>
        <w:t>half</w:t>
      </w:r>
      <w:r>
        <w:rPr>
          <w:spacing w:val="-17"/>
        </w:rPr>
        <w:t> </w:t>
      </w:r>
      <w:r>
        <w:rPr/>
        <w:t>of</w:t>
      </w:r>
      <w:r>
        <w:rPr>
          <w:spacing w:val="-17"/>
        </w:rPr>
        <w:t> </w:t>
      </w:r>
      <w:r>
        <w:rPr/>
        <w:t>2018.</w:t>
      </w:r>
      <w:r>
        <w:rPr>
          <w:spacing w:val="-16"/>
        </w:rPr>
        <w:t> </w:t>
      </w:r>
      <w:r>
        <w:rPr/>
        <w:t>The</w:t>
      </w:r>
      <w:r>
        <w:rPr>
          <w:spacing w:val="-17"/>
        </w:rPr>
        <w:t> </w:t>
      </w:r>
      <w:r>
        <w:rPr/>
        <w:t>new Recordkeeping</w:t>
      </w:r>
      <w:r>
        <w:rPr>
          <w:spacing w:val="-22"/>
        </w:rPr>
        <w:t> </w:t>
      </w:r>
      <w:r>
        <w:rPr/>
        <w:t>Plan</w:t>
      </w:r>
      <w:r>
        <w:rPr>
          <w:spacing w:val="-22"/>
        </w:rPr>
        <w:t> </w:t>
      </w:r>
      <w:r>
        <w:rPr/>
        <w:t>will</w:t>
      </w:r>
      <w:r>
        <w:rPr>
          <w:spacing w:val="-22"/>
        </w:rPr>
        <w:t> </w:t>
      </w:r>
      <w:r>
        <w:rPr/>
        <w:t>ensure</w:t>
      </w:r>
      <w:r>
        <w:rPr>
          <w:spacing w:val="-22"/>
        </w:rPr>
        <w:t> </w:t>
      </w:r>
      <w:r>
        <w:rPr/>
        <w:t>the</w:t>
      </w:r>
      <w:r>
        <w:rPr>
          <w:spacing w:val="-22"/>
        </w:rPr>
        <w:t> </w:t>
      </w:r>
      <w:r>
        <w:rPr/>
        <w:t>Department continues to meet its recordkeeping obligations under the </w:t>
      </w:r>
      <w:r>
        <w:rPr>
          <w:i/>
        </w:rPr>
        <w:t>State Records Act 2000</w:t>
      </w:r>
      <w:r>
        <w:rPr/>
        <w:t>. An upgrade to</w:t>
      </w:r>
      <w:r>
        <w:rPr>
          <w:spacing w:val="-17"/>
        </w:rPr>
        <w:t> </w:t>
      </w:r>
      <w:r>
        <w:rPr/>
        <w:t>the</w:t>
      </w:r>
      <w:r>
        <w:rPr>
          <w:spacing w:val="-16"/>
        </w:rPr>
        <w:t> </w:t>
      </w:r>
      <w:r>
        <w:rPr>
          <w:spacing w:val="-3"/>
        </w:rPr>
        <w:t>Department’s</w:t>
      </w:r>
      <w:r>
        <w:rPr>
          <w:spacing w:val="-17"/>
        </w:rPr>
        <w:t> </w:t>
      </w:r>
      <w:r>
        <w:rPr/>
        <w:t>recordkeeping</w:t>
      </w:r>
      <w:r>
        <w:rPr>
          <w:spacing w:val="-16"/>
        </w:rPr>
        <w:t> </w:t>
      </w:r>
      <w:r>
        <w:rPr/>
        <w:t>system</w:t>
      </w:r>
      <w:r>
        <w:rPr>
          <w:spacing w:val="-17"/>
        </w:rPr>
        <w:t> </w:t>
      </w:r>
      <w:r>
        <w:rPr/>
        <w:t>is</w:t>
      </w:r>
      <w:r>
        <w:rPr>
          <w:spacing w:val="-16"/>
        </w:rPr>
        <w:t> </w:t>
      </w:r>
      <w:r>
        <w:rPr>
          <w:spacing w:val="-5"/>
        </w:rPr>
        <w:t>well </w:t>
      </w:r>
      <w:r>
        <w:rPr/>
        <w:t>underway and will be completed by late 2018 enabling</w:t>
      </w:r>
      <w:r>
        <w:rPr>
          <w:spacing w:val="-18"/>
        </w:rPr>
        <w:t> </w:t>
      </w:r>
      <w:r>
        <w:rPr/>
        <w:t>improved</w:t>
      </w:r>
      <w:r>
        <w:rPr>
          <w:spacing w:val="-18"/>
        </w:rPr>
        <w:t> </w:t>
      </w:r>
      <w:r>
        <w:rPr/>
        <w:t>accessibility</w:t>
      </w:r>
      <w:r>
        <w:rPr>
          <w:spacing w:val="-17"/>
        </w:rPr>
        <w:t> </w:t>
      </w:r>
      <w:r>
        <w:rPr/>
        <w:t>using</w:t>
      </w:r>
      <w:r>
        <w:rPr>
          <w:spacing w:val="-18"/>
        </w:rPr>
        <w:t> </w:t>
      </w:r>
      <w:r>
        <w:rPr/>
        <w:t>a</w:t>
      </w:r>
      <w:r>
        <w:rPr>
          <w:spacing w:val="-17"/>
        </w:rPr>
        <w:t> </w:t>
      </w:r>
      <w:r>
        <w:rPr/>
        <w:t>variety</w:t>
      </w:r>
    </w:p>
    <w:p>
      <w:pPr>
        <w:pStyle w:val="BodyText"/>
        <w:spacing w:line="249" w:lineRule="auto" w:before="8"/>
        <w:ind w:left="469" w:right="1037"/>
      </w:pPr>
      <w:r>
        <w:rPr/>
        <w:t>of devices that support the </w:t>
      </w:r>
      <w:r>
        <w:rPr>
          <w:spacing w:val="-3"/>
        </w:rPr>
        <w:t>Department’s digital strategy.</w:t>
      </w:r>
    </w:p>
    <w:p>
      <w:pPr>
        <w:pStyle w:val="BodyText"/>
        <w:spacing w:line="249" w:lineRule="auto" w:before="87"/>
        <w:ind w:left="469" w:right="1035"/>
      </w:pPr>
      <w:r>
        <w:rPr/>
        <w:t>In excess of 800,000 documents have been committed</w:t>
      </w:r>
      <w:r>
        <w:rPr>
          <w:spacing w:val="-18"/>
        </w:rPr>
        <w:t> </w:t>
      </w:r>
      <w:r>
        <w:rPr/>
        <w:t>to</w:t>
      </w:r>
      <w:r>
        <w:rPr>
          <w:spacing w:val="-17"/>
        </w:rPr>
        <w:t> </w:t>
      </w:r>
      <w:r>
        <w:rPr/>
        <w:t>the</w:t>
      </w:r>
      <w:r>
        <w:rPr>
          <w:spacing w:val="-18"/>
        </w:rPr>
        <w:t> </w:t>
      </w:r>
      <w:r>
        <w:rPr/>
        <w:t>primary</w:t>
      </w:r>
      <w:r>
        <w:rPr>
          <w:spacing w:val="-17"/>
        </w:rPr>
        <w:t> </w:t>
      </w:r>
      <w:r>
        <w:rPr/>
        <w:t>recordkeeping</w:t>
      </w:r>
      <w:r>
        <w:rPr>
          <w:spacing w:val="-18"/>
        </w:rPr>
        <w:t> </w:t>
      </w:r>
      <w:r>
        <w:rPr>
          <w:spacing w:val="-3"/>
        </w:rPr>
        <w:t>system </w:t>
      </w:r>
      <w:r>
        <w:rPr/>
        <w:t>during</w:t>
      </w:r>
      <w:r>
        <w:rPr>
          <w:spacing w:val="-15"/>
        </w:rPr>
        <w:t> </w:t>
      </w:r>
      <w:r>
        <w:rPr/>
        <w:t>this</w:t>
      </w:r>
      <w:r>
        <w:rPr>
          <w:spacing w:val="-15"/>
        </w:rPr>
        <w:t> </w:t>
      </w:r>
      <w:r>
        <w:rPr/>
        <w:t>past</w:t>
      </w:r>
      <w:r>
        <w:rPr>
          <w:spacing w:val="-15"/>
        </w:rPr>
        <w:t> </w:t>
      </w:r>
      <w:r>
        <w:rPr/>
        <w:t>year</w:t>
      </w:r>
      <w:r>
        <w:rPr>
          <w:spacing w:val="-15"/>
        </w:rPr>
        <w:t> </w:t>
      </w:r>
      <w:r>
        <w:rPr/>
        <w:t>representing</w:t>
      </w:r>
      <w:r>
        <w:rPr>
          <w:spacing w:val="-15"/>
        </w:rPr>
        <w:t> </w:t>
      </w:r>
      <w:r>
        <w:rPr/>
        <w:t>a</w:t>
      </w:r>
      <w:r>
        <w:rPr>
          <w:spacing w:val="-15"/>
        </w:rPr>
        <w:t> </w:t>
      </w:r>
      <w:r>
        <w:rPr/>
        <w:t>15</w:t>
      </w:r>
      <w:r>
        <w:rPr>
          <w:spacing w:val="-15"/>
        </w:rPr>
        <w:t> </w:t>
      </w:r>
      <w:r>
        <w:rPr/>
        <w:t>per</w:t>
      </w:r>
      <w:r>
        <w:rPr>
          <w:spacing w:val="-14"/>
        </w:rPr>
        <w:t> </w:t>
      </w:r>
      <w:r>
        <w:rPr/>
        <w:t>cent increase from the previous year and was the largest volume of documents committed to the system</w:t>
      </w:r>
      <w:r>
        <w:rPr>
          <w:spacing w:val="-13"/>
        </w:rPr>
        <w:t> </w:t>
      </w:r>
      <w:r>
        <w:rPr/>
        <w:t>since</w:t>
      </w:r>
      <w:r>
        <w:rPr>
          <w:spacing w:val="-12"/>
        </w:rPr>
        <w:t> </w:t>
      </w:r>
      <w:r>
        <w:rPr/>
        <w:t>the</w:t>
      </w:r>
      <w:r>
        <w:rPr>
          <w:spacing w:val="-12"/>
        </w:rPr>
        <w:t> </w:t>
      </w:r>
      <w:r>
        <w:rPr/>
        <w:t>inception</w:t>
      </w:r>
      <w:r>
        <w:rPr>
          <w:spacing w:val="-12"/>
        </w:rPr>
        <w:t> </w:t>
      </w:r>
      <w:r>
        <w:rPr/>
        <w:t>of</w:t>
      </w:r>
      <w:r>
        <w:rPr>
          <w:spacing w:val="-13"/>
        </w:rPr>
        <w:t> </w:t>
      </w:r>
      <w:r>
        <w:rPr/>
        <w:t>the</w:t>
      </w:r>
      <w:r>
        <w:rPr>
          <w:spacing w:val="-12"/>
        </w:rPr>
        <w:t> </w:t>
      </w:r>
      <w:r>
        <w:rPr/>
        <w:t>Department.</w:t>
      </w:r>
    </w:p>
    <w:p>
      <w:pPr>
        <w:pStyle w:val="BodyText"/>
        <w:spacing w:line="249" w:lineRule="auto" w:before="90"/>
        <w:ind w:left="469" w:right="817"/>
      </w:pPr>
      <w:r>
        <w:rPr>
          <w:spacing w:val="-3"/>
        </w:rPr>
        <w:t>Finance’s</w:t>
      </w:r>
      <w:r>
        <w:rPr>
          <w:spacing w:val="-22"/>
        </w:rPr>
        <w:t> </w:t>
      </w:r>
      <w:r>
        <w:rPr/>
        <w:t>induction</w:t>
      </w:r>
      <w:r>
        <w:rPr>
          <w:spacing w:val="-22"/>
        </w:rPr>
        <w:t> </w:t>
      </w:r>
      <w:r>
        <w:rPr/>
        <w:t>program</w:t>
      </w:r>
      <w:r>
        <w:rPr>
          <w:spacing w:val="-22"/>
        </w:rPr>
        <w:t> </w:t>
      </w:r>
      <w:r>
        <w:rPr/>
        <w:t>provides</w:t>
      </w:r>
      <w:r>
        <w:rPr>
          <w:spacing w:val="-22"/>
        </w:rPr>
        <w:t> </w:t>
      </w:r>
      <w:r>
        <w:rPr/>
        <w:t>the</w:t>
      </w:r>
      <w:r>
        <w:rPr>
          <w:spacing w:val="-22"/>
        </w:rPr>
        <w:t> </w:t>
      </w:r>
      <w:r>
        <w:rPr>
          <w:spacing w:val="-3"/>
        </w:rPr>
        <w:t>pathway </w:t>
      </w:r>
      <w:r>
        <w:rPr/>
        <w:t>for establishing good recordkeeping</w:t>
      </w:r>
      <w:r>
        <w:rPr>
          <w:spacing w:val="-44"/>
        </w:rPr>
        <w:t> </w:t>
      </w:r>
      <w:r>
        <w:rPr/>
        <w:t>practices.</w:t>
      </w:r>
    </w:p>
    <w:p>
      <w:pPr>
        <w:pStyle w:val="BodyText"/>
        <w:spacing w:line="249" w:lineRule="auto" w:before="2"/>
        <w:ind w:left="469" w:right="933"/>
      </w:pPr>
      <w:r>
        <w:rPr/>
        <w:t>Recordkeeping</w:t>
      </w:r>
      <w:r>
        <w:rPr>
          <w:spacing w:val="-25"/>
        </w:rPr>
        <w:t> </w:t>
      </w:r>
      <w:r>
        <w:rPr/>
        <w:t>guides,</w:t>
      </w:r>
      <w:r>
        <w:rPr>
          <w:spacing w:val="-24"/>
        </w:rPr>
        <w:t> </w:t>
      </w:r>
      <w:r>
        <w:rPr/>
        <w:t>and</w:t>
      </w:r>
      <w:r>
        <w:rPr>
          <w:spacing w:val="-25"/>
        </w:rPr>
        <w:t> </w:t>
      </w:r>
      <w:r>
        <w:rPr/>
        <w:t>online</w:t>
      </w:r>
      <w:r>
        <w:rPr>
          <w:spacing w:val="-24"/>
        </w:rPr>
        <w:t> </w:t>
      </w:r>
      <w:r>
        <w:rPr/>
        <w:t>training</w:t>
      </w:r>
      <w:r>
        <w:rPr>
          <w:spacing w:val="-25"/>
        </w:rPr>
        <w:t> </w:t>
      </w:r>
      <w:r>
        <w:rPr/>
        <w:t>for</w:t>
      </w:r>
      <w:r>
        <w:rPr>
          <w:spacing w:val="-24"/>
        </w:rPr>
        <w:t> </w:t>
      </w:r>
      <w:r>
        <w:rPr>
          <w:spacing w:val="-6"/>
        </w:rPr>
        <w:t>the </w:t>
      </w:r>
      <w:r>
        <w:rPr/>
        <w:t>system provides ongoing support all</w:t>
      </w:r>
      <w:r>
        <w:rPr>
          <w:spacing w:val="-34"/>
        </w:rPr>
        <w:t> </w:t>
      </w:r>
      <w:r>
        <w:rPr/>
        <w:t>staff.</w:t>
      </w:r>
    </w:p>
    <w:p>
      <w:pPr>
        <w:spacing w:after="0" w:line="249" w:lineRule="auto"/>
        <w:sectPr>
          <w:type w:val="continuous"/>
          <w:pgSz w:w="16840" w:h="11910" w:orient="landscape"/>
          <w:pgMar w:top="1100" w:bottom="280" w:left="0" w:right="0"/>
          <w:cols w:num="3" w:equalWidth="0">
            <w:col w:w="5595" w:space="40"/>
            <w:col w:w="5114" w:space="39"/>
            <w:col w:w="6052"/>
          </w:cols>
        </w:sectPr>
      </w:pPr>
    </w:p>
    <w:p>
      <w:pPr>
        <w:pStyle w:val="BodyText"/>
        <w:spacing w:before="2"/>
        <w:rPr>
          <w:sz w:val="20"/>
        </w:rPr>
      </w:pPr>
    </w:p>
    <w:p>
      <w:pPr>
        <w:tabs>
          <w:tab w:pos="5951" w:val="left" w:leader="none"/>
          <w:tab w:pos="16072" w:val="left" w:leader="none"/>
        </w:tabs>
        <w:spacing w:before="107"/>
        <w:ind w:left="765" w:right="0" w:firstLine="0"/>
        <w:jc w:val="left"/>
        <w:rPr>
          <w:b/>
          <w:sz w:val="20"/>
        </w:rPr>
      </w:pPr>
      <w:r>
        <w:rPr/>
        <w:pict>
          <v:group style="position:absolute;margin-left:817.839111pt;margin-top:-9.505017pt;width:24.1pt;height:41.55pt;mso-position-horizontal-relative:page;mso-position-vertical-relative:paragraph;z-index:30088" coordorigin="16357,-190" coordsize="482,831">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ffffff" stroked="false">
              <v:path arrowok="t"/>
              <v:fill type="solid"/>
            </v:shape>
            <v:shape style="position:absolute;left:16356;top:-191;width:482;height:831" coordorigin="16357,-190" coordsize="482,831" path="m16772,-190l16697,-183,16627,-164,16562,-133,16504,-92,16454,-42,16413,16,16383,80,16363,150,16357,225,16363,300,16383,370,16413,435,16454,493,16504,543,16562,584,16627,614,16697,634,16772,640,16789,640,16805,639,16822,637,16838,635,16838,-184,16822,-187,16805,-189,16789,-190,16772,-190xe" filled="true" fillcolor="#aebd37" stroked="false">
              <v:path arrowok="t"/>
              <v:fill opacity="13107f" type="solid"/>
            </v:shape>
            <v:shape style="position:absolute;left:16571;top:139;width:93;height:171" coordorigin="16571,139" coordsize="93,171" path="m16590,139l16582,139,16571,149,16571,158,16638,224,16638,226,16571,293,16571,301,16579,309,16582,310,16589,310,16592,309,16655,245,16662,236,16664,226,16664,224,16662,214,16655,205,16590,139xe" filled="true" fillcolor="#000000" stroked="false">
              <v:path arrowok="t"/>
              <v:fill type="solid"/>
            </v:shape>
            <w10:wrap type="none"/>
          </v:group>
        </w:pict>
      </w:r>
      <w:r>
        <w:rPr/>
        <w:pict>
          <v:group style="position:absolute;margin-left:0pt;margin-top:-9.505017pt;width:24.1pt;height:41.55pt;mso-position-horizontal-relative:page;mso-position-vertical-relative:paragraph;z-index:30112" coordorigin="0,-190" coordsize="482,831">
            <v:shape style="position:absolute;left:0;top:-191;width:482;height:831" coordorigin="0,-190" coordsize="482,831" path="m66,-190l49,-190,33,-189,16,-187,0,-184,0,635,16,637,33,639,49,640,66,640,140,634,211,614,275,584,333,543,383,493,424,435,455,370,474,300,481,225,474,150,455,80,424,16,383,-42,333,-92,275,-133,211,-164,140,-183,66,-190xe" filled="true" fillcolor="#ffffff" stroked="false">
              <v:path arrowok="t"/>
              <v:fill type="solid"/>
            </v:shape>
            <v:shape style="position:absolute;left:0;top:-191;width:482;height:831" coordorigin="0,-190" coordsize="482,831" path="m66,-190l49,-190,33,-189,16,-187,0,-184,0,635,16,637,33,639,49,640,66,640,140,634,211,614,275,584,333,543,383,493,424,435,455,370,474,300,481,225,474,150,455,80,424,16,383,-42,333,-92,275,-133,211,-164,140,-183,66,-190xe" filled="true" fillcolor="#aebd37" stroked="false">
              <v:path arrowok="t"/>
              <v:fill opacity="13107f" type="solid"/>
            </v:shape>
            <v:shape style="position:absolute;left:174;top:139;width:93;height:171" coordorigin="174,139" coordsize="93,171" path="m256,139l248,139,182,205,176,214,174,224,174,226,176,236,182,245,245,309,249,310,256,310,259,309,267,301,267,293,200,226,200,224,267,158,267,149,256,139xe" filled="true" fillcolor="#000000" stroked="false">
              <v:path arrowok="t"/>
              <v:fill type="solid"/>
            </v:shape>
            <w10:wrap type="none"/>
          </v:group>
        </w:pict>
      </w:r>
      <w:r>
        <w:rPr>
          <w:b/>
          <w:color w:val="6F2770"/>
          <w:sz w:val="20"/>
        </w:rPr>
        <w:t>114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pStyle w:val="BodyText"/>
        <w:spacing w:before="4"/>
        <w:rPr>
          <w:b/>
          <w:sz w:val="17"/>
        </w:rPr>
      </w:pPr>
      <w:r>
        <w:rPr/>
        <w:pict>
          <v:group style="position:absolute;margin-left:240.539398pt;margin-top:.000001pt;width:601.4pt;height:595.3pt;mso-position-horizontal-relative:page;mso-position-vertical-relative:page;z-index:-682264" coordorigin="4811,0" coordsize="12028,11906">
            <v:shape style="position:absolute;left:6448;top:104;width:10390;height:11801" type="#_x0000_t75" stroked="false">
              <v:imagedata r:id="rId244" o:title=""/>
            </v:shape>
            <v:rect style="position:absolute;left:4810;top:0;width:2406;height:851" filled="true" fillcolor="#cbb8cc"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d4d896" stroked="false">
              <v:fill type="solid"/>
            </v:rect>
            <v:rect style="position:absolute;left:14432;top:0;width:2406;height:851" filled="true" fillcolor="#bba1bc" stroked="false">
              <v:fill type="solid"/>
            </v:rect>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p>
    <w:p>
      <w:pPr>
        <w:tabs>
          <w:tab w:pos="15134" w:val="left" w:leader="none"/>
        </w:tabs>
        <w:spacing w:before="103"/>
        <w:ind w:left="663" w:right="0" w:firstLine="0"/>
        <w:jc w:val="left"/>
        <w:rPr>
          <w:sz w:val="20"/>
        </w:rPr>
      </w:pPr>
      <w:r>
        <w:rPr/>
        <w:pict>
          <v:group style="position:absolute;margin-left:0pt;margin-top:-10.270532pt;width:120.3pt;height:239.35pt;mso-position-horizontal-relative:page;mso-position-vertical-relative:paragraph;z-index:-682288" coordorigin="0,-205" coordsize="2406,4787">
            <v:shape style="position:absolute;left:0;top:-206;width:1948;height:4787" type="#_x0000_t75" stroked="false">
              <v:imagedata r:id="rId37" o:title=""/>
            </v:shape>
            <v:rect style="position:absolute;left:0;top:-206;width:2406;height:851" filled="true" fillcolor="#bba1bc" stroked="false">
              <v:fill type="solid"/>
            </v:rect>
            <v:line style="position:absolute" from="0,-205" to="0,645" stroked="true" strokeweight="0pt" strokecolor="#bba1bc">
              <v:stroke dashstyle="solid"/>
            </v:line>
            <w10:wrap type="none"/>
          </v:group>
        </w:pict>
      </w:r>
      <w:r>
        <w:rPr/>
        <w:pict>
          <v:shape style="position:absolute;margin-left:601.348999pt;margin-top:-10.270532pt;width:120.3pt;height:42.55pt;mso-position-horizontal-relative:page;mso-position-vertical-relative:paragraph;z-index:-682216" type="#_x0000_t202" filled="false"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w10:wrap type="none"/>
          </v:shape>
        </w:pict>
      </w:r>
      <w:r>
        <w:rPr/>
        <w:pict>
          <v:shape style="position:absolute;margin-left:481.079803pt;margin-top:-10.270532pt;width:120.3pt;height:42.55pt;mso-position-horizontal-relative:page;mso-position-vertical-relative:paragraph;z-index:-682192" type="#_x0000_t202" filled="false"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w10:wrap type="none"/>
          </v:shape>
        </w:pict>
      </w:r>
      <w:r>
        <w:rPr/>
        <w:pict>
          <v:shape style="position:absolute;margin-left:360.811798pt;margin-top:-10.270532pt;width:120.3pt;height:42.55pt;mso-position-horizontal-relative:page;mso-position-vertical-relative:paragraph;z-index:-682168" type="#_x0000_t202" filled="false"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w10:wrap type="none"/>
          </v:shape>
        </w:pict>
      </w:r>
      <w:r>
        <w:rPr/>
        <w:pict>
          <v:shape style="position:absolute;margin-left:240.539398pt;margin-top:-10.270532pt;width:120.3pt;height:42.55pt;mso-position-horizontal-relative:page;mso-position-vertical-relative:paragraph;z-index:-682144" type="#_x0000_t202" filled="false"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w10:wrap type="none"/>
          </v:shape>
        </w:pict>
      </w:r>
      <w:r>
        <w:rPr/>
        <w:pict>
          <v:shape style="position:absolute;margin-left:120.271004pt;margin-top:-10.270532pt;width:120.3pt;height:42.55pt;mso-position-horizontal-relative:page;mso-position-vertical-relative:paragraph;z-index:-682120"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hyperlink w:history="true" w:anchor="_bookmark0">
        <w:r>
          <w:rPr>
            <w:sz w:val="20"/>
          </w:rPr>
          <w:t>CONTENTS</w:t>
        </w:r>
      </w:hyperlink>
      <w:r>
        <w:rPr>
          <w:sz w:val="20"/>
        </w:rPr>
        <w:tab/>
      </w:r>
      <w:hyperlink w:history="true" w:anchor="_bookmark52">
        <w:r>
          <w:rPr>
            <w:sz w:val="20"/>
          </w:rPr>
          <w:t>APPENDIX</w:t>
        </w:r>
      </w:hyperlink>
    </w:p>
    <w:p>
      <w:pPr>
        <w:pStyle w:val="BodyText"/>
        <w:rPr>
          <w:sz w:val="20"/>
        </w:rPr>
      </w:pPr>
    </w:p>
    <w:p>
      <w:pPr>
        <w:pStyle w:val="BodyText"/>
        <w:rPr>
          <w:sz w:val="20"/>
        </w:rPr>
      </w:pPr>
    </w:p>
    <w:p>
      <w:pPr>
        <w:pStyle w:val="BodyText"/>
        <w:spacing w:before="2"/>
        <w:rPr>
          <w:sz w:val="27"/>
        </w:rPr>
      </w:pPr>
    </w:p>
    <w:p>
      <w:pPr>
        <w:pStyle w:val="Heading4"/>
        <w:spacing w:before="111"/>
      </w:pPr>
      <w:r>
        <w:rPr/>
        <w:pict>
          <v:shape style="position:absolute;margin-left:431.574799pt;margin-top:9.581585pt;width:372.85pt;height:326.6pt;mso-position-horizontal-relative:page;mso-position-vertical-relative:paragraph;z-index:3040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5"/>
                    <w:gridCol w:w="1445"/>
                    <w:gridCol w:w="1445"/>
                  </w:tblGrid>
                  <w:tr>
                    <w:trPr>
                      <w:trHeight w:val="305" w:hRule="atLeast"/>
                    </w:trPr>
                    <w:tc>
                      <w:tcPr>
                        <w:tcW w:w="4535" w:type="dxa"/>
                        <w:tcBorders>
                          <w:left w:val="single" w:sz="8" w:space="0" w:color="FFFFFF"/>
                        </w:tcBorders>
                        <w:shd w:val="clear" w:color="auto" w:fill="783A79"/>
                      </w:tcPr>
                      <w:p>
                        <w:pPr>
                          <w:pStyle w:val="TableParagraph"/>
                          <w:spacing w:before="42"/>
                          <w:ind w:left="113"/>
                          <w:rPr>
                            <w:b/>
                            <w:sz w:val="19"/>
                          </w:rPr>
                        </w:pPr>
                        <w:r>
                          <w:rPr>
                            <w:b/>
                            <w:color w:val="FFFFFF"/>
                            <w:sz w:val="19"/>
                          </w:rPr>
                          <w:t>Applications</w:t>
                        </w:r>
                      </w:p>
                    </w:tc>
                    <w:tc>
                      <w:tcPr>
                        <w:tcW w:w="1445" w:type="dxa"/>
                        <w:shd w:val="clear" w:color="auto" w:fill="783A79"/>
                      </w:tcPr>
                      <w:p>
                        <w:pPr>
                          <w:pStyle w:val="TableParagraph"/>
                          <w:spacing w:before="42"/>
                          <w:ind w:right="100"/>
                          <w:jc w:val="right"/>
                          <w:rPr>
                            <w:b/>
                            <w:sz w:val="19"/>
                          </w:rPr>
                        </w:pPr>
                        <w:r>
                          <w:rPr>
                            <w:b/>
                            <w:color w:val="FFFFFF"/>
                            <w:sz w:val="19"/>
                          </w:rPr>
                          <w:t>2017-18</w:t>
                        </w:r>
                      </w:p>
                    </w:tc>
                    <w:tc>
                      <w:tcPr>
                        <w:tcW w:w="1445" w:type="dxa"/>
                        <w:shd w:val="clear" w:color="auto" w:fill="783A79"/>
                      </w:tcPr>
                      <w:p>
                        <w:pPr>
                          <w:pStyle w:val="TableParagraph"/>
                          <w:spacing w:before="42"/>
                          <w:ind w:right="99"/>
                          <w:jc w:val="right"/>
                          <w:rPr>
                            <w:b/>
                            <w:sz w:val="19"/>
                          </w:rPr>
                        </w:pPr>
                        <w:r>
                          <w:rPr>
                            <w:b/>
                            <w:color w:val="FFFFFF"/>
                            <w:sz w:val="19"/>
                          </w:rPr>
                          <w:t>2016-17</w:t>
                        </w:r>
                      </w:p>
                    </w:tc>
                  </w:tr>
                  <w:tr>
                    <w:trPr>
                      <w:trHeight w:val="317" w:hRule="atLeast"/>
                    </w:trPr>
                    <w:tc>
                      <w:tcPr>
                        <w:tcW w:w="4535"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New applications received during the year</w:t>
                        </w:r>
                      </w:p>
                    </w:tc>
                    <w:tc>
                      <w:tcPr>
                        <w:tcW w:w="1445" w:type="dxa"/>
                        <w:shd w:val="clear" w:color="auto" w:fill="E1E4BB"/>
                      </w:tcPr>
                      <w:p>
                        <w:pPr>
                          <w:pStyle w:val="TableParagraph"/>
                          <w:spacing w:before="42"/>
                          <w:ind w:right="100"/>
                          <w:jc w:val="right"/>
                          <w:rPr>
                            <w:sz w:val="19"/>
                          </w:rPr>
                        </w:pPr>
                        <w:r>
                          <w:rPr>
                            <w:w w:val="95"/>
                            <w:sz w:val="19"/>
                          </w:rPr>
                          <w:t>29</w:t>
                        </w:r>
                      </w:p>
                    </w:tc>
                    <w:tc>
                      <w:tcPr>
                        <w:tcW w:w="1445" w:type="dxa"/>
                        <w:tcBorders>
                          <w:bottom w:val="single" w:sz="8" w:space="0" w:color="FFFFFF"/>
                          <w:right w:val="single" w:sz="8" w:space="0" w:color="FFFFFF"/>
                        </w:tcBorders>
                        <w:shd w:val="clear" w:color="auto" w:fill="F4F4F4"/>
                      </w:tcPr>
                      <w:p>
                        <w:pPr>
                          <w:pStyle w:val="TableParagraph"/>
                          <w:spacing w:before="42"/>
                          <w:ind w:right="89"/>
                          <w:jc w:val="right"/>
                          <w:rPr>
                            <w:sz w:val="19"/>
                          </w:rPr>
                        </w:pPr>
                        <w:r>
                          <w:rPr>
                            <w:w w:val="95"/>
                            <w:sz w:val="19"/>
                          </w:rPr>
                          <w:t>28</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Decisions made during the year</w:t>
                        </w:r>
                      </w:p>
                    </w:tc>
                    <w:tc>
                      <w:tcPr>
                        <w:tcW w:w="1445" w:type="dxa"/>
                        <w:shd w:val="clear" w:color="auto" w:fill="E1E4BB"/>
                      </w:tcPr>
                      <w:p>
                        <w:pPr>
                          <w:pStyle w:val="TableParagraph"/>
                          <w:ind w:right="100"/>
                          <w:jc w:val="right"/>
                          <w:rPr>
                            <w:sz w:val="10"/>
                          </w:rPr>
                        </w:pPr>
                        <w:r>
                          <w:rPr>
                            <w:w w:val="90"/>
                            <w:position w:val="-6"/>
                            <w:sz w:val="19"/>
                          </w:rPr>
                          <w:t>24</w:t>
                        </w:r>
                        <w:r>
                          <w:rPr>
                            <w:w w:val="90"/>
                            <w:sz w:val="10"/>
                          </w:rPr>
                          <w:t>(a)</w:t>
                        </w:r>
                      </w:p>
                    </w:tc>
                    <w:tc>
                      <w:tcPr>
                        <w:tcW w:w="1445" w:type="dxa"/>
                        <w:tcBorders>
                          <w:top w:val="single" w:sz="8" w:space="0" w:color="FFFFFF"/>
                          <w:bottom w:val="single" w:sz="8" w:space="0" w:color="FFFFFF"/>
                          <w:right w:val="single" w:sz="8" w:space="0" w:color="FFFFFF"/>
                        </w:tcBorders>
                        <w:shd w:val="clear" w:color="auto" w:fill="FAF9F9"/>
                      </w:tcPr>
                      <w:p>
                        <w:pPr>
                          <w:pStyle w:val="TableParagraph"/>
                          <w:ind w:right="89"/>
                          <w:jc w:val="right"/>
                          <w:rPr>
                            <w:sz w:val="10"/>
                          </w:rPr>
                        </w:pPr>
                        <w:r>
                          <w:rPr>
                            <w:w w:val="95"/>
                            <w:position w:val="-6"/>
                            <w:sz w:val="19"/>
                          </w:rPr>
                          <w:t>18</w:t>
                        </w:r>
                        <w:r>
                          <w:rPr>
                            <w:w w:val="95"/>
                            <w:sz w:val="10"/>
                          </w:rPr>
                          <w:t>(b)</w:t>
                        </w:r>
                      </w:p>
                    </w:tc>
                  </w:tr>
                  <w:tr>
                    <w:trPr>
                      <w:trHeight w:val="317" w:hRule="atLeast"/>
                    </w:trPr>
                    <w:tc>
                      <w:tcPr>
                        <w:tcW w:w="4535" w:type="dxa"/>
                        <w:tcBorders>
                          <w:top w:val="single" w:sz="8" w:space="0" w:color="FFFFFF"/>
                          <w:left w:val="single" w:sz="8" w:space="0" w:color="FFFFFF"/>
                        </w:tcBorders>
                        <w:shd w:val="clear" w:color="auto" w:fill="F4F4F4"/>
                      </w:tcPr>
                      <w:p>
                        <w:pPr>
                          <w:pStyle w:val="TableParagraph"/>
                          <w:ind w:left="113"/>
                          <w:rPr>
                            <w:sz w:val="19"/>
                          </w:rPr>
                        </w:pPr>
                        <w:r>
                          <w:rPr>
                            <w:sz w:val="19"/>
                          </w:rPr>
                          <w:t>Average time to process (days)</w:t>
                        </w:r>
                      </w:p>
                    </w:tc>
                    <w:tc>
                      <w:tcPr>
                        <w:tcW w:w="1445" w:type="dxa"/>
                        <w:shd w:val="clear" w:color="auto" w:fill="E1E4BB"/>
                      </w:tcPr>
                      <w:p>
                        <w:pPr>
                          <w:pStyle w:val="TableParagraph"/>
                          <w:ind w:right="100"/>
                          <w:jc w:val="right"/>
                          <w:rPr>
                            <w:sz w:val="19"/>
                          </w:rPr>
                        </w:pPr>
                        <w:r>
                          <w:rPr>
                            <w:w w:val="95"/>
                            <w:sz w:val="19"/>
                          </w:rPr>
                          <w:t>40</w:t>
                        </w:r>
                      </w:p>
                    </w:tc>
                    <w:tc>
                      <w:tcPr>
                        <w:tcW w:w="1445" w:type="dxa"/>
                        <w:tcBorders>
                          <w:top w:val="single" w:sz="8" w:space="0" w:color="FFFFFF"/>
                          <w:right w:val="single" w:sz="8" w:space="0" w:color="FFFFFF"/>
                        </w:tcBorders>
                        <w:shd w:val="clear" w:color="auto" w:fill="F4F4F4"/>
                      </w:tcPr>
                      <w:p>
                        <w:pPr>
                          <w:pStyle w:val="TableParagraph"/>
                          <w:ind w:right="89"/>
                          <w:jc w:val="right"/>
                          <w:rPr>
                            <w:sz w:val="19"/>
                          </w:rPr>
                        </w:pPr>
                        <w:r>
                          <w:rPr>
                            <w:w w:val="95"/>
                            <w:sz w:val="19"/>
                          </w:rPr>
                          <w:t>37</w:t>
                        </w:r>
                      </w:p>
                    </w:tc>
                  </w:tr>
                  <w:tr>
                    <w:trPr>
                      <w:trHeight w:val="327" w:hRule="atLeast"/>
                    </w:trPr>
                    <w:tc>
                      <w:tcPr>
                        <w:tcW w:w="7425" w:type="dxa"/>
                        <w:gridSpan w:val="3"/>
                        <w:tcBorders>
                          <w:left w:val="single" w:sz="8" w:space="0" w:color="FFFFFF"/>
                          <w:right w:val="single" w:sz="8" w:space="0" w:color="FFFFFF"/>
                        </w:tcBorders>
                      </w:tcPr>
                      <w:p>
                        <w:pPr>
                          <w:pStyle w:val="TableParagraph"/>
                          <w:spacing w:before="0"/>
                          <w:rPr>
                            <w:rFonts w:ascii="Times New Roman"/>
                            <w:sz w:val="20"/>
                          </w:rPr>
                        </w:pPr>
                      </w:p>
                    </w:tc>
                  </w:tr>
                  <w:tr>
                    <w:trPr>
                      <w:trHeight w:val="327" w:hRule="atLeast"/>
                    </w:trPr>
                    <w:tc>
                      <w:tcPr>
                        <w:tcW w:w="4535" w:type="dxa"/>
                        <w:tcBorders>
                          <w:left w:val="single" w:sz="8" w:space="0" w:color="FFFFFF"/>
                        </w:tcBorders>
                        <w:shd w:val="clear" w:color="auto" w:fill="783A79"/>
                      </w:tcPr>
                      <w:p>
                        <w:pPr>
                          <w:pStyle w:val="TableParagraph"/>
                          <w:spacing w:before="42"/>
                          <w:ind w:left="113"/>
                          <w:rPr>
                            <w:b/>
                            <w:sz w:val="19"/>
                          </w:rPr>
                        </w:pPr>
                        <w:r>
                          <w:rPr>
                            <w:b/>
                            <w:color w:val="FFFFFF"/>
                            <w:sz w:val="19"/>
                          </w:rPr>
                          <w:t>Outcomes</w:t>
                        </w:r>
                      </w:p>
                    </w:tc>
                    <w:tc>
                      <w:tcPr>
                        <w:tcW w:w="1445" w:type="dxa"/>
                        <w:shd w:val="clear" w:color="auto" w:fill="783A79"/>
                      </w:tcPr>
                      <w:p>
                        <w:pPr>
                          <w:pStyle w:val="TableParagraph"/>
                          <w:spacing w:before="42"/>
                          <w:ind w:right="100"/>
                          <w:jc w:val="right"/>
                          <w:rPr>
                            <w:b/>
                            <w:sz w:val="19"/>
                          </w:rPr>
                        </w:pPr>
                        <w:r>
                          <w:rPr>
                            <w:b/>
                            <w:color w:val="FFFFFF"/>
                            <w:sz w:val="19"/>
                          </w:rPr>
                          <w:t>2017-18</w:t>
                        </w:r>
                      </w:p>
                    </w:tc>
                    <w:tc>
                      <w:tcPr>
                        <w:tcW w:w="1445" w:type="dxa"/>
                        <w:tcBorders>
                          <w:right w:val="single" w:sz="8" w:space="0" w:color="FFFFFF"/>
                        </w:tcBorders>
                        <w:shd w:val="clear" w:color="auto" w:fill="783A79"/>
                      </w:tcPr>
                      <w:p>
                        <w:pPr>
                          <w:pStyle w:val="TableParagraph"/>
                          <w:spacing w:before="42"/>
                          <w:ind w:right="89"/>
                          <w:jc w:val="right"/>
                          <w:rPr>
                            <w:b/>
                            <w:sz w:val="19"/>
                          </w:rPr>
                        </w:pPr>
                        <w:r>
                          <w:rPr>
                            <w:b/>
                            <w:color w:val="FFFFFF"/>
                            <w:sz w:val="19"/>
                          </w:rPr>
                          <w:t>2016-17</w:t>
                        </w:r>
                      </w:p>
                    </w:tc>
                  </w:tr>
                  <w:tr>
                    <w:trPr>
                      <w:trHeight w:val="317" w:hRule="atLeast"/>
                    </w:trPr>
                    <w:tc>
                      <w:tcPr>
                        <w:tcW w:w="4535"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Full access</w:t>
                        </w:r>
                      </w:p>
                    </w:tc>
                    <w:tc>
                      <w:tcPr>
                        <w:tcW w:w="1445" w:type="dxa"/>
                        <w:shd w:val="clear" w:color="auto" w:fill="E1E4BB"/>
                      </w:tcPr>
                      <w:p>
                        <w:pPr>
                          <w:pStyle w:val="TableParagraph"/>
                          <w:spacing w:before="42"/>
                          <w:ind w:right="100"/>
                          <w:jc w:val="right"/>
                          <w:rPr>
                            <w:sz w:val="19"/>
                          </w:rPr>
                        </w:pPr>
                        <w:r>
                          <w:rPr>
                            <w:w w:val="95"/>
                            <w:sz w:val="19"/>
                          </w:rPr>
                          <w:t>15</w:t>
                        </w:r>
                      </w:p>
                    </w:tc>
                    <w:tc>
                      <w:tcPr>
                        <w:tcW w:w="1445" w:type="dxa"/>
                        <w:tcBorders>
                          <w:bottom w:val="single" w:sz="8" w:space="0" w:color="FFFFFF"/>
                          <w:right w:val="single" w:sz="8" w:space="0" w:color="FFFFFF"/>
                        </w:tcBorders>
                        <w:shd w:val="clear" w:color="auto" w:fill="F4F4F4"/>
                      </w:tcPr>
                      <w:p>
                        <w:pPr>
                          <w:pStyle w:val="TableParagraph"/>
                          <w:spacing w:before="42"/>
                          <w:ind w:right="89"/>
                          <w:jc w:val="right"/>
                          <w:rPr>
                            <w:sz w:val="19"/>
                          </w:rPr>
                        </w:pPr>
                        <w:r>
                          <w:rPr>
                            <w:w w:val="95"/>
                            <w:sz w:val="19"/>
                          </w:rPr>
                          <w:t>13</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Edited access</w:t>
                        </w:r>
                      </w:p>
                    </w:tc>
                    <w:tc>
                      <w:tcPr>
                        <w:tcW w:w="1445" w:type="dxa"/>
                        <w:shd w:val="clear" w:color="auto" w:fill="E1E4BB"/>
                      </w:tcPr>
                      <w:p>
                        <w:pPr>
                          <w:pStyle w:val="TableParagraph"/>
                          <w:ind w:right="100"/>
                          <w:jc w:val="right"/>
                          <w:rPr>
                            <w:sz w:val="19"/>
                          </w:rPr>
                        </w:pPr>
                        <w:r>
                          <w:rPr>
                            <w:w w:val="99"/>
                            <w:sz w:val="19"/>
                          </w:rPr>
                          <w:t>5</w:t>
                        </w:r>
                      </w:p>
                    </w:tc>
                    <w:tc>
                      <w:tcPr>
                        <w:tcW w:w="1445" w:type="dxa"/>
                        <w:tcBorders>
                          <w:top w:val="single" w:sz="8" w:space="0" w:color="FFFFFF"/>
                          <w:bottom w:val="single" w:sz="8" w:space="0" w:color="FFFFFF"/>
                          <w:right w:val="single" w:sz="8" w:space="0" w:color="FFFFFF"/>
                        </w:tcBorders>
                        <w:shd w:val="clear" w:color="auto" w:fill="FAF9F9"/>
                      </w:tcPr>
                      <w:p>
                        <w:pPr>
                          <w:pStyle w:val="TableParagraph"/>
                          <w:ind w:right="89"/>
                          <w:jc w:val="right"/>
                          <w:rPr>
                            <w:sz w:val="19"/>
                          </w:rPr>
                        </w:pPr>
                        <w:r>
                          <w:rPr>
                            <w:w w:val="99"/>
                            <w:sz w:val="19"/>
                          </w:rPr>
                          <w:t>1</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Deferred access</w:t>
                        </w:r>
                      </w:p>
                    </w:tc>
                    <w:tc>
                      <w:tcPr>
                        <w:tcW w:w="1445" w:type="dxa"/>
                        <w:shd w:val="clear" w:color="auto" w:fill="E1E4BB"/>
                      </w:tcPr>
                      <w:p>
                        <w:pPr>
                          <w:pStyle w:val="TableParagraph"/>
                          <w:ind w:right="100"/>
                          <w:jc w:val="right"/>
                          <w:rPr>
                            <w:sz w:val="19"/>
                          </w:rPr>
                        </w:pPr>
                        <w:r>
                          <w:rPr>
                            <w:w w:val="99"/>
                            <w:sz w:val="19"/>
                          </w:rPr>
                          <w:t>0</w:t>
                        </w:r>
                      </w:p>
                    </w:tc>
                    <w:tc>
                      <w:tcPr>
                        <w:tcW w:w="1445" w:type="dxa"/>
                        <w:tcBorders>
                          <w:top w:val="single" w:sz="8" w:space="0" w:color="FFFFFF"/>
                          <w:bottom w:val="single" w:sz="8" w:space="0" w:color="FFFFFF"/>
                          <w:right w:val="single" w:sz="8" w:space="0" w:color="FFFFFF"/>
                        </w:tcBorders>
                        <w:shd w:val="clear" w:color="auto" w:fill="F4F4F4"/>
                      </w:tcPr>
                      <w:p>
                        <w:pPr>
                          <w:pStyle w:val="TableParagraph"/>
                          <w:ind w:right="89"/>
                          <w:jc w:val="right"/>
                          <w:rPr>
                            <w:sz w:val="19"/>
                          </w:rPr>
                        </w:pPr>
                        <w:r>
                          <w:rPr>
                            <w:w w:val="99"/>
                            <w:sz w:val="19"/>
                          </w:rPr>
                          <w:t>0</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Section 26 access</w:t>
                        </w:r>
                      </w:p>
                    </w:tc>
                    <w:tc>
                      <w:tcPr>
                        <w:tcW w:w="1445" w:type="dxa"/>
                        <w:shd w:val="clear" w:color="auto" w:fill="E1E4BB"/>
                      </w:tcPr>
                      <w:p>
                        <w:pPr>
                          <w:pStyle w:val="TableParagraph"/>
                          <w:ind w:right="100"/>
                          <w:jc w:val="right"/>
                          <w:rPr>
                            <w:sz w:val="19"/>
                          </w:rPr>
                        </w:pPr>
                        <w:r>
                          <w:rPr>
                            <w:w w:val="99"/>
                            <w:sz w:val="19"/>
                          </w:rPr>
                          <w:t>2</w:t>
                        </w:r>
                      </w:p>
                    </w:tc>
                    <w:tc>
                      <w:tcPr>
                        <w:tcW w:w="1445" w:type="dxa"/>
                        <w:tcBorders>
                          <w:top w:val="single" w:sz="8" w:space="0" w:color="FFFFFF"/>
                          <w:bottom w:val="single" w:sz="8" w:space="0" w:color="FFFFFF"/>
                          <w:right w:val="single" w:sz="8" w:space="0" w:color="FFFFFF"/>
                        </w:tcBorders>
                        <w:shd w:val="clear" w:color="auto" w:fill="FAF9F9"/>
                      </w:tcPr>
                      <w:p>
                        <w:pPr>
                          <w:pStyle w:val="TableParagraph"/>
                          <w:ind w:right="89"/>
                          <w:jc w:val="right"/>
                          <w:rPr>
                            <w:sz w:val="19"/>
                          </w:rPr>
                        </w:pPr>
                        <w:r>
                          <w:rPr>
                            <w:w w:val="99"/>
                            <w:sz w:val="19"/>
                          </w:rPr>
                          <w:t>0</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Section 28 access</w:t>
                        </w:r>
                      </w:p>
                    </w:tc>
                    <w:tc>
                      <w:tcPr>
                        <w:tcW w:w="1445" w:type="dxa"/>
                        <w:shd w:val="clear" w:color="auto" w:fill="E1E4BB"/>
                      </w:tcPr>
                      <w:p>
                        <w:pPr>
                          <w:pStyle w:val="TableParagraph"/>
                          <w:ind w:right="100"/>
                          <w:jc w:val="right"/>
                          <w:rPr>
                            <w:sz w:val="19"/>
                          </w:rPr>
                        </w:pPr>
                        <w:r>
                          <w:rPr>
                            <w:w w:val="99"/>
                            <w:sz w:val="19"/>
                          </w:rPr>
                          <w:t>0</w:t>
                        </w:r>
                      </w:p>
                    </w:tc>
                    <w:tc>
                      <w:tcPr>
                        <w:tcW w:w="1445" w:type="dxa"/>
                        <w:tcBorders>
                          <w:top w:val="single" w:sz="8" w:space="0" w:color="FFFFFF"/>
                          <w:bottom w:val="single" w:sz="8" w:space="0" w:color="FFFFFF"/>
                          <w:right w:val="single" w:sz="8" w:space="0" w:color="FFFFFF"/>
                        </w:tcBorders>
                        <w:shd w:val="clear" w:color="auto" w:fill="F4F4F4"/>
                      </w:tcPr>
                      <w:p>
                        <w:pPr>
                          <w:pStyle w:val="TableParagraph"/>
                          <w:ind w:right="89"/>
                          <w:jc w:val="right"/>
                          <w:rPr>
                            <w:sz w:val="19"/>
                          </w:rPr>
                        </w:pPr>
                        <w:r>
                          <w:rPr>
                            <w:w w:val="99"/>
                            <w:sz w:val="19"/>
                          </w:rPr>
                          <w:t>0</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Access refused</w:t>
                        </w:r>
                      </w:p>
                    </w:tc>
                    <w:tc>
                      <w:tcPr>
                        <w:tcW w:w="1445" w:type="dxa"/>
                        <w:shd w:val="clear" w:color="auto" w:fill="E1E4BB"/>
                      </w:tcPr>
                      <w:p>
                        <w:pPr>
                          <w:pStyle w:val="TableParagraph"/>
                          <w:ind w:right="100"/>
                          <w:jc w:val="right"/>
                          <w:rPr>
                            <w:sz w:val="19"/>
                          </w:rPr>
                        </w:pPr>
                        <w:r>
                          <w:rPr>
                            <w:w w:val="99"/>
                            <w:sz w:val="19"/>
                          </w:rPr>
                          <w:t>2</w:t>
                        </w:r>
                      </w:p>
                    </w:tc>
                    <w:tc>
                      <w:tcPr>
                        <w:tcW w:w="1445" w:type="dxa"/>
                        <w:tcBorders>
                          <w:top w:val="single" w:sz="8" w:space="0" w:color="FFFFFF"/>
                          <w:bottom w:val="single" w:sz="8" w:space="0" w:color="FFFFFF"/>
                          <w:right w:val="single" w:sz="8" w:space="0" w:color="FFFFFF"/>
                        </w:tcBorders>
                        <w:shd w:val="clear" w:color="auto" w:fill="FAF9F9"/>
                      </w:tcPr>
                      <w:p>
                        <w:pPr>
                          <w:pStyle w:val="TableParagraph"/>
                          <w:ind w:right="89"/>
                          <w:jc w:val="right"/>
                          <w:rPr>
                            <w:sz w:val="19"/>
                          </w:rPr>
                        </w:pPr>
                        <w:r>
                          <w:rPr>
                            <w:w w:val="99"/>
                            <w:sz w:val="19"/>
                          </w:rPr>
                          <w:t>4</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4F4F4"/>
                      </w:tcPr>
                      <w:p>
                        <w:pPr>
                          <w:pStyle w:val="TableParagraph"/>
                          <w:ind w:left="113"/>
                          <w:rPr>
                            <w:b/>
                            <w:sz w:val="19"/>
                          </w:rPr>
                        </w:pPr>
                        <w:r>
                          <w:rPr>
                            <w:b/>
                            <w:sz w:val="19"/>
                          </w:rPr>
                          <w:t>Total decisions</w:t>
                        </w:r>
                      </w:p>
                    </w:tc>
                    <w:tc>
                      <w:tcPr>
                        <w:tcW w:w="1445" w:type="dxa"/>
                        <w:shd w:val="clear" w:color="auto" w:fill="E1E4BB"/>
                      </w:tcPr>
                      <w:p>
                        <w:pPr>
                          <w:pStyle w:val="TableParagraph"/>
                          <w:ind w:right="100"/>
                          <w:jc w:val="right"/>
                          <w:rPr>
                            <w:b/>
                            <w:sz w:val="19"/>
                          </w:rPr>
                        </w:pPr>
                        <w:r>
                          <w:rPr>
                            <w:b/>
                            <w:w w:val="95"/>
                            <w:sz w:val="19"/>
                          </w:rPr>
                          <w:t>24</w:t>
                        </w:r>
                      </w:p>
                    </w:tc>
                    <w:tc>
                      <w:tcPr>
                        <w:tcW w:w="1445" w:type="dxa"/>
                        <w:tcBorders>
                          <w:top w:val="single" w:sz="8" w:space="0" w:color="FFFFFF"/>
                          <w:bottom w:val="single" w:sz="8" w:space="0" w:color="FFFFFF"/>
                          <w:right w:val="single" w:sz="8" w:space="0" w:color="FFFFFF"/>
                        </w:tcBorders>
                        <w:shd w:val="clear" w:color="auto" w:fill="F4F4F4"/>
                      </w:tcPr>
                      <w:p>
                        <w:pPr>
                          <w:pStyle w:val="TableParagraph"/>
                          <w:ind w:right="89"/>
                          <w:jc w:val="right"/>
                          <w:rPr>
                            <w:b/>
                            <w:sz w:val="19"/>
                          </w:rPr>
                        </w:pPr>
                        <w:r>
                          <w:rPr>
                            <w:b/>
                            <w:w w:val="95"/>
                            <w:sz w:val="19"/>
                          </w:rPr>
                          <w:t>18</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Transferred to other agencies</w:t>
                        </w:r>
                      </w:p>
                    </w:tc>
                    <w:tc>
                      <w:tcPr>
                        <w:tcW w:w="1445" w:type="dxa"/>
                        <w:shd w:val="clear" w:color="auto" w:fill="E1E4BB"/>
                      </w:tcPr>
                      <w:p>
                        <w:pPr>
                          <w:pStyle w:val="TableParagraph"/>
                          <w:ind w:right="100"/>
                          <w:jc w:val="right"/>
                          <w:rPr>
                            <w:sz w:val="19"/>
                          </w:rPr>
                        </w:pPr>
                        <w:r>
                          <w:rPr>
                            <w:w w:val="99"/>
                            <w:sz w:val="19"/>
                          </w:rPr>
                          <w:t>5</w:t>
                        </w:r>
                      </w:p>
                    </w:tc>
                    <w:tc>
                      <w:tcPr>
                        <w:tcW w:w="1445" w:type="dxa"/>
                        <w:tcBorders>
                          <w:top w:val="single" w:sz="8" w:space="0" w:color="FFFFFF"/>
                          <w:bottom w:val="single" w:sz="8" w:space="0" w:color="FFFFFF"/>
                          <w:right w:val="single" w:sz="8" w:space="0" w:color="FFFFFF"/>
                        </w:tcBorders>
                        <w:shd w:val="clear" w:color="auto" w:fill="FAF9F9"/>
                      </w:tcPr>
                      <w:p>
                        <w:pPr>
                          <w:pStyle w:val="TableParagraph"/>
                          <w:ind w:right="89"/>
                          <w:jc w:val="right"/>
                          <w:rPr>
                            <w:sz w:val="19"/>
                          </w:rPr>
                        </w:pPr>
                        <w:r>
                          <w:rPr>
                            <w:w w:val="99"/>
                            <w:sz w:val="19"/>
                          </w:rPr>
                          <w:t>1</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Withdrawn</w:t>
                        </w:r>
                      </w:p>
                    </w:tc>
                    <w:tc>
                      <w:tcPr>
                        <w:tcW w:w="1445" w:type="dxa"/>
                        <w:shd w:val="clear" w:color="auto" w:fill="E1E4BB"/>
                      </w:tcPr>
                      <w:p>
                        <w:pPr>
                          <w:pStyle w:val="TableParagraph"/>
                          <w:ind w:right="100"/>
                          <w:jc w:val="right"/>
                          <w:rPr>
                            <w:sz w:val="19"/>
                          </w:rPr>
                        </w:pPr>
                        <w:r>
                          <w:rPr>
                            <w:w w:val="99"/>
                            <w:sz w:val="19"/>
                          </w:rPr>
                          <w:t>2</w:t>
                        </w:r>
                      </w:p>
                    </w:tc>
                    <w:tc>
                      <w:tcPr>
                        <w:tcW w:w="1445" w:type="dxa"/>
                        <w:tcBorders>
                          <w:top w:val="single" w:sz="8" w:space="0" w:color="FFFFFF"/>
                          <w:bottom w:val="single" w:sz="8" w:space="0" w:color="FFFFFF"/>
                          <w:right w:val="single" w:sz="8" w:space="0" w:color="FFFFFF"/>
                        </w:tcBorders>
                        <w:shd w:val="clear" w:color="auto" w:fill="F4F4F4"/>
                      </w:tcPr>
                      <w:p>
                        <w:pPr>
                          <w:pStyle w:val="TableParagraph"/>
                          <w:ind w:right="89"/>
                          <w:jc w:val="right"/>
                          <w:rPr>
                            <w:sz w:val="19"/>
                          </w:rPr>
                        </w:pPr>
                        <w:r>
                          <w:rPr>
                            <w:w w:val="99"/>
                            <w:sz w:val="19"/>
                          </w:rPr>
                          <w:t>2</w:t>
                        </w:r>
                      </w:p>
                    </w:tc>
                  </w:tr>
                  <w:tr>
                    <w:trPr>
                      <w:trHeight w:val="317" w:hRule="atLeast"/>
                    </w:trPr>
                    <w:tc>
                      <w:tcPr>
                        <w:tcW w:w="4535" w:type="dxa"/>
                        <w:tcBorders>
                          <w:top w:val="single" w:sz="8" w:space="0" w:color="FFFFFF"/>
                          <w:left w:val="single" w:sz="8" w:space="0" w:color="FFFFFF"/>
                        </w:tcBorders>
                        <w:shd w:val="clear" w:color="auto" w:fill="FAF9F9"/>
                      </w:tcPr>
                      <w:p>
                        <w:pPr>
                          <w:pStyle w:val="TableParagraph"/>
                          <w:ind w:left="113"/>
                          <w:rPr>
                            <w:b/>
                            <w:sz w:val="19"/>
                          </w:rPr>
                        </w:pPr>
                        <w:r>
                          <w:rPr>
                            <w:b/>
                            <w:sz w:val="19"/>
                          </w:rPr>
                          <w:t>Total applications finalised</w:t>
                        </w:r>
                      </w:p>
                    </w:tc>
                    <w:tc>
                      <w:tcPr>
                        <w:tcW w:w="1445" w:type="dxa"/>
                        <w:shd w:val="clear" w:color="auto" w:fill="E1E4BB"/>
                      </w:tcPr>
                      <w:p>
                        <w:pPr>
                          <w:pStyle w:val="TableParagraph"/>
                          <w:ind w:right="100"/>
                          <w:jc w:val="right"/>
                          <w:rPr>
                            <w:b/>
                            <w:sz w:val="19"/>
                          </w:rPr>
                        </w:pPr>
                        <w:r>
                          <w:rPr>
                            <w:b/>
                            <w:w w:val="95"/>
                            <w:sz w:val="19"/>
                          </w:rPr>
                          <w:t>31</w:t>
                        </w:r>
                      </w:p>
                    </w:tc>
                    <w:tc>
                      <w:tcPr>
                        <w:tcW w:w="1445" w:type="dxa"/>
                        <w:tcBorders>
                          <w:top w:val="single" w:sz="8" w:space="0" w:color="FFFFFF"/>
                          <w:right w:val="single" w:sz="8" w:space="0" w:color="FFFFFF"/>
                        </w:tcBorders>
                        <w:shd w:val="clear" w:color="auto" w:fill="FAF9F9"/>
                      </w:tcPr>
                      <w:p>
                        <w:pPr>
                          <w:pStyle w:val="TableParagraph"/>
                          <w:ind w:right="89"/>
                          <w:jc w:val="right"/>
                          <w:rPr>
                            <w:b/>
                            <w:sz w:val="19"/>
                          </w:rPr>
                        </w:pPr>
                        <w:r>
                          <w:rPr>
                            <w:b/>
                            <w:w w:val="95"/>
                            <w:sz w:val="19"/>
                          </w:rPr>
                          <w:t>21</w:t>
                        </w:r>
                      </w:p>
                    </w:tc>
                  </w:tr>
                  <w:tr>
                    <w:trPr>
                      <w:trHeight w:val="327" w:hRule="atLeast"/>
                    </w:trPr>
                    <w:tc>
                      <w:tcPr>
                        <w:tcW w:w="7425" w:type="dxa"/>
                        <w:gridSpan w:val="3"/>
                        <w:tcBorders>
                          <w:left w:val="single" w:sz="8" w:space="0" w:color="FFFFFF"/>
                          <w:right w:val="single" w:sz="8" w:space="0" w:color="FFFFFF"/>
                        </w:tcBorders>
                      </w:tcPr>
                      <w:p>
                        <w:pPr>
                          <w:pStyle w:val="TableParagraph"/>
                          <w:spacing w:before="0"/>
                          <w:rPr>
                            <w:rFonts w:ascii="Times New Roman"/>
                            <w:sz w:val="20"/>
                          </w:rPr>
                        </w:pPr>
                      </w:p>
                    </w:tc>
                  </w:tr>
                  <w:tr>
                    <w:trPr>
                      <w:trHeight w:val="327" w:hRule="atLeast"/>
                    </w:trPr>
                    <w:tc>
                      <w:tcPr>
                        <w:tcW w:w="4535" w:type="dxa"/>
                        <w:tcBorders>
                          <w:left w:val="single" w:sz="8" w:space="0" w:color="FFFFFF"/>
                        </w:tcBorders>
                        <w:shd w:val="clear" w:color="auto" w:fill="783A79"/>
                      </w:tcPr>
                      <w:p>
                        <w:pPr>
                          <w:pStyle w:val="TableParagraph"/>
                          <w:spacing w:before="43"/>
                          <w:ind w:left="113"/>
                          <w:rPr>
                            <w:b/>
                            <w:sz w:val="19"/>
                          </w:rPr>
                        </w:pPr>
                        <w:r>
                          <w:rPr>
                            <w:b/>
                            <w:color w:val="FFFFFF"/>
                            <w:sz w:val="19"/>
                          </w:rPr>
                          <w:t>Reviews</w:t>
                        </w:r>
                      </w:p>
                    </w:tc>
                    <w:tc>
                      <w:tcPr>
                        <w:tcW w:w="1445" w:type="dxa"/>
                        <w:shd w:val="clear" w:color="auto" w:fill="783A79"/>
                      </w:tcPr>
                      <w:p>
                        <w:pPr>
                          <w:pStyle w:val="TableParagraph"/>
                          <w:spacing w:before="43"/>
                          <w:ind w:right="100"/>
                          <w:jc w:val="right"/>
                          <w:rPr>
                            <w:b/>
                            <w:sz w:val="19"/>
                          </w:rPr>
                        </w:pPr>
                        <w:r>
                          <w:rPr>
                            <w:b/>
                            <w:color w:val="FFFFFF"/>
                            <w:sz w:val="19"/>
                          </w:rPr>
                          <w:t>2017-18</w:t>
                        </w:r>
                      </w:p>
                    </w:tc>
                    <w:tc>
                      <w:tcPr>
                        <w:tcW w:w="1445" w:type="dxa"/>
                        <w:tcBorders>
                          <w:right w:val="single" w:sz="8" w:space="0" w:color="FFFFFF"/>
                        </w:tcBorders>
                        <w:shd w:val="clear" w:color="auto" w:fill="783A79"/>
                      </w:tcPr>
                      <w:p>
                        <w:pPr>
                          <w:pStyle w:val="TableParagraph"/>
                          <w:spacing w:before="43"/>
                          <w:ind w:right="89"/>
                          <w:jc w:val="right"/>
                          <w:rPr>
                            <w:b/>
                            <w:sz w:val="19"/>
                          </w:rPr>
                        </w:pPr>
                        <w:r>
                          <w:rPr>
                            <w:b/>
                            <w:color w:val="FFFFFF"/>
                            <w:sz w:val="19"/>
                          </w:rPr>
                          <w:t>2016-17</w:t>
                        </w:r>
                      </w:p>
                    </w:tc>
                  </w:tr>
                  <w:tr>
                    <w:trPr>
                      <w:trHeight w:val="317" w:hRule="atLeast"/>
                    </w:trPr>
                    <w:tc>
                      <w:tcPr>
                        <w:tcW w:w="4535" w:type="dxa"/>
                        <w:tcBorders>
                          <w:left w:val="single" w:sz="8" w:space="0" w:color="FFFFFF"/>
                          <w:bottom w:val="single" w:sz="8" w:space="0" w:color="FFFFFF"/>
                        </w:tcBorders>
                        <w:shd w:val="clear" w:color="auto" w:fill="F4F4F4"/>
                      </w:tcPr>
                      <w:p>
                        <w:pPr>
                          <w:pStyle w:val="TableParagraph"/>
                          <w:spacing w:before="43"/>
                          <w:ind w:left="113"/>
                          <w:rPr>
                            <w:sz w:val="19"/>
                          </w:rPr>
                        </w:pPr>
                        <w:r>
                          <w:rPr>
                            <w:sz w:val="19"/>
                          </w:rPr>
                          <w:t>Internal reviews</w:t>
                        </w:r>
                      </w:p>
                    </w:tc>
                    <w:tc>
                      <w:tcPr>
                        <w:tcW w:w="1445" w:type="dxa"/>
                        <w:shd w:val="clear" w:color="auto" w:fill="E1E4BB"/>
                      </w:tcPr>
                      <w:p>
                        <w:pPr>
                          <w:pStyle w:val="TableParagraph"/>
                          <w:spacing w:before="43"/>
                          <w:ind w:right="100"/>
                          <w:jc w:val="right"/>
                          <w:rPr>
                            <w:sz w:val="19"/>
                          </w:rPr>
                        </w:pPr>
                        <w:r>
                          <w:rPr>
                            <w:w w:val="99"/>
                            <w:sz w:val="19"/>
                          </w:rPr>
                          <w:t>1</w:t>
                        </w:r>
                      </w:p>
                    </w:tc>
                    <w:tc>
                      <w:tcPr>
                        <w:tcW w:w="1445" w:type="dxa"/>
                        <w:tcBorders>
                          <w:bottom w:val="single" w:sz="8" w:space="0" w:color="FFFFFF"/>
                          <w:right w:val="single" w:sz="8" w:space="0" w:color="FFFFFF"/>
                        </w:tcBorders>
                        <w:shd w:val="clear" w:color="auto" w:fill="F4F4F4"/>
                      </w:tcPr>
                      <w:p>
                        <w:pPr>
                          <w:pStyle w:val="TableParagraph"/>
                          <w:spacing w:before="43"/>
                          <w:ind w:right="89"/>
                          <w:jc w:val="right"/>
                          <w:rPr>
                            <w:sz w:val="19"/>
                          </w:rPr>
                        </w:pPr>
                        <w:r>
                          <w:rPr>
                            <w:w w:val="99"/>
                            <w:sz w:val="19"/>
                          </w:rPr>
                          <w:t>2</w:t>
                        </w:r>
                      </w:p>
                    </w:tc>
                  </w:tr>
                  <w:tr>
                    <w:trPr>
                      <w:trHeight w:val="307" w:hRule="atLeast"/>
                    </w:trPr>
                    <w:tc>
                      <w:tcPr>
                        <w:tcW w:w="4535" w:type="dxa"/>
                        <w:tcBorders>
                          <w:top w:val="single" w:sz="8" w:space="0" w:color="FFFFFF"/>
                          <w:left w:val="single" w:sz="8" w:space="0" w:color="FFFFFF"/>
                          <w:bottom w:val="single" w:sz="8" w:space="0" w:color="FFFFFF"/>
                        </w:tcBorders>
                        <w:shd w:val="clear" w:color="auto" w:fill="FAF9F9"/>
                      </w:tcPr>
                      <w:p>
                        <w:pPr>
                          <w:pStyle w:val="TableParagraph"/>
                          <w:spacing w:before="33"/>
                          <w:ind w:left="113"/>
                          <w:rPr>
                            <w:sz w:val="19"/>
                          </w:rPr>
                        </w:pPr>
                        <w:r>
                          <w:rPr>
                            <w:sz w:val="19"/>
                          </w:rPr>
                          <w:t>External reviews - complaints</w:t>
                        </w:r>
                      </w:p>
                    </w:tc>
                    <w:tc>
                      <w:tcPr>
                        <w:tcW w:w="1445" w:type="dxa"/>
                        <w:shd w:val="clear" w:color="auto" w:fill="E1E4BB"/>
                      </w:tcPr>
                      <w:p>
                        <w:pPr>
                          <w:pStyle w:val="TableParagraph"/>
                          <w:spacing w:before="33"/>
                          <w:ind w:right="100"/>
                          <w:jc w:val="right"/>
                          <w:rPr>
                            <w:sz w:val="19"/>
                          </w:rPr>
                        </w:pPr>
                        <w:r>
                          <w:rPr>
                            <w:w w:val="99"/>
                            <w:sz w:val="19"/>
                          </w:rPr>
                          <w:t>0</w:t>
                        </w:r>
                      </w:p>
                    </w:tc>
                    <w:tc>
                      <w:tcPr>
                        <w:tcW w:w="1445" w:type="dxa"/>
                        <w:tcBorders>
                          <w:top w:val="single" w:sz="8" w:space="0" w:color="FFFFFF"/>
                          <w:bottom w:val="single" w:sz="8" w:space="0" w:color="FFFFFF"/>
                          <w:right w:val="single" w:sz="8" w:space="0" w:color="FFFFFF"/>
                        </w:tcBorders>
                        <w:shd w:val="clear" w:color="auto" w:fill="FAF9F9"/>
                      </w:tcPr>
                      <w:p>
                        <w:pPr>
                          <w:pStyle w:val="TableParagraph"/>
                          <w:spacing w:before="33"/>
                          <w:ind w:right="89"/>
                          <w:jc w:val="right"/>
                          <w:rPr>
                            <w:sz w:val="19"/>
                          </w:rPr>
                        </w:pPr>
                        <w:r>
                          <w:rPr>
                            <w:w w:val="99"/>
                            <w:sz w:val="19"/>
                          </w:rPr>
                          <w:t>0</w:t>
                        </w:r>
                      </w:p>
                    </w:tc>
                  </w:tr>
                </w:tbl>
                <w:p>
                  <w:pPr>
                    <w:pStyle w:val="BodyText"/>
                  </w:pPr>
                </w:p>
              </w:txbxContent>
            </v:textbox>
            <w10:wrap type="none"/>
          </v:shape>
        </w:pict>
      </w:r>
      <w:r>
        <w:rPr>
          <w:color w:val="6F2770"/>
        </w:rPr>
        <w:t>Freedom of Information</w:t>
      </w:r>
    </w:p>
    <w:p>
      <w:pPr>
        <w:pStyle w:val="BodyText"/>
        <w:spacing w:line="249" w:lineRule="auto" w:before="245"/>
        <w:ind w:left="765" w:right="9004"/>
      </w:pPr>
      <w:r>
        <w:rPr/>
        <w:t>The</w:t>
      </w:r>
      <w:r>
        <w:rPr>
          <w:spacing w:val="-22"/>
        </w:rPr>
        <w:t> </w:t>
      </w:r>
      <w:r>
        <w:rPr>
          <w:i/>
        </w:rPr>
        <w:t>Freedom</w:t>
      </w:r>
      <w:r>
        <w:rPr>
          <w:i/>
          <w:spacing w:val="-21"/>
        </w:rPr>
        <w:t> </w:t>
      </w:r>
      <w:r>
        <w:rPr>
          <w:i/>
        </w:rPr>
        <w:t>of</w:t>
      </w:r>
      <w:r>
        <w:rPr>
          <w:i/>
          <w:spacing w:val="-22"/>
        </w:rPr>
        <w:t> </w:t>
      </w:r>
      <w:r>
        <w:rPr>
          <w:i/>
        </w:rPr>
        <w:t>Information</w:t>
      </w:r>
      <w:r>
        <w:rPr>
          <w:i/>
          <w:spacing w:val="-21"/>
        </w:rPr>
        <w:t> </w:t>
      </w:r>
      <w:r>
        <w:rPr>
          <w:i/>
        </w:rPr>
        <w:t>Act</w:t>
      </w:r>
      <w:r>
        <w:rPr>
          <w:i/>
          <w:spacing w:val="-21"/>
        </w:rPr>
        <w:t> </w:t>
      </w:r>
      <w:r>
        <w:rPr>
          <w:i/>
        </w:rPr>
        <w:t>1992</w:t>
      </w:r>
      <w:r>
        <w:rPr>
          <w:i/>
          <w:spacing w:val="-22"/>
        </w:rPr>
        <w:t> </w:t>
      </w:r>
      <w:r>
        <w:rPr/>
        <w:t>(FOI</w:t>
      </w:r>
      <w:r>
        <w:rPr>
          <w:spacing w:val="-21"/>
        </w:rPr>
        <w:t> </w:t>
      </w:r>
      <w:r>
        <w:rPr/>
        <w:t>Act)</w:t>
      </w:r>
      <w:r>
        <w:rPr>
          <w:spacing w:val="-22"/>
        </w:rPr>
        <w:t> </w:t>
      </w:r>
      <w:r>
        <w:rPr/>
        <w:t>requires</w:t>
      </w:r>
      <w:r>
        <w:rPr>
          <w:spacing w:val="-21"/>
        </w:rPr>
        <w:t> </w:t>
      </w:r>
      <w:r>
        <w:rPr/>
        <w:t>WA</w:t>
      </w:r>
      <w:r>
        <w:rPr>
          <w:spacing w:val="-21"/>
        </w:rPr>
        <w:t> </w:t>
      </w:r>
      <w:r>
        <w:rPr/>
        <w:t>Government agencies</w:t>
      </w:r>
      <w:r>
        <w:rPr>
          <w:spacing w:val="-17"/>
        </w:rPr>
        <w:t> </w:t>
      </w:r>
      <w:r>
        <w:rPr/>
        <w:t>to</w:t>
      </w:r>
      <w:r>
        <w:rPr>
          <w:spacing w:val="-16"/>
        </w:rPr>
        <w:t> </w:t>
      </w:r>
      <w:r>
        <w:rPr/>
        <w:t>give</w:t>
      </w:r>
      <w:r>
        <w:rPr>
          <w:spacing w:val="-17"/>
        </w:rPr>
        <w:t> </w:t>
      </w:r>
      <w:r>
        <w:rPr/>
        <w:t>members</w:t>
      </w:r>
      <w:r>
        <w:rPr>
          <w:spacing w:val="-16"/>
        </w:rPr>
        <w:t> </w:t>
      </w:r>
      <w:r>
        <w:rPr/>
        <w:t>of</w:t>
      </w:r>
      <w:r>
        <w:rPr>
          <w:spacing w:val="-17"/>
        </w:rPr>
        <w:t> </w:t>
      </w:r>
      <w:r>
        <w:rPr/>
        <w:t>the</w:t>
      </w:r>
      <w:r>
        <w:rPr>
          <w:spacing w:val="-16"/>
        </w:rPr>
        <w:t> </w:t>
      </w:r>
      <w:r>
        <w:rPr/>
        <w:t>public</w:t>
      </w:r>
      <w:r>
        <w:rPr>
          <w:spacing w:val="-17"/>
        </w:rPr>
        <w:t> </w:t>
      </w:r>
      <w:r>
        <w:rPr/>
        <w:t>access</w:t>
      </w:r>
      <w:r>
        <w:rPr>
          <w:spacing w:val="-16"/>
        </w:rPr>
        <w:t> </w:t>
      </w:r>
      <w:r>
        <w:rPr/>
        <w:t>to</w:t>
      </w:r>
      <w:r>
        <w:rPr>
          <w:spacing w:val="-17"/>
        </w:rPr>
        <w:t> </w:t>
      </w:r>
      <w:r>
        <w:rPr/>
        <w:t>government</w:t>
      </w:r>
      <w:r>
        <w:rPr>
          <w:spacing w:val="-16"/>
        </w:rPr>
        <w:t> </w:t>
      </w:r>
      <w:r>
        <w:rPr>
          <w:spacing w:val="-2"/>
        </w:rPr>
        <w:t>information, </w:t>
      </w:r>
      <w:r>
        <w:rPr/>
        <w:t>subject</w:t>
      </w:r>
      <w:r>
        <w:rPr>
          <w:spacing w:val="-16"/>
        </w:rPr>
        <w:t> </w:t>
      </w:r>
      <w:r>
        <w:rPr/>
        <w:t>to</w:t>
      </w:r>
      <w:r>
        <w:rPr>
          <w:spacing w:val="-16"/>
        </w:rPr>
        <w:t> </w:t>
      </w:r>
      <w:r>
        <w:rPr/>
        <w:t>limitations.</w:t>
      </w:r>
      <w:r>
        <w:rPr>
          <w:spacing w:val="-15"/>
        </w:rPr>
        <w:t> </w:t>
      </w:r>
      <w:r>
        <w:rPr/>
        <w:t>More</w:t>
      </w:r>
      <w:r>
        <w:rPr>
          <w:spacing w:val="-16"/>
        </w:rPr>
        <w:t> </w:t>
      </w:r>
      <w:r>
        <w:rPr/>
        <w:t>information</w:t>
      </w:r>
      <w:r>
        <w:rPr>
          <w:spacing w:val="-15"/>
        </w:rPr>
        <w:t> </w:t>
      </w:r>
      <w:r>
        <w:rPr/>
        <w:t>about</w:t>
      </w:r>
      <w:r>
        <w:rPr>
          <w:spacing w:val="-16"/>
        </w:rPr>
        <w:t> </w:t>
      </w:r>
      <w:r>
        <w:rPr/>
        <w:t>how</w:t>
      </w:r>
      <w:r>
        <w:rPr>
          <w:spacing w:val="-15"/>
        </w:rPr>
        <w:t> </w:t>
      </w:r>
      <w:r>
        <w:rPr/>
        <w:t>to</w:t>
      </w:r>
      <w:r>
        <w:rPr>
          <w:spacing w:val="-16"/>
        </w:rPr>
        <w:t> </w:t>
      </w:r>
      <w:r>
        <w:rPr/>
        <w:t>access</w:t>
      </w:r>
      <w:r>
        <w:rPr>
          <w:spacing w:val="-15"/>
        </w:rPr>
        <w:t> </w:t>
      </w:r>
      <w:r>
        <w:rPr/>
        <w:t>departmental information is available on the </w:t>
      </w:r>
      <w:r>
        <w:rPr>
          <w:spacing w:val="-3"/>
        </w:rPr>
        <w:t>Department’s</w:t>
      </w:r>
      <w:r>
        <w:rPr>
          <w:spacing w:val="-23"/>
        </w:rPr>
        <w:t> </w:t>
      </w:r>
      <w:r>
        <w:rPr/>
        <w:t>website.</w:t>
      </w:r>
    </w:p>
    <w:p>
      <w:pPr>
        <w:pStyle w:val="BodyText"/>
        <w:spacing w:before="3"/>
        <w:rPr>
          <w:sz w:val="23"/>
        </w:rPr>
      </w:pPr>
    </w:p>
    <w:p>
      <w:pPr>
        <w:pStyle w:val="BodyText"/>
        <w:spacing w:line="249" w:lineRule="auto" w:before="1"/>
        <w:ind w:left="765" w:right="8637"/>
      </w:pPr>
      <w:r>
        <w:rPr/>
        <w:t>Statistical information about formal access applications lodged with Finance under</w:t>
      </w:r>
      <w:r>
        <w:rPr>
          <w:spacing w:val="-12"/>
        </w:rPr>
        <w:t> </w:t>
      </w:r>
      <w:r>
        <w:rPr/>
        <w:t>the</w:t>
      </w:r>
      <w:r>
        <w:rPr>
          <w:spacing w:val="-12"/>
        </w:rPr>
        <w:t> </w:t>
      </w:r>
      <w:r>
        <w:rPr/>
        <w:t>FOI</w:t>
      </w:r>
      <w:r>
        <w:rPr>
          <w:spacing w:val="-12"/>
        </w:rPr>
        <w:t> </w:t>
      </w:r>
      <w:r>
        <w:rPr/>
        <w:t>Act</w:t>
      </w:r>
      <w:r>
        <w:rPr>
          <w:spacing w:val="-12"/>
        </w:rPr>
        <w:t> </w:t>
      </w:r>
      <w:r>
        <w:rPr/>
        <w:t>is</w:t>
      </w:r>
      <w:r>
        <w:rPr>
          <w:spacing w:val="-12"/>
        </w:rPr>
        <w:t> </w:t>
      </w:r>
      <w:r>
        <w:rPr/>
        <w:t>provided</w:t>
      </w:r>
      <w:r>
        <w:rPr>
          <w:spacing w:val="-12"/>
        </w:rPr>
        <w:t> </w:t>
      </w:r>
      <w:r>
        <w:rPr/>
        <w:t>in</w:t>
      </w:r>
      <w:r>
        <w:rPr>
          <w:spacing w:val="-12"/>
        </w:rPr>
        <w:t> </w:t>
      </w:r>
      <w:r>
        <w:rPr/>
        <w:t>this</w:t>
      </w:r>
      <w:r>
        <w:rPr>
          <w:spacing w:val="-12"/>
        </w:rPr>
        <w:t> </w:t>
      </w:r>
      <w:r>
        <w:rPr/>
        <w:t>report</w:t>
      </w:r>
      <w:r>
        <w:rPr>
          <w:spacing w:val="-12"/>
        </w:rPr>
        <w:t> </w:t>
      </w:r>
      <w:r>
        <w:rPr/>
        <w:t>and</w:t>
      </w:r>
      <w:r>
        <w:rPr>
          <w:spacing w:val="-12"/>
        </w:rPr>
        <w:t> </w:t>
      </w:r>
      <w:r>
        <w:rPr/>
        <w:t>more</w:t>
      </w:r>
      <w:r>
        <w:rPr>
          <w:spacing w:val="-12"/>
        </w:rPr>
        <w:t> </w:t>
      </w:r>
      <w:r>
        <w:rPr/>
        <w:t>details</w:t>
      </w:r>
      <w:r>
        <w:rPr>
          <w:spacing w:val="-12"/>
        </w:rPr>
        <w:t> </w:t>
      </w:r>
      <w:r>
        <w:rPr/>
        <w:t>can</w:t>
      </w:r>
      <w:r>
        <w:rPr>
          <w:spacing w:val="-11"/>
        </w:rPr>
        <w:t> </w:t>
      </w:r>
      <w:r>
        <w:rPr/>
        <w:t>be</w:t>
      </w:r>
      <w:r>
        <w:rPr>
          <w:spacing w:val="-12"/>
        </w:rPr>
        <w:t> </w:t>
      </w:r>
      <w:r>
        <w:rPr/>
        <w:t>found</w:t>
      </w:r>
      <w:r>
        <w:rPr>
          <w:spacing w:val="-12"/>
        </w:rPr>
        <w:t> </w:t>
      </w:r>
      <w:r>
        <w:rPr/>
        <w:t>as part</w:t>
      </w:r>
      <w:r>
        <w:rPr>
          <w:spacing w:val="-18"/>
        </w:rPr>
        <w:t> </w:t>
      </w:r>
      <w:r>
        <w:rPr/>
        <w:t>of</w:t>
      </w:r>
      <w:r>
        <w:rPr>
          <w:spacing w:val="-17"/>
        </w:rPr>
        <w:t> </w:t>
      </w:r>
      <w:r>
        <w:rPr/>
        <w:t>the</w:t>
      </w:r>
      <w:r>
        <w:rPr>
          <w:spacing w:val="-17"/>
        </w:rPr>
        <w:t> </w:t>
      </w:r>
      <w:r>
        <w:rPr/>
        <w:t>Annual</w:t>
      </w:r>
      <w:r>
        <w:rPr>
          <w:spacing w:val="-18"/>
        </w:rPr>
        <w:t> </w:t>
      </w:r>
      <w:r>
        <w:rPr/>
        <w:t>Report</w:t>
      </w:r>
      <w:r>
        <w:rPr>
          <w:spacing w:val="-17"/>
        </w:rPr>
        <w:t> </w:t>
      </w:r>
      <w:r>
        <w:rPr/>
        <w:t>of</w:t>
      </w:r>
      <w:r>
        <w:rPr>
          <w:spacing w:val="-17"/>
        </w:rPr>
        <w:t> </w:t>
      </w:r>
      <w:r>
        <w:rPr/>
        <w:t>the</w:t>
      </w:r>
      <w:r>
        <w:rPr>
          <w:spacing w:val="-18"/>
        </w:rPr>
        <w:t> </w:t>
      </w:r>
      <w:r>
        <w:rPr/>
        <w:t>Office</w:t>
      </w:r>
      <w:r>
        <w:rPr>
          <w:spacing w:val="-17"/>
        </w:rPr>
        <w:t> </w:t>
      </w:r>
      <w:r>
        <w:rPr/>
        <w:t>of</w:t>
      </w:r>
      <w:r>
        <w:rPr>
          <w:spacing w:val="-17"/>
        </w:rPr>
        <w:t> </w:t>
      </w:r>
      <w:r>
        <w:rPr/>
        <w:t>the</w:t>
      </w:r>
      <w:r>
        <w:rPr>
          <w:spacing w:val="-17"/>
        </w:rPr>
        <w:t> </w:t>
      </w:r>
      <w:r>
        <w:rPr/>
        <w:t>Information</w:t>
      </w:r>
      <w:r>
        <w:rPr>
          <w:spacing w:val="-18"/>
        </w:rPr>
        <w:t> </w:t>
      </w:r>
      <w:r>
        <w:rPr/>
        <w:t>Commissioner</w:t>
      </w:r>
      <w:r>
        <w:rPr>
          <w:spacing w:val="-17"/>
        </w:rPr>
        <w:t> </w:t>
      </w:r>
      <w:r>
        <w:rPr/>
        <w:t>of</w:t>
      </w:r>
      <w:r>
        <w:rPr>
          <w:spacing w:val="-17"/>
        </w:rPr>
        <w:t> </w:t>
      </w:r>
      <w:r>
        <w:rPr>
          <w:spacing w:val="-8"/>
        </w:rPr>
        <w:t>WA.</w:t>
      </w:r>
    </w:p>
    <w:p>
      <w:pPr>
        <w:pStyle w:val="BodyText"/>
        <w:spacing w:before="2"/>
        <w:rPr>
          <w:sz w:val="23"/>
        </w:rPr>
      </w:pPr>
    </w:p>
    <w:p>
      <w:pPr>
        <w:pStyle w:val="Heading6"/>
      </w:pPr>
      <w:r>
        <w:rPr/>
        <w:t>Applications made under section 10 of the FOI Act</w:t>
      </w:r>
    </w:p>
    <w:p>
      <w:pPr>
        <w:pStyle w:val="BodyText"/>
        <w:spacing w:before="10"/>
        <w:rPr>
          <w:b/>
          <w:sz w:val="23"/>
        </w:rPr>
      </w:pPr>
    </w:p>
    <w:p>
      <w:pPr>
        <w:pStyle w:val="BodyText"/>
        <w:spacing w:line="249" w:lineRule="auto"/>
        <w:ind w:left="765" w:right="9164"/>
      </w:pPr>
      <w:r>
        <w:rPr/>
        <w:t>In</w:t>
      </w:r>
      <w:r>
        <w:rPr>
          <w:spacing w:val="-14"/>
        </w:rPr>
        <w:t> </w:t>
      </w:r>
      <w:r>
        <w:rPr/>
        <w:t>2017-18,</w:t>
      </w:r>
      <w:r>
        <w:rPr>
          <w:spacing w:val="-14"/>
        </w:rPr>
        <w:t> </w:t>
      </w:r>
      <w:r>
        <w:rPr/>
        <w:t>Finance</w:t>
      </w:r>
      <w:r>
        <w:rPr>
          <w:spacing w:val="-14"/>
        </w:rPr>
        <w:t> </w:t>
      </w:r>
      <w:r>
        <w:rPr/>
        <w:t>received</w:t>
      </w:r>
      <w:r>
        <w:rPr>
          <w:spacing w:val="-14"/>
        </w:rPr>
        <w:t> </w:t>
      </w:r>
      <w:r>
        <w:rPr/>
        <w:t>29</w:t>
      </w:r>
      <w:r>
        <w:rPr>
          <w:spacing w:val="-14"/>
        </w:rPr>
        <w:t> </w:t>
      </w:r>
      <w:r>
        <w:rPr/>
        <w:t>access</w:t>
      </w:r>
      <w:r>
        <w:rPr>
          <w:spacing w:val="-13"/>
        </w:rPr>
        <w:t> </w:t>
      </w:r>
      <w:r>
        <w:rPr/>
        <w:t>applications</w:t>
      </w:r>
      <w:r>
        <w:rPr>
          <w:spacing w:val="-14"/>
        </w:rPr>
        <w:t> </w:t>
      </w:r>
      <w:r>
        <w:rPr/>
        <w:t>of</w:t>
      </w:r>
      <w:r>
        <w:rPr>
          <w:spacing w:val="-14"/>
        </w:rPr>
        <w:t> </w:t>
      </w:r>
      <w:r>
        <w:rPr/>
        <w:t>which</w:t>
      </w:r>
      <w:r>
        <w:rPr>
          <w:spacing w:val="-14"/>
        </w:rPr>
        <w:t> </w:t>
      </w:r>
      <w:r>
        <w:rPr/>
        <w:t>two</w:t>
      </w:r>
      <w:r>
        <w:rPr>
          <w:spacing w:val="-14"/>
        </w:rPr>
        <w:t> </w:t>
      </w:r>
      <w:r>
        <w:rPr/>
        <w:t>were from</w:t>
      </w:r>
      <w:r>
        <w:rPr>
          <w:spacing w:val="-36"/>
        </w:rPr>
        <w:t> </w:t>
      </w:r>
      <w:r>
        <w:rPr/>
        <w:t>individuals</w:t>
      </w:r>
      <w:r>
        <w:rPr>
          <w:spacing w:val="-36"/>
        </w:rPr>
        <w:t> </w:t>
      </w:r>
      <w:r>
        <w:rPr/>
        <w:t>requesting</w:t>
      </w:r>
      <w:r>
        <w:rPr>
          <w:spacing w:val="-36"/>
        </w:rPr>
        <w:t> </w:t>
      </w:r>
      <w:r>
        <w:rPr/>
        <w:t>their</w:t>
      </w:r>
      <w:r>
        <w:rPr>
          <w:spacing w:val="-36"/>
        </w:rPr>
        <w:t> </w:t>
      </w:r>
      <w:r>
        <w:rPr/>
        <w:t>personal</w:t>
      </w:r>
      <w:r>
        <w:rPr>
          <w:spacing w:val="-36"/>
        </w:rPr>
        <w:t> </w:t>
      </w:r>
      <w:r>
        <w:rPr/>
        <w:t>information.</w:t>
      </w:r>
      <w:r>
        <w:rPr>
          <w:spacing w:val="-35"/>
        </w:rPr>
        <w:t> </w:t>
      </w:r>
      <w:r>
        <w:rPr/>
        <w:t>Finance</w:t>
      </w:r>
      <w:r>
        <w:rPr>
          <w:spacing w:val="-36"/>
        </w:rPr>
        <w:t> </w:t>
      </w:r>
      <w:r>
        <w:rPr/>
        <w:t>completed 22</w:t>
      </w:r>
      <w:r>
        <w:rPr>
          <w:spacing w:val="-18"/>
        </w:rPr>
        <w:t> </w:t>
      </w:r>
      <w:r>
        <w:rPr/>
        <w:t>applications</w:t>
      </w:r>
      <w:r>
        <w:rPr>
          <w:spacing w:val="-18"/>
        </w:rPr>
        <w:t> </w:t>
      </w:r>
      <w:r>
        <w:rPr/>
        <w:t>for</w:t>
      </w:r>
      <w:r>
        <w:rPr>
          <w:spacing w:val="-18"/>
        </w:rPr>
        <w:t> </w:t>
      </w:r>
      <w:r>
        <w:rPr/>
        <w:t>records</w:t>
      </w:r>
      <w:r>
        <w:rPr>
          <w:spacing w:val="-18"/>
        </w:rPr>
        <w:t> </w:t>
      </w:r>
      <w:r>
        <w:rPr/>
        <w:t>held</w:t>
      </w:r>
      <w:r>
        <w:rPr>
          <w:spacing w:val="-17"/>
        </w:rPr>
        <w:t> </w:t>
      </w:r>
      <w:r>
        <w:rPr/>
        <w:t>by</w:t>
      </w:r>
      <w:r>
        <w:rPr>
          <w:spacing w:val="-18"/>
        </w:rPr>
        <w:t> </w:t>
      </w:r>
      <w:r>
        <w:rPr/>
        <w:t>the</w:t>
      </w:r>
      <w:r>
        <w:rPr>
          <w:spacing w:val="-18"/>
        </w:rPr>
        <w:t> </w:t>
      </w:r>
      <w:r>
        <w:rPr/>
        <w:t>Office</w:t>
      </w:r>
      <w:r>
        <w:rPr>
          <w:spacing w:val="-18"/>
        </w:rPr>
        <w:t> </w:t>
      </w:r>
      <w:r>
        <w:rPr/>
        <w:t>of</w:t>
      </w:r>
      <w:r>
        <w:rPr>
          <w:spacing w:val="-17"/>
        </w:rPr>
        <w:t> </w:t>
      </w:r>
      <w:r>
        <w:rPr/>
        <w:t>State</w:t>
      </w:r>
      <w:r>
        <w:rPr>
          <w:spacing w:val="-18"/>
        </w:rPr>
        <w:t> </w:t>
      </w:r>
      <w:r>
        <w:rPr/>
        <w:t>Revenue,</w:t>
      </w:r>
      <w:r>
        <w:rPr>
          <w:spacing w:val="-18"/>
        </w:rPr>
        <w:t> </w:t>
      </w:r>
      <w:r>
        <w:rPr/>
        <w:t>Building</w:t>
      </w:r>
    </w:p>
    <w:p>
      <w:pPr>
        <w:pStyle w:val="BodyText"/>
        <w:spacing w:line="249" w:lineRule="auto" w:before="3"/>
        <w:ind w:left="765" w:right="8733"/>
      </w:pPr>
      <w:r>
        <w:rPr/>
        <w:t>Management</w:t>
      </w:r>
      <w:r>
        <w:rPr>
          <w:spacing w:val="-23"/>
        </w:rPr>
        <w:t> </w:t>
      </w:r>
      <w:r>
        <w:rPr/>
        <w:t>and</w:t>
      </w:r>
      <w:r>
        <w:rPr>
          <w:spacing w:val="-23"/>
        </w:rPr>
        <w:t> </w:t>
      </w:r>
      <w:r>
        <w:rPr/>
        <w:t>Works,</w:t>
      </w:r>
      <w:r>
        <w:rPr>
          <w:spacing w:val="-23"/>
        </w:rPr>
        <w:t> </w:t>
      </w:r>
      <w:r>
        <w:rPr/>
        <w:t>Strategic</w:t>
      </w:r>
      <w:r>
        <w:rPr>
          <w:spacing w:val="-22"/>
        </w:rPr>
        <w:t> </w:t>
      </w:r>
      <w:r>
        <w:rPr/>
        <w:t>Projects</w:t>
      </w:r>
      <w:r>
        <w:rPr>
          <w:spacing w:val="-23"/>
        </w:rPr>
        <w:t> </w:t>
      </w:r>
      <w:r>
        <w:rPr/>
        <w:t>and</w:t>
      </w:r>
      <w:r>
        <w:rPr>
          <w:spacing w:val="-23"/>
        </w:rPr>
        <w:t> </w:t>
      </w:r>
      <w:r>
        <w:rPr/>
        <w:t>Corporate</w:t>
      </w:r>
      <w:r>
        <w:rPr>
          <w:spacing w:val="-22"/>
        </w:rPr>
        <w:t> </w:t>
      </w:r>
      <w:r>
        <w:rPr/>
        <w:t>Services.</w:t>
      </w:r>
      <w:r>
        <w:rPr>
          <w:spacing w:val="-23"/>
        </w:rPr>
        <w:t> </w:t>
      </w:r>
      <w:r>
        <w:rPr/>
        <w:t>Subject matter</w:t>
      </w:r>
      <w:r>
        <w:rPr>
          <w:spacing w:val="-21"/>
        </w:rPr>
        <w:t> </w:t>
      </w:r>
      <w:r>
        <w:rPr/>
        <w:t>related</w:t>
      </w:r>
      <w:r>
        <w:rPr>
          <w:spacing w:val="-21"/>
        </w:rPr>
        <w:t> </w:t>
      </w:r>
      <w:r>
        <w:rPr/>
        <w:t>to</w:t>
      </w:r>
      <w:r>
        <w:rPr>
          <w:spacing w:val="-20"/>
        </w:rPr>
        <w:t> </w:t>
      </w:r>
      <w:r>
        <w:rPr/>
        <w:t>taxation</w:t>
      </w:r>
      <w:r>
        <w:rPr>
          <w:spacing w:val="-21"/>
        </w:rPr>
        <w:t> </w:t>
      </w:r>
      <w:r>
        <w:rPr/>
        <w:t>information</w:t>
      </w:r>
      <w:r>
        <w:rPr>
          <w:spacing w:val="-21"/>
        </w:rPr>
        <w:t> </w:t>
      </w:r>
      <w:r>
        <w:rPr/>
        <w:t>and</w:t>
      </w:r>
      <w:r>
        <w:rPr>
          <w:spacing w:val="-21"/>
        </w:rPr>
        <w:t> </w:t>
      </w:r>
      <w:r>
        <w:rPr>
          <w:spacing w:val="-3"/>
        </w:rPr>
        <w:t>policy,</w:t>
      </w:r>
      <w:r>
        <w:rPr>
          <w:spacing w:val="-20"/>
        </w:rPr>
        <w:t> </w:t>
      </w:r>
      <w:r>
        <w:rPr/>
        <w:t>building</w:t>
      </w:r>
      <w:r>
        <w:rPr>
          <w:spacing w:val="-21"/>
        </w:rPr>
        <w:t> </w:t>
      </w:r>
      <w:r>
        <w:rPr/>
        <w:t>projects</w:t>
      </w:r>
      <w:r>
        <w:rPr>
          <w:spacing w:val="-21"/>
        </w:rPr>
        <w:t> </w:t>
      </w:r>
      <w:r>
        <w:rPr/>
        <w:t>and</w:t>
      </w:r>
      <w:r>
        <w:rPr>
          <w:spacing w:val="-20"/>
        </w:rPr>
        <w:t> </w:t>
      </w:r>
      <w:r>
        <w:rPr>
          <w:spacing w:val="-3"/>
        </w:rPr>
        <w:t>general </w:t>
      </w:r>
      <w:r>
        <w:rPr/>
        <w:t>correspondence.</w:t>
      </w:r>
    </w:p>
    <w:p>
      <w:pPr>
        <w:pStyle w:val="BodyText"/>
        <w:spacing w:before="2"/>
        <w:rPr>
          <w:sz w:val="23"/>
        </w:rPr>
      </w:pPr>
    </w:p>
    <w:p>
      <w:pPr>
        <w:pStyle w:val="BodyText"/>
        <w:spacing w:line="249" w:lineRule="auto"/>
        <w:ind w:left="765" w:right="9049"/>
      </w:pPr>
      <w:r>
        <w:rPr/>
        <w:t>In</w:t>
      </w:r>
      <w:r>
        <w:rPr>
          <w:spacing w:val="-20"/>
        </w:rPr>
        <w:t> </w:t>
      </w:r>
      <w:r>
        <w:rPr/>
        <w:t>2017-18,</w:t>
      </w:r>
      <w:r>
        <w:rPr>
          <w:spacing w:val="-20"/>
        </w:rPr>
        <w:t> </w:t>
      </w:r>
      <w:r>
        <w:rPr/>
        <w:t>only</w:t>
      </w:r>
      <w:r>
        <w:rPr>
          <w:spacing w:val="-20"/>
        </w:rPr>
        <w:t> </w:t>
      </w:r>
      <w:r>
        <w:rPr/>
        <w:t>one</w:t>
      </w:r>
      <w:r>
        <w:rPr>
          <w:spacing w:val="-19"/>
        </w:rPr>
        <w:t> </w:t>
      </w:r>
      <w:r>
        <w:rPr/>
        <w:t>application</w:t>
      </w:r>
      <w:r>
        <w:rPr>
          <w:spacing w:val="-20"/>
        </w:rPr>
        <w:t> </w:t>
      </w:r>
      <w:r>
        <w:rPr/>
        <w:t>for</w:t>
      </w:r>
      <w:r>
        <w:rPr>
          <w:spacing w:val="-20"/>
        </w:rPr>
        <w:t> </w:t>
      </w:r>
      <w:r>
        <w:rPr/>
        <w:t>internal</w:t>
      </w:r>
      <w:r>
        <w:rPr>
          <w:spacing w:val="-19"/>
        </w:rPr>
        <w:t> </w:t>
      </w:r>
      <w:r>
        <w:rPr/>
        <w:t>review</w:t>
      </w:r>
      <w:r>
        <w:rPr>
          <w:spacing w:val="-20"/>
        </w:rPr>
        <w:t> </w:t>
      </w:r>
      <w:r>
        <w:rPr/>
        <w:t>was</w:t>
      </w:r>
      <w:r>
        <w:rPr>
          <w:spacing w:val="-20"/>
        </w:rPr>
        <w:t> </w:t>
      </w:r>
      <w:r>
        <w:rPr/>
        <w:t>received</w:t>
      </w:r>
      <w:r>
        <w:rPr>
          <w:spacing w:val="-19"/>
        </w:rPr>
        <w:t> </w:t>
      </w:r>
      <w:r>
        <w:rPr/>
        <w:t>and</w:t>
      </w:r>
      <w:r>
        <w:rPr>
          <w:spacing w:val="-20"/>
        </w:rPr>
        <w:t> </w:t>
      </w:r>
      <w:r>
        <w:rPr>
          <w:spacing w:val="-6"/>
        </w:rPr>
        <w:t>there </w:t>
      </w:r>
      <w:r>
        <w:rPr/>
        <w:t>were no applications for external</w:t>
      </w:r>
      <w:r>
        <w:rPr>
          <w:spacing w:val="-12"/>
        </w:rPr>
        <w:t> </w:t>
      </w:r>
      <w:r>
        <w:rPr>
          <w:spacing w:val="-3"/>
        </w:rPr>
        <w:t>review.</w:t>
      </w:r>
    </w:p>
    <w:p>
      <w:pPr>
        <w:pStyle w:val="BodyText"/>
        <w:rPr>
          <w:sz w:val="26"/>
        </w:rPr>
      </w:pPr>
    </w:p>
    <w:p>
      <w:pPr>
        <w:pStyle w:val="BodyText"/>
        <w:rPr>
          <w:sz w:val="26"/>
        </w:rPr>
      </w:pPr>
    </w:p>
    <w:p>
      <w:pPr>
        <w:pStyle w:val="BodyText"/>
        <w:spacing w:before="8"/>
        <w:rPr>
          <w:sz w:val="20"/>
        </w:rPr>
      </w:pPr>
    </w:p>
    <w:p>
      <w:pPr>
        <w:spacing w:before="1"/>
        <w:ind w:left="8631" w:right="0" w:firstLine="0"/>
        <w:jc w:val="left"/>
        <w:rPr>
          <w:sz w:val="15"/>
        </w:rPr>
      </w:pPr>
      <w:r>
        <w:rPr>
          <w:position w:val="4"/>
          <w:sz w:val="10"/>
        </w:rPr>
        <w:t>(a) </w:t>
      </w:r>
      <w:r>
        <w:rPr>
          <w:sz w:val="15"/>
        </w:rPr>
        <w:t>Includes eight applications carried over from 2016-17.</w:t>
      </w:r>
    </w:p>
    <w:p>
      <w:pPr>
        <w:spacing w:before="27"/>
        <w:ind w:left="8631" w:right="0" w:firstLine="0"/>
        <w:jc w:val="left"/>
        <w:rPr>
          <w:sz w:val="15"/>
        </w:rPr>
      </w:pPr>
      <w:r>
        <w:rPr>
          <w:position w:val="4"/>
          <w:sz w:val="10"/>
        </w:rPr>
        <w:t>(b) </w:t>
      </w:r>
      <w:r>
        <w:rPr>
          <w:sz w:val="15"/>
        </w:rPr>
        <w:t>Includes applications carried over from 2015-16.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tabs>
          <w:tab w:pos="10886" w:val="left" w:leader="none"/>
          <w:tab w:pos="11199" w:val="left" w:leader="none"/>
        </w:tabs>
        <w:spacing w:before="108"/>
        <w:ind w:left="765" w:right="0" w:firstLine="0"/>
        <w:jc w:val="left"/>
        <w:rPr>
          <w:b/>
          <w:sz w:val="20"/>
        </w:rPr>
      </w:pPr>
      <w:r>
        <w:rPr/>
        <w:pict>
          <v:group style="position:absolute;margin-left:0pt;margin-top:-9.455017pt;width:24.1pt;height:41.55pt;mso-position-horizontal-relative:page;mso-position-vertical-relative:paragraph;z-index:30256"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FFFFFF"/>
          <w:w w:val="100"/>
          <w:sz w:val="20"/>
          <w:u w:val="single" w:color="939598"/>
        </w:rPr>
        <w:t> </w:t>
      </w:r>
      <w:r>
        <w:rPr>
          <w:b/>
          <w:color w:val="FFFFFF"/>
          <w:sz w:val="20"/>
          <w:u w:val="single" w:color="939598"/>
        </w:rPr>
        <w:tab/>
      </w:r>
      <w:r>
        <w:rPr>
          <w:b/>
          <w:color w:val="FFFFFF"/>
          <w:sz w:val="20"/>
        </w:rPr>
        <w:tab/>
        <w:t>Department of Finance Annual Report 2017-18</w:t>
      </w:r>
      <w:r>
        <w:rPr>
          <w:b/>
          <w:color w:val="FFFFFF"/>
          <w:spacing w:val="24"/>
          <w:sz w:val="20"/>
        </w:rPr>
        <w:t> </w:t>
      </w:r>
      <w:r>
        <w:rPr>
          <w:b/>
          <w:color w:val="FFFFFF"/>
          <w:sz w:val="20"/>
        </w:rPr>
        <w:t>115</w:t>
      </w:r>
    </w:p>
    <w:p>
      <w:pPr>
        <w:spacing w:after="0"/>
        <w:jc w:val="left"/>
        <w:rPr>
          <w:sz w:val="20"/>
        </w:rPr>
        <w:sectPr>
          <w:footerReference w:type="default" r:id="rId243"/>
          <w:pgSz w:w="16840" w:h="11910" w:orient="landscape"/>
          <w:pgMar w:footer="0" w:header="0" w:top="0" w:bottom="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1"/>
        <w:rPr>
          <w:b/>
          <w:sz w:val="20"/>
        </w:rPr>
      </w:pPr>
    </w:p>
    <w:p>
      <w:pPr>
        <w:pStyle w:val="Heading1"/>
        <w:spacing w:before="93"/>
      </w:pPr>
      <w:r>
        <w:rPr/>
        <w:pict>
          <v:group style="position:absolute;margin-left:120.271004pt;margin-top:-67.324211pt;width:721.65pt;height:42.55pt;mso-position-horizontal-relative:page;mso-position-vertical-relative:paragraph;z-index:30616" coordorigin="2405,-1346" coordsize="14433,851">
            <v:rect style="position:absolute;left:14432;top:-1347;width:2406;height:851" filled="true" fillcolor="#bba1bc" stroked="false">
              <v:fill type="solid"/>
            </v:rect>
            <v:shape style="position:absolute;left:14432;top:-1347;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347;width:2406;height:851" type="#_x0000_t202" filled="true" fillcolor="#d4d896"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347;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347;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347;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347;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color w:val="6F2770"/>
        </w:rPr>
        <w:t>Government Policy Requirements</w:t>
      </w:r>
    </w:p>
    <w:p>
      <w:pPr>
        <w:pStyle w:val="Heading4"/>
        <w:spacing w:before="113"/>
      </w:pPr>
      <w:r>
        <w:rPr>
          <w:color w:val="6F2770"/>
        </w:rPr>
        <w:t>Government Building Training Policy</w:t>
      </w:r>
    </w:p>
    <w:p>
      <w:pPr>
        <w:pStyle w:val="BodyText"/>
        <w:spacing w:before="1"/>
        <w:rPr>
          <w:sz w:val="12"/>
        </w:rPr>
      </w:pPr>
    </w:p>
    <w:p>
      <w:pPr>
        <w:spacing w:after="0"/>
        <w:rPr>
          <w:sz w:val="12"/>
        </w:rPr>
        <w:sectPr>
          <w:footerReference w:type="default" r:id="rId245"/>
          <w:pgSz w:w="16840" w:h="11910" w:orient="landscape"/>
          <w:pgMar w:footer="0" w:header="0" w:top="0" w:bottom="0" w:left="0" w:right="0"/>
        </w:sectPr>
      </w:pPr>
    </w:p>
    <w:p>
      <w:pPr>
        <w:pStyle w:val="BodyText"/>
        <w:spacing w:line="249" w:lineRule="auto" w:before="107"/>
        <w:ind w:left="765" w:right="-6"/>
      </w:pPr>
      <w:r>
        <w:rPr/>
        <w:t>The Government Building </w:t>
      </w:r>
      <w:r>
        <w:rPr>
          <w:spacing w:val="-3"/>
        </w:rPr>
        <w:t>Training </w:t>
      </w:r>
      <w:r>
        <w:rPr/>
        <w:t>Policy aims to increase the number of apprentices</w:t>
      </w:r>
      <w:r>
        <w:rPr>
          <w:spacing w:val="-17"/>
        </w:rPr>
        <w:t> </w:t>
      </w:r>
      <w:r>
        <w:rPr/>
        <w:t>and</w:t>
      </w:r>
      <w:r>
        <w:rPr>
          <w:spacing w:val="-17"/>
        </w:rPr>
        <w:t> </w:t>
      </w:r>
      <w:r>
        <w:rPr/>
        <w:t>trainees</w:t>
      </w:r>
      <w:r>
        <w:rPr>
          <w:spacing w:val="-16"/>
        </w:rPr>
        <w:t> </w:t>
      </w:r>
      <w:r>
        <w:rPr/>
        <w:t>in</w:t>
      </w:r>
      <w:r>
        <w:rPr>
          <w:spacing w:val="-17"/>
        </w:rPr>
        <w:t> </w:t>
      </w:r>
      <w:r>
        <w:rPr/>
        <w:t>the</w:t>
      </w:r>
      <w:r>
        <w:rPr>
          <w:spacing w:val="-17"/>
        </w:rPr>
        <w:t> </w:t>
      </w:r>
      <w:r>
        <w:rPr/>
        <w:t>building</w:t>
      </w:r>
      <w:r>
        <w:rPr>
          <w:spacing w:val="-16"/>
        </w:rPr>
        <w:t> </w:t>
      </w:r>
      <w:r>
        <w:rPr/>
        <w:t>and</w:t>
      </w:r>
      <w:r>
        <w:rPr>
          <w:spacing w:val="-17"/>
        </w:rPr>
        <w:t> </w:t>
      </w:r>
      <w:r>
        <w:rPr/>
        <w:t>construction</w:t>
      </w:r>
      <w:r>
        <w:rPr>
          <w:spacing w:val="-16"/>
        </w:rPr>
        <w:t> </w:t>
      </w:r>
      <w:r>
        <w:rPr>
          <w:spacing w:val="-3"/>
        </w:rPr>
        <w:t>industry.</w:t>
      </w:r>
      <w:r>
        <w:rPr>
          <w:spacing w:val="-17"/>
        </w:rPr>
        <w:t> </w:t>
      </w:r>
      <w:r>
        <w:rPr/>
        <w:t>It</w:t>
      </w:r>
      <w:r>
        <w:rPr>
          <w:spacing w:val="-17"/>
        </w:rPr>
        <w:t> </w:t>
      </w:r>
      <w:r>
        <w:rPr/>
        <w:t>is</w:t>
      </w:r>
      <w:r>
        <w:rPr>
          <w:spacing w:val="-16"/>
        </w:rPr>
        <w:t> </w:t>
      </w:r>
      <w:r>
        <w:rPr/>
        <w:t>applied by</w:t>
      </w:r>
      <w:r>
        <w:rPr>
          <w:spacing w:val="-21"/>
        </w:rPr>
        <w:t> </w:t>
      </w:r>
      <w:r>
        <w:rPr/>
        <w:t>requiring</w:t>
      </w:r>
      <w:r>
        <w:rPr>
          <w:spacing w:val="-21"/>
        </w:rPr>
        <w:t> </w:t>
      </w:r>
      <w:r>
        <w:rPr/>
        <w:t>contractors</w:t>
      </w:r>
      <w:r>
        <w:rPr>
          <w:spacing w:val="-20"/>
        </w:rPr>
        <w:t> </w:t>
      </w:r>
      <w:r>
        <w:rPr/>
        <w:t>awarded</w:t>
      </w:r>
      <w:r>
        <w:rPr>
          <w:spacing w:val="-21"/>
        </w:rPr>
        <w:t> </w:t>
      </w:r>
      <w:r>
        <w:rPr/>
        <w:t>State</w:t>
      </w:r>
      <w:r>
        <w:rPr>
          <w:spacing w:val="-21"/>
        </w:rPr>
        <w:t> </w:t>
      </w:r>
      <w:r>
        <w:rPr/>
        <w:t>Government</w:t>
      </w:r>
      <w:r>
        <w:rPr>
          <w:spacing w:val="-20"/>
        </w:rPr>
        <w:t> </w:t>
      </w:r>
      <w:r>
        <w:rPr/>
        <w:t>building,</w:t>
      </w:r>
      <w:r>
        <w:rPr>
          <w:spacing w:val="-21"/>
        </w:rPr>
        <w:t> </w:t>
      </w:r>
      <w:r>
        <w:rPr/>
        <w:t>construction</w:t>
      </w:r>
      <w:r>
        <w:rPr>
          <w:spacing w:val="-21"/>
        </w:rPr>
        <w:t> </w:t>
      </w:r>
      <w:r>
        <w:rPr>
          <w:spacing w:val="-7"/>
        </w:rPr>
        <w:t>and </w:t>
      </w:r>
      <w:r>
        <w:rPr/>
        <w:t>maintenance contracts to commit to meeting a target training rate, through employing construction apprentices and</w:t>
      </w:r>
      <w:r>
        <w:rPr>
          <w:spacing w:val="-11"/>
        </w:rPr>
        <w:t> </w:t>
      </w:r>
      <w:r>
        <w:rPr/>
        <w:t>trainees.</w:t>
      </w:r>
    </w:p>
    <w:p>
      <w:pPr>
        <w:pStyle w:val="BodyText"/>
        <w:spacing w:before="3"/>
        <w:rPr>
          <w:sz w:val="23"/>
        </w:rPr>
      </w:pPr>
    </w:p>
    <w:p>
      <w:pPr>
        <w:pStyle w:val="BodyText"/>
        <w:spacing w:before="1"/>
        <w:ind w:left="765"/>
      </w:pPr>
      <w:r>
        <w:rPr/>
        <w:t>The Government Building Training Policy applies to:</w:t>
      </w:r>
    </w:p>
    <w:p>
      <w:pPr>
        <w:pStyle w:val="BodyText"/>
        <w:spacing w:before="9"/>
        <w:rPr>
          <w:sz w:val="23"/>
        </w:rPr>
      </w:pPr>
    </w:p>
    <w:p>
      <w:pPr>
        <w:pStyle w:val="BodyText"/>
        <w:spacing w:line="252" w:lineRule="auto"/>
        <w:ind w:left="1071" w:right="48" w:hanging="306"/>
      </w:pPr>
      <w:r>
        <w:rPr/>
        <w:drawing>
          <wp:inline distT="0" distB="0" distL="0" distR="0">
            <wp:extent cx="125999" cy="125999"/>
            <wp:effectExtent l="0" t="0" r="0" b="0"/>
            <wp:docPr id="141" name="image121.png" descr=""/>
            <wp:cNvGraphicFramePr>
              <a:graphicFrameLocks noChangeAspect="1"/>
            </wp:cNvGraphicFramePr>
            <a:graphic>
              <a:graphicData uri="http://schemas.openxmlformats.org/drawingml/2006/picture">
                <pic:pic>
                  <pic:nvPicPr>
                    <pic:cNvPr id="142" name="image121.png"/>
                    <pic:cNvPicPr/>
                  </pic:nvPicPr>
                  <pic:blipFill>
                    <a:blip r:embed="rId240" cstate="print"/>
                    <a:stretch>
                      <a:fillRect/>
                    </a:stretch>
                  </pic:blipFill>
                  <pic:spPr>
                    <a:xfrm>
                      <a:off x="0" y="0"/>
                      <a:ext cx="125999" cy="125999"/>
                    </a:xfrm>
                    <a:prstGeom prst="rect">
                      <a:avLst/>
                    </a:prstGeom>
                  </pic:spPr>
                </pic:pic>
              </a:graphicData>
            </a:graphic>
          </wp:inline>
        </w:drawing>
      </w:r>
      <w:r>
        <w:rPr/>
      </w:r>
      <w:r>
        <w:rPr>
          <w:rFonts w:ascii="Times New Roman"/>
          <w:position w:val="2"/>
          <w:sz w:val="20"/>
        </w:rPr>
        <w:t> </w:t>
      </w:r>
      <w:r>
        <w:rPr>
          <w:rFonts w:ascii="Times New Roman"/>
          <w:spacing w:val="7"/>
          <w:position w:val="2"/>
          <w:sz w:val="20"/>
        </w:rPr>
        <w:t> </w:t>
      </w:r>
      <w:r>
        <w:rPr>
          <w:position w:val="2"/>
        </w:rPr>
        <w:t>all State Government building and construction contracts, including civil </w:t>
      </w:r>
      <w:r>
        <w:rPr/>
        <w:t>and</w:t>
      </w:r>
      <w:r>
        <w:rPr>
          <w:spacing w:val="-20"/>
        </w:rPr>
        <w:t> </w:t>
      </w:r>
      <w:r>
        <w:rPr/>
        <w:t>engineering</w:t>
      </w:r>
      <w:r>
        <w:rPr>
          <w:spacing w:val="-19"/>
        </w:rPr>
        <w:t> </w:t>
      </w:r>
      <w:r>
        <w:rPr/>
        <w:t>contracts,</w:t>
      </w:r>
      <w:r>
        <w:rPr>
          <w:spacing w:val="-19"/>
        </w:rPr>
        <w:t> </w:t>
      </w:r>
      <w:r>
        <w:rPr/>
        <w:t>with</w:t>
      </w:r>
      <w:r>
        <w:rPr>
          <w:spacing w:val="-19"/>
        </w:rPr>
        <w:t> </w:t>
      </w:r>
      <w:r>
        <w:rPr/>
        <w:t>an</w:t>
      </w:r>
      <w:r>
        <w:rPr>
          <w:spacing w:val="-19"/>
        </w:rPr>
        <w:t> </w:t>
      </w:r>
      <w:r>
        <w:rPr/>
        <w:t>estimated</w:t>
      </w:r>
      <w:r>
        <w:rPr>
          <w:spacing w:val="-20"/>
        </w:rPr>
        <w:t> </w:t>
      </w:r>
      <w:r>
        <w:rPr/>
        <w:t>labour</w:t>
      </w:r>
      <w:r>
        <w:rPr>
          <w:spacing w:val="-19"/>
        </w:rPr>
        <w:t> </w:t>
      </w:r>
      <w:r>
        <w:rPr/>
        <w:t>value</w:t>
      </w:r>
      <w:r>
        <w:rPr>
          <w:spacing w:val="-19"/>
        </w:rPr>
        <w:t> </w:t>
      </w:r>
      <w:r>
        <w:rPr/>
        <w:t>of</w:t>
      </w:r>
      <w:r>
        <w:rPr>
          <w:spacing w:val="-19"/>
        </w:rPr>
        <w:t> </w:t>
      </w:r>
      <w:r>
        <w:rPr/>
        <w:t>$2</w:t>
      </w:r>
      <w:r>
        <w:rPr>
          <w:spacing w:val="-19"/>
        </w:rPr>
        <w:t> </w:t>
      </w:r>
      <w:r>
        <w:rPr/>
        <w:t>million</w:t>
      </w:r>
      <w:r>
        <w:rPr>
          <w:spacing w:val="-19"/>
        </w:rPr>
        <w:t> </w:t>
      </w:r>
      <w:r>
        <w:rPr>
          <w:spacing w:val="-6"/>
        </w:rPr>
        <w:t>and </w:t>
      </w:r>
      <w:r>
        <w:rPr/>
        <w:t>over for the construction component of the</w:t>
      </w:r>
      <w:r>
        <w:rPr>
          <w:spacing w:val="-12"/>
        </w:rPr>
        <w:t> </w:t>
      </w:r>
      <w:r>
        <w:rPr/>
        <w:t>contract;</w:t>
      </w:r>
    </w:p>
    <w:p>
      <w:pPr>
        <w:pStyle w:val="BodyText"/>
        <w:spacing w:before="7"/>
      </w:pPr>
    </w:p>
    <w:p>
      <w:pPr>
        <w:pStyle w:val="BodyText"/>
        <w:spacing w:line="249" w:lineRule="auto"/>
        <w:ind w:left="1071" w:right="520" w:hanging="306"/>
      </w:pPr>
      <w:r>
        <w:rPr>
          <w:position w:val="-1"/>
        </w:rPr>
        <w:drawing>
          <wp:inline distT="0" distB="0" distL="0" distR="0">
            <wp:extent cx="125999" cy="125999"/>
            <wp:effectExtent l="0" t="0" r="0" b="0"/>
            <wp:docPr id="143" name="image121.png" descr=""/>
            <wp:cNvGraphicFramePr>
              <a:graphicFrameLocks noChangeAspect="1"/>
            </wp:cNvGraphicFramePr>
            <a:graphic>
              <a:graphicData uri="http://schemas.openxmlformats.org/drawingml/2006/picture">
                <pic:pic>
                  <pic:nvPicPr>
                    <pic:cNvPr id="144" name="image121.png"/>
                    <pic:cNvPicPr/>
                  </pic:nvPicPr>
                  <pic:blipFill>
                    <a:blip r:embed="rId240"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all</w:t>
      </w:r>
      <w:r>
        <w:rPr>
          <w:spacing w:val="-23"/>
        </w:rPr>
        <w:t> </w:t>
      </w:r>
      <w:r>
        <w:rPr/>
        <w:t>State</w:t>
      </w:r>
      <w:r>
        <w:rPr>
          <w:spacing w:val="-23"/>
        </w:rPr>
        <w:t> </w:t>
      </w:r>
      <w:r>
        <w:rPr/>
        <w:t>Government</w:t>
      </w:r>
      <w:r>
        <w:rPr>
          <w:spacing w:val="-22"/>
        </w:rPr>
        <w:t> </w:t>
      </w:r>
      <w:r>
        <w:rPr/>
        <w:t>maintenance</w:t>
      </w:r>
      <w:r>
        <w:rPr>
          <w:spacing w:val="-23"/>
        </w:rPr>
        <w:t> </w:t>
      </w:r>
      <w:r>
        <w:rPr/>
        <w:t>contracts</w:t>
      </w:r>
      <w:r>
        <w:rPr>
          <w:spacing w:val="-22"/>
        </w:rPr>
        <w:t> </w:t>
      </w:r>
      <w:r>
        <w:rPr/>
        <w:t>with</w:t>
      </w:r>
      <w:r>
        <w:rPr>
          <w:spacing w:val="-23"/>
        </w:rPr>
        <w:t> </w:t>
      </w:r>
      <w:r>
        <w:rPr/>
        <w:t>an</w:t>
      </w:r>
      <w:r>
        <w:rPr>
          <w:spacing w:val="-22"/>
        </w:rPr>
        <w:t> </w:t>
      </w:r>
      <w:r>
        <w:rPr/>
        <w:t>estimated</w:t>
      </w:r>
      <w:r>
        <w:rPr>
          <w:spacing w:val="-23"/>
        </w:rPr>
        <w:t> </w:t>
      </w:r>
      <w:r>
        <w:rPr>
          <w:spacing w:val="-3"/>
        </w:rPr>
        <w:t>labour </w:t>
      </w:r>
      <w:r>
        <w:rPr/>
        <w:t>component of $2 million and over for the total contract;</w:t>
      </w:r>
      <w:r>
        <w:rPr>
          <w:spacing w:val="-42"/>
        </w:rPr>
        <w:t> </w:t>
      </w:r>
      <w:r>
        <w:rPr/>
        <w:t>and</w:t>
      </w:r>
    </w:p>
    <w:p>
      <w:pPr>
        <w:pStyle w:val="BodyText"/>
        <w:spacing w:before="1"/>
        <w:rPr>
          <w:sz w:val="23"/>
        </w:rPr>
      </w:pPr>
    </w:p>
    <w:p>
      <w:pPr>
        <w:spacing w:line="249" w:lineRule="auto" w:before="1"/>
        <w:ind w:left="1071" w:right="65" w:hanging="306"/>
        <w:jc w:val="left"/>
        <w:rPr>
          <w:sz w:val="22"/>
        </w:rPr>
      </w:pPr>
      <w:r>
        <w:rPr>
          <w:position w:val="-1"/>
        </w:rPr>
        <w:drawing>
          <wp:inline distT="0" distB="0" distL="0" distR="0">
            <wp:extent cx="125999" cy="125999"/>
            <wp:effectExtent l="0" t="0" r="0" b="0"/>
            <wp:docPr id="145" name="image122.png" descr=""/>
            <wp:cNvGraphicFramePr>
              <a:graphicFrameLocks noChangeAspect="1"/>
            </wp:cNvGraphicFramePr>
            <a:graphic>
              <a:graphicData uri="http://schemas.openxmlformats.org/drawingml/2006/picture">
                <pic:pic>
                  <pic:nvPicPr>
                    <pic:cNvPr id="146" name="image122.png"/>
                    <pic:cNvPicPr/>
                  </pic:nvPicPr>
                  <pic:blipFill>
                    <a:blip r:embed="rId241" cstate="print"/>
                    <a:stretch>
                      <a:fillRect/>
                    </a:stretch>
                  </pic:blipFill>
                  <pic:spPr>
                    <a:xfrm>
                      <a:off x="0" y="0"/>
                      <a:ext cx="125999" cy="125999"/>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sz w:val="22"/>
        </w:rPr>
        <w:t>all</w:t>
      </w:r>
      <w:r>
        <w:rPr>
          <w:spacing w:val="-20"/>
          <w:sz w:val="22"/>
        </w:rPr>
        <w:t> </w:t>
      </w:r>
      <w:r>
        <w:rPr>
          <w:sz w:val="22"/>
        </w:rPr>
        <w:t>State</w:t>
      </w:r>
      <w:r>
        <w:rPr>
          <w:spacing w:val="-20"/>
          <w:sz w:val="22"/>
        </w:rPr>
        <w:t> </w:t>
      </w:r>
      <w:r>
        <w:rPr>
          <w:sz w:val="22"/>
        </w:rPr>
        <w:t>Government</w:t>
      </w:r>
      <w:r>
        <w:rPr>
          <w:spacing w:val="-20"/>
          <w:sz w:val="22"/>
        </w:rPr>
        <w:t> </w:t>
      </w:r>
      <w:r>
        <w:rPr>
          <w:sz w:val="22"/>
        </w:rPr>
        <w:t>agencies</w:t>
      </w:r>
      <w:r>
        <w:rPr>
          <w:spacing w:val="-20"/>
          <w:sz w:val="22"/>
        </w:rPr>
        <w:t> </w:t>
      </w:r>
      <w:r>
        <w:rPr>
          <w:sz w:val="22"/>
        </w:rPr>
        <w:t>(as</w:t>
      </w:r>
      <w:r>
        <w:rPr>
          <w:spacing w:val="-20"/>
          <w:sz w:val="22"/>
        </w:rPr>
        <w:t> </w:t>
      </w:r>
      <w:r>
        <w:rPr>
          <w:sz w:val="22"/>
        </w:rPr>
        <w:t>defined</w:t>
      </w:r>
      <w:r>
        <w:rPr>
          <w:spacing w:val="-20"/>
          <w:sz w:val="22"/>
        </w:rPr>
        <w:t> </w:t>
      </w:r>
      <w:r>
        <w:rPr>
          <w:sz w:val="22"/>
        </w:rPr>
        <w:t>in</w:t>
      </w:r>
      <w:r>
        <w:rPr>
          <w:spacing w:val="-20"/>
          <w:sz w:val="22"/>
        </w:rPr>
        <w:t> </w:t>
      </w:r>
      <w:r>
        <w:rPr>
          <w:sz w:val="22"/>
        </w:rPr>
        <w:t>section</w:t>
      </w:r>
      <w:r>
        <w:rPr>
          <w:spacing w:val="-20"/>
          <w:sz w:val="22"/>
        </w:rPr>
        <w:t> </w:t>
      </w:r>
      <w:r>
        <w:rPr>
          <w:sz w:val="22"/>
        </w:rPr>
        <w:t>3</w:t>
      </w:r>
      <w:r>
        <w:rPr>
          <w:spacing w:val="-20"/>
          <w:sz w:val="22"/>
        </w:rPr>
        <w:t> </w:t>
      </w:r>
      <w:r>
        <w:rPr>
          <w:sz w:val="22"/>
        </w:rPr>
        <w:t>of</w:t>
      </w:r>
      <w:r>
        <w:rPr>
          <w:spacing w:val="-20"/>
          <w:sz w:val="22"/>
        </w:rPr>
        <w:t> </w:t>
      </w:r>
      <w:r>
        <w:rPr>
          <w:sz w:val="22"/>
        </w:rPr>
        <w:t>the</w:t>
      </w:r>
      <w:r>
        <w:rPr>
          <w:spacing w:val="-20"/>
          <w:sz w:val="22"/>
        </w:rPr>
        <w:t> </w:t>
      </w:r>
      <w:r>
        <w:rPr>
          <w:i/>
          <w:sz w:val="22"/>
        </w:rPr>
        <w:t>Public</w:t>
      </w:r>
      <w:r>
        <w:rPr>
          <w:i/>
          <w:spacing w:val="-20"/>
          <w:sz w:val="22"/>
        </w:rPr>
        <w:t> </w:t>
      </w:r>
      <w:r>
        <w:rPr>
          <w:i/>
          <w:spacing w:val="-3"/>
          <w:sz w:val="22"/>
        </w:rPr>
        <w:t>Sector </w:t>
      </w:r>
      <w:r>
        <w:rPr>
          <w:i/>
          <w:sz w:val="22"/>
        </w:rPr>
        <w:t>Management Act 1994</w:t>
      </w:r>
      <w:r>
        <w:rPr>
          <w:sz w:val="22"/>
        </w:rPr>
        <w:t>) that enter into these</w:t>
      </w:r>
      <w:r>
        <w:rPr>
          <w:spacing w:val="-21"/>
          <w:sz w:val="22"/>
        </w:rPr>
        <w:t> </w:t>
      </w:r>
      <w:r>
        <w:rPr>
          <w:sz w:val="22"/>
        </w:rPr>
        <w:t>contracts.</w:t>
      </w:r>
    </w:p>
    <w:p>
      <w:pPr>
        <w:pStyle w:val="BodyText"/>
        <w:spacing w:before="107"/>
        <w:ind w:left="396"/>
      </w:pPr>
      <w:r>
        <w:rPr/>
        <w:br w:type="column"/>
      </w:r>
      <w:r>
        <w:rPr/>
        <w:t>In 2017-18, all contractors met the target training rate.</w:t>
      </w:r>
    </w:p>
    <w:p>
      <w:pPr>
        <w:pStyle w:val="BodyText"/>
        <w:spacing w:before="9"/>
        <w:rPr>
          <w:sz w:val="23"/>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4"/>
        <w:gridCol w:w="1503"/>
        <w:gridCol w:w="1503"/>
      </w:tblGrid>
      <w:tr>
        <w:trPr>
          <w:trHeight w:val="840" w:hRule="atLeast"/>
        </w:trPr>
        <w:tc>
          <w:tcPr>
            <w:tcW w:w="7400" w:type="dxa"/>
            <w:gridSpan w:val="3"/>
            <w:shd w:val="clear" w:color="auto" w:fill="783A79"/>
          </w:tcPr>
          <w:p>
            <w:pPr>
              <w:pStyle w:val="TableParagraph"/>
              <w:tabs>
                <w:tab w:pos="4590" w:val="left" w:leader="none"/>
                <w:tab w:pos="4968" w:val="left" w:leader="none"/>
                <w:tab w:pos="6071" w:val="left" w:leader="none"/>
              </w:tabs>
              <w:spacing w:line="247" w:lineRule="auto" w:before="43"/>
              <w:ind w:left="123" w:right="155"/>
              <w:rPr>
                <w:b/>
                <w:sz w:val="19"/>
              </w:rPr>
            </w:pPr>
            <w:r>
              <w:rPr>
                <w:b/>
                <w:color w:val="FFFFFF"/>
                <w:sz w:val="19"/>
              </w:rPr>
              <w:t>Measure - Building,</w:t>
            </w:r>
            <w:r>
              <w:rPr>
                <w:b/>
                <w:color w:val="FFFFFF"/>
                <w:spacing w:val="1"/>
                <w:sz w:val="19"/>
              </w:rPr>
              <w:t> </w:t>
            </w:r>
            <w:r>
              <w:rPr>
                <w:b/>
                <w:color w:val="FFFFFF"/>
                <w:sz w:val="19"/>
              </w:rPr>
              <w:t>Construction and</w:t>
              <w:tab/>
              <w:tab/>
              <w:t>Number of contracts </w:t>
            </w:r>
            <w:r>
              <w:rPr>
                <w:b/>
                <w:color w:val="FFFFFF"/>
                <w:position w:val="8"/>
                <w:sz w:val="19"/>
              </w:rPr>
              <w:t>Maintenance</w:t>
            </w:r>
            <w:r>
              <w:rPr>
                <w:b/>
                <w:color w:val="FFFFFF"/>
                <w:spacing w:val="6"/>
                <w:position w:val="8"/>
                <w:sz w:val="19"/>
              </w:rPr>
              <w:t> </w:t>
            </w:r>
            <w:r>
              <w:rPr>
                <w:b/>
                <w:color w:val="FFFFFF"/>
                <w:position w:val="8"/>
                <w:sz w:val="19"/>
              </w:rPr>
              <w:t>Projects</w:t>
              <w:tab/>
            </w:r>
            <w:r>
              <w:rPr>
                <w:b/>
                <w:color w:val="FFFFFF"/>
                <w:sz w:val="19"/>
              </w:rPr>
              <w:t>Building</w:t>
            </w:r>
            <w:r>
              <w:rPr>
                <w:b/>
                <w:color w:val="FFFFFF"/>
                <w:spacing w:val="-6"/>
                <w:sz w:val="19"/>
              </w:rPr>
              <w:t> </w:t>
            </w:r>
            <w:r>
              <w:rPr>
                <w:b/>
                <w:color w:val="FFFFFF"/>
                <w:sz w:val="19"/>
              </w:rPr>
              <w:t>and</w:t>
              <w:tab/>
            </w:r>
            <w:r>
              <w:rPr>
                <w:b/>
                <w:color w:val="FFFFFF"/>
                <w:spacing w:val="-1"/>
                <w:sz w:val="19"/>
              </w:rPr>
              <w:t>Maintenance</w:t>
            </w:r>
          </w:p>
          <w:p>
            <w:pPr>
              <w:pStyle w:val="TableParagraph"/>
              <w:spacing w:before="3"/>
              <w:ind w:left="4565"/>
              <w:rPr>
                <w:b/>
                <w:sz w:val="19"/>
              </w:rPr>
            </w:pPr>
            <w:r>
              <w:rPr>
                <w:b/>
                <w:color w:val="FFFFFF"/>
                <w:sz w:val="19"/>
              </w:rPr>
              <w:t>Construction</w:t>
            </w:r>
          </w:p>
        </w:tc>
      </w:tr>
      <w:tr>
        <w:trPr>
          <w:trHeight w:val="317" w:hRule="atLeast"/>
        </w:trPr>
        <w:tc>
          <w:tcPr>
            <w:tcW w:w="4394" w:type="dxa"/>
            <w:tcBorders>
              <w:left w:val="single" w:sz="8" w:space="0" w:color="FFFFFF"/>
              <w:bottom w:val="single" w:sz="8" w:space="0" w:color="FFFFFF"/>
            </w:tcBorders>
            <w:shd w:val="clear" w:color="auto" w:fill="F4F4F4"/>
          </w:tcPr>
          <w:p>
            <w:pPr>
              <w:pStyle w:val="TableParagraph"/>
              <w:spacing w:before="42"/>
              <w:ind w:left="113"/>
              <w:rPr>
                <w:b/>
                <w:sz w:val="19"/>
              </w:rPr>
            </w:pPr>
            <w:r>
              <w:rPr>
                <w:b/>
                <w:sz w:val="19"/>
              </w:rPr>
              <w:t>Awarded</w:t>
            </w:r>
          </w:p>
        </w:tc>
        <w:tc>
          <w:tcPr>
            <w:tcW w:w="1503" w:type="dxa"/>
            <w:vMerge w:val="restart"/>
            <w:tcBorders>
              <w:right w:val="single" w:sz="4" w:space="0" w:color="FFFFFF"/>
            </w:tcBorders>
            <w:shd w:val="clear" w:color="auto" w:fill="E1E4BB"/>
          </w:tcPr>
          <w:p>
            <w:pPr>
              <w:pStyle w:val="TableParagraph"/>
              <w:spacing w:before="42"/>
              <w:ind w:left="567" w:right="544"/>
              <w:jc w:val="center"/>
              <w:rPr>
                <w:b/>
                <w:sz w:val="19"/>
              </w:rPr>
            </w:pPr>
            <w:r>
              <w:rPr>
                <w:b/>
                <w:sz w:val="19"/>
              </w:rPr>
              <w:t>41</w:t>
            </w:r>
          </w:p>
          <w:p>
            <w:pPr>
              <w:pStyle w:val="TableParagraph"/>
              <w:spacing w:before="0"/>
              <w:rPr>
                <w:sz w:val="22"/>
              </w:rPr>
            </w:pPr>
          </w:p>
          <w:p>
            <w:pPr>
              <w:pStyle w:val="TableParagraph"/>
              <w:spacing w:before="180"/>
              <w:ind w:left="567" w:right="544"/>
              <w:jc w:val="center"/>
              <w:rPr>
                <w:sz w:val="11"/>
              </w:rPr>
            </w:pPr>
            <w:r>
              <w:rPr>
                <w:position w:val="-5"/>
                <w:sz w:val="19"/>
              </w:rPr>
              <w:t>12</w:t>
            </w:r>
            <w:r>
              <w:rPr>
                <w:sz w:val="11"/>
              </w:rPr>
              <w:t>(a)</w:t>
            </w:r>
          </w:p>
          <w:p>
            <w:pPr>
              <w:pStyle w:val="TableParagraph"/>
              <w:spacing w:before="112"/>
              <w:ind w:left="567" w:right="544"/>
              <w:jc w:val="center"/>
              <w:rPr>
                <w:sz w:val="19"/>
              </w:rPr>
            </w:pPr>
            <w:r>
              <w:rPr>
                <w:sz w:val="19"/>
              </w:rPr>
              <w:t>26</w:t>
            </w:r>
          </w:p>
          <w:p>
            <w:pPr>
              <w:pStyle w:val="TableParagraph"/>
              <w:spacing w:before="0"/>
              <w:rPr>
                <w:sz w:val="22"/>
              </w:rPr>
            </w:pPr>
          </w:p>
          <w:p>
            <w:pPr>
              <w:pStyle w:val="TableParagraph"/>
              <w:spacing w:before="183"/>
              <w:ind w:left="567" w:right="544"/>
              <w:jc w:val="center"/>
              <w:rPr>
                <w:sz w:val="19"/>
              </w:rPr>
            </w:pPr>
            <w:r>
              <w:rPr>
                <w:sz w:val="19"/>
              </w:rPr>
              <w:t>38</w:t>
            </w:r>
          </w:p>
          <w:p>
            <w:pPr>
              <w:pStyle w:val="TableParagraph"/>
              <w:spacing w:before="108"/>
              <w:ind w:left="23"/>
              <w:jc w:val="center"/>
              <w:rPr>
                <w:sz w:val="19"/>
              </w:rPr>
            </w:pPr>
            <w:r>
              <w:rPr>
                <w:w w:val="99"/>
                <w:sz w:val="19"/>
              </w:rPr>
              <w:t>0</w:t>
            </w:r>
          </w:p>
          <w:p>
            <w:pPr>
              <w:pStyle w:val="TableParagraph"/>
              <w:spacing w:before="109"/>
              <w:ind w:left="23"/>
              <w:jc w:val="center"/>
              <w:rPr>
                <w:sz w:val="19"/>
              </w:rPr>
            </w:pPr>
            <w:r>
              <w:rPr>
                <w:w w:val="99"/>
                <w:sz w:val="19"/>
              </w:rPr>
              <w:t>0</w:t>
            </w:r>
          </w:p>
        </w:tc>
        <w:tc>
          <w:tcPr>
            <w:tcW w:w="1503" w:type="dxa"/>
            <w:vMerge w:val="restart"/>
            <w:tcBorders>
              <w:left w:val="single" w:sz="4" w:space="0" w:color="FFFFFF"/>
            </w:tcBorders>
            <w:shd w:val="clear" w:color="auto" w:fill="E1E4BB"/>
          </w:tcPr>
          <w:p>
            <w:pPr>
              <w:pStyle w:val="TableParagraph"/>
              <w:spacing w:before="42"/>
              <w:ind w:left="12"/>
              <w:jc w:val="center"/>
              <w:rPr>
                <w:b/>
                <w:sz w:val="19"/>
              </w:rPr>
            </w:pPr>
            <w:r>
              <w:rPr>
                <w:b/>
                <w:w w:val="99"/>
                <w:sz w:val="19"/>
              </w:rPr>
              <w:t>1</w:t>
            </w:r>
          </w:p>
          <w:p>
            <w:pPr>
              <w:pStyle w:val="TableParagraph"/>
              <w:spacing w:before="0"/>
              <w:rPr>
                <w:sz w:val="22"/>
              </w:rPr>
            </w:pPr>
          </w:p>
          <w:p>
            <w:pPr>
              <w:pStyle w:val="TableParagraph"/>
              <w:spacing w:before="183"/>
              <w:ind w:left="12"/>
              <w:jc w:val="center"/>
              <w:rPr>
                <w:sz w:val="19"/>
              </w:rPr>
            </w:pPr>
            <w:r>
              <w:rPr>
                <w:w w:val="99"/>
                <w:sz w:val="19"/>
              </w:rPr>
              <w:t>0</w:t>
            </w:r>
          </w:p>
          <w:p>
            <w:pPr>
              <w:pStyle w:val="TableParagraph"/>
              <w:spacing w:before="109"/>
              <w:ind w:left="12"/>
              <w:jc w:val="center"/>
              <w:rPr>
                <w:sz w:val="19"/>
              </w:rPr>
            </w:pPr>
            <w:r>
              <w:rPr>
                <w:w w:val="99"/>
                <w:sz w:val="19"/>
              </w:rPr>
              <w:t>1</w:t>
            </w:r>
          </w:p>
          <w:p>
            <w:pPr>
              <w:pStyle w:val="TableParagraph"/>
              <w:spacing w:before="0"/>
              <w:rPr>
                <w:sz w:val="22"/>
              </w:rPr>
            </w:pPr>
          </w:p>
          <w:p>
            <w:pPr>
              <w:pStyle w:val="TableParagraph"/>
              <w:spacing w:before="183"/>
              <w:ind w:left="12"/>
              <w:jc w:val="center"/>
              <w:rPr>
                <w:sz w:val="19"/>
              </w:rPr>
            </w:pPr>
            <w:r>
              <w:rPr>
                <w:w w:val="99"/>
                <w:sz w:val="19"/>
              </w:rPr>
              <w:t>1</w:t>
            </w:r>
          </w:p>
          <w:p>
            <w:pPr>
              <w:pStyle w:val="TableParagraph"/>
              <w:spacing w:before="108"/>
              <w:ind w:left="12"/>
              <w:jc w:val="center"/>
              <w:rPr>
                <w:sz w:val="19"/>
              </w:rPr>
            </w:pPr>
            <w:r>
              <w:rPr>
                <w:w w:val="99"/>
                <w:sz w:val="19"/>
              </w:rPr>
              <w:t>0</w:t>
            </w:r>
          </w:p>
          <w:p>
            <w:pPr>
              <w:pStyle w:val="TableParagraph"/>
              <w:spacing w:before="109"/>
              <w:ind w:left="12"/>
              <w:jc w:val="center"/>
              <w:rPr>
                <w:sz w:val="19"/>
              </w:rPr>
            </w:pPr>
            <w:r>
              <w:rPr>
                <w:w w:val="99"/>
                <w:sz w:val="19"/>
              </w:rPr>
              <w:t>0</w:t>
            </w:r>
          </w:p>
        </w:tc>
      </w:tr>
      <w:tr>
        <w:trPr>
          <w:trHeight w:val="634" w:hRule="atLeast"/>
        </w:trPr>
        <w:tc>
          <w:tcPr>
            <w:tcW w:w="4394" w:type="dxa"/>
            <w:tcBorders>
              <w:top w:val="single" w:sz="8" w:space="0" w:color="FFFFFF"/>
              <w:left w:val="single" w:sz="8" w:space="0" w:color="FFFFFF"/>
              <w:bottom w:val="single" w:sz="8" w:space="0" w:color="FFFFFF"/>
            </w:tcBorders>
            <w:shd w:val="clear" w:color="auto" w:fill="FAF9F9"/>
          </w:tcPr>
          <w:p>
            <w:pPr>
              <w:pStyle w:val="TableParagraph"/>
              <w:ind w:left="113"/>
              <w:rPr>
                <w:b/>
                <w:sz w:val="19"/>
              </w:rPr>
            </w:pPr>
            <w:r>
              <w:rPr>
                <w:b/>
                <w:sz w:val="19"/>
              </w:rPr>
              <w:t>Reported</w:t>
            </w:r>
          </w:p>
          <w:p>
            <w:pPr>
              <w:pStyle w:val="TableParagraph"/>
              <w:spacing w:before="109"/>
              <w:ind w:left="271"/>
              <w:rPr>
                <w:sz w:val="19"/>
              </w:rPr>
            </w:pPr>
            <w:r>
              <w:rPr>
                <w:sz w:val="19"/>
              </w:rPr>
              <w:t>Commenced reporting</w:t>
            </w:r>
          </w:p>
        </w:tc>
        <w:tc>
          <w:tcPr>
            <w:tcW w:w="1503" w:type="dxa"/>
            <w:vMerge/>
            <w:tcBorders>
              <w:top w:val="nil"/>
              <w:right w:val="single" w:sz="4" w:space="0" w:color="FFFFFF"/>
            </w:tcBorders>
            <w:shd w:val="clear" w:color="auto" w:fill="E1E4BB"/>
          </w:tcPr>
          <w:p>
            <w:pPr>
              <w:rPr>
                <w:sz w:val="2"/>
                <w:szCs w:val="2"/>
              </w:rPr>
            </w:pPr>
          </w:p>
        </w:tc>
        <w:tc>
          <w:tcPr>
            <w:tcW w:w="1503" w:type="dxa"/>
            <w:vMerge/>
            <w:tcBorders>
              <w:top w:val="nil"/>
              <w:left w:val="single" w:sz="4" w:space="0" w:color="FFFFFF"/>
            </w:tcBorders>
            <w:shd w:val="clear" w:color="auto" w:fill="E1E4BB"/>
          </w:tcPr>
          <w:p>
            <w:pPr>
              <w:rPr>
                <w:sz w:val="2"/>
                <w:szCs w:val="2"/>
              </w:rPr>
            </w:pPr>
          </w:p>
        </w:tc>
      </w:tr>
      <w:tr>
        <w:trPr>
          <w:trHeight w:val="634" w:hRule="atLeast"/>
        </w:trPr>
        <w:tc>
          <w:tcPr>
            <w:tcW w:w="4394" w:type="dxa"/>
            <w:tcBorders>
              <w:top w:val="single" w:sz="8" w:space="0" w:color="FFFFFF"/>
              <w:left w:val="single" w:sz="8" w:space="0" w:color="FFFFFF"/>
              <w:bottom w:val="single" w:sz="8" w:space="0" w:color="FFFFFF"/>
            </w:tcBorders>
            <w:shd w:val="clear" w:color="auto" w:fill="FAF9F9"/>
          </w:tcPr>
          <w:p>
            <w:pPr>
              <w:pStyle w:val="TableParagraph"/>
              <w:ind w:left="271"/>
              <w:rPr>
                <w:sz w:val="19"/>
              </w:rPr>
            </w:pPr>
            <w:r>
              <w:rPr>
                <w:sz w:val="19"/>
              </w:rPr>
              <w:t>Continued reporting from previous financial year</w:t>
            </w:r>
          </w:p>
          <w:p>
            <w:pPr>
              <w:pStyle w:val="TableParagraph"/>
              <w:spacing w:before="109"/>
              <w:ind w:left="113"/>
              <w:rPr>
                <w:b/>
                <w:sz w:val="19"/>
              </w:rPr>
            </w:pPr>
            <w:r>
              <w:rPr>
                <w:b/>
                <w:sz w:val="19"/>
              </w:rPr>
              <w:t>Target training rate</w:t>
            </w:r>
          </w:p>
        </w:tc>
        <w:tc>
          <w:tcPr>
            <w:tcW w:w="1503" w:type="dxa"/>
            <w:vMerge/>
            <w:tcBorders>
              <w:top w:val="nil"/>
              <w:right w:val="single" w:sz="4" w:space="0" w:color="FFFFFF"/>
            </w:tcBorders>
            <w:shd w:val="clear" w:color="auto" w:fill="E1E4BB"/>
          </w:tcPr>
          <w:p>
            <w:pPr>
              <w:rPr>
                <w:sz w:val="2"/>
                <w:szCs w:val="2"/>
              </w:rPr>
            </w:pPr>
          </w:p>
        </w:tc>
        <w:tc>
          <w:tcPr>
            <w:tcW w:w="1503" w:type="dxa"/>
            <w:vMerge/>
            <w:tcBorders>
              <w:top w:val="nil"/>
              <w:left w:val="single" w:sz="4" w:space="0" w:color="FFFFFF"/>
            </w:tcBorders>
            <w:shd w:val="clear" w:color="auto" w:fill="E1E4BB"/>
          </w:tcPr>
          <w:p>
            <w:pPr>
              <w:rPr>
                <w:sz w:val="2"/>
                <w:szCs w:val="2"/>
              </w:rPr>
            </w:pPr>
          </w:p>
        </w:tc>
      </w:tr>
      <w:tr>
        <w:trPr>
          <w:trHeight w:val="634" w:hRule="atLeast"/>
        </w:trPr>
        <w:tc>
          <w:tcPr>
            <w:tcW w:w="4394" w:type="dxa"/>
            <w:tcBorders>
              <w:top w:val="single" w:sz="8" w:space="0" w:color="FFFFFF"/>
              <w:left w:val="single" w:sz="8" w:space="0" w:color="FFFFFF"/>
              <w:bottom w:val="single" w:sz="8" w:space="0" w:color="FFFFFF"/>
            </w:tcBorders>
            <w:shd w:val="clear" w:color="auto" w:fill="FAF9F9"/>
          </w:tcPr>
          <w:p>
            <w:pPr>
              <w:pStyle w:val="TableParagraph"/>
              <w:ind w:left="271"/>
              <w:rPr>
                <w:sz w:val="19"/>
              </w:rPr>
            </w:pPr>
            <w:r>
              <w:rPr>
                <w:sz w:val="19"/>
              </w:rPr>
              <w:t>Met or exceeded</w:t>
            </w:r>
          </w:p>
          <w:p>
            <w:pPr>
              <w:pStyle w:val="TableParagraph"/>
              <w:spacing w:before="109"/>
              <w:ind w:left="271"/>
              <w:rPr>
                <w:sz w:val="19"/>
              </w:rPr>
            </w:pPr>
            <w:r>
              <w:rPr>
                <w:sz w:val="19"/>
              </w:rPr>
              <w:t>Did not meet</w:t>
            </w:r>
          </w:p>
        </w:tc>
        <w:tc>
          <w:tcPr>
            <w:tcW w:w="1503" w:type="dxa"/>
            <w:vMerge/>
            <w:tcBorders>
              <w:top w:val="nil"/>
              <w:right w:val="single" w:sz="4" w:space="0" w:color="FFFFFF"/>
            </w:tcBorders>
            <w:shd w:val="clear" w:color="auto" w:fill="E1E4BB"/>
          </w:tcPr>
          <w:p>
            <w:pPr>
              <w:rPr>
                <w:sz w:val="2"/>
                <w:szCs w:val="2"/>
              </w:rPr>
            </w:pPr>
          </w:p>
        </w:tc>
        <w:tc>
          <w:tcPr>
            <w:tcW w:w="1503" w:type="dxa"/>
            <w:vMerge/>
            <w:tcBorders>
              <w:top w:val="nil"/>
              <w:left w:val="single" w:sz="4" w:space="0" w:color="FFFFFF"/>
            </w:tcBorders>
            <w:shd w:val="clear" w:color="auto" w:fill="E1E4BB"/>
          </w:tcPr>
          <w:p>
            <w:pPr>
              <w:rPr>
                <w:sz w:val="2"/>
                <w:szCs w:val="2"/>
              </w:rPr>
            </w:pPr>
          </w:p>
        </w:tc>
      </w:tr>
      <w:tr>
        <w:trPr>
          <w:trHeight w:val="317" w:hRule="atLeast"/>
        </w:trPr>
        <w:tc>
          <w:tcPr>
            <w:tcW w:w="4394" w:type="dxa"/>
            <w:tcBorders>
              <w:top w:val="single" w:sz="8" w:space="0" w:color="FFFFFF"/>
              <w:left w:val="single" w:sz="8" w:space="0" w:color="FFFFFF"/>
            </w:tcBorders>
            <w:shd w:val="clear" w:color="auto" w:fill="FAF9F9"/>
          </w:tcPr>
          <w:p>
            <w:pPr>
              <w:pStyle w:val="TableParagraph"/>
              <w:ind w:left="271"/>
              <w:rPr>
                <w:sz w:val="19"/>
              </w:rPr>
            </w:pPr>
            <w:r>
              <w:rPr>
                <w:sz w:val="19"/>
              </w:rPr>
              <w:t>Granted a variation</w:t>
            </w:r>
          </w:p>
        </w:tc>
        <w:tc>
          <w:tcPr>
            <w:tcW w:w="1503" w:type="dxa"/>
            <w:vMerge/>
            <w:tcBorders>
              <w:top w:val="nil"/>
              <w:right w:val="single" w:sz="4" w:space="0" w:color="FFFFFF"/>
            </w:tcBorders>
            <w:shd w:val="clear" w:color="auto" w:fill="E1E4BB"/>
          </w:tcPr>
          <w:p>
            <w:pPr>
              <w:rPr>
                <w:sz w:val="2"/>
                <w:szCs w:val="2"/>
              </w:rPr>
            </w:pPr>
          </w:p>
        </w:tc>
        <w:tc>
          <w:tcPr>
            <w:tcW w:w="1503" w:type="dxa"/>
            <w:vMerge/>
            <w:tcBorders>
              <w:top w:val="nil"/>
              <w:left w:val="single" w:sz="4" w:space="0" w:color="FFFFFF"/>
            </w:tcBorders>
            <w:shd w:val="clear" w:color="auto" w:fill="E1E4BB"/>
          </w:tcPr>
          <w:p>
            <w:pPr>
              <w:rPr>
                <w:sz w:val="2"/>
                <w:szCs w:val="2"/>
              </w:rPr>
            </w:pPr>
          </w:p>
        </w:tc>
      </w:tr>
    </w:tbl>
    <w:p>
      <w:pPr>
        <w:spacing w:before="176"/>
        <w:ind w:left="397" w:right="0" w:firstLine="0"/>
        <w:jc w:val="left"/>
        <w:rPr>
          <w:sz w:val="12"/>
        </w:rPr>
      </w:pPr>
      <w:r>
        <w:rPr>
          <w:sz w:val="12"/>
        </w:rPr>
        <w:t>(a) Three are yet to commence reporting.</w:t>
      </w:r>
    </w:p>
    <w:p>
      <w:pPr>
        <w:spacing w:after="0"/>
        <w:jc w:val="left"/>
        <w:rPr>
          <w:sz w:val="12"/>
        </w:rPr>
        <w:sectPr>
          <w:type w:val="continuous"/>
          <w:pgSz w:w="16840" w:h="11910" w:orient="landscape"/>
          <w:pgMar w:top="1100" w:bottom="280" w:left="0" w:right="0"/>
          <w:cols w:num="2" w:equalWidth="0">
            <w:col w:w="8199" w:space="40"/>
            <w:col w:w="86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tabs>
          <w:tab w:pos="5951" w:val="left" w:leader="none"/>
          <w:tab w:pos="16072" w:val="left" w:leader="none"/>
        </w:tabs>
        <w:spacing w:before="0"/>
        <w:ind w:left="765" w:right="0" w:firstLine="0"/>
        <w:jc w:val="left"/>
        <w:rPr>
          <w:b/>
          <w:sz w:val="20"/>
        </w:rPr>
      </w:pPr>
      <w:r>
        <w:rPr/>
        <w:pict>
          <v:group style="position:absolute;margin-left:817.839111pt;margin-top:-14.855018pt;width:24.1pt;height:41.55pt;mso-position-horizontal-relative:page;mso-position-vertical-relative:paragraph;z-index:30640" coordorigin="16357,-297" coordsize="482,831">
            <v:shape style="position:absolute;left:16356;top:-298;width:482;height:831" coordorigin="16357,-297" coordsize="482,831" path="m16772,-297l16697,-290,16627,-271,16562,-240,16504,-199,16454,-149,16413,-91,16383,-27,16363,43,16357,118,16363,193,16383,263,16413,328,16454,386,16504,436,16562,477,16627,507,16697,527,16772,533,16789,533,16805,532,16822,530,16838,528,16838,-291,16822,-294,16805,-296,16789,-297,16772,-297xe" filled="true" fillcolor="#aebd37" stroked="false">
              <v:path arrowok="t"/>
              <v:fill opacity="13107f" type="solid"/>
            </v:shape>
            <v:shape style="position:absolute;left:16571;top:32;width:93;height:171" coordorigin="16571,32" coordsize="93,171" path="m16590,32l16582,32,16571,42,16571,51,16638,117,16638,119,16571,186,16571,194,16579,202,16582,203,16589,203,16592,202,16655,138,16662,129,16664,119,16664,117,16662,107,16655,98,16590,32xe" filled="true" fillcolor="#000000" stroked="false">
              <v:path arrowok="t"/>
              <v:fill type="solid"/>
            </v:shape>
            <w10:wrap type="none"/>
          </v:group>
        </w:pict>
      </w:r>
      <w:r>
        <w:rPr/>
        <w:pict>
          <v:group style="position:absolute;margin-left:0pt;margin-top:-14.855018pt;width:24.1pt;height:41.55pt;mso-position-horizontal-relative:page;mso-position-vertical-relative:paragraph;z-index:30664" coordorigin="0,-297" coordsize="482,831">
            <v:shape style="position:absolute;left:0;top:-298;width:482;height:831" coordorigin="0,-297" coordsize="482,831" path="m66,-297l49,-297,33,-296,16,-294,0,-291,0,528,16,530,33,532,49,533,66,533,140,527,211,507,275,477,333,436,383,386,424,328,455,263,474,193,481,118,474,43,455,-27,424,-91,383,-149,333,-199,275,-240,211,-271,140,-290,66,-297xe" filled="true" fillcolor="#aebd37" stroked="false">
              <v:path arrowok="t"/>
              <v:fill opacity="13107f" type="solid"/>
            </v:shape>
            <v:shape style="position:absolute;left:174;top:32;width:93;height:171" coordorigin="174,32" coordsize="93,171" path="m256,32l248,32,182,98,176,107,174,117,174,119,176,129,182,138,245,202,249,203,256,203,259,202,267,194,267,186,200,119,200,117,267,51,267,42,256,32xe" filled="true" fillcolor="#000000" stroked="false">
              <v:path arrowok="t"/>
              <v:fill type="solid"/>
            </v:shape>
            <w10:wrap type="none"/>
          </v:group>
        </w:pict>
      </w:r>
      <w:r>
        <w:rPr>
          <w:b/>
          <w:color w:val="6F2770"/>
          <w:sz w:val="20"/>
        </w:rPr>
        <w:t>116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bookmarkStart w:name="_bookmark51" w:id="52"/>
      <w:bookmarkEnd w:id="52"/>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spacing w:before="5"/>
        <w:rPr>
          <w:b/>
          <w:sz w:val="26"/>
        </w:rPr>
      </w:pPr>
    </w:p>
    <w:p>
      <w:pPr>
        <w:spacing w:after="0"/>
        <w:rPr>
          <w:sz w:val="26"/>
        </w:rPr>
        <w:sectPr>
          <w:footerReference w:type="default" r:id="rId246"/>
          <w:pgSz w:w="16840" w:h="11910" w:orient="landscape"/>
          <w:pgMar w:footer="0" w:header="0" w:top="0" w:bottom="0" w:left="0" w:right="0"/>
        </w:sectPr>
      </w:pPr>
    </w:p>
    <w:p>
      <w:pPr>
        <w:pStyle w:val="Heading4"/>
        <w:spacing w:before="110"/>
      </w:pPr>
      <w:r>
        <w:rPr/>
        <w:pict>
          <v:shape style="position:absolute;margin-left:601.348999pt;margin-top:-70.506226pt;width:120.3pt;height:42.55pt;mso-position-horizontal-relative:page;mso-position-vertical-relative:paragraph;z-index:30832" type="#_x0000_t202" filled="true" fillcolor="#d4d896" stroked="false">
            <v:textbox inset="0,0,0,0">
              <w:txbxContent>
                <w:p>
                  <w:pPr>
                    <w:pStyle w:val="BodyText"/>
                    <w:spacing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70.506226pt;width:120.3pt;height:42.55pt;mso-position-horizontal-relative:page;mso-position-vertical-relative:paragraph;z-index:30856"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70.506226pt;width:120.3pt;height:42.55pt;mso-position-horizontal-relative:page;mso-position-vertical-relative:paragraph;z-index:30880" type="#_x0000_t202" filled="true" fillcolor="#c3acc4" stroked="false">
            <v:textbox inset="0,0,0,0">
              <w:txbxContent>
                <w:p>
                  <w:pPr>
                    <w:pStyle w:val="BodyText"/>
                    <w:spacing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Substantive equality</w:t>
      </w:r>
    </w:p>
    <w:p>
      <w:pPr>
        <w:pStyle w:val="BodyText"/>
        <w:spacing w:line="249" w:lineRule="auto" w:before="246"/>
        <w:ind w:left="765" w:right="-8"/>
      </w:pPr>
      <w:r>
        <w:rPr/>
        <w:t>The Department of Finance advocates the provision of services that address the different needs of Western </w:t>
      </w:r>
      <w:r>
        <w:rPr>
          <w:spacing w:val="-3"/>
        </w:rPr>
        <w:t>Australia’s </w:t>
      </w:r>
      <w:r>
        <w:rPr/>
        <w:t>diverse community and the elimination of systemic bias and discrimination.</w:t>
      </w:r>
      <w:r>
        <w:rPr>
          <w:spacing w:val="-25"/>
        </w:rPr>
        <w:t> </w:t>
      </w:r>
      <w:r>
        <w:rPr>
          <w:spacing w:val="-13"/>
        </w:rPr>
        <w:t>To</w:t>
      </w:r>
      <w:r>
        <w:rPr>
          <w:spacing w:val="-24"/>
        </w:rPr>
        <w:t> </w:t>
      </w:r>
      <w:r>
        <w:rPr/>
        <w:t>ensure</w:t>
      </w:r>
      <w:r>
        <w:rPr>
          <w:spacing w:val="-24"/>
        </w:rPr>
        <w:t> </w:t>
      </w:r>
      <w:r>
        <w:rPr/>
        <w:t>equality</w:t>
      </w:r>
      <w:r>
        <w:rPr>
          <w:spacing w:val="-24"/>
        </w:rPr>
        <w:t> </w:t>
      </w:r>
      <w:r>
        <w:rPr/>
        <w:t>of</w:t>
      </w:r>
      <w:r>
        <w:rPr>
          <w:spacing w:val="-25"/>
        </w:rPr>
        <w:t> </w:t>
      </w:r>
      <w:r>
        <w:rPr/>
        <w:t>opportunity</w:t>
      </w:r>
      <w:r>
        <w:rPr>
          <w:spacing w:val="-24"/>
        </w:rPr>
        <w:t> </w:t>
      </w:r>
      <w:r>
        <w:rPr>
          <w:spacing w:val="-7"/>
        </w:rPr>
        <w:t>for </w:t>
      </w:r>
      <w:r>
        <w:rPr/>
        <w:t>staff and clients, access, participation and equity needs are considered in the development and delivery of all policies and</w:t>
      </w:r>
      <w:r>
        <w:rPr>
          <w:spacing w:val="-26"/>
        </w:rPr>
        <w:t> </w:t>
      </w:r>
      <w:r>
        <w:rPr/>
        <w:t>services.</w:t>
      </w:r>
    </w:p>
    <w:p>
      <w:pPr>
        <w:pStyle w:val="BodyText"/>
        <w:spacing w:before="6"/>
        <w:rPr>
          <w:sz w:val="23"/>
        </w:rPr>
      </w:pPr>
    </w:p>
    <w:p>
      <w:pPr>
        <w:pStyle w:val="BodyText"/>
        <w:spacing w:line="249" w:lineRule="auto"/>
        <w:ind w:left="765" w:right="365"/>
      </w:pPr>
      <w:r>
        <w:rPr/>
        <w:t>This</w:t>
      </w:r>
      <w:r>
        <w:rPr>
          <w:spacing w:val="-21"/>
        </w:rPr>
        <w:t> </w:t>
      </w:r>
      <w:r>
        <w:rPr>
          <w:spacing w:val="-5"/>
        </w:rPr>
        <w:t>year,</w:t>
      </w:r>
      <w:r>
        <w:rPr>
          <w:spacing w:val="-21"/>
        </w:rPr>
        <w:t> </w:t>
      </w:r>
      <w:r>
        <w:rPr/>
        <w:t>the</w:t>
      </w:r>
      <w:r>
        <w:rPr>
          <w:spacing w:val="-21"/>
        </w:rPr>
        <w:t> </w:t>
      </w:r>
      <w:r>
        <w:rPr/>
        <w:t>Department</w:t>
      </w:r>
      <w:r>
        <w:rPr>
          <w:spacing w:val="-21"/>
        </w:rPr>
        <w:t> </w:t>
      </w:r>
      <w:r>
        <w:rPr/>
        <w:t>undertook</w:t>
      </w:r>
      <w:r>
        <w:rPr>
          <w:spacing w:val="-21"/>
        </w:rPr>
        <w:t> </w:t>
      </w:r>
      <w:r>
        <w:rPr/>
        <w:t>a</w:t>
      </w:r>
      <w:r>
        <w:rPr>
          <w:spacing w:val="-21"/>
        </w:rPr>
        <w:t> </w:t>
      </w:r>
      <w:r>
        <w:rPr>
          <w:spacing w:val="-3"/>
        </w:rPr>
        <w:t>detailed </w:t>
      </w:r>
      <w:r>
        <w:rPr/>
        <w:t>analysis of women in management to better understand the barriers that prevent women from attaining senior roles so it could develop strategies to address this. Significant effort was</w:t>
      </w:r>
      <w:r>
        <w:rPr>
          <w:spacing w:val="-10"/>
        </w:rPr>
        <w:t> </w:t>
      </w:r>
      <w:r>
        <w:rPr/>
        <w:t>committed</w:t>
      </w:r>
      <w:r>
        <w:rPr>
          <w:spacing w:val="-9"/>
        </w:rPr>
        <w:t> </w:t>
      </w:r>
      <w:r>
        <w:rPr/>
        <w:t>to</w:t>
      </w:r>
      <w:r>
        <w:rPr>
          <w:spacing w:val="-9"/>
        </w:rPr>
        <w:t> </w:t>
      </w:r>
      <w:r>
        <w:rPr/>
        <w:t>developing</w:t>
      </w:r>
      <w:r>
        <w:rPr>
          <w:spacing w:val="-9"/>
        </w:rPr>
        <w:t> </w:t>
      </w:r>
      <w:r>
        <w:rPr/>
        <w:t>an</w:t>
      </w:r>
      <w:r>
        <w:rPr>
          <w:spacing w:val="-10"/>
        </w:rPr>
        <w:t> </w:t>
      </w:r>
      <w:r>
        <w:rPr/>
        <w:t>Aboriginal</w:t>
      </w:r>
    </w:p>
    <w:p>
      <w:pPr>
        <w:pStyle w:val="BodyText"/>
        <w:spacing w:line="249" w:lineRule="auto" w:before="6"/>
        <w:ind w:left="765" w:right="298"/>
      </w:pPr>
      <w:r>
        <w:rPr/>
        <w:t>Procurement</w:t>
      </w:r>
      <w:r>
        <w:rPr>
          <w:spacing w:val="-24"/>
        </w:rPr>
        <w:t> </w:t>
      </w:r>
      <w:r>
        <w:rPr/>
        <w:t>Policy</w:t>
      </w:r>
      <w:r>
        <w:rPr>
          <w:spacing w:val="-24"/>
        </w:rPr>
        <w:t> </w:t>
      </w:r>
      <w:r>
        <w:rPr/>
        <w:t>to</w:t>
      </w:r>
      <w:r>
        <w:rPr>
          <w:spacing w:val="-23"/>
        </w:rPr>
        <w:t> </w:t>
      </w:r>
      <w:r>
        <w:rPr/>
        <w:t>improve</w:t>
      </w:r>
      <w:r>
        <w:rPr>
          <w:spacing w:val="-24"/>
        </w:rPr>
        <w:t> </w:t>
      </w:r>
      <w:r>
        <w:rPr/>
        <w:t>opportunities</w:t>
      </w:r>
      <w:r>
        <w:rPr>
          <w:spacing w:val="-23"/>
        </w:rPr>
        <w:t> </w:t>
      </w:r>
      <w:r>
        <w:rPr>
          <w:spacing w:val="-6"/>
        </w:rPr>
        <w:t>for </w:t>
      </w:r>
      <w:r>
        <w:rPr/>
        <w:t>Aboriginal-owned</w:t>
      </w:r>
      <w:r>
        <w:rPr>
          <w:spacing w:val="-22"/>
        </w:rPr>
        <w:t> </w:t>
      </w:r>
      <w:r>
        <w:rPr/>
        <w:t>businesses</w:t>
      </w:r>
      <w:r>
        <w:rPr>
          <w:spacing w:val="-21"/>
        </w:rPr>
        <w:t> </w:t>
      </w:r>
      <w:r>
        <w:rPr/>
        <w:t>to</w:t>
      </w:r>
      <w:r>
        <w:rPr>
          <w:spacing w:val="-21"/>
        </w:rPr>
        <w:t> </w:t>
      </w:r>
      <w:r>
        <w:rPr/>
        <w:t>provide</w:t>
      </w:r>
      <w:r>
        <w:rPr>
          <w:spacing w:val="-21"/>
        </w:rPr>
        <w:t> </w:t>
      </w:r>
      <w:r>
        <w:rPr/>
        <w:t>goods and services to</w:t>
      </w:r>
      <w:r>
        <w:rPr>
          <w:spacing w:val="-7"/>
        </w:rPr>
        <w:t> </w:t>
      </w:r>
      <w:r>
        <w:rPr/>
        <w:t>government.</w:t>
      </w:r>
    </w:p>
    <w:p>
      <w:pPr>
        <w:pStyle w:val="BodyText"/>
        <w:spacing w:before="2"/>
        <w:rPr>
          <w:sz w:val="23"/>
        </w:rPr>
      </w:pPr>
    </w:p>
    <w:p>
      <w:pPr>
        <w:pStyle w:val="BodyText"/>
        <w:spacing w:line="249" w:lineRule="auto"/>
        <w:ind w:left="765" w:right="6"/>
      </w:pPr>
      <w:r>
        <w:rPr/>
        <w:t>The</w:t>
      </w:r>
      <w:r>
        <w:rPr>
          <w:spacing w:val="-25"/>
        </w:rPr>
        <w:t> </w:t>
      </w:r>
      <w:r>
        <w:rPr/>
        <w:t>Department</w:t>
      </w:r>
      <w:r>
        <w:rPr>
          <w:spacing w:val="-24"/>
        </w:rPr>
        <w:t> </w:t>
      </w:r>
      <w:r>
        <w:rPr/>
        <w:t>continued</w:t>
      </w:r>
      <w:r>
        <w:rPr>
          <w:spacing w:val="-24"/>
        </w:rPr>
        <w:t> </w:t>
      </w:r>
      <w:r>
        <w:rPr/>
        <w:t>to</w:t>
      </w:r>
      <w:r>
        <w:rPr>
          <w:spacing w:val="-25"/>
        </w:rPr>
        <w:t> </w:t>
      </w:r>
      <w:r>
        <w:rPr/>
        <w:t>promote</w:t>
      </w:r>
      <w:r>
        <w:rPr>
          <w:spacing w:val="-24"/>
        </w:rPr>
        <w:t> </w:t>
      </w:r>
      <w:r>
        <w:rPr/>
        <w:t>an</w:t>
      </w:r>
      <w:r>
        <w:rPr>
          <w:spacing w:val="-24"/>
        </w:rPr>
        <w:t> </w:t>
      </w:r>
      <w:r>
        <w:rPr/>
        <w:t>inclusive workplace</w:t>
      </w:r>
      <w:r>
        <w:rPr>
          <w:spacing w:val="-22"/>
        </w:rPr>
        <w:t> </w:t>
      </w:r>
      <w:r>
        <w:rPr/>
        <w:t>by</w:t>
      </w:r>
      <w:r>
        <w:rPr>
          <w:spacing w:val="-21"/>
        </w:rPr>
        <w:t> </w:t>
      </w:r>
      <w:r>
        <w:rPr/>
        <w:t>notifying</w:t>
      </w:r>
      <w:r>
        <w:rPr>
          <w:spacing w:val="-22"/>
        </w:rPr>
        <w:t> </w:t>
      </w:r>
      <w:r>
        <w:rPr/>
        <w:t>staff</w:t>
      </w:r>
      <w:r>
        <w:rPr>
          <w:spacing w:val="-21"/>
        </w:rPr>
        <w:t> </w:t>
      </w:r>
      <w:r>
        <w:rPr/>
        <w:t>about</w:t>
      </w:r>
      <w:r>
        <w:rPr>
          <w:spacing w:val="-22"/>
        </w:rPr>
        <w:t> </w:t>
      </w:r>
      <w:r>
        <w:rPr/>
        <w:t>the</w:t>
      </w:r>
      <w:r>
        <w:rPr>
          <w:spacing w:val="-21"/>
        </w:rPr>
        <w:t> </w:t>
      </w:r>
      <w:r>
        <w:rPr/>
        <w:t>International Day against Homophobia, Biphobia, Intersexism, and Transphobia, as well as delivering Aboriginal cultural training to staff responsible for the Aboriginal Procurement</w:t>
      </w:r>
      <w:r>
        <w:rPr>
          <w:spacing w:val="-7"/>
        </w:rPr>
        <w:t> </w:t>
      </w:r>
      <w:r>
        <w:rPr>
          <w:spacing w:val="-3"/>
        </w:rPr>
        <w:t>Policy.</w:t>
      </w:r>
    </w:p>
    <w:p>
      <w:pPr>
        <w:pStyle w:val="Heading4"/>
        <w:spacing w:line="249" w:lineRule="auto" w:before="110"/>
        <w:ind w:left="395" w:right="4"/>
      </w:pPr>
      <w:r>
        <w:rPr/>
        <w:br w:type="column"/>
      </w:r>
      <w:r>
        <w:rPr>
          <w:color w:val="6F2770"/>
        </w:rPr>
        <w:t>Occupational safety and health,</w:t>
      </w:r>
      <w:r>
        <w:rPr>
          <w:color w:val="6F2770"/>
          <w:spacing w:val="-63"/>
        </w:rPr>
        <w:t> </w:t>
      </w:r>
      <w:r>
        <w:rPr>
          <w:color w:val="6F2770"/>
        </w:rPr>
        <w:t>and</w:t>
      </w:r>
      <w:r>
        <w:rPr>
          <w:color w:val="6F2770"/>
          <w:spacing w:val="-62"/>
        </w:rPr>
        <w:t> </w:t>
      </w:r>
      <w:r>
        <w:rPr>
          <w:color w:val="6F2770"/>
        </w:rPr>
        <w:t>injury</w:t>
      </w:r>
      <w:r>
        <w:rPr>
          <w:color w:val="6F2770"/>
          <w:spacing w:val="-62"/>
        </w:rPr>
        <w:t> </w:t>
      </w:r>
      <w:r>
        <w:rPr>
          <w:color w:val="6F2770"/>
        </w:rPr>
        <w:t>management</w:t>
      </w:r>
    </w:p>
    <w:p>
      <w:pPr>
        <w:pStyle w:val="BodyText"/>
        <w:spacing w:line="249" w:lineRule="auto" w:before="231"/>
        <w:ind w:left="395" w:right="233"/>
      </w:pPr>
      <w:r>
        <w:rPr/>
        <w:pict>
          <v:group style="position:absolute;margin-left:294.784241pt;margin-top:-8.265836pt;width:547.15pt;height:484.55pt;mso-position-horizontal-relative:page;mso-position-vertical-relative:paragraph;z-index:-681712" coordorigin="5896,-165" coordsize="10943,9691">
            <v:shape style="position:absolute;left:5895;top:-166;width:10943;height:9691" type="#_x0000_t75" stroked="false">
              <v:imagedata r:id="rId247" o:title=""/>
            </v:shape>
            <v:shape style="position:absolute;left:11253;top:516;width:199;height:199" type="#_x0000_t75" stroked="false">
              <v:imagedata r:id="rId248" o:title=""/>
            </v:shape>
            <v:shape style="position:absolute;left:11253;top:1049;width:199;height:199" type="#_x0000_t75" stroked="false">
              <v:imagedata r:id="rId249" o:title=""/>
            </v:shape>
            <v:shape style="position:absolute;left:11253;top:2103;width:199;height:199" type="#_x0000_t75" stroked="false">
              <v:imagedata r:id="rId249" o:title=""/>
            </v:shape>
            <v:shape style="position:absolute;left:-1663;top:17637;width:962;height:962" coordorigin="-1662,17638" coordsize="962,962" path="m12322,6595l12615,6888m12185,6568l12641,7024m12080,6573l12636,7130m11993,6597l12612,7216m11919,6633l12576,7291m11854,6679l12531,7355m11798,6733l12476,7411m11751,6797l12413,7458m11714,6870l12339,7495m11689,6955l12254,7520m11679,7056l12154,7530m11700,7187l12023,7510e" filled="false" stroked="true" strokeweight=".25pt" strokecolor="#aebd37">
              <v:path arrowok="t"/>
              <v:stroke dashstyle="solid"/>
            </v:shape>
            <v:shape style="position:absolute;left:-4488;top:-1816;width:1796;height:1796" coordorigin="-4488,-1815" coordsize="1796,1796" path="m12545,7257l12214,6926m12738,7340l12131,6733m12878,7369l12102,6594m12996,7377l12094,6475m13099,7370l12101,6372m13194,7354l12117,6278m13280,7330l12141,6191m13359,7299l12172,6112m13432,7262l12210,6039m13500,7219l12252,5971m13563,7172l12299,5908m13622,7120l12351,5850m13675,7063l12408,5796m13723,7001l12470,5748m13767,6934l12537,5704m13805,6862l12609,5666m13837,6784l12687,5634m13864,6700l12771,5608m13881,6607l12864,5590m13890,6506l12965,5581m13887,6392l13079,5585m13864,6259l13212,5607m13800,6084l13387,5672e" filled="false" stroked="true" strokeweight=".25pt" strokecolor="#6f2770">
              <v:path arrowok="t"/>
              <v:stroke dashstyle="solid"/>
            </v:shape>
            <v:shape style="position:absolute;left:16356;top:8551;width:482;height:831" coordorigin="16357,8551" coordsize="482,831" path="m16772,8551l16697,8558,16627,8577,16562,8608,16504,8649,16454,8699,16413,8757,16383,8822,16363,8892,16357,8966,16363,9041,16383,9111,16413,9176,16454,9234,16504,9284,16562,9325,16627,9356,16697,9375,16772,9382,16789,9381,16805,9380,16822,9378,16838,9376,16838,8557,16822,8555,16805,8553,16789,8552,16772,8551xe" filled="true" fillcolor="#ffffff" stroked="false">
              <v:path arrowok="t"/>
              <v:fill type="solid"/>
            </v:shape>
            <v:shape style="position:absolute;left:16356;top:8551;width:482;height:831" coordorigin="16357,8551" coordsize="482,831" path="m16772,8551l16697,8558,16627,8577,16562,8608,16504,8649,16454,8699,16413,8757,16383,8822,16363,8892,16357,8966,16363,9041,16383,9111,16413,9176,16454,9234,16504,9284,16562,9325,16627,9356,16697,9375,16772,9382,16789,9381,16805,9380,16822,9378,16838,9376,16838,8557,16822,8555,16805,8553,16789,8552,16772,8551xe" filled="true" fillcolor="#aebd37" stroked="false">
              <v:path arrowok="t"/>
              <v:fill opacity="13107f" type="solid"/>
            </v:shape>
            <v:shape style="position:absolute;left:16571;top:8880;width:93;height:171" coordorigin="16571,8880" coordsize="93,171" path="m16590,8880l16582,8880,16571,8891,16571,8899,16638,8965,16638,8967,16571,9034,16571,9042,16579,9050,16582,9051,16589,9051,16592,9050,16655,8987,16662,8977,16664,8967,16664,8965,16662,8956,16655,8946,16590,8880xe" filled="true" fillcolor="#000000" stroked="false">
              <v:path arrowok="t"/>
              <v:fill type="solid"/>
            </v:shape>
            <w10:wrap type="none"/>
          </v:group>
        </w:pict>
      </w:r>
      <w:r>
        <w:rPr/>
        <w:t>The Department is committed to ensuring the ongoing safety and health of all employees, contractors and visitors in its various work locations</w:t>
      </w:r>
      <w:r>
        <w:rPr>
          <w:spacing w:val="-19"/>
        </w:rPr>
        <w:t> </w:t>
      </w:r>
      <w:r>
        <w:rPr/>
        <w:t>and</w:t>
      </w:r>
      <w:r>
        <w:rPr>
          <w:spacing w:val="-18"/>
        </w:rPr>
        <w:t> </w:t>
      </w:r>
      <w:r>
        <w:rPr/>
        <w:t>actively</w:t>
      </w:r>
      <w:r>
        <w:rPr>
          <w:spacing w:val="-18"/>
        </w:rPr>
        <w:t> </w:t>
      </w:r>
      <w:r>
        <w:rPr/>
        <w:t>promotes</w:t>
      </w:r>
      <w:r>
        <w:rPr>
          <w:spacing w:val="-18"/>
        </w:rPr>
        <w:t> </w:t>
      </w:r>
      <w:r>
        <w:rPr/>
        <w:t>a</w:t>
      </w:r>
      <w:r>
        <w:rPr>
          <w:spacing w:val="-19"/>
        </w:rPr>
        <w:t> </w:t>
      </w:r>
      <w:r>
        <w:rPr/>
        <w:t>strong</w:t>
      </w:r>
      <w:r>
        <w:rPr>
          <w:spacing w:val="-18"/>
        </w:rPr>
        <w:t> </w:t>
      </w:r>
      <w:r>
        <w:rPr/>
        <w:t>health and</w:t>
      </w:r>
      <w:r>
        <w:rPr>
          <w:spacing w:val="-26"/>
        </w:rPr>
        <w:t> </w:t>
      </w:r>
      <w:r>
        <w:rPr/>
        <w:t>safety</w:t>
      </w:r>
      <w:r>
        <w:rPr>
          <w:spacing w:val="-25"/>
        </w:rPr>
        <w:t> </w:t>
      </w:r>
      <w:r>
        <w:rPr/>
        <w:t>culture.</w:t>
      </w:r>
      <w:r>
        <w:rPr>
          <w:spacing w:val="-25"/>
        </w:rPr>
        <w:t> </w:t>
      </w:r>
      <w:r>
        <w:rPr/>
        <w:t>The</w:t>
      </w:r>
      <w:r>
        <w:rPr>
          <w:spacing w:val="-25"/>
        </w:rPr>
        <w:t> </w:t>
      </w:r>
      <w:r>
        <w:rPr/>
        <w:t>Occupational</w:t>
      </w:r>
      <w:r>
        <w:rPr>
          <w:spacing w:val="-25"/>
        </w:rPr>
        <w:t> </w:t>
      </w:r>
      <w:r>
        <w:rPr/>
        <w:t>Safety</w:t>
      </w:r>
      <w:r>
        <w:rPr>
          <w:spacing w:val="-25"/>
        </w:rPr>
        <w:t> </w:t>
      </w:r>
      <w:r>
        <w:rPr>
          <w:spacing w:val="-6"/>
        </w:rPr>
        <w:t>and </w:t>
      </w:r>
      <w:r>
        <w:rPr/>
        <w:t>Health</w:t>
      </w:r>
      <w:r>
        <w:rPr>
          <w:spacing w:val="-28"/>
        </w:rPr>
        <w:t> </w:t>
      </w:r>
      <w:r>
        <w:rPr/>
        <w:t>(OSH)</w:t>
      </w:r>
      <w:r>
        <w:rPr>
          <w:spacing w:val="-27"/>
        </w:rPr>
        <w:t> </w:t>
      </w:r>
      <w:r>
        <w:rPr/>
        <w:t>Policy</w:t>
      </w:r>
      <w:r>
        <w:rPr>
          <w:spacing w:val="-27"/>
        </w:rPr>
        <w:t> </w:t>
      </w:r>
      <w:r>
        <w:rPr/>
        <w:t>reiterates</w:t>
      </w:r>
      <w:r>
        <w:rPr>
          <w:spacing w:val="-27"/>
        </w:rPr>
        <w:t> </w:t>
      </w:r>
      <w:r>
        <w:rPr/>
        <w:t>this</w:t>
      </w:r>
      <w:r>
        <w:rPr>
          <w:spacing w:val="-27"/>
        </w:rPr>
        <w:t> </w:t>
      </w:r>
      <w:r>
        <w:rPr/>
        <w:t>commitment and</w:t>
      </w:r>
      <w:r>
        <w:rPr>
          <w:spacing w:val="-28"/>
        </w:rPr>
        <w:t> </w:t>
      </w:r>
      <w:r>
        <w:rPr/>
        <w:t>outlines</w:t>
      </w:r>
      <w:r>
        <w:rPr>
          <w:spacing w:val="-28"/>
        </w:rPr>
        <w:t> </w:t>
      </w:r>
      <w:r>
        <w:rPr/>
        <w:t>the</w:t>
      </w:r>
      <w:r>
        <w:rPr>
          <w:spacing w:val="-27"/>
        </w:rPr>
        <w:t> </w:t>
      </w:r>
      <w:r>
        <w:rPr/>
        <w:t>responsibilities</w:t>
      </w:r>
      <w:r>
        <w:rPr>
          <w:spacing w:val="-28"/>
        </w:rPr>
        <w:t> </w:t>
      </w:r>
      <w:r>
        <w:rPr/>
        <w:t>of</w:t>
      </w:r>
      <w:r>
        <w:rPr>
          <w:spacing w:val="-27"/>
        </w:rPr>
        <w:t> </w:t>
      </w:r>
      <w:r>
        <w:rPr/>
        <w:t>management and staff to ensure a safe and healthy work environment.</w:t>
      </w:r>
    </w:p>
    <w:p>
      <w:pPr>
        <w:pStyle w:val="BodyText"/>
        <w:spacing w:before="7"/>
        <w:rPr>
          <w:sz w:val="23"/>
        </w:rPr>
      </w:pPr>
    </w:p>
    <w:p>
      <w:pPr>
        <w:pStyle w:val="BodyText"/>
        <w:spacing w:line="249" w:lineRule="auto"/>
        <w:ind w:left="395" w:right="-12"/>
      </w:pPr>
      <w:r>
        <w:rPr/>
        <w:t>The Department works closely with OSH Representatives</w:t>
      </w:r>
      <w:r>
        <w:rPr>
          <w:spacing w:val="-36"/>
        </w:rPr>
        <w:t> </w:t>
      </w:r>
      <w:r>
        <w:rPr/>
        <w:t>across</w:t>
      </w:r>
      <w:r>
        <w:rPr>
          <w:spacing w:val="-36"/>
        </w:rPr>
        <w:t> </w:t>
      </w:r>
      <w:r>
        <w:rPr/>
        <w:t>its</w:t>
      </w:r>
      <w:r>
        <w:rPr>
          <w:spacing w:val="-36"/>
        </w:rPr>
        <w:t> </w:t>
      </w:r>
      <w:r>
        <w:rPr/>
        <w:t>different</w:t>
      </w:r>
      <w:r>
        <w:rPr>
          <w:spacing w:val="-36"/>
        </w:rPr>
        <w:t> </w:t>
      </w:r>
      <w:r>
        <w:rPr/>
        <w:t>work</w:t>
      </w:r>
      <w:r>
        <w:rPr>
          <w:spacing w:val="-36"/>
        </w:rPr>
        <w:t> </w:t>
      </w:r>
      <w:r>
        <w:rPr/>
        <w:t>locations, who form an important part of the formal consultation mechanism. First Aiders were also appointed</w:t>
      </w:r>
      <w:r>
        <w:rPr>
          <w:spacing w:val="-16"/>
        </w:rPr>
        <w:t> </w:t>
      </w:r>
      <w:r>
        <w:rPr/>
        <w:t>within</w:t>
      </w:r>
      <w:r>
        <w:rPr>
          <w:spacing w:val="-16"/>
        </w:rPr>
        <w:t> </w:t>
      </w:r>
      <w:r>
        <w:rPr/>
        <w:t>the</w:t>
      </w:r>
      <w:r>
        <w:rPr>
          <w:spacing w:val="-16"/>
        </w:rPr>
        <w:t> </w:t>
      </w:r>
      <w:r>
        <w:rPr/>
        <w:t>different</w:t>
      </w:r>
      <w:r>
        <w:rPr>
          <w:spacing w:val="-16"/>
        </w:rPr>
        <w:t> </w:t>
      </w:r>
      <w:r>
        <w:rPr/>
        <w:t>work</w:t>
      </w:r>
      <w:r>
        <w:rPr>
          <w:spacing w:val="-16"/>
        </w:rPr>
        <w:t> </w:t>
      </w:r>
      <w:r>
        <w:rPr/>
        <w:t>locations</w:t>
      </w:r>
      <w:r>
        <w:rPr>
          <w:spacing w:val="-16"/>
        </w:rPr>
        <w:t> </w:t>
      </w:r>
      <w:r>
        <w:rPr/>
        <w:t>of</w:t>
      </w:r>
      <w:r>
        <w:rPr>
          <w:spacing w:val="-16"/>
        </w:rPr>
        <w:t> </w:t>
      </w:r>
      <w:r>
        <w:rPr/>
        <w:t>the Department</w:t>
      </w:r>
      <w:r>
        <w:rPr>
          <w:spacing w:val="-32"/>
        </w:rPr>
        <w:t> </w:t>
      </w:r>
      <w:r>
        <w:rPr/>
        <w:t>during</w:t>
      </w:r>
      <w:r>
        <w:rPr>
          <w:spacing w:val="-31"/>
        </w:rPr>
        <w:t> </w:t>
      </w:r>
      <w:r>
        <w:rPr/>
        <w:t>2018.</w:t>
      </w:r>
      <w:r>
        <w:rPr>
          <w:spacing w:val="-32"/>
        </w:rPr>
        <w:t> </w:t>
      </w:r>
      <w:r>
        <w:rPr/>
        <w:t>All</w:t>
      </w:r>
      <w:r>
        <w:rPr>
          <w:spacing w:val="-31"/>
        </w:rPr>
        <w:t> </w:t>
      </w:r>
      <w:r>
        <w:rPr/>
        <w:t>OSH</w:t>
      </w:r>
      <w:r>
        <w:rPr>
          <w:spacing w:val="-32"/>
        </w:rPr>
        <w:t> </w:t>
      </w:r>
      <w:r>
        <w:rPr/>
        <w:t>Representatives and First Aiders are provided with accredited training.</w:t>
      </w:r>
    </w:p>
    <w:p>
      <w:pPr>
        <w:pStyle w:val="BodyText"/>
        <w:spacing w:before="7"/>
        <w:rPr>
          <w:sz w:val="23"/>
        </w:rPr>
      </w:pPr>
    </w:p>
    <w:p>
      <w:pPr>
        <w:pStyle w:val="BodyText"/>
        <w:spacing w:line="249" w:lineRule="auto"/>
        <w:ind w:left="395" w:right="104"/>
      </w:pPr>
      <w:r>
        <w:rPr/>
        <w:t>Health</w:t>
      </w:r>
      <w:r>
        <w:rPr>
          <w:spacing w:val="-24"/>
        </w:rPr>
        <w:t> </w:t>
      </w:r>
      <w:r>
        <w:rPr/>
        <w:t>and</w:t>
      </w:r>
      <w:r>
        <w:rPr>
          <w:spacing w:val="-24"/>
        </w:rPr>
        <w:t> </w:t>
      </w:r>
      <w:r>
        <w:rPr/>
        <w:t>safety</w:t>
      </w:r>
      <w:r>
        <w:rPr>
          <w:spacing w:val="-24"/>
        </w:rPr>
        <w:t> </w:t>
      </w:r>
      <w:r>
        <w:rPr/>
        <w:t>related</w:t>
      </w:r>
      <w:r>
        <w:rPr>
          <w:spacing w:val="-24"/>
        </w:rPr>
        <w:t> </w:t>
      </w:r>
      <w:r>
        <w:rPr/>
        <w:t>policies</w:t>
      </w:r>
      <w:r>
        <w:rPr>
          <w:spacing w:val="-24"/>
        </w:rPr>
        <w:t> </w:t>
      </w:r>
      <w:r>
        <w:rPr/>
        <w:t>and</w:t>
      </w:r>
      <w:r>
        <w:rPr>
          <w:spacing w:val="-24"/>
        </w:rPr>
        <w:t> </w:t>
      </w:r>
      <w:r>
        <w:rPr>
          <w:spacing w:val="-3"/>
        </w:rPr>
        <w:t>procedures </w:t>
      </w:r>
      <w:r>
        <w:rPr/>
        <w:t>are</w:t>
      </w:r>
      <w:r>
        <w:rPr>
          <w:spacing w:val="-19"/>
        </w:rPr>
        <w:t> </w:t>
      </w:r>
      <w:r>
        <w:rPr/>
        <w:t>reviewed</w:t>
      </w:r>
      <w:r>
        <w:rPr>
          <w:spacing w:val="-18"/>
        </w:rPr>
        <w:t> </w:t>
      </w:r>
      <w:r>
        <w:rPr/>
        <w:t>and</w:t>
      </w:r>
      <w:r>
        <w:rPr>
          <w:spacing w:val="-18"/>
        </w:rPr>
        <w:t> </w:t>
      </w:r>
      <w:r>
        <w:rPr/>
        <w:t>developed</w:t>
      </w:r>
      <w:r>
        <w:rPr>
          <w:spacing w:val="-18"/>
        </w:rPr>
        <w:t> </w:t>
      </w:r>
      <w:r>
        <w:rPr/>
        <w:t>in</w:t>
      </w:r>
      <w:r>
        <w:rPr>
          <w:spacing w:val="-18"/>
        </w:rPr>
        <w:t> </w:t>
      </w:r>
      <w:r>
        <w:rPr/>
        <w:t>consultation</w:t>
      </w:r>
      <w:r>
        <w:rPr>
          <w:spacing w:val="-18"/>
        </w:rPr>
        <w:t> </w:t>
      </w:r>
      <w:r>
        <w:rPr/>
        <w:t>with </w:t>
      </w:r>
      <w:r>
        <w:rPr>
          <w:spacing w:val="-3"/>
        </w:rPr>
        <w:t>Finance’s</w:t>
      </w:r>
      <w:r>
        <w:rPr>
          <w:spacing w:val="-23"/>
        </w:rPr>
        <w:t> </w:t>
      </w:r>
      <w:r>
        <w:rPr/>
        <w:t>OSH</w:t>
      </w:r>
      <w:r>
        <w:rPr>
          <w:spacing w:val="-23"/>
        </w:rPr>
        <w:t> </w:t>
      </w:r>
      <w:r>
        <w:rPr/>
        <w:t>Committee.</w:t>
      </w:r>
      <w:r>
        <w:rPr>
          <w:spacing w:val="-23"/>
        </w:rPr>
        <w:t> </w:t>
      </w:r>
      <w:r>
        <w:rPr/>
        <w:t>The</w:t>
      </w:r>
      <w:r>
        <w:rPr>
          <w:spacing w:val="-23"/>
        </w:rPr>
        <w:t> </w:t>
      </w:r>
      <w:r>
        <w:rPr/>
        <w:t>OSH</w:t>
      </w:r>
      <w:r>
        <w:rPr>
          <w:spacing w:val="-23"/>
        </w:rPr>
        <w:t> </w:t>
      </w:r>
      <w:r>
        <w:rPr/>
        <w:t>Committee met quarterly to discuss health and safety initiatives in the</w:t>
      </w:r>
      <w:r>
        <w:rPr>
          <w:spacing w:val="-9"/>
        </w:rPr>
        <w:t> </w:t>
      </w:r>
      <w:r>
        <w:rPr/>
        <w:t>Department.</w:t>
      </w:r>
    </w:p>
    <w:p>
      <w:pPr>
        <w:pStyle w:val="BodyText"/>
        <w:spacing w:line="249" w:lineRule="auto" w:before="142"/>
        <w:ind w:left="424" w:right="1099"/>
      </w:pPr>
      <w:r>
        <w:rPr/>
        <w:br w:type="column"/>
      </w:r>
      <w:r>
        <w:rPr/>
        <w:t>The</w:t>
      </w:r>
      <w:r>
        <w:rPr>
          <w:spacing w:val="-29"/>
        </w:rPr>
        <w:t> </w:t>
      </w:r>
      <w:r>
        <w:rPr>
          <w:spacing w:val="-3"/>
        </w:rPr>
        <w:t>Department’s</w:t>
      </w:r>
      <w:r>
        <w:rPr>
          <w:spacing w:val="-29"/>
        </w:rPr>
        <w:t> </w:t>
      </w:r>
      <w:r>
        <w:rPr/>
        <w:t>OSH</w:t>
      </w:r>
      <w:r>
        <w:rPr>
          <w:spacing w:val="-28"/>
        </w:rPr>
        <w:t> </w:t>
      </w:r>
      <w:r>
        <w:rPr/>
        <w:t>and</w:t>
      </w:r>
      <w:r>
        <w:rPr>
          <w:spacing w:val="-29"/>
        </w:rPr>
        <w:t> </w:t>
      </w:r>
      <w:r>
        <w:rPr/>
        <w:t>injury</w:t>
      </w:r>
      <w:r>
        <w:rPr>
          <w:spacing w:val="-28"/>
        </w:rPr>
        <w:t> </w:t>
      </w:r>
      <w:r>
        <w:rPr/>
        <w:t>management approach is a core element of the induction process</w:t>
      </w:r>
      <w:r>
        <w:rPr>
          <w:spacing w:val="-18"/>
        </w:rPr>
        <w:t> </w:t>
      </w:r>
      <w:r>
        <w:rPr/>
        <w:t>for</w:t>
      </w:r>
      <w:r>
        <w:rPr>
          <w:spacing w:val="-18"/>
        </w:rPr>
        <w:t> </w:t>
      </w:r>
      <w:r>
        <w:rPr/>
        <w:t>all</w:t>
      </w:r>
      <w:r>
        <w:rPr>
          <w:spacing w:val="-18"/>
        </w:rPr>
        <w:t> </w:t>
      </w:r>
      <w:r>
        <w:rPr/>
        <w:t>new</w:t>
      </w:r>
      <w:r>
        <w:rPr>
          <w:spacing w:val="-18"/>
        </w:rPr>
        <w:t> </w:t>
      </w:r>
      <w:r>
        <w:rPr/>
        <w:t>employees.</w:t>
      </w:r>
      <w:r>
        <w:rPr>
          <w:spacing w:val="-18"/>
        </w:rPr>
        <w:t> </w:t>
      </w:r>
      <w:r>
        <w:rPr/>
        <w:t>Staff</w:t>
      </w:r>
      <w:r>
        <w:rPr>
          <w:spacing w:val="-18"/>
        </w:rPr>
        <w:t> </w:t>
      </w:r>
      <w:r>
        <w:rPr/>
        <w:t>are</w:t>
      </w:r>
      <w:r>
        <w:rPr>
          <w:spacing w:val="-18"/>
        </w:rPr>
        <w:t> </w:t>
      </w:r>
      <w:r>
        <w:rPr/>
        <w:t>made aware</w:t>
      </w:r>
      <w:r>
        <w:rPr>
          <w:spacing w:val="-1"/>
        </w:rPr>
        <w:t> </w:t>
      </w:r>
      <w:r>
        <w:rPr/>
        <w:t>of:</w:t>
      </w:r>
    </w:p>
    <w:p>
      <w:pPr>
        <w:pStyle w:val="BodyText"/>
        <w:spacing w:before="3"/>
        <w:rPr>
          <w:sz w:val="23"/>
        </w:rPr>
      </w:pPr>
    </w:p>
    <w:p>
      <w:pPr>
        <w:pStyle w:val="BodyText"/>
        <w:ind w:left="729"/>
      </w:pPr>
      <w:r>
        <w:rPr/>
        <w:t>the provision of online OSH training for all staff;</w:t>
      </w:r>
    </w:p>
    <w:p>
      <w:pPr>
        <w:pStyle w:val="BodyText"/>
        <w:spacing w:before="10"/>
        <w:rPr>
          <w:sz w:val="23"/>
        </w:rPr>
      </w:pPr>
    </w:p>
    <w:p>
      <w:pPr>
        <w:pStyle w:val="BodyText"/>
        <w:spacing w:line="249" w:lineRule="auto"/>
        <w:ind w:left="729" w:right="1395"/>
      </w:pPr>
      <w:r>
        <w:rPr/>
        <w:t>specific OSH training for managers and supervisors</w:t>
      </w:r>
      <w:r>
        <w:rPr>
          <w:spacing w:val="-24"/>
        </w:rPr>
        <w:t> </w:t>
      </w:r>
      <w:r>
        <w:rPr/>
        <w:t>through</w:t>
      </w:r>
      <w:r>
        <w:rPr>
          <w:spacing w:val="-24"/>
        </w:rPr>
        <w:t> </w:t>
      </w:r>
      <w:r>
        <w:rPr/>
        <w:t>half</w:t>
      </w:r>
      <w:r>
        <w:rPr>
          <w:spacing w:val="-24"/>
        </w:rPr>
        <w:t> </w:t>
      </w:r>
      <w:r>
        <w:rPr/>
        <w:t>day</w:t>
      </w:r>
      <w:r>
        <w:rPr>
          <w:spacing w:val="-24"/>
        </w:rPr>
        <w:t> </w:t>
      </w:r>
      <w:r>
        <w:rPr>
          <w:spacing w:val="-2"/>
        </w:rPr>
        <w:t>face-to-face </w:t>
      </w:r>
      <w:r>
        <w:rPr/>
        <w:t>training sessions;</w:t>
      </w:r>
      <w:r>
        <w:rPr>
          <w:spacing w:val="-5"/>
        </w:rPr>
        <w:t> </w:t>
      </w:r>
      <w:r>
        <w:rPr/>
        <w:t>and</w:t>
      </w:r>
    </w:p>
    <w:p>
      <w:pPr>
        <w:pStyle w:val="BodyText"/>
        <w:spacing w:before="2"/>
        <w:rPr>
          <w:sz w:val="23"/>
        </w:rPr>
      </w:pPr>
    </w:p>
    <w:p>
      <w:pPr>
        <w:pStyle w:val="BodyText"/>
        <w:spacing w:line="249" w:lineRule="auto" w:before="1"/>
        <w:ind w:left="729" w:right="781"/>
      </w:pPr>
      <w:r>
        <w:rPr/>
        <w:t>the availability of early intervention injury management</w:t>
      </w:r>
      <w:r>
        <w:rPr>
          <w:spacing w:val="-27"/>
        </w:rPr>
        <w:t> </w:t>
      </w:r>
      <w:r>
        <w:rPr/>
        <w:t>assistance</w:t>
      </w:r>
      <w:r>
        <w:rPr>
          <w:spacing w:val="-26"/>
        </w:rPr>
        <w:t> </w:t>
      </w:r>
      <w:r>
        <w:rPr/>
        <w:t>for</w:t>
      </w:r>
      <w:r>
        <w:rPr>
          <w:spacing w:val="-26"/>
        </w:rPr>
        <w:t> </w:t>
      </w:r>
      <w:r>
        <w:rPr/>
        <w:t>all</w:t>
      </w:r>
      <w:r>
        <w:rPr>
          <w:spacing w:val="-26"/>
        </w:rPr>
        <w:t> </w:t>
      </w:r>
      <w:r>
        <w:rPr/>
        <w:t>employees,</w:t>
      </w:r>
      <w:r>
        <w:rPr>
          <w:spacing w:val="-26"/>
        </w:rPr>
        <w:t> </w:t>
      </w:r>
      <w:r>
        <w:rPr/>
        <w:t>on an</w:t>
      </w:r>
      <w:r>
        <w:rPr>
          <w:spacing w:val="-14"/>
        </w:rPr>
        <w:t> </w:t>
      </w:r>
      <w:r>
        <w:rPr/>
        <w:t>ongoing</w:t>
      </w:r>
      <w:r>
        <w:rPr>
          <w:spacing w:val="-13"/>
        </w:rPr>
        <w:t> </w:t>
      </w:r>
      <w:r>
        <w:rPr/>
        <w:t>basis,</w:t>
      </w:r>
      <w:r>
        <w:rPr>
          <w:spacing w:val="-13"/>
        </w:rPr>
        <w:t> </w:t>
      </w:r>
      <w:r>
        <w:rPr/>
        <w:t>to</w:t>
      </w:r>
      <w:r>
        <w:rPr>
          <w:spacing w:val="-13"/>
        </w:rPr>
        <w:t> </w:t>
      </w:r>
      <w:r>
        <w:rPr/>
        <w:t>help</w:t>
      </w:r>
      <w:r>
        <w:rPr>
          <w:spacing w:val="-13"/>
        </w:rPr>
        <w:t> </w:t>
      </w:r>
      <w:r>
        <w:rPr/>
        <w:t>them</w:t>
      </w:r>
      <w:r>
        <w:rPr>
          <w:spacing w:val="-13"/>
        </w:rPr>
        <w:t> </w:t>
      </w:r>
      <w:r>
        <w:rPr/>
        <w:t>to</w:t>
      </w:r>
      <w:r>
        <w:rPr>
          <w:spacing w:val="-14"/>
        </w:rPr>
        <w:t> </w:t>
      </w:r>
      <w:r>
        <w:rPr/>
        <w:t>either</w:t>
      </w:r>
      <w:r>
        <w:rPr>
          <w:spacing w:val="-13"/>
        </w:rPr>
        <w:t> </w:t>
      </w:r>
      <w:r>
        <w:rPr>
          <w:spacing w:val="-4"/>
        </w:rPr>
        <w:t>return </w:t>
      </w:r>
      <w:r>
        <w:rPr/>
        <w:t>to or remain at work after an injury or illness, whether this be work or non-work</w:t>
      </w:r>
      <w:r>
        <w:rPr>
          <w:spacing w:val="-35"/>
        </w:rPr>
        <w:t> </w:t>
      </w:r>
      <w:r>
        <w:rPr/>
        <w:t>related.</w:t>
      </w:r>
    </w:p>
    <w:p>
      <w:pPr>
        <w:pStyle w:val="BodyText"/>
        <w:spacing w:before="3"/>
        <w:rPr>
          <w:sz w:val="23"/>
        </w:rPr>
      </w:pPr>
    </w:p>
    <w:p>
      <w:pPr>
        <w:pStyle w:val="BodyText"/>
        <w:spacing w:line="249" w:lineRule="auto" w:before="1"/>
        <w:ind w:left="424" w:right="781"/>
      </w:pPr>
      <w:r>
        <w:rPr>
          <w:spacing w:val="-3"/>
        </w:rPr>
        <w:t>Training </w:t>
      </w:r>
      <w:r>
        <w:rPr/>
        <w:t>completion rates are reported to the Corporate</w:t>
      </w:r>
      <w:r>
        <w:rPr>
          <w:spacing w:val="-23"/>
        </w:rPr>
        <w:t> </w:t>
      </w:r>
      <w:r>
        <w:rPr/>
        <w:t>Executive</w:t>
      </w:r>
      <w:r>
        <w:rPr>
          <w:spacing w:val="-23"/>
        </w:rPr>
        <w:t> </w:t>
      </w:r>
      <w:r>
        <w:rPr/>
        <w:t>to</w:t>
      </w:r>
      <w:r>
        <w:rPr>
          <w:spacing w:val="-23"/>
        </w:rPr>
        <w:t> </w:t>
      </w:r>
      <w:r>
        <w:rPr/>
        <w:t>help</w:t>
      </w:r>
      <w:r>
        <w:rPr>
          <w:spacing w:val="-23"/>
        </w:rPr>
        <w:t> </w:t>
      </w:r>
      <w:r>
        <w:rPr/>
        <w:t>ensure</w:t>
      </w:r>
      <w:r>
        <w:rPr>
          <w:spacing w:val="-23"/>
        </w:rPr>
        <w:t> </w:t>
      </w:r>
      <w:r>
        <w:rPr/>
        <w:t>all</w:t>
      </w:r>
      <w:r>
        <w:rPr>
          <w:spacing w:val="-23"/>
        </w:rPr>
        <w:t> </w:t>
      </w:r>
      <w:r>
        <w:rPr/>
        <w:t>employees and</w:t>
      </w:r>
      <w:r>
        <w:rPr>
          <w:spacing w:val="-27"/>
        </w:rPr>
        <w:t> </w:t>
      </w:r>
      <w:r>
        <w:rPr/>
        <w:t>managers/supervisors</w:t>
      </w:r>
      <w:r>
        <w:rPr>
          <w:spacing w:val="-27"/>
        </w:rPr>
        <w:t> </w:t>
      </w:r>
      <w:r>
        <w:rPr/>
        <w:t>are</w:t>
      </w:r>
      <w:r>
        <w:rPr>
          <w:spacing w:val="-27"/>
        </w:rPr>
        <w:t> </w:t>
      </w:r>
      <w:r>
        <w:rPr/>
        <w:t>aware</w:t>
      </w:r>
      <w:r>
        <w:rPr>
          <w:spacing w:val="-27"/>
        </w:rPr>
        <w:t> </w:t>
      </w:r>
      <w:r>
        <w:rPr/>
        <w:t>of</w:t>
      </w:r>
      <w:r>
        <w:rPr>
          <w:spacing w:val="-27"/>
        </w:rPr>
        <w:t> </w:t>
      </w:r>
      <w:r>
        <w:rPr/>
        <w:t>health</w:t>
      </w:r>
      <w:r>
        <w:rPr>
          <w:spacing w:val="-27"/>
        </w:rPr>
        <w:t> </w:t>
      </w:r>
      <w:r>
        <w:rPr>
          <w:spacing w:val="-6"/>
        </w:rPr>
        <w:t>and </w:t>
      </w:r>
      <w:r>
        <w:rPr/>
        <w:t>safety issues in the</w:t>
      </w:r>
      <w:r>
        <w:rPr>
          <w:spacing w:val="-12"/>
        </w:rPr>
        <w:t> </w:t>
      </w:r>
      <w:r>
        <w:rPr/>
        <w:t>workplace.</w:t>
      </w:r>
    </w:p>
    <w:p>
      <w:pPr>
        <w:spacing w:after="0" w:line="249" w:lineRule="auto"/>
        <w:sectPr>
          <w:type w:val="continuous"/>
          <w:pgSz w:w="16840" w:h="11910" w:orient="landscape"/>
          <w:pgMar w:top="1100" w:bottom="280" w:left="0" w:right="0"/>
          <w:cols w:num="3" w:equalWidth="0">
            <w:col w:w="5574" w:space="40"/>
            <w:col w:w="5176" w:space="39"/>
            <w:col w:w="601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tabs>
          <w:tab w:pos="10886" w:val="left" w:leader="none"/>
          <w:tab w:pos="11199" w:val="left" w:leader="none"/>
        </w:tabs>
        <w:spacing w:before="108"/>
        <w:ind w:left="765" w:right="0" w:firstLine="0"/>
        <w:jc w:val="left"/>
        <w:rPr>
          <w:b/>
          <w:sz w:val="20"/>
        </w:rPr>
      </w:pPr>
      <w:r>
        <w:rPr/>
        <w:pict>
          <v:group style="position:absolute;margin-left:0pt;margin-top:-9.455017pt;width:24.1pt;height:41.55pt;mso-position-horizontal-relative:page;mso-position-vertical-relative:paragraph;z-index:30808" coordorigin="0,-189" coordsize="482,831">
            <v:shape style="position:absolute;left:0;top:-190;width:482;height:831" coordorigin="0,-189" coordsize="482,831" path="m66,-189l49,-189,33,-188,16,-186,0,-183,0,636,16,638,33,640,49,641,66,641,140,635,211,615,275,585,333,544,383,494,424,436,455,371,474,301,481,226,474,151,455,81,424,17,383,-41,333,-91,275,-132,211,-163,140,-182,66,-189xe" filled="true" fillcolor="#ffffff" stroked="false">
              <v:path arrowok="t"/>
              <v:fill type="solid"/>
            </v:shape>
            <v:shape style="position:absolute;left:0;top:-190;width:482;height:831" coordorigin="0,-189" coordsize="482,831" path="m66,-189l49,-189,33,-188,16,-186,0,-183,0,636,16,638,33,640,49,641,66,641,140,635,211,615,275,585,333,544,383,494,424,436,455,371,474,301,481,226,474,151,455,81,424,17,383,-41,333,-91,275,-132,211,-163,140,-182,66,-189xe" filled="true" fillcolor="#aebd37" stroked="false">
              <v:path arrowok="t"/>
              <v:fill opacity="13107f" type="solid"/>
            </v:shape>
            <v:shape style="position:absolute;left:174;top:140;width:93;height:171" coordorigin="174,140" coordsize="93,171" path="m256,140l248,140,182,206,176,215,174,225,174,227,176,237,182,246,245,310,249,311,256,311,259,310,267,302,267,294,200,227,200,225,267,159,267,150,256,140xe" filled="true" fillcolor="#000000" stroked="false">
              <v:path arrowok="t"/>
              <v:fill type="solid"/>
            </v:shape>
            <w10:wrap type="none"/>
          </v:group>
        </w:pict>
      </w:r>
      <w:r>
        <w:rPr>
          <w:b/>
          <w:color w:val="6D6E71"/>
          <w:w w:val="100"/>
          <w:sz w:val="20"/>
          <w:u w:val="single" w:color="939598"/>
        </w:rPr>
        <w:t> </w:t>
      </w:r>
      <w:r>
        <w:rPr>
          <w:b/>
          <w:color w:val="6D6E71"/>
          <w:sz w:val="20"/>
          <w:u w:val="single" w:color="939598"/>
        </w:rPr>
        <w:tab/>
      </w:r>
      <w:r>
        <w:rPr>
          <w:b/>
          <w:color w:val="6D6E71"/>
          <w:sz w:val="20"/>
        </w:rPr>
        <w:tab/>
        <w:t>Department of Finance Annual Report 2017-18</w:t>
      </w:r>
      <w:r>
        <w:rPr>
          <w:b/>
          <w:color w:val="6D6E71"/>
          <w:spacing w:val="24"/>
          <w:sz w:val="20"/>
        </w:rPr>
        <w:t> </w:t>
      </w:r>
      <w:r>
        <w:rPr>
          <w:b/>
          <w:color w:val="6F2770"/>
          <w:sz w:val="20"/>
        </w:rPr>
        <w:t>117</w:t>
      </w:r>
    </w:p>
    <w:p>
      <w:pPr>
        <w:spacing w:after="0"/>
        <w:jc w:val="left"/>
        <w:rPr>
          <w:sz w:val="20"/>
        </w:rPr>
        <w:sectPr>
          <w:type w:val="continuous"/>
          <w:pgSz w:w="16840" w:h="11910" w:orient="landscape"/>
          <w:pgMar w:top="1100" w:bottom="280" w:left="0" w:right="0"/>
        </w:sectPr>
      </w:pPr>
    </w:p>
    <w:p>
      <w:pPr>
        <w:pStyle w:val="BodyText"/>
        <w:rPr>
          <w:sz w:val="20"/>
        </w:rPr>
      </w:pPr>
      <w:r>
        <w:rPr>
          <w:sz w:val="20"/>
        </w:rPr>
        <w:pict>
          <v:group style="width:120.3pt;height:42.55pt;mso-position-horizontal-relative:char;mso-position-vertical-relative:line" coordorigin="0,0" coordsize="2406,851">
            <v:rect style="position:absolute;left:0;top:0;width:2406;height:851" filled="true" fillcolor="#bba1bc"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63" w:right="0" w:firstLine="0"/>
                      <w:jc w:val="left"/>
                      <w:rPr>
                        <w:sz w:val="20"/>
                      </w:rPr>
                    </w:pPr>
                    <w:hyperlink w:history="true" w:anchor="_bookmark0">
                      <w:r>
                        <w:rPr>
                          <w:sz w:val="20"/>
                        </w:rPr>
                        <w:t>CONTENTS</w:t>
                      </w:r>
                    </w:hyperlink>
                  </w:p>
                </w:txbxContent>
              </v:textbox>
              <w10:wrap type="none"/>
            </v:shape>
          </v:group>
        </w:pict>
      </w:r>
      <w:r>
        <w:rPr>
          <w:sz w:val="20"/>
        </w:rPr>
      </w:r>
    </w:p>
    <w:p>
      <w:pPr>
        <w:pStyle w:val="BodyText"/>
        <w:rPr>
          <w:b/>
          <w:sz w:val="20"/>
        </w:rPr>
      </w:pPr>
    </w:p>
    <w:p>
      <w:pPr>
        <w:pStyle w:val="BodyText"/>
        <w:spacing w:before="6"/>
        <w:rPr>
          <w:b/>
          <w:sz w:val="25"/>
        </w:rPr>
      </w:pPr>
    </w:p>
    <w:p>
      <w:pPr>
        <w:spacing w:after="0"/>
        <w:rPr>
          <w:sz w:val="25"/>
        </w:rPr>
        <w:sectPr>
          <w:footerReference w:type="default" r:id="rId250"/>
          <w:pgSz w:w="16840" w:h="11910" w:orient="landscape"/>
          <w:pgMar w:footer="0" w:header="0" w:top="0" w:bottom="0" w:left="0" w:right="0"/>
        </w:sectPr>
      </w:pPr>
    </w:p>
    <w:p>
      <w:pPr>
        <w:pStyle w:val="BodyText"/>
        <w:spacing w:line="249" w:lineRule="auto" w:before="142"/>
        <w:ind w:left="765" w:right="-7"/>
      </w:pPr>
      <w:r>
        <w:rPr/>
        <w:pict>
          <v:group style="position:absolute;margin-left:120.271004pt;margin-top:-70.47422pt;width:721.65pt;height:42.55pt;mso-position-horizontal-relative:page;mso-position-vertical-relative:paragraph;z-index:31120" coordorigin="2405,-1409" coordsize="14433,851">
            <v:rect style="position:absolute;left:14432;top:-1410;width:2406;height:851" filled="true" fillcolor="#bba1bc" stroked="false">
              <v:fill type="solid"/>
            </v:rect>
            <v:shape style="position:absolute;left:14432;top:-1410;width:2406;height:851" type="#_x0000_t202" filled="false" stroked="false">
              <v:textbox inset="0,0,0,0">
                <w:txbxContent>
                  <w:p>
                    <w:pPr>
                      <w:spacing w:line="240" w:lineRule="auto" w:before="9"/>
                      <w:rPr>
                        <w:b/>
                        <w:sz w:val="26"/>
                      </w:rPr>
                    </w:pPr>
                  </w:p>
                  <w:p>
                    <w:pPr>
                      <w:spacing w:before="0"/>
                      <w:ind w:left="702" w:right="0" w:firstLine="0"/>
                      <w:jc w:val="left"/>
                      <w:rPr>
                        <w:sz w:val="20"/>
                      </w:rPr>
                    </w:pPr>
                    <w:hyperlink w:history="true" w:anchor="_bookmark52">
                      <w:r>
                        <w:rPr>
                          <w:sz w:val="20"/>
                        </w:rPr>
                        <w:t>APPENDIX</w:t>
                      </w:r>
                    </w:hyperlink>
                  </w:p>
                </w:txbxContent>
              </v:textbox>
              <w10:wrap type="none"/>
            </v:shape>
            <v:shape style="position:absolute;left:12026;top:-1410;width:2406;height:851" type="#_x0000_t202" filled="true" fillcolor="#d4d896" stroked="false">
              <v:textbox inset="0,0,0,0">
                <w:txbxContent>
                  <w:p>
                    <w:pPr>
                      <w:spacing w:line="240" w:lineRule="auto" w:before="9"/>
                      <w:rPr>
                        <w:b/>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v:shape style="position:absolute;left:9621;top:-1410;width:2406;height:851" type="#_x0000_t202" filled="true" fillcolor="#cbb8cc" stroked="false">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w10:wrap type="none"/>
            </v:shape>
            <v:shape style="position:absolute;left:7216;top:-1410;width:2406;height:851"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v:shape style="position:absolute;left:4810;top:-1410;width:2406;height:851" type="#_x0000_t202" filled="true" fillcolor="#cbb8cc" stroked="false">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w10:wrap type="none"/>
            </v:shape>
            <v:shape style="position:absolute;left:2405;top:-1410;width:2406;height:851" type="#_x0000_t202" filled="true" fillcolor="#c3acc4" stroked="false">
              <v:textbox inset="0,0,0,0">
                <w:txbxContent>
                  <w:p>
                    <w:pPr>
                      <w:spacing w:line="240" w:lineRule="auto" w:before="9"/>
                      <w:rPr>
                        <w:b/>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10:wrap type="none"/>
          </v:group>
        </w:pict>
      </w:r>
      <w:r>
        <w:rPr/>
        <w:t>The Department also provides information, education</w:t>
      </w:r>
      <w:r>
        <w:rPr>
          <w:spacing w:val="-24"/>
        </w:rPr>
        <w:t> </w:t>
      </w:r>
      <w:r>
        <w:rPr/>
        <w:t>and</w:t>
      </w:r>
      <w:r>
        <w:rPr>
          <w:spacing w:val="-23"/>
        </w:rPr>
        <w:t> </w:t>
      </w:r>
      <w:r>
        <w:rPr/>
        <w:t>services</w:t>
      </w:r>
      <w:r>
        <w:rPr>
          <w:spacing w:val="-24"/>
        </w:rPr>
        <w:t> </w:t>
      </w:r>
      <w:r>
        <w:rPr/>
        <w:t>to</w:t>
      </w:r>
      <w:r>
        <w:rPr>
          <w:spacing w:val="-23"/>
        </w:rPr>
        <w:t> </w:t>
      </w:r>
      <w:r>
        <w:rPr/>
        <w:t>encourage</w:t>
      </w:r>
      <w:r>
        <w:rPr>
          <w:spacing w:val="-24"/>
        </w:rPr>
        <w:t> </w:t>
      </w:r>
      <w:r>
        <w:rPr/>
        <w:t>employees</w:t>
      </w:r>
      <w:r>
        <w:rPr>
          <w:spacing w:val="-23"/>
        </w:rPr>
        <w:t> </w:t>
      </w:r>
      <w:r>
        <w:rPr>
          <w:spacing w:val="-9"/>
        </w:rPr>
        <w:t>to </w:t>
      </w:r>
      <w:r>
        <w:rPr/>
        <w:t>maintain</w:t>
      </w:r>
      <w:r>
        <w:rPr>
          <w:spacing w:val="-29"/>
        </w:rPr>
        <w:t> </w:t>
      </w:r>
      <w:r>
        <w:rPr/>
        <w:t>a</w:t>
      </w:r>
      <w:r>
        <w:rPr>
          <w:spacing w:val="-28"/>
        </w:rPr>
        <w:t> </w:t>
      </w:r>
      <w:r>
        <w:rPr/>
        <w:t>healthy</w:t>
      </w:r>
      <w:r>
        <w:rPr>
          <w:spacing w:val="-28"/>
        </w:rPr>
        <w:t> </w:t>
      </w:r>
      <w:r>
        <w:rPr/>
        <w:t>lifestyle</w:t>
      </w:r>
      <w:r>
        <w:rPr>
          <w:spacing w:val="-28"/>
        </w:rPr>
        <w:t> </w:t>
      </w:r>
      <w:r>
        <w:rPr/>
        <w:t>and</w:t>
      </w:r>
      <w:r>
        <w:rPr>
          <w:spacing w:val="-28"/>
        </w:rPr>
        <w:t> </w:t>
      </w:r>
      <w:r>
        <w:rPr/>
        <w:t>deal</w:t>
      </w:r>
      <w:r>
        <w:rPr>
          <w:spacing w:val="-28"/>
        </w:rPr>
        <w:t> </w:t>
      </w:r>
      <w:r>
        <w:rPr/>
        <w:t>effectively</w:t>
      </w:r>
      <w:r>
        <w:rPr>
          <w:spacing w:val="-28"/>
        </w:rPr>
        <w:t> </w:t>
      </w:r>
      <w:r>
        <w:rPr/>
        <w:t>with everyday work and life stress. Health, safety and wellbeing information is regularly communicated through</w:t>
      </w:r>
      <w:r>
        <w:rPr>
          <w:spacing w:val="-14"/>
        </w:rPr>
        <w:t> </w:t>
      </w:r>
      <w:r>
        <w:rPr/>
        <w:t>the</w:t>
      </w:r>
      <w:r>
        <w:rPr>
          <w:spacing w:val="-14"/>
        </w:rPr>
        <w:t> </w:t>
      </w:r>
      <w:r>
        <w:rPr>
          <w:spacing w:val="-3"/>
        </w:rPr>
        <w:t>Department’s</w:t>
      </w:r>
      <w:r>
        <w:rPr>
          <w:spacing w:val="-13"/>
        </w:rPr>
        <w:t> </w:t>
      </w:r>
      <w:r>
        <w:rPr/>
        <w:t>intranet</w:t>
      </w:r>
      <w:r>
        <w:rPr>
          <w:spacing w:val="-14"/>
        </w:rPr>
        <w:t> </w:t>
      </w:r>
      <w:r>
        <w:rPr/>
        <w:t>and</w:t>
      </w:r>
      <w:r>
        <w:rPr>
          <w:spacing w:val="-13"/>
        </w:rPr>
        <w:t> </w:t>
      </w:r>
      <w:r>
        <w:rPr/>
        <w:t>through</w:t>
      </w:r>
      <w:r>
        <w:rPr>
          <w:spacing w:val="-14"/>
        </w:rPr>
        <w:t> </w:t>
      </w:r>
      <w:r>
        <w:rPr/>
        <w:t>the online news and announcements</w:t>
      </w:r>
      <w:r>
        <w:rPr>
          <w:spacing w:val="-23"/>
        </w:rPr>
        <w:t> </w:t>
      </w:r>
      <w:r>
        <w:rPr/>
        <w:t>pages.</w:t>
      </w:r>
    </w:p>
    <w:p>
      <w:pPr>
        <w:pStyle w:val="BodyText"/>
        <w:spacing w:before="6"/>
        <w:rPr>
          <w:sz w:val="23"/>
        </w:rPr>
      </w:pPr>
    </w:p>
    <w:p>
      <w:pPr>
        <w:pStyle w:val="BodyText"/>
        <w:spacing w:line="249" w:lineRule="auto"/>
        <w:ind w:left="765" w:right="436"/>
      </w:pPr>
      <w:r>
        <w:rPr/>
        <w:t>During</w:t>
      </w:r>
      <w:r>
        <w:rPr>
          <w:spacing w:val="-24"/>
        </w:rPr>
        <w:t> </w:t>
      </w:r>
      <w:r>
        <w:rPr/>
        <w:t>the</w:t>
      </w:r>
      <w:r>
        <w:rPr>
          <w:spacing w:val="-23"/>
        </w:rPr>
        <w:t> </w:t>
      </w:r>
      <w:r>
        <w:rPr/>
        <w:t>year</w:t>
      </w:r>
      <w:r>
        <w:rPr>
          <w:spacing w:val="-24"/>
        </w:rPr>
        <w:t> </w:t>
      </w:r>
      <w:r>
        <w:rPr/>
        <w:t>employees</w:t>
      </w:r>
      <w:r>
        <w:rPr>
          <w:spacing w:val="-23"/>
        </w:rPr>
        <w:t> </w:t>
      </w:r>
      <w:r>
        <w:rPr/>
        <w:t>were</w:t>
      </w:r>
      <w:r>
        <w:rPr>
          <w:spacing w:val="-23"/>
        </w:rPr>
        <w:t> </w:t>
      </w:r>
      <w:r>
        <w:rPr/>
        <w:t>provided</w:t>
      </w:r>
      <w:r>
        <w:rPr>
          <w:spacing w:val="-24"/>
        </w:rPr>
        <w:t> </w:t>
      </w:r>
      <w:r>
        <w:rPr>
          <w:spacing w:val="-5"/>
        </w:rPr>
        <w:t>with </w:t>
      </w:r>
      <w:r>
        <w:rPr/>
        <w:t>many opportunities</w:t>
      </w:r>
      <w:r>
        <w:rPr>
          <w:spacing w:val="-6"/>
        </w:rPr>
        <w:t> </w:t>
      </w:r>
      <w:r>
        <w:rPr/>
        <w:t>including:</w:t>
      </w:r>
    </w:p>
    <w:p>
      <w:pPr>
        <w:pStyle w:val="BodyText"/>
        <w:spacing w:before="1"/>
        <w:rPr>
          <w:sz w:val="23"/>
        </w:rPr>
      </w:pPr>
    </w:p>
    <w:p>
      <w:pPr>
        <w:pStyle w:val="BodyText"/>
        <w:spacing w:line="249" w:lineRule="auto"/>
        <w:ind w:left="1071" w:right="158" w:hanging="306"/>
      </w:pPr>
      <w:r>
        <w:rPr>
          <w:position w:val="-1"/>
        </w:rPr>
        <w:drawing>
          <wp:inline distT="0" distB="0" distL="0" distR="0">
            <wp:extent cx="125999" cy="125997"/>
            <wp:effectExtent l="0" t="0" r="0" b="0"/>
            <wp:docPr id="147" name="image128.png" descr=""/>
            <wp:cNvGraphicFramePr>
              <a:graphicFrameLocks noChangeAspect="1"/>
            </wp:cNvGraphicFramePr>
            <a:graphic>
              <a:graphicData uri="http://schemas.openxmlformats.org/drawingml/2006/picture">
                <pic:pic>
                  <pic:nvPicPr>
                    <pic:cNvPr id="148" name="image128.png"/>
                    <pic:cNvPicPr/>
                  </pic:nvPicPr>
                  <pic:blipFill>
                    <a:blip r:embed="rId251" cstate="print"/>
                    <a:stretch>
                      <a:fillRect/>
                    </a:stretch>
                  </pic:blipFill>
                  <pic:spPr>
                    <a:xfrm>
                      <a:off x="0" y="0"/>
                      <a:ext cx="125999" cy="125997"/>
                    </a:xfrm>
                    <a:prstGeom prst="rect">
                      <a:avLst/>
                    </a:prstGeom>
                  </pic:spPr>
                </pic:pic>
              </a:graphicData>
            </a:graphic>
          </wp:inline>
        </w:drawing>
      </w:r>
      <w:r>
        <w:rPr>
          <w:position w:val="-1"/>
        </w:rPr>
      </w:r>
      <w:r>
        <w:rPr>
          <w:rFonts w:ascii="Times New Roman"/>
          <w:sz w:val="20"/>
        </w:rPr>
        <w:t> </w:t>
      </w:r>
      <w:r>
        <w:rPr>
          <w:rFonts w:ascii="Times New Roman"/>
          <w:spacing w:val="7"/>
          <w:sz w:val="20"/>
        </w:rPr>
        <w:t> </w:t>
      </w:r>
      <w:r>
        <w:rPr/>
        <w:t>free wellness assessments, which provided individuals</w:t>
      </w:r>
      <w:r>
        <w:rPr>
          <w:spacing w:val="-20"/>
        </w:rPr>
        <w:t> </w:t>
      </w:r>
      <w:r>
        <w:rPr/>
        <w:t>with</w:t>
      </w:r>
      <w:r>
        <w:rPr>
          <w:spacing w:val="-20"/>
        </w:rPr>
        <w:t> </w:t>
      </w:r>
      <w:r>
        <w:rPr/>
        <w:t>the</w:t>
      </w:r>
      <w:r>
        <w:rPr>
          <w:spacing w:val="-20"/>
        </w:rPr>
        <w:t> </w:t>
      </w:r>
      <w:r>
        <w:rPr/>
        <w:t>opportunity</w:t>
      </w:r>
      <w:r>
        <w:rPr>
          <w:spacing w:val="-20"/>
        </w:rPr>
        <w:t> </w:t>
      </w:r>
      <w:r>
        <w:rPr/>
        <w:t>to</w:t>
      </w:r>
      <w:r>
        <w:rPr>
          <w:spacing w:val="-20"/>
        </w:rPr>
        <w:t> </w:t>
      </w:r>
      <w:r>
        <w:rPr/>
        <w:t>assess</w:t>
      </w:r>
      <w:r>
        <w:rPr>
          <w:spacing w:val="-20"/>
        </w:rPr>
        <w:t> </w:t>
      </w:r>
      <w:r>
        <w:rPr>
          <w:spacing w:val="-4"/>
        </w:rPr>
        <w:t>their </w:t>
      </w:r>
      <w:r>
        <w:rPr/>
        <w:t>own physical and mental health through a personal consultation with a qualified health consultant;</w:t>
      </w:r>
    </w:p>
    <w:p>
      <w:pPr>
        <w:pStyle w:val="BodyText"/>
        <w:spacing w:before="2"/>
        <w:rPr>
          <w:sz w:val="23"/>
        </w:rPr>
      </w:pPr>
    </w:p>
    <w:p>
      <w:pPr>
        <w:pStyle w:val="BodyText"/>
        <w:spacing w:line="252" w:lineRule="auto"/>
        <w:ind w:left="1071" w:right="69" w:hanging="306"/>
      </w:pPr>
      <w:r>
        <w:rPr/>
        <w:drawing>
          <wp:inline distT="0" distB="0" distL="0" distR="0">
            <wp:extent cx="125999" cy="125999"/>
            <wp:effectExtent l="0" t="0" r="0" b="0"/>
            <wp:docPr id="149" name="image128.png" descr=""/>
            <wp:cNvGraphicFramePr>
              <a:graphicFrameLocks noChangeAspect="1"/>
            </wp:cNvGraphicFramePr>
            <a:graphic>
              <a:graphicData uri="http://schemas.openxmlformats.org/drawingml/2006/picture">
                <pic:pic>
                  <pic:nvPicPr>
                    <pic:cNvPr id="150" name="image128.png"/>
                    <pic:cNvPicPr/>
                  </pic:nvPicPr>
                  <pic:blipFill>
                    <a:blip r:embed="rId251" cstate="print"/>
                    <a:stretch>
                      <a:fillRect/>
                    </a:stretch>
                  </pic:blipFill>
                  <pic:spPr>
                    <a:xfrm>
                      <a:off x="0" y="0"/>
                      <a:ext cx="125999" cy="125999"/>
                    </a:xfrm>
                    <a:prstGeom prst="rect">
                      <a:avLst/>
                    </a:prstGeom>
                  </pic:spPr>
                </pic:pic>
              </a:graphicData>
            </a:graphic>
          </wp:inline>
        </w:drawing>
      </w:r>
      <w:r>
        <w:rPr/>
      </w:r>
      <w:r>
        <w:rPr>
          <w:rFonts w:ascii="Times New Roman"/>
          <w:position w:val="1"/>
          <w:sz w:val="20"/>
        </w:rPr>
        <w:t> </w:t>
      </w:r>
      <w:r>
        <w:rPr>
          <w:rFonts w:ascii="Times New Roman"/>
          <w:spacing w:val="7"/>
          <w:position w:val="1"/>
          <w:sz w:val="20"/>
        </w:rPr>
        <w:t> </w:t>
      </w:r>
      <w:r>
        <w:rPr>
          <w:position w:val="1"/>
        </w:rPr>
        <w:t>training and assistance to help employees </w:t>
      </w:r>
      <w:r>
        <w:rPr/>
        <w:t>understand the principles of ergonomics and enable them to correctly set up their workstations</w:t>
      </w:r>
      <w:r>
        <w:rPr>
          <w:spacing w:val="-28"/>
        </w:rPr>
        <w:t> </w:t>
      </w:r>
      <w:r>
        <w:rPr/>
        <w:t>based</w:t>
      </w:r>
      <w:r>
        <w:rPr>
          <w:spacing w:val="-27"/>
        </w:rPr>
        <w:t> </w:t>
      </w:r>
      <w:r>
        <w:rPr/>
        <w:t>on</w:t>
      </w:r>
      <w:r>
        <w:rPr>
          <w:spacing w:val="-27"/>
        </w:rPr>
        <w:t> </w:t>
      </w:r>
      <w:r>
        <w:rPr/>
        <w:t>individual</w:t>
      </w:r>
      <w:r>
        <w:rPr>
          <w:spacing w:val="-28"/>
        </w:rPr>
        <w:t> </w:t>
      </w:r>
      <w:r>
        <w:rPr>
          <w:spacing w:val="-3"/>
        </w:rPr>
        <w:t>requirements;</w:t>
      </w:r>
    </w:p>
    <w:p>
      <w:pPr>
        <w:pStyle w:val="BodyText"/>
        <w:spacing w:before="9"/>
      </w:pPr>
    </w:p>
    <w:p>
      <w:pPr>
        <w:pStyle w:val="BodyText"/>
        <w:spacing w:line="247" w:lineRule="auto" w:before="1"/>
        <w:ind w:left="1071" w:right="514" w:hanging="306"/>
      </w:pPr>
      <w:r>
        <w:rPr/>
        <w:drawing>
          <wp:inline distT="0" distB="0" distL="0" distR="0">
            <wp:extent cx="125999" cy="125999"/>
            <wp:effectExtent l="0" t="0" r="0" b="0"/>
            <wp:docPr id="151" name="image129.png" descr=""/>
            <wp:cNvGraphicFramePr>
              <a:graphicFrameLocks noChangeAspect="1"/>
            </wp:cNvGraphicFramePr>
            <a:graphic>
              <a:graphicData uri="http://schemas.openxmlformats.org/drawingml/2006/picture">
                <pic:pic>
                  <pic:nvPicPr>
                    <pic:cNvPr id="152" name="image129.png"/>
                    <pic:cNvPicPr/>
                  </pic:nvPicPr>
                  <pic:blipFill>
                    <a:blip r:embed="rId252" cstate="print"/>
                    <a:stretch>
                      <a:fillRect/>
                    </a:stretch>
                  </pic:blipFill>
                  <pic:spPr>
                    <a:xfrm>
                      <a:off x="0" y="0"/>
                      <a:ext cx="125999" cy="125999"/>
                    </a:xfrm>
                    <a:prstGeom prst="rect">
                      <a:avLst/>
                    </a:prstGeom>
                  </pic:spPr>
                </pic:pic>
              </a:graphicData>
            </a:graphic>
          </wp:inline>
        </w:drawing>
      </w:r>
      <w:r>
        <w:rPr/>
      </w:r>
      <w:r>
        <w:rPr>
          <w:rFonts w:ascii="Times New Roman"/>
          <w:sz w:val="20"/>
        </w:rPr>
        <w:t> </w:t>
      </w:r>
      <w:r>
        <w:rPr>
          <w:rFonts w:ascii="Times New Roman"/>
          <w:spacing w:val="7"/>
          <w:sz w:val="20"/>
        </w:rPr>
        <w:t> </w:t>
      </w:r>
      <w:r>
        <w:rPr/>
        <w:t>flu</w:t>
      </w:r>
      <w:r>
        <w:rPr>
          <w:spacing w:val="-23"/>
        </w:rPr>
        <w:t> </w:t>
      </w:r>
      <w:r>
        <w:rPr/>
        <w:t>vaccination</w:t>
      </w:r>
      <w:r>
        <w:rPr>
          <w:spacing w:val="-22"/>
        </w:rPr>
        <w:t> </w:t>
      </w:r>
      <w:r>
        <w:rPr/>
        <w:t>clinics</w:t>
      </w:r>
      <w:r>
        <w:rPr>
          <w:spacing w:val="-23"/>
        </w:rPr>
        <w:t> </w:t>
      </w:r>
      <w:r>
        <w:rPr/>
        <w:t>during</w:t>
      </w:r>
      <w:r>
        <w:rPr>
          <w:spacing w:val="-22"/>
        </w:rPr>
        <w:t> </w:t>
      </w:r>
      <w:r>
        <w:rPr/>
        <w:t>April</w:t>
      </w:r>
      <w:r>
        <w:rPr>
          <w:spacing w:val="-23"/>
        </w:rPr>
        <w:t> </w:t>
      </w:r>
      <w:r>
        <w:rPr/>
        <w:t>and</w:t>
      </w:r>
      <w:r>
        <w:rPr>
          <w:spacing w:val="-22"/>
        </w:rPr>
        <w:t> </w:t>
      </w:r>
      <w:r>
        <w:rPr>
          <w:spacing w:val="-6"/>
        </w:rPr>
        <w:t>May </w:t>
      </w:r>
      <w:r>
        <w:rPr/>
        <w:t>2018 attended by 265 employees;</w:t>
      </w:r>
      <w:r>
        <w:rPr>
          <w:spacing w:val="-33"/>
        </w:rPr>
        <w:t> </w:t>
      </w:r>
      <w:r>
        <w:rPr/>
        <w:t>and</w:t>
      </w:r>
    </w:p>
    <w:p>
      <w:pPr>
        <w:pStyle w:val="BodyText"/>
        <w:spacing w:before="7"/>
        <w:rPr>
          <w:sz w:val="23"/>
        </w:rPr>
      </w:pPr>
    </w:p>
    <w:p>
      <w:pPr>
        <w:pStyle w:val="BodyText"/>
        <w:spacing w:before="1"/>
        <w:ind w:left="765"/>
      </w:pPr>
      <w:r>
        <w:rPr/>
        <w:drawing>
          <wp:inline distT="0" distB="0" distL="0" distR="0">
            <wp:extent cx="125999" cy="125997"/>
            <wp:effectExtent l="0" t="0" r="0" b="0"/>
            <wp:docPr id="153" name="image130.png" descr=""/>
            <wp:cNvGraphicFramePr>
              <a:graphicFrameLocks noChangeAspect="1"/>
            </wp:cNvGraphicFramePr>
            <a:graphic>
              <a:graphicData uri="http://schemas.openxmlformats.org/drawingml/2006/picture">
                <pic:pic>
                  <pic:nvPicPr>
                    <pic:cNvPr id="154" name="image130.png"/>
                    <pic:cNvPicPr/>
                  </pic:nvPicPr>
                  <pic:blipFill>
                    <a:blip r:embed="rId253" cstate="print"/>
                    <a:stretch>
                      <a:fillRect/>
                    </a:stretch>
                  </pic:blipFill>
                  <pic:spPr>
                    <a:xfrm>
                      <a:off x="0" y="0"/>
                      <a:ext cx="125999" cy="125997"/>
                    </a:xfrm>
                    <a:prstGeom prst="rect">
                      <a:avLst/>
                    </a:prstGeom>
                  </pic:spPr>
                </pic:pic>
              </a:graphicData>
            </a:graphic>
          </wp:inline>
        </w:drawing>
      </w:r>
      <w:r>
        <w:rPr/>
      </w:r>
      <w:r>
        <w:rPr>
          <w:rFonts w:ascii="Times New Roman"/>
          <w:sz w:val="20"/>
        </w:rPr>
        <w:t> </w:t>
      </w:r>
      <w:r>
        <w:rPr>
          <w:rFonts w:ascii="Times New Roman"/>
          <w:spacing w:val="7"/>
          <w:sz w:val="20"/>
        </w:rPr>
        <w:t> </w:t>
      </w:r>
      <w:r>
        <w:rPr/>
        <w:t>skin</w:t>
      </w:r>
      <w:r>
        <w:rPr>
          <w:spacing w:val="-14"/>
        </w:rPr>
        <w:t> </w:t>
      </w:r>
      <w:r>
        <w:rPr/>
        <w:t>cancer</w:t>
      </w:r>
      <w:r>
        <w:rPr>
          <w:spacing w:val="-13"/>
        </w:rPr>
        <w:t> </w:t>
      </w:r>
      <w:r>
        <w:rPr/>
        <w:t>checks</w:t>
      </w:r>
      <w:r>
        <w:rPr>
          <w:spacing w:val="-13"/>
        </w:rPr>
        <w:t> </w:t>
      </w:r>
      <w:r>
        <w:rPr/>
        <w:t>during</w:t>
      </w:r>
      <w:r>
        <w:rPr>
          <w:spacing w:val="-14"/>
        </w:rPr>
        <w:t> </w:t>
      </w:r>
      <w:r>
        <w:rPr/>
        <w:t>May</w:t>
      </w:r>
      <w:r>
        <w:rPr>
          <w:spacing w:val="-13"/>
        </w:rPr>
        <w:t> </w:t>
      </w:r>
      <w:r>
        <w:rPr/>
        <w:t>and</w:t>
      </w:r>
      <w:r>
        <w:rPr>
          <w:spacing w:val="-13"/>
        </w:rPr>
        <w:t> </w:t>
      </w:r>
      <w:r>
        <w:rPr/>
        <w:t>June</w:t>
      </w:r>
      <w:r>
        <w:rPr>
          <w:spacing w:val="-14"/>
        </w:rPr>
        <w:t> </w:t>
      </w:r>
      <w:r>
        <w:rPr/>
        <w:t>2018.</w:t>
      </w:r>
    </w:p>
    <w:p>
      <w:pPr>
        <w:pStyle w:val="BodyText"/>
        <w:spacing w:before="6"/>
        <w:rPr>
          <w:sz w:val="23"/>
        </w:rPr>
      </w:pPr>
    </w:p>
    <w:p>
      <w:pPr>
        <w:pStyle w:val="BodyText"/>
        <w:spacing w:line="249" w:lineRule="auto"/>
        <w:ind w:left="765" w:right="31"/>
      </w:pPr>
      <w:r>
        <w:rPr/>
        <w:pict>
          <v:shape style="position:absolute;margin-left:45.781456pt;margin-top:649.278748pt;width:39.2pt;height:39.2pt;mso-position-horizontal-relative:page;mso-position-vertical-relative:paragraph;z-index:30952" coordorigin="916,12986" coordsize="784,784" path="m4329,766l4651,1088m4217,764l4653,1200m4127,784l4633,1291m4053,821l4597,1364m3991,869l4548,1426m3940,928l4489,1477m3900,999l4418,1517m3874,1083l4335,1544m3870,1189l4228,1547m3917,1346l4071,1500e" filled="false" stroked="true" strokeweight=".25pt" strokecolor="#bbbcbb">
            <v:path arrowok="t"/>
            <v:stroke dashstyle="solid"/>
            <w10:wrap type="none"/>
          </v:shape>
        </w:pict>
      </w:r>
      <w:r>
        <w:rPr/>
        <w:t>The</w:t>
      </w:r>
      <w:r>
        <w:rPr>
          <w:spacing w:val="-28"/>
        </w:rPr>
        <w:t> </w:t>
      </w:r>
      <w:r>
        <w:rPr/>
        <w:t>Department</w:t>
      </w:r>
      <w:r>
        <w:rPr>
          <w:spacing w:val="-28"/>
        </w:rPr>
        <w:t> </w:t>
      </w:r>
      <w:r>
        <w:rPr/>
        <w:t>celebrated</w:t>
      </w:r>
      <w:r>
        <w:rPr>
          <w:spacing w:val="-27"/>
        </w:rPr>
        <w:t> </w:t>
      </w:r>
      <w:r>
        <w:rPr/>
        <w:t>Mental</w:t>
      </w:r>
      <w:r>
        <w:rPr>
          <w:spacing w:val="-28"/>
        </w:rPr>
        <w:t> </w:t>
      </w:r>
      <w:r>
        <w:rPr/>
        <w:t>Health</w:t>
      </w:r>
      <w:r>
        <w:rPr>
          <w:spacing w:val="-28"/>
        </w:rPr>
        <w:t> </w:t>
      </w:r>
      <w:r>
        <w:rPr/>
        <w:t>Week</w:t>
      </w:r>
      <w:r>
        <w:rPr>
          <w:spacing w:val="-27"/>
        </w:rPr>
        <w:t> </w:t>
      </w:r>
      <w:r>
        <w:rPr>
          <w:spacing w:val="-9"/>
        </w:rPr>
        <w:t>in </w:t>
      </w:r>
      <w:r>
        <w:rPr/>
        <w:t>October</w:t>
      </w:r>
      <w:r>
        <w:rPr>
          <w:spacing w:val="-17"/>
        </w:rPr>
        <w:t> </w:t>
      </w:r>
      <w:r>
        <w:rPr/>
        <w:t>2017,</w:t>
      </w:r>
      <w:r>
        <w:rPr>
          <w:spacing w:val="-16"/>
        </w:rPr>
        <w:t> </w:t>
      </w:r>
      <w:r>
        <w:rPr/>
        <w:t>an</w:t>
      </w:r>
      <w:r>
        <w:rPr>
          <w:spacing w:val="-16"/>
        </w:rPr>
        <w:t> </w:t>
      </w:r>
      <w:r>
        <w:rPr/>
        <w:t>annual</w:t>
      </w:r>
      <w:r>
        <w:rPr>
          <w:spacing w:val="-16"/>
        </w:rPr>
        <w:t> </w:t>
      </w:r>
      <w:r>
        <w:rPr/>
        <w:t>national</w:t>
      </w:r>
      <w:r>
        <w:rPr>
          <w:spacing w:val="-16"/>
        </w:rPr>
        <w:t> </w:t>
      </w:r>
      <w:r>
        <w:rPr/>
        <w:t>event</w:t>
      </w:r>
      <w:r>
        <w:rPr>
          <w:spacing w:val="-17"/>
        </w:rPr>
        <w:t> </w:t>
      </w:r>
      <w:r>
        <w:rPr/>
        <w:t>that</w:t>
      </w:r>
      <w:r>
        <w:rPr>
          <w:spacing w:val="-16"/>
        </w:rPr>
        <w:t> </w:t>
      </w:r>
      <w:r>
        <w:rPr/>
        <w:t>aims to improve community awareness and interest in mental health and</w:t>
      </w:r>
      <w:r>
        <w:rPr>
          <w:spacing w:val="-8"/>
        </w:rPr>
        <w:t> </w:t>
      </w:r>
      <w:r>
        <w:rPr/>
        <w:t>wellbeing.</w:t>
      </w:r>
    </w:p>
    <w:p>
      <w:pPr>
        <w:pStyle w:val="Heading4"/>
        <w:spacing w:line="249" w:lineRule="auto" w:before="111"/>
        <w:ind w:left="385" w:right="2365"/>
      </w:pPr>
      <w:r>
        <w:rPr/>
        <w:br w:type="column"/>
      </w:r>
      <w:r>
        <w:rPr>
          <w:color w:val="6F2770"/>
        </w:rPr>
        <w:t>Public</w:t>
      </w:r>
      <w:r>
        <w:rPr>
          <w:color w:val="6F2770"/>
          <w:spacing w:val="-52"/>
        </w:rPr>
        <w:t> </w:t>
      </w:r>
      <w:r>
        <w:rPr>
          <w:color w:val="6F2770"/>
        </w:rPr>
        <w:t>Sector</w:t>
      </w:r>
      <w:r>
        <w:rPr>
          <w:color w:val="6F2770"/>
          <w:spacing w:val="-52"/>
        </w:rPr>
        <w:t> </w:t>
      </w:r>
      <w:r>
        <w:rPr>
          <w:color w:val="6F2770"/>
          <w:spacing w:val="-3"/>
        </w:rPr>
        <w:t>Commissioner’s </w:t>
      </w:r>
      <w:r>
        <w:rPr>
          <w:color w:val="6F2770"/>
        </w:rPr>
        <w:t>Occupational</w:t>
      </w:r>
      <w:r>
        <w:rPr>
          <w:color w:val="6F2770"/>
          <w:spacing w:val="-52"/>
        </w:rPr>
        <w:t> </w:t>
      </w:r>
      <w:r>
        <w:rPr>
          <w:color w:val="6F2770"/>
          <w:spacing w:val="-3"/>
        </w:rPr>
        <w:t>Safety </w:t>
      </w:r>
      <w:r>
        <w:rPr>
          <w:color w:val="6F2770"/>
        </w:rPr>
        <w:t>and Health performance requirements 2017-18</w:t>
      </w:r>
    </w:p>
    <w:p>
      <w:pPr>
        <w:spacing w:after="0" w:line="249" w:lineRule="auto"/>
        <w:sectPr>
          <w:type w:val="continuous"/>
          <w:pgSz w:w="16840" w:h="11910" w:orient="landscape"/>
          <w:pgMar w:top="1100" w:bottom="280" w:left="0" w:right="0"/>
          <w:cols w:num="2" w:equalWidth="0">
            <w:col w:w="5585" w:space="40"/>
            <w:col w:w="11215"/>
          </w:cols>
        </w:sectPr>
      </w:pPr>
    </w:p>
    <w:p>
      <w:pPr>
        <w:pStyle w:val="BodyText"/>
        <w:spacing w:before="8"/>
        <w:rPr>
          <w:sz w:val="18"/>
        </w:rPr>
      </w:pPr>
    </w:p>
    <w:p>
      <w:pPr>
        <w:spacing w:before="106"/>
        <w:ind w:left="6009" w:right="0" w:firstLine="0"/>
        <w:jc w:val="left"/>
        <w:rPr>
          <w:sz w:val="20"/>
        </w:rPr>
      </w:pPr>
      <w:r>
        <w:rPr/>
        <w:pict>
          <v:shape style="position:absolute;margin-left:300.472504pt;margin-top:-373.92572pt;width:503.95pt;height:374.75pt;mso-position-horizontal-relative:page;mso-position-vertical-relative:paragraph;z-index:3119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4"/>
                    <w:gridCol w:w="1105"/>
                    <w:gridCol w:w="1105"/>
                    <w:gridCol w:w="1417"/>
                    <w:gridCol w:w="4436"/>
                  </w:tblGrid>
                  <w:tr>
                    <w:trPr>
                      <w:trHeight w:val="312" w:hRule="atLeast"/>
                    </w:trPr>
                    <w:tc>
                      <w:tcPr>
                        <w:tcW w:w="1984" w:type="dxa"/>
                        <w:tcBorders>
                          <w:left w:val="single" w:sz="8" w:space="0" w:color="FFFFFF"/>
                        </w:tcBorders>
                        <w:shd w:val="clear" w:color="auto" w:fill="783A79"/>
                      </w:tcPr>
                      <w:p>
                        <w:pPr>
                          <w:pStyle w:val="TableParagraph"/>
                          <w:spacing w:before="40"/>
                          <w:ind w:left="113"/>
                          <w:rPr>
                            <w:b/>
                            <w:sz w:val="20"/>
                          </w:rPr>
                        </w:pPr>
                        <w:r>
                          <w:rPr>
                            <w:b/>
                            <w:color w:val="FFFFFF"/>
                            <w:sz w:val="20"/>
                          </w:rPr>
                          <w:t>Indicator</w:t>
                        </w:r>
                      </w:p>
                    </w:tc>
                    <w:tc>
                      <w:tcPr>
                        <w:tcW w:w="1105" w:type="dxa"/>
                        <w:shd w:val="clear" w:color="auto" w:fill="783A79"/>
                      </w:tcPr>
                      <w:p>
                        <w:pPr>
                          <w:pStyle w:val="TableParagraph"/>
                          <w:spacing w:before="40"/>
                          <w:ind w:left="136" w:right="115"/>
                          <w:jc w:val="center"/>
                          <w:rPr>
                            <w:b/>
                            <w:sz w:val="10"/>
                          </w:rPr>
                        </w:pPr>
                        <w:r>
                          <w:rPr>
                            <w:b/>
                            <w:color w:val="FFFFFF"/>
                            <w:sz w:val="20"/>
                          </w:rPr>
                          <w:t>2015-16</w:t>
                        </w:r>
                        <w:r>
                          <w:rPr>
                            <w:b/>
                            <w:color w:val="FFFFFF"/>
                            <w:position w:val="7"/>
                            <w:sz w:val="10"/>
                          </w:rPr>
                          <w:t>3</w:t>
                        </w:r>
                      </w:p>
                    </w:tc>
                    <w:tc>
                      <w:tcPr>
                        <w:tcW w:w="1105" w:type="dxa"/>
                        <w:shd w:val="clear" w:color="auto" w:fill="783A79"/>
                      </w:tcPr>
                      <w:p>
                        <w:pPr>
                          <w:pStyle w:val="TableParagraph"/>
                          <w:spacing w:before="40"/>
                          <w:ind w:left="137" w:right="115"/>
                          <w:jc w:val="center"/>
                          <w:rPr>
                            <w:b/>
                            <w:sz w:val="20"/>
                          </w:rPr>
                        </w:pPr>
                        <w:r>
                          <w:rPr>
                            <w:b/>
                            <w:color w:val="FFFFFF"/>
                            <w:sz w:val="20"/>
                          </w:rPr>
                          <w:t>2017-18*</w:t>
                        </w:r>
                      </w:p>
                    </w:tc>
                    <w:tc>
                      <w:tcPr>
                        <w:tcW w:w="1417" w:type="dxa"/>
                        <w:shd w:val="clear" w:color="auto" w:fill="783A79"/>
                      </w:tcPr>
                      <w:p>
                        <w:pPr>
                          <w:pStyle w:val="TableParagraph"/>
                          <w:spacing w:before="40"/>
                          <w:ind w:left="124"/>
                          <w:rPr>
                            <w:b/>
                            <w:sz w:val="20"/>
                          </w:rPr>
                        </w:pPr>
                        <w:r>
                          <w:rPr>
                            <w:b/>
                            <w:color w:val="FFFFFF"/>
                            <w:sz w:val="20"/>
                          </w:rPr>
                          <w:t>Target</w:t>
                        </w:r>
                      </w:p>
                    </w:tc>
                    <w:tc>
                      <w:tcPr>
                        <w:tcW w:w="4436" w:type="dxa"/>
                        <w:shd w:val="clear" w:color="auto" w:fill="783A79"/>
                      </w:tcPr>
                      <w:p>
                        <w:pPr>
                          <w:pStyle w:val="TableParagraph"/>
                          <w:spacing w:before="40"/>
                          <w:ind w:left="125"/>
                          <w:rPr>
                            <w:b/>
                            <w:sz w:val="20"/>
                          </w:rPr>
                        </w:pPr>
                        <w:r>
                          <w:rPr>
                            <w:b/>
                            <w:color w:val="FFFFFF"/>
                            <w:sz w:val="20"/>
                          </w:rPr>
                          <w:t>Comment on result</w:t>
                        </w:r>
                      </w:p>
                    </w:tc>
                  </w:tr>
                  <w:tr>
                    <w:trPr>
                      <w:trHeight w:val="317" w:hRule="atLeast"/>
                    </w:trPr>
                    <w:tc>
                      <w:tcPr>
                        <w:tcW w:w="1984" w:type="dxa"/>
                        <w:tcBorders>
                          <w:left w:val="single" w:sz="8" w:space="0" w:color="FFFFFF"/>
                          <w:right w:val="single" w:sz="8" w:space="0" w:color="FFFFFF"/>
                        </w:tcBorders>
                        <w:shd w:val="clear" w:color="auto" w:fill="FAF9F9"/>
                      </w:tcPr>
                      <w:p>
                        <w:pPr>
                          <w:pStyle w:val="TableParagraph"/>
                          <w:spacing w:before="40"/>
                          <w:ind w:left="113"/>
                          <w:rPr>
                            <w:sz w:val="20"/>
                          </w:rPr>
                        </w:pPr>
                        <w:r>
                          <w:rPr>
                            <w:sz w:val="20"/>
                          </w:rPr>
                          <w:t>Number of fatalities</w:t>
                        </w:r>
                      </w:p>
                    </w:tc>
                    <w:tc>
                      <w:tcPr>
                        <w:tcW w:w="1105" w:type="dxa"/>
                        <w:tcBorders>
                          <w:left w:val="single" w:sz="8" w:space="0" w:color="FFFFFF"/>
                          <w:right w:val="single" w:sz="8" w:space="0" w:color="FFFFFF"/>
                        </w:tcBorders>
                        <w:shd w:val="clear" w:color="auto" w:fill="FAF9F9"/>
                      </w:tcPr>
                      <w:p>
                        <w:pPr>
                          <w:pStyle w:val="TableParagraph"/>
                          <w:spacing w:before="40"/>
                          <w:ind w:left="21"/>
                          <w:jc w:val="center"/>
                          <w:rPr>
                            <w:sz w:val="20"/>
                          </w:rPr>
                        </w:pPr>
                        <w:r>
                          <w:rPr>
                            <w:w w:val="99"/>
                            <w:sz w:val="20"/>
                          </w:rPr>
                          <w:t>0</w:t>
                        </w:r>
                      </w:p>
                    </w:tc>
                    <w:tc>
                      <w:tcPr>
                        <w:tcW w:w="1105" w:type="dxa"/>
                        <w:tcBorders>
                          <w:left w:val="single" w:sz="8" w:space="0" w:color="FFFFFF"/>
                        </w:tcBorders>
                        <w:shd w:val="clear" w:color="auto" w:fill="FAF9F9"/>
                      </w:tcPr>
                      <w:p>
                        <w:pPr>
                          <w:pStyle w:val="TableParagraph"/>
                          <w:spacing w:before="40"/>
                          <w:ind w:left="12"/>
                          <w:jc w:val="center"/>
                          <w:rPr>
                            <w:sz w:val="20"/>
                          </w:rPr>
                        </w:pPr>
                        <w:r>
                          <w:rPr>
                            <w:w w:val="99"/>
                            <w:sz w:val="20"/>
                          </w:rPr>
                          <w:t>0</w:t>
                        </w:r>
                      </w:p>
                    </w:tc>
                    <w:tc>
                      <w:tcPr>
                        <w:tcW w:w="1417" w:type="dxa"/>
                        <w:shd w:val="clear" w:color="auto" w:fill="E4E6C1"/>
                      </w:tcPr>
                      <w:p>
                        <w:pPr>
                          <w:pStyle w:val="TableParagraph"/>
                          <w:spacing w:before="40"/>
                          <w:ind w:left="124"/>
                          <w:rPr>
                            <w:sz w:val="20"/>
                          </w:rPr>
                        </w:pPr>
                        <w:r>
                          <w:rPr>
                            <w:w w:val="99"/>
                            <w:sz w:val="20"/>
                          </w:rPr>
                          <w:t>0</w:t>
                        </w:r>
                      </w:p>
                    </w:tc>
                    <w:tc>
                      <w:tcPr>
                        <w:tcW w:w="4436" w:type="dxa"/>
                        <w:tcBorders>
                          <w:bottom w:val="single" w:sz="8" w:space="0" w:color="FFFFFF"/>
                          <w:right w:val="single" w:sz="8" w:space="0" w:color="FFFFFF"/>
                        </w:tcBorders>
                        <w:shd w:val="clear" w:color="auto" w:fill="F4F4F4"/>
                      </w:tcPr>
                      <w:p>
                        <w:pPr>
                          <w:pStyle w:val="TableParagraph"/>
                          <w:spacing w:before="40"/>
                          <w:ind w:left="125"/>
                          <w:rPr>
                            <w:sz w:val="20"/>
                          </w:rPr>
                        </w:pPr>
                        <w:r>
                          <w:rPr>
                            <w:sz w:val="20"/>
                          </w:rPr>
                          <w:t>Achieved</w:t>
                        </w:r>
                      </w:p>
                    </w:tc>
                  </w:tr>
                  <w:tr>
                    <w:trPr>
                      <w:trHeight w:val="1012" w:hRule="atLeast"/>
                    </w:trPr>
                    <w:tc>
                      <w:tcPr>
                        <w:tcW w:w="1984" w:type="dxa"/>
                        <w:tcBorders>
                          <w:left w:val="single" w:sz="8" w:space="0" w:color="FFFFFF"/>
                          <w:right w:val="single" w:sz="8" w:space="0" w:color="FFFFFF"/>
                        </w:tcBorders>
                        <w:shd w:val="clear" w:color="auto" w:fill="FAF9F9"/>
                      </w:tcPr>
                      <w:p>
                        <w:pPr>
                          <w:pStyle w:val="TableParagraph"/>
                          <w:spacing w:line="249" w:lineRule="auto" w:before="30"/>
                          <w:ind w:left="113" w:right="90"/>
                          <w:jc w:val="both"/>
                          <w:rPr>
                            <w:sz w:val="20"/>
                          </w:rPr>
                        </w:pPr>
                        <w:r>
                          <w:rPr>
                            <w:sz w:val="20"/>
                          </w:rPr>
                          <w:t>Lost time injury</w:t>
                        </w:r>
                        <w:r>
                          <w:rPr>
                            <w:spacing w:val="-42"/>
                            <w:sz w:val="20"/>
                          </w:rPr>
                          <w:t> </w:t>
                        </w:r>
                        <w:r>
                          <w:rPr>
                            <w:sz w:val="20"/>
                          </w:rPr>
                          <w:t>and/ or</w:t>
                        </w:r>
                        <w:r>
                          <w:rPr>
                            <w:spacing w:val="-36"/>
                            <w:sz w:val="20"/>
                          </w:rPr>
                          <w:t> </w:t>
                        </w:r>
                        <w:r>
                          <w:rPr>
                            <w:sz w:val="20"/>
                          </w:rPr>
                          <w:t>disease</w:t>
                        </w:r>
                        <w:r>
                          <w:rPr>
                            <w:spacing w:val="-35"/>
                            <w:sz w:val="20"/>
                          </w:rPr>
                          <w:t> </w:t>
                        </w:r>
                        <w:r>
                          <w:rPr>
                            <w:sz w:val="20"/>
                          </w:rPr>
                          <w:t>incidence rate</w:t>
                        </w:r>
                      </w:p>
                    </w:tc>
                    <w:tc>
                      <w:tcPr>
                        <w:tcW w:w="1105" w:type="dxa"/>
                        <w:tcBorders>
                          <w:left w:val="single" w:sz="8" w:space="0" w:color="FFFFFF"/>
                          <w:right w:val="single" w:sz="8" w:space="0" w:color="FFFFFF"/>
                        </w:tcBorders>
                        <w:shd w:val="clear" w:color="auto" w:fill="FAF9F9"/>
                      </w:tcPr>
                      <w:p>
                        <w:pPr>
                          <w:pStyle w:val="TableParagraph"/>
                          <w:spacing w:before="30"/>
                          <w:ind w:left="332" w:right="311"/>
                          <w:jc w:val="center"/>
                          <w:rPr>
                            <w:sz w:val="20"/>
                          </w:rPr>
                        </w:pPr>
                        <w:r>
                          <w:rPr>
                            <w:sz w:val="20"/>
                          </w:rPr>
                          <w:t>0.28</w:t>
                        </w:r>
                      </w:p>
                    </w:tc>
                    <w:tc>
                      <w:tcPr>
                        <w:tcW w:w="1105" w:type="dxa"/>
                        <w:tcBorders>
                          <w:left w:val="single" w:sz="8" w:space="0" w:color="FFFFFF"/>
                        </w:tcBorders>
                        <w:shd w:val="clear" w:color="auto" w:fill="FAF9F9"/>
                      </w:tcPr>
                      <w:p>
                        <w:pPr>
                          <w:pStyle w:val="TableParagraph"/>
                          <w:spacing w:before="30"/>
                          <w:ind w:left="333" w:right="321"/>
                          <w:jc w:val="center"/>
                          <w:rPr>
                            <w:sz w:val="20"/>
                          </w:rPr>
                        </w:pPr>
                        <w:r>
                          <w:rPr>
                            <w:sz w:val="20"/>
                          </w:rPr>
                          <w:t>0.32</w:t>
                        </w:r>
                      </w:p>
                    </w:tc>
                    <w:tc>
                      <w:tcPr>
                        <w:tcW w:w="1417" w:type="dxa"/>
                        <w:shd w:val="clear" w:color="auto" w:fill="E4E6C1"/>
                      </w:tcPr>
                      <w:p>
                        <w:pPr>
                          <w:pStyle w:val="TableParagraph"/>
                          <w:spacing w:line="249" w:lineRule="auto" w:before="30"/>
                          <w:ind w:left="124" w:right="144"/>
                          <w:rPr>
                            <w:sz w:val="20"/>
                          </w:rPr>
                        </w:pPr>
                        <w:r>
                          <w:rPr>
                            <w:sz w:val="20"/>
                          </w:rPr>
                          <w:t>0 or 10% reduction</w:t>
                        </w:r>
                        <w:r>
                          <w:rPr>
                            <w:position w:val="6"/>
                            <w:sz w:val="10"/>
                          </w:rPr>
                          <w:t>4 </w:t>
                        </w:r>
                        <w:r>
                          <w:rPr>
                            <w:sz w:val="20"/>
                          </w:rPr>
                          <w:t>on the previous 3 years</w:t>
                        </w:r>
                      </w:p>
                    </w:tc>
                    <w:tc>
                      <w:tcPr>
                        <w:tcW w:w="4436" w:type="dxa"/>
                        <w:tcBorders>
                          <w:top w:val="single" w:sz="8" w:space="0" w:color="FFFFFF"/>
                          <w:bottom w:val="single" w:sz="8" w:space="0" w:color="FFFFFF"/>
                          <w:right w:val="single" w:sz="8" w:space="0" w:color="FFFFFF"/>
                        </w:tcBorders>
                        <w:shd w:val="clear" w:color="auto" w:fill="FAF9F9"/>
                      </w:tcPr>
                      <w:p>
                        <w:pPr>
                          <w:pStyle w:val="TableParagraph"/>
                          <w:spacing w:before="30"/>
                          <w:ind w:left="125"/>
                          <w:rPr>
                            <w:sz w:val="20"/>
                          </w:rPr>
                        </w:pPr>
                        <w:r>
                          <w:rPr>
                            <w:sz w:val="20"/>
                          </w:rPr>
                          <w:t>Not achieved</w:t>
                        </w:r>
                      </w:p>
                    </w:tc>
                  </w:tr>
                  <w:tr>
                    <w:trPr>
                      <w:trHeight w:val="1012" w:hRule="atLeast"/>
                    </w:trPr>
                    <w:tc>
                      <w:tcPr>
                        <w:tcW w:w="1984" w:type="dxa"/>
                        <w:tcBorders>
                          <w:left w:val="single" w:sz="8" w:space="0" w:color="FFFFFF"/>
                          <w:bottom w:val="single" w:sz="8" w:space="0" w:color="FFFFFF"/>
                          <w:right w:val="single" w:sz="8" w:space="0" w:color="FFFFFF"/>
                        </w:tcBorders>
                        <w:shd w:val="clear" w:color="auto" w:fill="FAF9F9"/>
                      </w:tcPr>
                      <w:p>
                        <w:pPr>
                          <w:pStyle w:val="TableParagraph"/>
                          <w:spacing w:line="249" w:lineRule="auto" w:before="30"/>
                          <w:ind w:left="113" w:right="41"/>
                          <w:rPr>
                            <w:sz w:val="20"/>
                          </w:rPr>
                        </w:pPr>
                        <w:r>
                          <w:rPr>
                            <w:sz w:val="20"/>
                          </w:rPr>
                          <w:t>Lost time injury and/ or disease severity rate</w:t>
                        </w:r>
                      </w:p>
                    </w:tc>
                    <w:tc>
                      <w:tcPr>
                        <w:tcW w:w="1105" w:type="dxa"/>
                        <w:tcBorders>
                          <w:left w:val="single" w:sz="8" w:space="0" w:color="FFFFFF"/>
                          <w:bottom w:val="single" w:sz="8" w:space="0" w:color="FFFFFF"/>
                          <w:right w:val="single" w:sz="8" w:space="0" w:color="FFFFFF"/>
                        </w:tcBorders>
                        <w:shd w:val="clear" w:color="auto" w:fill="FAF9F9"/>
                      </w:tcPr>
                      <w:p>
                        <w:pPr>
                          <w:pStyle w:val="TableParagraph"/>
                          <w:spacing w:before="30"/>
                          <w:ind w:left="332" w:right="311"/>
                          <w:jc w:val="center"/>
                          <w:rPr>
                            <w:sz w:val="20"/>
                          </w:rPr>
                        </w:pPr>
                        <w:r>
                          <w:rPr>
                            <w:sz w:val="20"/>
                          </w:rPr>
                          <w:t>33%</w:t>
                        </w:r>
                      </w:p>
                    </w:tc>
                    <w:tc>
                      <w:tcPr>
                        <w:tcW w:w="1105" w:type="dxa"/>
                        <w:tcBorders>
                          <w:left w:val="single" w:sz="8" w:space="0" w:color="FFFFFF"/>
                          <w:bottom w:val="single" w:sz="8" w:space="0" w:color="FFFFFF"/>
                        </w:tcBorders>
                        <w:shd w:val="clear" w:color="auto" w:fill="FAF9F9"/>
                      </w:tcPr>
                      <w:p>
                        <w:pPr>
                          <w:pStyle w:val="TableParagraph"/>
                          <w:spacing w:before="30"/>
                          <w:ind w:left="333" w:right="321"/>
                          <w:jc w:val="center"/>
                          <w:rPr>
                            <w:sz w:val="20"/>
                          </w:rPr>
                        </w:pPr>
                        <w:r>
                          <w:rPr>
                            <w:sz w:val="20"/>
                          </w:rPr>
                          <w:t>33%</w:t>
                        </w:r>
                      </w:p>
                    </w:tc>
                    <w:tc>
                      <w:tcPr>
                        <w:tcW w:w="1417" w:type="dxa"/>
                        <w:shd w:val="clear" w:color="auto" w:fill="E4E6C1"/>
                      </w:tcPr>
                      <w:p>
                        <w:pPr>
                          <w:pStyle w:val="TableParagraph"/>
                          <w:spacing w:line="249" w:lineRule="auto" w:before="30"/>
                          <w:ind w:left="124" w:right="144"/>
                          <w:rPr>
                            <w:sz w:val="20"/>
                          </w:rPr>
                        </w:pPr>
                        <w:r>
                          <w:rPr>
                            <w:sz w:val="20"/>
                          </w:rPr>
                          <w:t>0 or 10% reduction</w:t>
                        </w:r>
                        <w:r>
                          <w:rPr>
                            <w:position w:val="6"/>
                            <w:sz w:val="10"/>
                          </w:rPr>
                          <w:t>2 </w:t>
                        </w:r>
                        <w:r>
                          <w:rPr>
                            <w:sz w:val="20"/>
                          </w:rPr>
                          <w:t>on the previous 3 years</w:t>
                        </w:r>
                      </w:p>
                    </w:tc>
                    <w:tc>
                      <w:tcPr>
                        <w:tcW w:w="4436" w:type="dxa"/>
                        <w:tcBorders>
                          <w:top w:val="single" w:sz="8" w:space="0" w:color="FFFFFF"/>
                          <w:bottom w:val="single" w:sz="8" w:space="0" w:color="FFFFFF"/>
                          <w:right w:val="single" w:sz="8" w:space="0" w:color="FFFFFF"/>
                        </w:tcBorders>
                        <w:shd w:val="clear" w:color="auto" w:fill="F4F4F4"/>
                      </w:tcPr>
                      <w:p>
                        <w:pPr>
                          <w:pStyle w:val="TableParagraph"/>
                          <w:spacing w:before="30"/>
                          <w:ind w:left="125"/>
                          <w:rPr>
                            <w:sz w:val="20"/>
                          </w:rPr>
                        </w:pPr>
                        <w:r>
                          <w:rPr>
                            <w:sz w:val="20"/>
                          </w:rPr>
                          <w:t>Not achieved</w:t>
                        </w:r>
                      </w:p>
                    </w:tc>
                  </w:tr>
                  <w:tr>
                    <w:trPr>
                      <w:trHeight w:val="1012" w:hRule="atLeast"/>
                    </w:trPr>
                    <w:tc>
                      <w:tcPr>
                        <w:tcW w:w="1984" w:type="dxa"/>
                        <w:tcBorders>
                          <w:top w:val="single" w:sz="8" w:space="0" w:color="FFFFFF"/>
                          <w:bottom w:val="single" w:sz="8" w:space="0" w:color="FFFFFF"/>
                        </w:tcBorders>
                        <w:shd w:val="clear" w:color="auto" w:fill="FAF9F9"/>
                      </w:tcPr>
                      <w:p>
                        <w:pPr>
                          <w:pStyle w:val="TableParagraph"/>
                          <w:spacing w:line="249" w:lineRule="auto" w:before="30"/>
                          <w:ind w:left="123" w:right="168"/>
                          <w:rPr>
                            <w:sz w:val="20"/>
                          </w:rPr>
                        </w:pPr>
                        <w:r>
                          <w:rPr>
                            <w:sz w:val="20"/>
                          </w:rPr>
                          <w:t>Percentage of injured workers returned to work within 13 weeks</w:t>
                        </w:r>
                      </w:p>
                    </w:tc>
                    <w:tc>
                      <w:tcPr>
                        <w:tcW w:w="1105" w:type="dxa"/>
                        <w:tcBorders>
                          <w:top w:val="single" w:sz="8" w:space="0" w:color="FFFFFF"/>
                          <w:bottom w:val="single" w:sz="8" w:space="0" w:color="FFFFFF"/>
                        </w:tcBorders>
                        <w:shd w:val="clear" w:color="auto" w:fill="FAF9F9"/>
                      </w:tcPr>
                      <w:p>
                        <w:pPr>
                          <w:pStyle w:val="TableParagraph"/>
                          <w:spacing w:before="30"/>
                          <w:ind w:left="136" w:right="115"/>
                          <w:jc w:val="center"/>
                          <w:rPr>
                            <w:sz w:val="20"/>
                          </w:rPr>
                        </w:pPr>
                        <w:r>
                          <w:rPr>
                            <w:sz w:val="20"/>
                          </w:rPr>
                          <w:t>67%</w:t>
                        </w:r>
                      </w:p>
                    </w:tc>
                    <w:tc>
                      <w:tcPr>
                        <w:tcW w:w="1105" w:type="dxa"/>
                        <w:tcBorders>
                          <w:top w:val="single" w:sz="8" w:space="0" w:color="FFFFFF"/>
                          <w:bottom w:val="single" w:sz="8" w:space="0" w:color="FFFFFF"/>
                        </w:tcBorders>
                        <w:shd w:val="clear" w:color="auto" w:fill="FAF9F9"/>
                      </w:tcPr>
                      <w:p>
                        <w:pPr>
                          <w:pStyle w:val="TableParagraph"/>
                          <w:spacing w:before="30"/>
                          <w:ind w:left="137" w:right="115"/>
                          <w:jc w:val="center"/>
                          <w:rPr>
                            <w:sz w:val="20"/>
                          </w:rPr>
                        </w:pPr>
                        <w:r>
                          <w:rPr>
                            <w:sz w:val="20"/>
                          </w:rPr>
                          <w:t>33%</w:t>
                        </w:r>
                      </w:p>
                    </w:tc>
                    <w:tc>
                      <w:tcPr>
                        <w:tcW w:w="1417" w:type="dxa"/>
                        <w:shd w:val="clear" w:color="auto" w:fill="E4E6C1"/>
                      </w:tcPr>
                      <w:p>
                        <w:pPr>
                          <w:pStyle w:val="TableParagraph"/>
                          <w:spacing w:line="249" w:lineRule="auto" w:before="30"/>
                          <w:ind w:left="124" w:right="150"/>
                          <w:rPr>
                            <w:sz w:val="20"/>
                          </w:rPr>
                        </w:pPr>
                        <w:r>
                          <w:rPr>
                            <w:sz w:val="20"/>
                          </w:rPr>
                          <w:t>Greater than or equal to 80%</w:t>
                        </w:r>
                      </w:p>
                    </w:tc>
                    <w:tc>
                      <w:tcPr>
                        <w:tcW w:w="4436" w:type="dxa"/>
                        <w:tcBorders>
                          <w:top w:val="single" w:sz="8" w:space="0" w:color="FFFFFF"/>
                          <w:bottom w:val="single" w:sz="8" w:space="0" w:color="FFFFFF"/>
                          <w:right w:val="single" w:sz="8" w:space="0" w:color="FFFFFF"/>
                        </w:tcBorders>
                        <w:shd w:val="clear" w:color="auto" w:fill="FAF9F9"/>
                      </w:tcPr>
                      <w:p>
                        <w:pPr>
                          <w:pStyle w:val="TableParagraph"/>
                          <w:spacing w:line="249" w:lineRule="auto" w:before="30"/>
                          <w:ind w:left="125" w:right="83"/>
                          <w:rPr>
                            <w:sz w:val="20"/>
                          </w:rPr>
                        </w:pPr>
                        <w:r>
                          <w:rPr>
                            <w:sz w:val="20"/>
                          </w:rPr>
                          <w:t>One</w:t>
                        </w:r>
                        <w:r>
                          <w:rPr>
                            <w:spacing w:val="-20"/>
                            <w:sz w:val="20"/>
                          </w:rPr>
                          <w:t> </w:t>
                        </w:r>
                        <w:r>
                          <w:rPr>
                            <w:sz w:val="20"/>
                          </w:rPr>
                          <w:t>of</w:t>
                        </w:r>
                        <w:r>
                          <w:rPr>
                            <w:spacing w:val="-19"/>
                            <w:sz w:val="20"/>
                          </w:rPr>
                          <w:t> </w:t>
                        </w:r>
                        <w:r>
                          <w:rPr>
                            <w:sz w:val="20"/>
                          </w:rPr>
                          <w:t>three</w:t>
                        </w:r>
                        <w:r>
                          <w:rPr>
                            <w:spacing w:val="-20"/>
                            <w:sz w:val="20"/>
                          </w:rPr>
                          <w:t> </w:t>
                        </w:r>
                        <w:r>
                          <w:rPr>
                            <w:sz w:val="20"/>
                          </w:rPr>
                          <w:t>long</w:t>
                        </w:r>
                        <w:r>
                          <w:rPr>
                            <w:spacing w:val="-19"/>
                            <w:sz w:val="20"/>
                          </w:rPr>
                          <w:t> </w:t>
                        </w:r>
                        <w:r>
                          <w:rPr>
                            <w:sz w:val="20"/>
                          </w:rPr>
                          <w:t>term</w:t>
                        </w:r>
                        <w:r>
                          <w:rPr>
                            <w:spacing w:val="-19"/>
                            <w:sz w:val="20"/>
                          </w:rPr>
                          <w:t> </w:t>
                        </w:r>
                        <w:r>
                          <w:rPr>
                            <w:sz w:val="20"/>
                          </w:rPr>
                          <w:t>injured</w:t>
                        </w:r>
                        <w:r>
                          <w:rPr>
                            <w:spacing w:val="-20"/>
                            <w:sz w:val="20"/>
                          </w:rPr>
                          <w:t> </w:t>
                        </w:r>
                        <w:r>
                          <w:rPr>
                            <w:sz w:val="20"/>
                          </w:rPr>
                          <w:t>claimants</w:t>
                        </w:r>
                        <w:r>
                          <w:rPr>
                            <w:spacing w:val="-19"/>
                            <w:sz w:val="20"/>
                          </w:rPr>
                          <w:t> </w:t>
                        </w:r>
                        <w:r>
                          <w:rPr>
                            <w:spacing w:val="-3"/>
                            <w:sz w:val="20"/>
                          </w:rPr>
                          <w:t>returned </w:t>
                        </w:r>
                        <w:r>
                          <w:rPr>
                            <w:sz w:val="20"/>
                          </w:rPr>
                          <w:t>to full pre-injured duties within 13</w:t>
                        </w:r>
                        <w:r>
                          <w:rPr>
                            <w:spacing w:val="-31"/>
                            <w:sz w:val="20"/>
                          </w:rPr>
                          <w:t> </w:t>
                        </w:r>
                        <w:r>
                          <w:rPr>
                            <w:sz w:val="20"/>
                          </w:rPr>
                          <w:t>weeks</w:t>
                        </w:r>
                      </w:p>
                    </w:tc>
                  </w:tr>
                  <w:tr>
                    <w:trPr>
                      <w:trHeight w:val="1012" w:hRule="atLeast"/>
                    </w:trPr>
                    <w:tc>
                      <w:tcPr>
                        <w:tcW w:w="198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0"/>
                          <w:ind w:left="113" w:right="41"/>
                          <w:rPr>
                            <w:sz w:val="20"/>
                          </w:rPr>
                        </w:pPr>
                        <w:r>
                          <w:rPr>
                            <w:sz w:val="20"/>
                          </w:rPr>
                          <w:t>Percentage of injured workers returned to work within 26 weeks</w:t>
                        </w:r>
                      </w:p>
                    </w:tc>
                    <w:tc>
                      <w:tcPr>
                        <w:tcW w:w="1105"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30"/>
                          <w:ind w:left="332" w:right="311"/>
                          <w:jc w:val="center"/>
                          <w:rPr>
                            <w:sz w:val="20"/>
                          </w:rPr>
                        </w:pPr>
                        <w:r>
                          <w:rPr>
                            <w:sz w:val="20"/>
                          </w:rPr>
                          <w:t>67%</w:t>
                        </w:r>
                      </w:p>
                    </w:tc>
                    <w:tc>
                      <w:tcPr>
                        <w:tcW w:w="1105" w:type="dxa"/>
                        <w:tcBorders>
                          <w:top w:val="single" w:sz="8" w:space="0" w:color="FFFFFF"/>
                          <w:left w:val="single" w:sz="8" w:space="0" w:color="FFFFFF"/>
                          <w:bottom w:val="single" w:sz="8" w:space="0" w:color="FFFFFF"/>
                        </w:tcBorders>
                        <w:shd w:val="clear" w:color="auto" w:fill="F4F4F4"/>
                      </w:tcPr>
                      <w:p>
                        <w:pPr>
                          <w:pStyle w:val="TableParagraph"/>
                          <w:spacing w:before="30"/>
                          <w:ind w:left="333" w:right="321"/>
                          <w:jc w:val="center"/>
                          <w:rPr>
                            <w:sz w:val="20"/>
                          </w:rPr>
                        </w:pPr>
                        <w:r>
                          <w:rPr>
                            <w:sz w:val="20"/>
                          </w:rPr>
                          <w:t>67%</w:t>
                        </w:r>
                      </w:p>
                    </w:tc>
                    <w:tc>
                      <w:tcPr>
                        <w:tcW w:w="1417" w:type="dxa"/>
                        <w:shd w:val="clear" w:color="auto" w:fill="E4E6C1"/>
                      </w:tcPr>
                      <w:p>
                        <w:pPr>
                          <w:pStyle w:val="TableParagraph"/>
                          <w:spacing w:before="0"/>
                          <w:rPr>
                            <w:rFonts w:ascii="Times New Roman"/>
                            <w:sz w:val="20"/>
                          </w:rPr>
                        </w:pPr>
                      </w:p>
                    </w:tc>
                    <w:tc>
                      <w:tcPr>
                        <w:tcW w:w="4436" w:type="dxa"/>
                        <w:tcBorders>
                          <w:top w:val="single" w:sz="8" w:space="0" w:color="FFFFFF"/>
                          <w:bottom w:val="single" w:sz="8" w:space="0" w:color="FFFFFF"/>
                          <w:right w:val="single" w:sz="8" w:space="0" w:color="FFFFFF"/>
                        </w:tcBorders>
                        <w:shd w:val="clear" w:color="auto" w:fill="F4F4F4"/>
                      </w:tcPr>
                      <w:p>
                        <w:pPr>
                          <w:pStyle w:val="TableParagraph"/>
                          <w:spacing w:before="30"/>
                          <w:ind w:left="125"/>
                          <w:rPr>
                            <w:sz w:val="20"/>
                          </w:rPr>
                        </w:pPr>
                        <w:r>
                          <w:rPr>
                            <w:sz w:val="20"/>
                          </w:rPr>
                          <w:t>Not achieved due to complexity of injury claim</w:t>
                        </w:r>
                      </w:p>
                    </w:tc>
                  </w:tr>
                  <w:tr>
                    <w:trPr>
                      <w:trHeight w:val="2692" w:hRule="atLeast"/>
                    </w:trPr>
                    <w:tc>
                      <w:tcPr>
                        <w:tcW w:w="1984" w:type="dxa"/>
                        <w:tcBorders>
                          <w:top w:val="single" w:sz="8" w:space="0" w:color="FFFFFF"/>
                          <w:bottom w:val="single" w:sz="8" w:space="0" w:color="FFFFFF"/>
                        </w:tcBorders>
                        <w:shd w:val="clear" w:color="auto" w:fill="FAF9F9"/>
                      </w:tcPr>
                      <w:p>
                        <w:pPr>
                          <w:pStyle w:val="TableParagraph"/>
                          <w:spacing w:line="249" w:lineRule="auto" w:before="30"/>
                          <w:ind w:left="123" w:right="168"/>
                          <w:rPr>
                            <w:sz w:val="20"/>
                          </w:rPr>
                        </w:pPr>
                        <w:r>
                          <w:rPr>
                            <w:sz w:val="20"/>
                          </w:rPr>
                          <w:t>Percentage of managers trained in occupational safety, health and </w:t>
                        </w:r>
                        <w:r>
                          <w:rPr>
                            <w:w w:val="95"/>
                            <w:sz w:val="20"/>
                          </w:rPr>
                          <w:t>injury management </w:t>
                        </w:r>
                        <w:r>
                          <w:rPr>
                            <w:sz w:val="20"/>
                          </w:rPr>
                          <w:t>responsibilities</w:t>
                        </w:r>
                      </w:p>
                    </w:tc>
                    <w:tc>
                      <w:tcPr>
                        <w:tcW w:w="1105" w:type="dxa"/>
                        <w:tcBorders>
                          <w:top w:val="single" w:sz="8" w:space="0" w:color="FFFFFF"/>
                          <w:bottom w:val="single" w:sz="8" w:space="0" w:color="FFFFFF"/>
                        </w:tcBorders>
                        <w:shd w:val="clear" w:color="auto" w:fill="FAF9F9"/>
                      </w:tcPr>
                      <w:p>
                        <w:pPr>
                          <w:pStyle w:val="TableParagraph"/>
                          <w:spacing w:before="30"/>
                          <w:ind w:left="137" w:right="115"/>
                          <w:jc w:val="center"/>
                          <w:rPr>
                            <w:sz w:val="20"/>
                          </w:rPr>
                        </w:pPr>
                        <w:r>
                          <w:rPr>
                            <w:sz w:val="20"/>
                          </w:rPr>
                          <w:t>64%</w:t>
                        </w:r>
                      </w:p>
                    </w:tc>
                    <w:tc>
                      <w:tcPr>
                        <w:tcW w:w="1105" w:type="dxa"/>
                        <w:tcBorders>
                          <w:top w:val="single" w:sz="8" w:space="0" w:color="FFFFFF"/>
                          <w:bottom w:val="single" w:sz="8" w:space="0" w:color="FFFFFF"/>
                        </w:tcBorders>
                        <w:shd w:val="clear" w:color="auto" w:fill="FAF9F9"/>
                      </w:tcPr>
                      <w:p>
                        <w:pPr>
                          <w:pStyle w:val="TableParagraph"/>
                          <w:spacing w:before="30"/>
                          <w:ind w:left="137" w:right="114"/>
                          <w:jc w:val="center"/>
                          <w:rPr>
                            <w:sz w:val="20"/>
                          </w:rPr>
                        </w:pPr>
                        <w:r>
                          <w:rPr>
                            <w:sz w:val="20"/>
                          </w:rPr>
                          <w:t>30%</w:t>
                        </w:r>
                      </w:p>
                    </w:tc>
                    <w:tc>
                      <w:tcPr>
                        <w:tcW w:w="1417" w:type="dxa"/>
                        <w:shd w:val="clear" w:color="auto" w:fill="E4E6C1"/>
                      </w:tcPr>
                      <w:p>
                        <w:pPr>
                          <w:pStyle w:val="TableParagraph"/>
                          <w:spacing w:line="249" w:lineRule="auto" w:before="30"/>
                          <w:ind w:left="125" w:right="149"/>
                          <w:rPr>
                            <w:sz w:val="20"/>
                          </w:rPr>
                        </w:pPr>
                        <w:r>
                          <w:rPr>
                            <w:sz w:val="20"/>
                          </w:rPr>
                          <w:t>Greater than or equal to 80%</w:t>
                        </w:r>
                      </w:p>
                    </w:tc>
                    <w:tc>
                      <w:tcPr>
                        <w:tcW w:w="4436" w:type="dxa"/>
                        <w:tcBorders>
                          <w:top w:val="single" w:sz="8" w:space="0" w:color="FFFFFF"/>
                          <w:bottom w:val="single" w:sz="8" w:space="0" w:color="FFFFFF"/>
                          <w:right w:val="single" w:sz="8" w:space="0" w:color="FFFFFF"/>
                        </w:tcBorders>
                        <w:shd w:val="clear" w:color="auto" w:fill="FAF9F9"/>
                      </w:tcPr>
                      <w:p>
                        <w:pPr>
                          <w:pStyle w:val="TableParagraph"/>
                          <w:spacing w:line="249" w:lineRule="auto" w:before="30"/>
                          <w:ind w:left="125" w:right="81"/>
                          <w:rPr>
                            <w:sz w:val="20"/>
                          </w:rPr>
                        </w:pPr>
                        <w:r>
                          <w:rPr>
                            <w:sz w:val="20"/>
                          </w:rPr>
                          <w:t>The decline in trained managers is a result of recent</w:t>
                        </w:r>
                        <w:r>
                          <w:rPr>
                            <w:spacing w:val="-24"/>
                            <w:sz w:val="20"/>
                          </w:rPr>
                          <w:t> </w:t>
                        </w:r>
                        <w:r>
                          <w:rPr>
                            <w:sz w:val="20"/>
                          </w:rPr>
                          <w:t>staff</w:t>
                        </w:r>
                        <w:r>
                          <w:rPr>
                            <w:spacing w:val="-24"/>
                            <w:sz w:val="20"/>
                          </w:rPr>
                          <w:t> </w:t>
                        </w:r>
                        <w:r>
                          <w:rPr>
                            <w:sz w:val="20"/>
                          </w:rPr>
                          <w:t>departures</w:t>
                        </w:r>
                        <w:r>
                          <w:rPr>
                            <w:spacing w:val="-24"/>
                            <w:sz w:val="20"/>
                          </w:rPr>
                          <w:t> </w:t>
                        </w:r>
                        <w:r>
                          <w:rPr>
                            <w:sz w:val="20"/>
                          </w:rPr>
                          <w:t>and</w:t>
                        </w:r>
                        <w:r>
                          <w:rPr>
                            <w:spacing w:val="-24"/>
                            <w:sz w:val="20"/>
                          </w:rPr>
                          <w:t> </w:t>
                        </w:r>
                        <w:r>
                          <w:rPr>
                            <w:sz w:val="20"/>
                          </w:rPr>
                          <w:t>OSH</w:t>
                        </w:r>
                        <w:r>
                          <w:rPr>
                            <w:spacing w:val="-23"/>
                            <w:sz w:val="20"/>
                          </w:rPr>
                          <w:t> </w:t>
                        </w:r>
                        <w:r>
                          <w:rPr>
                            <w:sz w:val="20"/>
                          </w:rPr>
                          <w:t>resources</w:t>
                        </w:r>
                        <w:r>
                          <w:rPr>
                            <w:spacing w:val="-24"/>
                            <w:sz w:val="20"/>
                          </w:rPr>
                          <w:t> </w:t>
                        </w:r>
                        <w:r>
                          <w:rPr>
                            <w:spacing w:val="-3"/>
                            <w:sz w:val="20"/>
                          </w:rPr>
                          <w:t>being </w:t>
                        </w:r>
                        <w:r>
                          <w:rPr>
                            <w:sz w:val="20"/>
                          </w:rPr>
                          <w:t>focussed on supporting the safe transition of large</w:t>
                        </w:r>
                        <w:r>
                          <w:rPr>
                            <w:spacing w:val="-15"/>
                            <w:sz w:val="20"/>
                          </w:rPr>
                          <w:t> </w:t>
                        </w:r>
                        <w:r>
                          <w:rPr>
                            <w:sz w:val="20"/>
                          </w:rPr>
                          <w:t>numbers</w:t>
                        </w:r>
                        <w:r>
                          <w:rPr>
                            <w:spacing w:val="-14"/>
                            <w:sz w:val="20"/>
                          </w:rPr>
                          <w:t> </w:t>
                        </w:r>
                        <w:r>
                          <w:rPr>
                            <w:sz w:val="20"/>
                          </w:rPr>
                          <w:t>of</w:t>
                        </w:r>
                        <w:r>
                          <w:rPr>
                            <w:spacing w:val="-14"/>
                            <w:sz w:val="20"/>
                          </w:rPr>
                          <w:t> </w:t>
                        </w:r>
                        <w:r>
                          <w:rPr>
                            <w:sz w:val="20"/>
                          </w:rPr>
                          <w:t>staff</w:t>
                        </w:r>
                        <w:r>
                          <w:rPr>
                            <w:spacing w:val="-14"/>
                            <w:sz w:val="20"/>
                          </w:rPr>
                          <w:t> </w:t>
                        </w:r>
                        <w:r>
                          <w:rPr>
                            <w:sz w:val="20"/>
                          </w:rPr>
                          <w:t>to</w:t>
                        </w:r>
                        <w:r>
                          <w:rPr>
                            <w:spacing w:val="-14"/>
                            <w:sz w:val="20"/>
                          </w:rPr>
                          <w:t> </w:t>
                        </w:r>
                        <w:r>
                          <w:rPr>
                            <w:sz w:val="20"/>
                          </w:rPr>
                          <w:t>activity-based</w:t>
                        </w:r>
                        <w:r>
                          <w:rPr>
                            <w:spacing w:val="-14"/>
                            <w:sz w:val="20"/>
                          </w:rPr>
                          <w:t> </w:t>
                        </w:r>
                        <w:r>
                          <w:rPr>
                            <w:sz w:val="20"/>
                          </w:rPr>
                          <w:t>working.</w:t>
                        </w:r>
                      </w:p>
                      <w:p>
                        <w:pPr>
                          <w:pStyle w:val="TableParagraph"/>
                          <w:spacing w:before="1"/>
                          <w:rPr>
                            <w:b/>
                            <w:sz w:val="21"/>
                          </w:rPr>
                        </w:pPr>
                      </w:p>
                      <w:p>
                        <w:pPr>
                          <w:pStyle w:val="TableParagraph"/>
                          <w:spacing w:line="249" w:lineRule="auto" w:before="1"/>
                          <w:ind w:left="125" w:right="100"/>
                          <w:rPr>
                            <w:sz w:val="20"/>
                          </w:rPr>
                        </w:pPr>
                        <w:r>
                          <w:rPr>
                            <w:sz w:val="20"/>
                          </w:rPr>
                          <w:t>The</w:t>
                        </w:r>
                        <w:r>
                          <w:rPr>
                            <w:spacing w:val="-21"/>
                            <w:sz w:val="20"/>
                          </w:rPr>
                          <w:t> </w:t>
                        </w:r>
                        <w:r>
                          <w:rPr>
                            <w:sz w:val="20"/>
                          </w:rPr>
                          <w:t>implementation</w:t>
                        </w:r>
                        <w:r>
                          <w:rPr>
                            <w:spacing w:val="-21"/>
                            <w:sz w:val="20"/>
                          </w:rPr>
                          <w:t> </w:t>
                        </w:r>
                        <w:r>
                          <w:rPr>
                            <w:sz w:val="20"/>
                          </w:rPr>
                          <w:t>of</w:t>
                        </w:r>
                        <w:r>
                          <w:rPr>
                            <w:spacing w:val="-21"/>
                            <w:sz w:val="20"/>
                          </w:rPr>
                          <w:t> </w:t>
                        </w:r>
                        <w:r>
                          <w:rPr>
                            <w:sz w:val="20"/>
                          </w:rPr>
                          <w:t>a</w:t>
                        </w:r>
                        <w:r>
                          <w:rPr>
                            <w:spacing w:val="-21"/>
                            <w:sz w:val="20"/>
                          </w:rPr>
                          <w:t> </w:t>
                        </w:r>
                        <w:r>
                          <w:rPr>
                            <w:sz w:val="20"/>
                          </w:rPr>
                          <w:t>new</w:t>
                        </w:r>
                        <w:r>
                          <w:rPr>
                            <w:spacing w:val="-20"/>
                            <w:sz w:val="20"/>
                          </w:rPr>
                          <w:t> </w:t>
                        </w:r>
                        <w:r>
                          <w:rPr>
                            <w:sz w:val="20"/>
                          </w:rPr>
                          <w:t>online</w:t>
                        </w:r>
                        <w:r>
                          <w:rPr>
                            <w:spacing w:val="-21"/>
                            <w:sz w:val="20"/>
                          </w:rPr>
                          <w:t> </w:t>
                        </w:r>
                        <w:r>
                          <w:rPr>
                            <w:sz w:val="20"/>
                          </w:rPr>
                          <w:t>OSH</w:t>
                        </w:r>
                        <w:r>
                          <w:rPr>
                            <w:spacing w:val="-21"/>
                            <w:sz w:val="20"/>
                          </w:rPr>
                          <w:t> </w:t>
                        </w:r>
                        <w:r>
                          <w:rPr>
                            <w:spacing w:val="-3"/>
                            <w:sz w:val="20"/>
                          </w:rPr>
                          <w:t>training </w:t>
                        </w:r>
                        <w:r>
                          <w:rPr>
                            <w:sz w:val="20"/>
                          </w:rPr>
                          <w:t>module, which will be used in conjunction with face-to-face</w:t>
                        </w:r>
                        <w:r>
                          <w:rPr>
                            <w:spacing w:val="-16"/>
                            <w:sz w:val="20"/>
                          </w:rPr>
                          <w:t> </w:t>
                        </w:r>
                        <w:r>
                          <w:rPr>
                            <w:sz w:val="20"/>
                          </w:rPr>
                          <w:t>training,</w:t>
                        </w:r>
                        <w:r>
                          <w:rPr>
                            <w:spacing w:val="-16"/>
                            <w:sz w:val="20"/>
                          </w:rPr>
                          <w:t> </w:t>
                        </w:r>
                        <w:r>
                          <w:rPr>
                            <w:sz w:val="20"/>
                          </w:rPr>
                          <w:t>is</w:t>
                        </w:r>
                        <w:r>
                          <w:rPr>
                            <w:spacing w:val="-16"/>
                            <w:sz w:val="20"/>
                          </w:rPr>
                          <w:t> </w:t>
                        </w:r>
                        <w:r>
                          <w:rPr>
                            <w:sz w:val="20"/>
                          </w:rPr>
                          <w:t>expected</w:t>
                        </w:r>
                        <w:r>
                          <w:rPr>
                            <w:spacing w:val="-15"/>
                            <w:sz w:val="20"/>
                          </w:rPr>
                          <w:t> </w:t>
                        </w:r>
                        <w:r>
                          <w:rPr>
                            <w:sz w:val="20"/>
                          </w:rPr>
                          <w:t>to</w:t>
                        </w:r>
                        <w:r>
                          <w:rPr>
                            <w:spacing w:val="-16"/>
                            <w:sz w:val="20"/>
                          </w:rPr>
                          <w:t> </w:t>
                        </w:r>
                        <w:r>
                          <w:rPr>
                            <w:sz w:val="20"/>
                          </w:rPr>
                          <w:t>increase</w:t>
                        </w:r>
                        <w:r>
                          <w:rPr>
                            <w:spacing w:val="-16"/>
                            <w:sz w:val="20"/>
                          </w:rPr>
                          <w:t> </w:t>
                        </w:r>
                        <w:r>
                          <w:rPr>
                            <w:sz w:val="20"/>
                          </w:rPr>
                          <w:t>the percentage</w:t>
                        </w:r>
                        <w:r>
                          <w:rPr>
                            <w:spacing w:val="-19"/>
                            <w:sz w:val="20"/>
                          </w:rPr>
                          <w:t> </w:t>
                        </w:r>
                        <w:r>
                          <w:rPr>
                            <w:sz w:val="20"/>
                          </w:rPr>
                          <w:t>of</w:t>
                        </w:r>
                        <w:r>
                          <w:rPr>
                            <w:spacing w:val="-18"/>
                            <w:sz w:val="20"/>
                          </w:rPr>
                          <w:t> </w:t>
                        </w:r>
                        <w:r>
                          <w:rPr>
                            <w:sz w:val="20"/>
                          </w:rPr>
                          <w:t>managers</w:t>
                        </w:r>
                        <w:r>
                          <w:rPr>
                            <w:spacing w:val="-18"/>
                            <w:sz w:val="20"/>
                          </w:rPr>
                          <w:t> </w:t>
                        </w:r>
                        <w:r>
                          <w:rPr>
                            <w:sz w:val="20"/>
                          </w:rPr>
                          <w:t>trained</w:t>
                        </w:r>
                        <w:r>
                          <w:rPr>
                            <w:spacing w:val="-18"/>
                            <w:sz w:val="20"/>
                          </w:rPr>
                          <w:t> </w:t>
                        </w:r>
                        <w:r>
                          <w:rPr>
                            <w:sz w:val="20"/>
                          </w:rPr>
                          <w:t>in</w:t>
                        </w:r>
                        <w:r>
                          <w:rPr>
                            <w:spacing w:val="-19"/>
                            <w:sz w:val="20"/>
                          </w:rPr>
                          <w:t> </w:t>
                        </w:r>
                        <w:r>
                          <w:rPr>
                            <w:sz w:val="20"/>
                          </w:rPr>
                          <w:t>occupational </w:t>
                        </w:r>
                        <w:r>
                          <w:rPr>
                            <w:spacing w:val="-3"/>
                            <w:sz w:val="20"/>
                          </w:rPr>
                          <w:t>safety, </w:t>
                        </w:r>
                        <w:r>
                          <w:rPr>
                            <w:sz w:val="20"/>
                          </w:rPr>
                          <w:t>health and injury management responsibilities over the next 12</w:t>
                        </w:r>
                        <w:r>
                          <w:rPr>
                            <w:spacing w:val="-30"/>
                            <w:sz w:val="20"/>
                          </w:rPr>
                          <w:t> </w:t>
                        </w:r>
                        <w:r>
                          <w:rPr>
                            <w:sz w:val="20"/>
                          </w:rPr>
                          <w:t>months.</w:t>
                        </w:r>
                      </w:p>
                    </w:tc>
                  </w:tr>
                </w:tbl>
                <w:p>
                  <w:pPr>
                    <w:pStyle w:val="BodyText"/>
                  </w:pPr>
                </w:p>
              </w:txbxContent>
            </v:textbox>
            <w10:wrap type="none"/>
          </v:shape>
        </w:pict>
      </w:r>
      <w:r>
        <w:rPr>
          <w:sz w:val="20"/>
        </w:rPr>
        <w:t>* Liability on three claims included in this calculation had not yet been decided as at 30 June 2018.</w:t>
      </w:r>
    </w:p>
    <w:p>
      <w:pPr>
        <w:spacing w:line="249" w:lineRule="auto" w:before="10"/>
        <w:ind w:left="6120" w:right="1398" w:hanging="112"/>
        <w:jc w:val="left"/>
        <w:rPr>
          <w:sz w:val="20"/>
        </w:rPr>
      </w:pPr>
      <w:r>
        <w:rPr>
          <w:position w:val="6"/>
          <w:sz w:val="10"/>
        </w:rPr>
        <w:t>3</w:t>
      </w:r>
      <w:r>
        <w:rPr>
          <w:spacing w:val="13"/>
          <w:position w:val="6"/>
          <w:sz w:val="10"/>
        </w:rPr>
        <w:t> </w:t>
      </w:r>
      <w:r>
        <w:rPr>
          <w:sz w:val="20"/>
        </w:rPr>
        <w:t>This</w:t>
      </w:r>
      <w:r>
        <w:rPr>
          <w:spacing w:val="-13"/>
          <w:sz w:val="20"/>
        </w:rPr>
        <w:t> </w:t>
      </w:r>
      <w:r>
        <w:rPr>
          <w:sz w:val="20"/>
        </w:rPr>
        <w:t>indicator</w:t>
      </w:r>
      <w:r>
        <w:rPr>
          <w:spacing w:val="-14"/>
          <w:sz w:val="20"/>
        </w:rPr>
        <w:t> </w:t>
      </w:r>
      <w:r>
        <w:rPr>
          <w:sz w:val="20"/>
        </w:rPr>
        <w:t>examines</w:t>
      </w:r>
      <w:r>
        <w:rPr>
          <w:spacing w:val="-14"/>
          <w:sz w:val="20"/>
        </w:rPr>
        <w:t> </w:t>
      </w:r>
      <w:r>
        <w:rPr>
          <w:sz w:val="20"/>
        </w:rPr>
        <w:t>a</w:t>
      </w:r>
      <w:r>
        <w:rPr>
          <w:spacing w:val="-14"/>
          <w:sz w:val="20"/>
        </w:rPr>
        <w:t> </w:t>
      </w:r>
      <w:r>
        <w:rPr>
          <w:sz w:val="20"/>
        </w:rPr>
        <w:t>three-year</w:t>
      </w:r>
      <w:r>
        <w:rPr>
          <w:spacing w:val="-14"/>
          <w:sz w:val="20"/>
        </w:rPr>
        <w:t> </w:t>
      </w:r>
      <w:r>
        <w:rPr>
          <w:sz w:val="20"/>
        </w:rPr>
        <w:t>trend</w:t>
      </w:r>
      <w:r>
        <w:rPr>
          <w:spacing w:val="-13"/>
          <w:sz w:val="20"/>
        </w:rPr>
        <w:t> </w:t>
      </w:r>
      <w:r>
        <w:rPr>
          <w:sz w:val="20"/>
        </w:rPr>
        <w:t>and</w:t>
      </w:r>
      <w:r>
        <w:rPr>
          <w:spacing w:val="-14"/>
          <w:sz w:val="20"/>
        </w:rPr>
        <w:t> </w:t>
      </w:r>
      <w:r>
        <w:rPr>
          <w:sz w:val="20"/>
        </w:rPr>
        <w:t>as</w:t>
      </w:r>
      <w:r>
        <w:rPr>
          <w:spacing w:val="-14"/>
          <w:sz w:val="20"/>
        </w:rPr>
        <w:t> </w:t>
      </w:r>
      <w:r>
        <w:rPr>
          <w:sz w:val="20"/>
        </w:rPr>
        <w:t>such</w:t>
      </w:r>
      <w:r>
        <w:rPr>
          <w:spacing w:val="-14"/>
          <w:sz w:val="20"/>
        </w:rPr>
        <w:t> </w:t>
      </w:r>
      <w:r>
        <w:rPr>
          <w:sz w:val="20"/>
        </w:rPr>
        <w:t>the</w:t>
      </w:r>
      <w:r>
        <w:rPr>
          <w:spacing w:val="-14"/>
          <w:sz w:val="20"/>
        </w:rPr>
        <w:t> </w:t>
      </w:r>
      <w:r>
        <w:rPr>
          <w:sz w:val="20"/>
        </w:rPr>
        <w:t>comparison</w:t>
      </w:r>
      <w:r>
        <w:rPr>
          <w:spacing w:val="-13"/>
          <w:sz w:val="20"/>
        </w:rPr>
        <w:t> </w:t>
      </w:r>
      <w:r>
        <w:rPr>
          <w:sz w:val="20"/>
        </w:rPr>
        <w:t>base</w:t>
      </w:r>
      <w:r>
        <w:rPr>
          <w:spacing w:val="-14"/>
          <w:sz w:val="20"/>
        </w:rPr>
        <w:t> </w:t>
      </w:r>
      <w:r>
        <w:rPr>
          <w:sz w:val="20"/>
        </w:rPr>
        <w:t>is</w:t>
      </w:r>
      <w:r>
        <w:rPr>
          <w:spacing w:val="-14"/>
          <w:sz w:val="20"/>
        </w:rPr>
        <w:t> </w:t>
      </w:r>
      <w:r>
        <w:rPr>
          <w:sz w:val="20"/>
        </w:rPr>
        <w:t>two</w:t>
      </w:r>
      <w:r>
        <w:rPr>
          <w:spacing w:val="-14"/>
          <w:sz w:val="20"/>
        </w:rPr>
        <w:t> </w:t>
      </w:r>
      <w:r>
        <w:rPr>
          <w:sz w:val="20"/>
        </w:rPr>
        <w:t>years</w:t>
      </w:r>
      <w:r>
        <w:rPr>
          <w:spacing w:val="-14"/>
          <w:sz w:val="20"/>
        </w:rPr>
        <w:t> </w:t>
      </w:r>
      <w:r>
        <w:rPr>
          <w:sz w:val="20"/>
        </w:rPr>
        <w:t>prior</w:t>
      </w:r>
      <w:r>
        <w:rPr>
          <w:spacing w:val="-13"/>
          <w:sz w:val="20"/>
        </w:rPr>
        <w:t> </w:t>
      </w:r>
      <w:r>
        <w:rPr>
          <w:sz w:val="20"/>
        </w:rPr>
        <w:t>to</w:t>
      </w:r>
      <w:r>
        <w:rPr>
          <w:spacing w:val="-14"/>
          <w:sz w:val="20"/>
        </w:rPr>
        <w:t> </w:t>
      </w:r>
      <w:r>
        <w:rPr>
          <w:sz w:val="20"/>
        </w:rPr>
        <w:t>the</w:t>
      </w:r>
      <w:r>
        <w:rPr>
          <w:spacing w:val="-14"/>
          <w:sz w:val="20"/>
        </w:rPr>
        <w:t> </w:t>
      </w:r>
      <w:r>
        <w:rPr>
          <w:spacing w:val="-4"/>
          <w:sz w:val="20"/>
        </w:rPr>
        <w:t>current </w:t>
      </w:r>
      <w:r>
        <w:rPr>
          <w:sz w:val="20"/>
        </w:rPr>
        <w:t>reporting year i.e.</w:t>
      </w:r>
      <w:r>
        <w:rPr>
          <w:spacing w:val="-2"/>
          <w:sz w:val="20"/>
        </w:rPr>
        <w:t> </w:t>
      </w:r>
      <w:r>
        <w:rPr>
          <w:sz w:val="20"/>
        </w:rPr>
        <w:t>2015-16.</w:t>
      </w:r>
    </w:p>
    <w:p>
      <w:pPr>
        <w:spacing w:before="1"/>
        <w:ind w:left="6009" w:right="0" w:firstLine="0"/>
        <w:jc w:val="left"/>
        <w:rPr>
          <w:sz w:val="20"/>
        </w:rPr>
      </w:pPr>
      <w:r>
        <w:rPr/>
        <w:pict>
          <v:group style="position:absolute;margin-left:817.839111pt;margin-top:7.996881pt;width:24.1pt;height:41.55pt;mso-position-horizontal-relative:page;mso-position-vertical-relative:paragraph;z-index:31144" coordorigin="16357,160" coordsize="482,831">
            <v:shape style="position:absolute;left:16356;top:159;width:482;height:831" coordorigin="16357,160" coordsize="482,831" path="m16772,160l16697,167,16627,186,16562,217,16504,258,16454,308,16413,366,16383,430,16363,501,16357,575,16363,650,16383,720,16413,785,16454,843,16504,893,16562,934,16627,964,16697,984,16772,990,16789,990,16805,989,16822,987,16838,985,16838,166,16822,163,16805,162,16789,160,16772,160xe" filled="true" fillcolor="#aebd37" stroked="false">
              <v:path arrowok="t"/>
              <v:fill opacity="13107f" type="solid"/>
            </v:shape>
            <v:shape style="position:absolute;left:16571;top:489;width:93;height:171" coordorigin="16571,489" coordsize="93,171" path="m16590,489l16582,489,16571,499,16571,508,16638,574,16638,576,16571,643,16571,651,16579,659,16582,660,16589,660,16592,659,16655,595,16662,586,16664,576,16664,574,16662,564,16655,555,16590,489xe" filled="true" fillcolor="#000000" stroked="false">
              <v:path arrowok="t"/>
              <v:fill type="solid"/>
            </v:shape>
            <v:shape style="position:absolute;left:16356;top:159;width:482;height:831" coordorigin="16357,160" coordsize="482,831" path="m16772,160l16697,167,16627,186,16562,217,16504,258,16454,308,16413,366,16383,430,16363,501,16357,575,16363,650,16383,720,16413,785,16454,843,16504,893,16562,934,16627,964,16697,984,16772,990,16789,990,16805,989,16822,987,16838,985,16838,166,16822,163,16805,162,16789,160,16772,160xe" filled="true" fillcolor="#ffffff" stroked="false">
              <v:path arrowok="t"/>
              <v:fill type="solid"/>
            </v:shape>
            <v:shape style="position:absolute;left:16356;top:159;width:482;height:831" coordorigin="16357,160" coordsize="482,831" path="m16772,160l16697,167,16627,186,16562,217,16504,258,16454,308,16413,366,16383,430,16363,501,16357,575,16363,650,16383,720,16413,785,16454,843,16504,893,16562,934,16627,964,16697,984,16772,990,16789,990,16805,989,16822,987,16838,985,16838,166,16822,163,16805,162,16789,160,16772,160xe" filled="true" fillcolor="#aebd37" stroked="false">
              <v:path arrowok="t"/>
              <v:fill opacity="13107f" type="solid"/>
            </v:shape>
            <v:shape style="position:absolute;left:16571;top:489;width:93;height:171" coordorigin="16571,489" coordsize="93,171" path="m16590,489l16582,489,16571,499,16571,508,16638,574,16638,576,16571,643,16571,651,16579,659,16582,660,16589,660,16592,659,16655,595,16662,586,16664,576,16664,574,16662,564,16655,555,16590,489xe" filled="true" fillcolor="#000000" stroked="false">
              <v:path arrowok="t"/>
              <v:fill type="solid"/>
            </v:shape>
            <w10:wrap type="none"/>
          </v:group>
        </w:pict>
      </w:r>
      <w:r>
        <w:rPr/>
        <w:pict>
          <v:group style="position:absolute;margin-left:0pt;margin-top:7.996881pt;width:24.1pt;height:41.55pt;mso-position-horizontal-relative:page;mso-position-vertical-relative:paragraph;z-index:31168" coordorigin="0,160" coordsize="482,831">
            <v:shape style="position:absolute;left:0;top:159;width:482;height:831" coordorigin="0,160" coordsize="482,831" path="m66,160l49,160,33,162,16,163,0,166,0,985,16,987,33,989,49,990,66,990,140,984,211,964,275,934,333,893,383,843,424,785,455,720,474,650,481,575,474,501,455,430,424,366,383,308,333,258,275,217,211,186,140,167,66,160xe" filled="true" fillcolor="#aebd37" stroked="false">
              <v:path arrowok="t"/>
              <v:fill opacity="13107f" type="solid"/>
            </v:shape>
            <v:shape style="position:absolute;left:174;top:489;width:93;height:171" coordorigin="174,489" coordsize="93,171" path="m256,489l248,489,182,555,176,564,174,574,174,576,176,586,182,595,245,659,249,660,256,660,259,659,267,651,267,643,200,576,200,574,267,508,267,499,256,489xe" filled="true" fillcolor="#000000" stroked="false">
              <v:path arrowok="t"/>
              <v:fill type="solid"/>
            </v:shape>
            <w10:wrap type="none"/>
          </v:group>
        </w:pict>
      </w:r>
      <w:r>
        <w:rPr>
          <w:position w:val="6"/>
          <w:sz w:val="10"/>
        </w:rPr>
        <w:t>4 </w:t>
      </w:r>
      <w:r>
        <w:rPr>
          <w:sz w:val="20"/>
        </w:rPr>
        <w:t>The reduction is calculated over a three-year period.</w:t>
      </w:r>
    </w:p>
    <w:p>
      <w:pPr>
        <w:pStyle w:val="BodyText"/>
        <w:spacing w:before="8"/>
        <w:rPr>
          <w:sz w:val="19"/>
        </w:rPr>
      </w:pPr>
    </w:p>
    <w:p>
      <w:pPr>
        <w:tabs>
          <w:tab w:pos="5951" w:val="left" w:leader="none"/>
          <w:tab w:pos="16072" w:val="left" w:leader="none"/>
        </w:tabs>
        <w:spacing w:before="0"/>
        <w:ind w:left="765" w:right="0" w:firstLine="0"/>
        <w:jc w:val="left"/>
        <w:rPr>
          <w:b/>
          <w:sz w:val="20"/>
        </w:rPr>
      </w:pPr>
      <w:r>
        <w:rPr>
          <w:b/>
          <w:color w:val="6F2770"/>
          <w:sz w:val="20"/>
        </w:rPr>
        <w:t>118   </w:t>
      </w:r>
      <w:r>
        <w:rPr>
          <w:b/>
          <w:color w:val="6D6E71"/>
          <w:sz w:val="20"/>
        </w:rPr>
        <w:t>Department of Finance Annual Report</w:t>
      </w:r>
      <w:r>
        <w:rPr>
          <w:b/>
          <w:color w:val="6D6E71"/>
          <w:spacing w:val="-18"/>
          <w:sz w:val="20"/>
        </w:rPr>
        <w:t> </w:t>
      </w:r>
      <w:r>
        <w:rPr>
          <w:b/>
          <w:color w:val="6D6E71"/>
          <w:sz w:val="20"/>
        </w:rPr>
        <w:t>2017-18</w:t>
        <w:tab/>
      </w:r>
      <w:r>
        <w:rPr>
          <w:b/>
          <w:color w:val="6D6E71"/>
          <w:w w:val="100"/>
          <w:sz w:val="20"/>
          <w:u w:val="single" w:color="939598"/>
        </w:rPr>
        <w:t> </w:t>
      </w:r>
      <w:r>
        <w:rPr>
          <w:b/>
          <w:color w:val="6D6E71"/>
          <w:sz w:val="20"/>
          <w:u w:val="single" w:color="939598"/>
        </w:rPr>
        <w:tab/>
      </w:r>
    </w:p>
    <w:p>
      <w:pPr>
        <w:spacing w:after="0"/>
        <w:jc w:val="left"/>
        <w:rPr>
          <w:sz w:val="20"/>
        </w:rPr>
        <w:sectPr>
          <w:type w:val="continuous"/>
          <w:pgSz w:w="16840" w:h="11910" w:orient="landscape"/>
          <w:pgMar w:top="1100" w:bottom="280" w:left="0" w:right="0"/>
        </w:sectPr>
      </w:pPr>
    </w:p>
    <w:p>
      <w:pPr>
        <w:tabs>
          <w:tab w:pos="4810" w:val="left" w:leader="none"/>
          <w:tab w:pos="9621" w:val="left" w:leader="none"/>
          <w:tab w:pos="14432" w:val="left" w:leader="none"/>
        </w:tabs>
        <w:spacing w:line="240" w:lineRule="auto"/>
        <w:ind w:left="0" w:right="-58" w:firstLine="0"/>
        <w:rPr>
          <w:sz w:val="20"/>
        </w:rPr>
      </w:pP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b/>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b/>
          <w:sz w:val="20"/>
        </w:rPr>
      </w:pPr>
    </w:p>
    <w:p>
      <w:pPr>
        <w:pStyle w:val="BodyText"/>
        <w:rPr>
          <w:b/>
          <w:sz w:val="21"/>
        </w:rPr>
      </w:pPr>
    </w:p>
    <w:p>
      <w:pPr>
        <w:pStyle w:val="Heading1"/>
      </w:pPr>
      <w:r>
        <w:rPr/>
        <w:pict>
          <v:shape style="position:absolute;margin-left:601.348999pt;margin-top:-67.374214pt;width:120.3pt;height:42.55pt;mso-position-horizontal-relative:page;mso-position-vertical-relative:paragraph;z-index:31384" type="#_x0000_t202" filled="true" fillcolor="#d4d896" stroked="false">
            <v:textbox inset="0,0,0,0">
              <w:txbxContent>
                <w:p>
                  <w:pPr>
                    <w:pStyle w:val="BodyText"/>
                    <w:spacing w:before="9"/>
                    <w:rPr>
                      <w:i/>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3140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31432" type="#_x0000_t202" filled="false" stroked="false">
            <v:textbox inset="0,0,0,0">
              <w:txbxContent>
                <w:p>
                  <w:pPr>
                    <w:pStyle w:val="BodyText"/>
                    <w:spacing w:before="9"/>
                    <w:rPr>
                      <w:i/>
                      <w:sz w:val="26"/>
                    </w:rPr>
                  </w:pPr>
                </w:p>
                <w:p>
                  <w:pPr>
                    <w:spacing w:before="0"/>
                    <w:ind w:left="687" w:right="0" w:firstLine="0"/>
                    <w:jc w:val="left"/>
                    <w:rPr>
                      <w:sz w:val="20"/>
                    </w:rPr>
                  </w:pPr>
                  <w:hyperlink w:history="true" w:anchor="_bookmark1">
                    <w:r>
                      <w:rPr>
                        <w:sz w:val="20"/>
                      </w:rPr>
                      <w:t>OVERVIEW</w:t>
                    </w:r>
                  </w:hyperlink>
                </w:p>
              </w:txbxContent>
            </v:textbox>
            <w10:wrap type="none"/>
          </v:shape>
        </w:pict>
      </w:r>
      <w:r>
        <w:rPr>
          <w:color w:val="6F2770"/>
        </w:rPr>
        <w:t>Legislation Administered</w:t>
      </w:r>
    </w:p>
    <w:p>
      <w:pPr>
        <w:pStyle w:val="BodyText"/>
        <w:spacing w:before="5"/>
        <w:rPr>
          <w:sz w:val="29"/>
        </w:rPr>
      </w:pPr>
    </w:p>
    <w:p>
      <w:pPr>
        <w:spacing w:after="0"/>
        <w:rPr>
          <w:sz w:val="29"/>
        </w:rPr>
        <w:sectPr>
          <w:footerReference w:type="default" r:id="rId254"/>
          <w:pgSz w:w="16840" w:h="11910" w:orient="landscape"/>
          <w:pgMar w:footer="484" w:header="0" w:top="0" w:bottom="680" w:left="0" w:right="0"/>
        </w:sectPr>
      </w:pPr>
    </w:p>
    <w:p>
      <w:pPr>
        <w:spacing w:before="113"/>
        <w:ind w:left="765" w:right="0" w:firstLine="0"/>
        <w:jc w:val="left"/>
        <w:rPr>
          <w:b/>
          <w:sz w:val="36"/>
        </w:rPr>
      </w:pPr>
      <w:r>
        <w:rPr/>
        <w:pict>
          <v:group style="position:absolute;margin-left:120.271004pt;margin-top:.000001pt;width:721.65pt;height:532.450pt;mso-position-horizontal-relative:page;mso-position-vertical-relative:page;z-index:-681184" coordorigin="2405,0" coordsize="14433,10649">
            <v:shape style="position:absolute;left:4423;top:0;width:12415;height:9693" type="#_x0000_t75" stroked="false">
              <v:imagedata r:id="rId255" o:title=""/>
            </v:shape>
            <v:shape style="position:absolute;left:3428;top:20079;width:3806;height:3787" coordorigin="3429,20079" coordsize="3806,3787" path="m13658,6596l14239,7177m13417,6465l14370,7418m13236,6395l14441,7600m13081,6350l14485,7754m12943,6323l14513,7892m12828,6318l14529,8019m12718,6318l14537,8137m12607,6318l14537,8247m12497,6318l14532,8353m12387,6318l14521,8452m12288,6329l14506,8548m12196,6348l14487,8639m12109,6371l14464,8726m12025,6398l14438,8810m11944,6427l14408,8891m11866,6459l14376,8969m11791,6494l14341,9044m11718,6532l14303,9117m11648,6573l14263,9187m11581,6616l14220,9254m11516,6661l14174,9319m11453,6709l14127,9382m11393,6759l14077,9442m11335,6811l14024,9501m11279,6865l13970,9556m11225,6922l13913,9610m11174,6981l13854,9662m11125,7042l13793,9711m11078,7106l13730,9757m11033,7172l13664,9802m10991,7240l13595,9844m10952,7311l13524,9883m10915,7384l13451,9920m10881,7460l13375,9954m10849,7539l13296,9986m10821,7621l13214,10014m10796,7707l13128,10039m10775,7796l13040,10061m10757,7888l12947,10078m10743,7985l12850,10092m10735,8087l12748,10100m10731,8194l12642,10104m10734,8307l12528,10101m10745,8428l12408,10091m10765,8558l12277,10070m10798,8702l12133,10037m10850,8864l11971,9985m10936,9060l11775,9899m11123,9358l11477,9712e" filled="false" stroked="true" strokeweight=".25pt" strokecolor="#aebd37">
              <v:path arrowok="t"/>
              <v:stroke dashstyle="solid"/>
            </v:shape>
            <v:shape style="position:absolute;left:-56;top:21897;width:1485;height:1490" coordorigin="-55,21897" coordsize="1485,1490" path="m8305,9236l8631,9563m8132,9173l8694,9736m8004,9156l8711,9863m7896,9158l8709,9972m7801,9174l8694,10067m7716,9199l8669,10152m7638,9231l8636,10229m7567,9271l8596,10300m7502,9317l8551,10365m7444,9368l8499,10423m7391,9426l8442,10476m7345,9490l8378,10523m7304,9559l8308,10564m7270,9636l8232,10598m7243,9719l8148,10624m7227,9813l8055,10641m7227,9924l7949,10646m7235,10042l7826,10633m7284,10201l7665,10583e" filled="false" stroked="true" strokeweight=".25pt" strokecolor="#bbbcbb">
              <v:path arrowok="t"/>
              <v:stroke dashstyle="solid"/>
            </v:shape>
            <v:shape style="position:absolute;left:848;top:21599;width:852;height:852" coordorigin="848,21600" coordsize="852,852" path="m8739,8898l8943,9102m8590,8859l8982,9251m8483,8863l8978,9358m8398,8888l8953,9443m8325,8926l8915,9515m8264,8975l8866,9577m8213,9034l8807,9628m8172,9103l8738,9669m8143,9185l8656,9698m8130,9282l8559,9711m8152,9414l8427,9689e" filled="false" stroked="true" strokeweight=".25pt" strokecolor="#6f2770">
              <v:path arrowok="t"/>
              <v:stroke dashstyle="solid"/>
            </v:shape>
            <v:rect style="position:absolute;left:2405;top:0;width:2406;height:851" filled="true" fillcolor="#c3acc4" stroked="false">
              <v:fill type="solid"/>
            </v:rect>
            <w10:wrap type="none"/>
          </v:group>
        </w:pict>
      </w:r>
      <w:r>
        <w:rPr/>
        <w:pict>
          <v:group style="position:absolute;margin-left:0pt;margin-top:546.582581pt;width:24.1pt;height:41.55pt;mso-position-horizontal-relative:page;mso-position-vertical-relative:page;z-index:3133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51.988220pt;width:24.1pt;height:41.55pt;mso-position-horizontal-relative:page;mso-position-vertical-relative:page;z-index:31360" coordorigin="16357,11040" coordsize="482,831">
            <v:shape style="position:absolute;left:16356;top:11039;width:482;height:831" coordorigin="16357,11040" coordsize="482,831" path="m16772,11040l16697,11046,16627,11066,16562,11096,16504,11137,16454,11187,16413,11245,16383,11310,16363,11380,16357,11455,16363,11530,16383,11600,16413,11665,16454,11722,16504,11773,16562,11813,16627,11844,16697,11863,16772,11870,16789,11870,16805,11869,16822,11867,16838,11864,16838,11045,16822,11043,16805,11041,16789,11040,16772,11040xe" filled="true" fillcolor="#ffffff" stroked="false">
              <v:path arrowok="t"/>
              <v:fill type="solid"/>
            </v:shape>
            <v:shape style="position:absolute;left:16356;top:11039;width:482;height:831" coordorigin="16357,11040" coordsize="482,831" path="m16772,11040l16697,11046,16627,11066,16562,11096,16504,11137,16454,11187,16413,11245,16383,11310,16363,11380,16357,11455,16363,11530,16383,11600,16413,11665,16454,11722,16504,11773,16562,11813,16627,11844,16697,11863,16772,11870,16789,11870,16805,11869,16822,11867,16838,11864,16838,11045,16822,11043,16805,11041,16789,11040,16772,11040xe" filled="true" fillcolor="#aebd37" stroked="false">
              <v:path arrowok="t"/>
              <v:fill opacity="13107f" type="solid"/>
            </v:shape>
            <v:shape style="position:absolute;left:16571;top:11368;width:93;height:171" coordorigin="16571,11369" coordsize="93,171" path="m16590,11369l16582,11369,16571,11379,16571,11388,16638,11454,16638,11456,16571,11522,16571,11531,16579,11538,16582,11540,16589,11540,16592,11538,16655,11475,16662,11466,16664,11456,16664,11454,16662,11444,16655,11435,16590,11369xe" filled="true" fillcolor="#000000" stroked="false">
              <v:path arrowok="t"/>
              <v:fill type="solid"/>
            </v:shape>
            <w10:wrap type="none"/>
          </v:group>
        </w:pict>
      </w:r>
      <w:r>
        <w:rPr>
          <w:b/>
          <w:sz w:val="36"/>
        </w:rPr>
        <w:t>MINISTER FOR FINANCE</w:t>
      </w:r>
    </w:p>
    <w:p>
      <w:pPr>
        <w:pStyle w:val="Heading4"/>
        <w:spacing w:before="186"/>
      </w:pPr>
      <w:r>
        <w:rPr>
          <w:color w:val="6F2770"/>
        </w:rPr>
        <w:t>State Revenue</w:t>
      </w:r>
    </w:p>
    <w:p>
      <w:pPr>
        <w:spacing w:line="304" w:lineRule="auto" w:before="38"/>
        <w:ind w:left="765" w:right="29" w:firstLine="0"/>
        <w:jc w:val="left"/>
        <w:rPr>
          <w:i/>
          <w:sz w:val="22"/>
        </w:rPr>
      </w:pPr>
      <w:r>
        <w:rPr>
          <w:i/>
          <w:sz w:val="22"/>
        </w:rPr>
        <w:t>Commonwealth</w:t>
      </w:r>
      <w:r>
        <w:rPr>
          <w:i/>
          <w:spacing w:val="-30"/>
          <w:sz w:val="22"/>
        </w:rPr>
        <w:t> </w:t>
      </w:r>
      <w:r>
        <w:rPr>
          <w:i/>
          <w:sz w:val="22"/>
        </w:rPr>
        <w:t>Places</w:t>
      </w:r>
      <w:r>
        <w:rPr>
          <w:i/>
          <w:spacing w:val="-30"/>
          <w:sz w:val="22"/>
        </w:rPr>
        <w:t> </w:t>
      </w:r>
      <w:r>
        <w:rPr>
          <w:i/>
          <w:sz w:val="22"/>
        </w:rPr>
        <w:t>(Mirror</w:t>
      </w:r>
      <w:r>
        <w:rPr>
          <w:i/>
          <w:spacing w:val="-30"/>
          <w:sz w:val="22"/>
        </w:rPr>
        <w:t> </w:t>
      </w:r>
      <w:r>
        <w:rPr>
          <w:i/>
          <w:spacing w:val="-5"/>
          <w:sz w:val="22"/>
        </w:rPr>
        <w:t>Taxes</w:t>
      </w:r>
      <w:r>
        <w:rPr>
          <w:i/>
          <w:spacing w:val="-30"/>
          <w:sz w:val="22"/>
        </w:rPr>
        <w:t> </w:t>
      </w:r>
      <w:r>
        <w:rPr>
          <w:i/>
          <w:sz w:val="22"/>
        </w:rPr>
        <w:t>Administration)</w:t>
      </w:r>
      <w:r>
        <w:rPr>
          <w:i/>
          <w:spacing w:val="-30"/>
          <w:sz w:val="22"/>
        </w:rPr>
        <w:t> </w:t>
      </w:r>
      <w:r>
        <w:rPr>
          <w:i/>
          <w:sz w:val="22"/>
        </w:rPr>
        <w:t>Act</w:t>
      </w:r>
      <w:r>
        <w:rPr>
          <w:i/>
          <w:spacing w:val="-30"/>
          <w:sz w:val="22"/>
        </w:rPr>
        <w:t> </w:t>
      </w:r>
      <w:r>
        <w:rPr>
          <w:i/>
          <w:spacing w:val="-5"/>
          <w:sz w:val="22"/>
        </w:rPr>
        <w:t>1999 </w:t>
      </w:r>
      <w:r>
        <w:rPr>
          <w:i/>
          <w:sz w:val="22"/>
        </w:rPr>
        <w:t>Duties Act</w:t>
      </w:r>
      <w:r>
        <w:rPr>
          <w:i/>
          <w:spacing w:val="-1"/>
          <w:sz w:val="22"/>
        </w:rPr>
        <w:t> </w:t>
      </w:r>
      <w:r>
        <w:rPr>
          <w:i/>
          <w:sz w:val="22"/>
        </w:rPr>
        <w:t>2008</w:t>
      </w:r>
    </w:p>
    <w:p>
      <w:pPr>
        <w:spacing w:line="251" w:lineRule="exact" w:before="0"/>
        <w:ind w:left="765" w:right="0" w:firstLine="0"/>
        <w:jc w:val="left"/>
        <w:rPr>
          <w:i/>
          <w:sz w:val="22"/>
        </w:rPr>
      </w:pPr>
      <w:r>
        <w:rPr>
          <w:i/>
          <w:sz w:val="22"/>
        </w:rPr>
        <w:t>First Home Owner Grant Act 2000</w:t>
      </w:r>
    </w:p>
    <w:p>
      <w:pPr>
        <w:spacing w:line="304" w:lineRule="auto" w:before="67"/>
        <w:ind w:left="765" w:right="1426" w:firstLine="0"/>
        <w:jc w:val="left"/>
        <w:rPr>
          <w:i/>
          <w:sz w:val="22"/>
        </w:rPr>
      </w:pPr>
      <w:r>
        <w:rPr>
          <w:i/>
          <w:sz w:val="22"/>
        </w:rPr>
        <w:t>First</w:t>
      </w:r>
      <w:r>
        <w:rPr>
          <w:i/>
          <w:spacing w:val="-17"/>
          <w:sz w:val="22"/>
        </w:rPr>
        <w:t> </w:t>
      </w:r>
      <w:r>
        <w:rPr>
          <w:i/>
          <w:sz w:val="22"/>
        </w:rPr>
        <w:t>Home</w:t>
      </w:r>
      <w:r>
        <w:rPr>
          <w:i/>
          <w:spacing w:val="-16"/>
          <w:sz w:val="22"/>
        </w:rPr>
        <w:t> </w:t>
      </w:r>
      <w:r>
        <w:rPr>
          <w:i/>
          <w:sz w:val="22"/>
        </w:rPr>
        <w:t>Owner</w:t>
      </w:r>
      <w:r>
        <w:rPr>
          <w:i/>
          <w:spacing w:val="-16"/>
          <w:sz w:val="22"/>
        </w:rPr>
        <w:t> </w:t>
      </w:r>
      <w:r>
        <w:rPr>
          <w:i/>
          <w:sz w:val="22"/>
        </w:rPr>
        <w:t>Grant</w:t>
      </w:r>
      <w:r>
        <w:rPr>
          <w:i/>
          <w:spacing w:val="-17"/>
          <w:sz w:val="22"/>
        </w:rPr>
        <w:t> </w:t>
      </w:r>
      <w:r>
        <w:rPr>
          <w:i/>
          <w:sz w:val="22"/>
        </w:rPr>
        <w:t>Amendment</w:t>
      </w:r>
      <w:r>
        <w:rPr>
          <w:i/>
          <w:spacing w:val="-16"/>
          <w:sz w:val="22"/>
        </w:rPr>
        <w:t> </w:t>
      </w:r>
      <w:r>
        <w:rPr>
          <w:i/>
          <w:sz w:val="22"/>
        </w:rPr>
        <w:t>Act</w:t>
      </w:r>
      <w:r>
        <w:rPr>
          <w:i/>
          <w:spacing w:val="-16"/>
          <w:sz w:val="22"/>
        </w:rPr>
        <w:t> </w:t>
      </w:r>
      <w:r>
        <w:rPr>
          <w:i/>
          <w:spacing w:val="-5"/>
          <w:sz w:val="22"/>
        </w:rPr>
        <w:t>2003 </w:t>
      </w:r>
      <w:r>
        <w:rPr>
          <w:i/>
          <w:sz w:val="22"/>
        </w:rPr>
        <w:t>Land </w:t>
      </w:r>
      <w:r>
        <w:rPr>
          <w:i/>
          <w:spacing w:val="-7"/>
          <w:sz w:val="22"/>
        </w:rPr>
        <w:t>Tax </w:t>
      </w:r>
      <w:r>
        <w:rPr>
          <w:i/>
          <w:sz w:val="22"/>
        </w:rPr>
        <w:t>Act</w:t>
      </w:r>
      <w:r>
        <w:rPr>
          <w:i/>
          <w:spacing w:val="4"/>
          <w:sz w:val="22"/>
        </w:rPr>
        <w:t> </w:t>
      </w:r>
      <w:r>
        <w:rPr>
          <w:i/>
          <w:sz w:val="22"/>
        </w:rPr>
        <w:t>2002</w:t>
      </w:r>
    </w:p>
    <w:p>
      <w:pPr>
        <w:spacing w:line="304" w:lineRule="auto" w:before="0"/>
        <w:ind w:left="765" w:right="2828" w:firstLine="0"/>
        <w:jc w:val="left"/>
        <w:rPr>
          <w:i/>
          <w:sz w:val="22"/>
        </w:rPr>
      </w:pPr>
      <w:r>
        <w:rPr>
          <w:i/>
          <w:sz w:val="22"/>
        </w:rPr>
        <w:t>Land </w:t>
      </w:r>
      <w:r>
        <w:rPr>
          <w:i/>
          <w:spacing w:val="-7"/>
          <w:sz w:val="22"/>
        </w:rPr>
        <w:t>Tax </w:t>
      </w:r>
      <w:r>
        <w:rPr>
          <w:i/>
          <w:sz w:val="22"/>
        </w:rPr>
        <w:t>Assessment Act </w:t>
      </w:r>
      <w:r>
        <w:rPr>
          <w:i/>
          <w:spacing w:val="-5"/>
          <w:sz w:val="22"/>
        </w:rPr>
        <w:t>2002 </w:t>
      </w:r>
      <w:r>
        <w:rPr>
          <w:i/>
          <w:sz w:val="22"/>
        </w:rPr>
        <w:t>Pay-roll </w:t>
      </w:r>
      <w:r>
        <w:rPr>
          <w:i/>
          <w:spacing w:val="-7"/>
          <w:sz w:val="22"/>
        </w:rPr>
        <w:t>Tax </w:t>
      </w:r>
      <w:r>
        <w:rPr>
          <w:i/>
          <w:sz w:val="22"/>
        </w:rPr>
        <w:t>Act 2002</w:t>
      </w:r>
    </w:p>
    <w:p>
      <w:pPr>
        <w:spacing w:line="304" w:lineRule="auto" w:before="0"/>
        <w:ind w:left="765" w:right="2662" w:firstLine="0"/>
        <w:jc w:val="left"/>
        <w:rPr>
          <w:i/>
          <w:sz w:val="22"/>
        </w:rPr>
      </w:pPr>
      <w:r>
        <w:rPr>
          <w:i/>
          <w:sz w:val="22"/>
        </w:rPr>
        <w:t>Pay-roll</w:t>
      </w:r>
      <w:r>
        <w:rPr>
          <w:i/>
          <w:spacing w:val="-24"/>
          <w:sz w:val="22"/>
        </w:rPr>
        <w:t> </w:t>
      </w:r>
      <w:r>
        <w:rPr>
          <w:i/>
          <w:spacing w:val="-7"/>
          <w:sz w:val="22"/>
        </w:rPr>
        <w:t>Tax</w:t>
      </w:r>
      <w:r>
        <w:rPr>
          <w:i/>
          <w:spacing w:val="-24"/>
          <w:sz w:val="22"/>
        </w:rPr>
        <w:t> </w:t>
      </w:r>
      <w:r>
        <w:rPr>
          <w:i/>
          <w:sz w:val="22"/>
        </w:rPr>
        <w:t>Assessment</w:t>
      </w:r>
      <w:r>
        <w:rPr>
          <w:i/>
          <w:spacing w:val="-24"/>
          <w:sz w:val="22"/>
        </w:rPr>
        <w:t> </w:t>
      </w:r>
      <w:r>
        <w:rPr>
          <w:i/>
          <w:sz w:val="22"/>
        </w:rPr>
        <w:t>Act</w:t>
      </w:r>
      <w:r>
        <w:rPr>
          <w:i/>
          <w:spacing w:val="-23"/>
          <w:sz w:val="22"/>
        </w:rPr>
        <w:t> </w:t>
      </w:r>
      <w:r>
        <w:rPr>
          <w:i/>
          <w:spacing w:val="-5"/>
          <w:sz w:val="22"/>
        </w:rPr>
        <w:t>2002 </w:t>
      </w:r>
      <w:r>
        <w:rPr>
          <w:i/>
          <w:sz w:val="22"/>
        </w:rPr>
        <w:t>Pay-roll </w:t>
      </w:r>
      <w:r>
        <w:rPr>
          <w:i/>
          <w:spacing w:val="-7"/>
          <w:sz w:val="22"/>
        </w:rPr>
        <w:t>Tax </w:t>
      </w:r>
      <w:r>
        <w:rPr>
          <w:i/>
          <w:sz w:val="22"/>
        </w:rPr>
        <w:t>Rebate Act</w:t>
      </w:r>
      <w:r>
        <w:rPr>
          <w:i/>
          <w:spacing w:val="-26"/>
          <w:sz w:val="22"/>
        </w:rPr>
        <w:t> </w:t>
      </w:r>
      <w:r>
        <w:rPr>
          <w:i/>
          <w:sz w:val="22"/>
        </w:rPr>
        <w:t>2010</w:t>
      </w:r>
    </w:p>
    <w:p>
      <w:pPr>
        <w:spacing w:line="304" w:lineRule="auto" w:before="0"/>
        <w:ind w:left="765" w:right="1219" w:firstLine="0"/>
        <w:jc w:val="left"/>
        <w:rPr>
          <w:i/>
          <w:sz w:val="22"/>
        </w:rPr>
      </w:pPr>
      <w:r>
        <w:rPr>
          <w:i/>
          <w:sz w:val="22"/>
        </w:rPr>
        <w:t>Pay-roll</w:t>
      </w:r>
      <w:r>
        <w:rPr>
          <w:i/>
          <w:spacing w:val="-32"/>
          <w:sz w:val="22"/>
        </w:rPr>
        <w:t> </w:t>
      </w:r>
      <w:r>
        <w:rPr>
          <w:i/>
          <w:spacing w:val="-7"/>
          <w:sz w:val="22"/>
        </w:rPr>
        <w:t>Tax</w:t>
      </w:r>
      <w:r>
        <w:rPr>
          <w:i/>
          <w:spacing w:val="-32"/>
          <w:sz w:val="22"/>
        </w:rPr>
        <w:t> </w:t>
      </w:r>
      <w:r>
        <w:rPr>
          <w:i/>
          <w:sz w:val="22"/>
        </w:rPr>
        <w:t>(Indigenous</w:t>
      </w:r>
      <w:r>
        <w:rPr>
          <w:i/>
          <w:spacing w:val="-32"/>
          <w:sz w:val="22"/>
        </w:rPr>
        <w:t> </w:t>
      </w:r>
      <w:r>
        <w:rPr>
          <w:i/>
          <w:sz w:val="22"/>
        </w:rPr>
        <w:t>Wages)</w:t>
      </w:r>
      <w:r>
        <w:rPr>
          <w:i/>
          <w:spacing w:val="-31"/>
          <w:sz w:val="22"/>
        </w:rPr>
        <w:t> </w:t>
      </w:r>
      <w:r>
        <w:rPr>
          <w:i/>
          <w:sz w:val="22"/>
        </w:rPr>
        <w:t>Rebate</w:t>
      </w:r>
      <w:r>
        <w:rPr>
          <w:i/>
          <w:spacing w:val="-32"/>
          <w:sz w:val="22"/>
        </w:rPr>
        <w:t> </w:t>
      </w:r>
      <w:r>
        <w:rPr>
          <w:i/>
          <w:sz w:val="22"/>
        </w:rPr>
        <w:t>Act</w:t>
      </w:r>
      <w:r>
        <w:rPr>
          <w:i/>
          <w:spacing w:val="-32"/>
          <w:sz w:val="22"/>
        </w:rPr>
        <w:t> </w:t>
      </w:r>
      <w:r>
        <w:rPr>
          <w:i/>
          <w:spacing w:val="-5"/>
          <w:sz w:val="22"/>
        </w:rPr>
        <w:t>2012 </w:t>
      </w:r>
      <w:r>
        <w:rPr>
          <w:i/>
          <w:sz w:val="22"/>
        </w:rPr>
        <w:t>Pay-roll </w:t>
      </w:r>
      <w:r>
        <w:rPr>
          <w:i/>
          <w:spacing w:val="-7"/>
          <w:sz w:val="22"/>
        </w:rPr>
        <w:t>Tax </w:t>
      </w:r>
      <w:r>
        <w:rPr>
          <w:i/>
          <w:sz w:val="22"/>
        </w:rPr>
        <w:t>Rebate Act</w:t>
      </w:r>
      <w:r>
        <w:rPr>
          <w:i/>
          <w:spacing w:val="-5"/>
          <w:sz w:val="22"/>
        </w:rPr>
        <w:t> </w:t>
      </w:r>
      <w:r>
        <w:rPr>
          <w:i/>
          <w:sz w:val="22"/>
        </w:rPr>
        <w:t>2012</w:t>
      </w:r>
    </w:p>
    <w:p>
      <w:pPr>
        <w:spacing w:line="304" w:lineRule="auto" w:before="0"/>
        <w:ind w:left="765" w:right="608" w:firstLine="0"/>
        <w:jc w:val="left"/>
        <w:rPr>
          <w:i/>
          <w:sz w:val="22"/>
        </w:rPr>
      </w:pPr>
      <w:r>
        <w:rPr>
          <w:i/>
          <w:sz w:val="22"/>
        </w:rPr>
        <w:t>Rates</w:t>
      </w:r>
      <w:r>
        <w:rPr>
          <w:i/>
          <w:spacing w:val="-27"/>
          <w:sz w:val="22"/>
        </w:rPr>
        <w:t> </w:t>
      </w:r>
      <w:r>
        <w:rPr>
          <w:i/>
          <w:sz w:val="22"/>
        </w:rPr>
        <w:t>and</w:t>
      </w:r>
      <w:r>
        <w:rPr>
          <w:i/>
          <w:spacing w:val="-26"/>
          <w:sz w:val="22"/>
        </w:rPr>
        <w:t> </w:t>
      </w:r>
      <w:r>
        <w:rPr>
          <w:i/>
          <w:sz w:val="22"/>
        </w:rPr>
        <w:t>Charges</w:t>
      </w:r>
      <w:r>
        <w:rPr>
          <w:i/>
          <w:spacing w:val="-27"/>
          <w:sz w:val="22"/>
        </w:rPr>
        <w:t> </w:t>
      </w:r>
      <w:r>
        <w:rPr>
          <w:i/>
          <w:sz w:val="22"/>
        </w:rPr>
        <w:t>(Rebates</w:t>
      </w:r>
      <w:r>
        <w:rPr>
          <w:i/>
          <w:spacing w:val="-26"/>
          <w:sz w:val="22"/>
        </w:rPr>
        <w:t> </w:t>
      </w:r>
      <w:r>
        <w:rPr>
          <w:i/>
          <w:sz w:val="22"/>
        </w:rPr>
        <w:t>and</w:t>
      </w:r>
      <w:r>
        <w:rPr>
          <w:i/>
          <w:spacing w:val="-27"/>
          <w:sz w:val="22"/>
        </w:rPr>
        <w:t> </w:t>
      </w:r>
      <w:r>
        <w:rPr>
          <w:i/>
          <w:sz w:val="22"/>
        </w:rPr>
        <w:t>Deferments)</w:t>
      </w:r>
      <w:r>
        <w:rPr>
          <w:i/>
          <w:spacing w:val="-26"/>
          <w:sz w:val="22"/>
        </w:rPr>
        <w:t> </w:t>
      </w:r>
      <w:r>
        <w:rPr>
          <w:i/>
          <w:sz w:val="22"/>
        </w:rPr>
        <w:t>Act</w:t>
      </w:r>
      <w:r>
        <w:rPr>
          <w:i/>
          <w:spacing w:val="-27"/>
          <w:sz w:val="22"/>
        </w:rPr>
        <w:t> </w:t>
      </w:r>
      <w:r>
        <w:rPr>
          <w:i/>
          <w:spacing w:val="-5"/>
          <w:sz w:val="22"/>
        </w:rPr>
        <w:t>1992 </w:t>
      </w:r>
      <w:r>
        <w:rPr>
          <w:i/>
          <w:sz w:val="22"/>
        </w:rPr>
        <w:t>Stamp Act</w:t>
      </w:r>
      <w:r>
        <w:rPr>
          <w:i/>
          <w:spacing w:val="-1"/>
          <w:sz w:val="22"/>
        </w:rPr>
        <w:t> </w:t>
      </w:r>
      <w:r>
        <w:rPr>
          <w:i/>
          <w:sz w:val="22"/>
        </w:rPr>
        <w:t>1921</w:t>
      </w:r>
    </w:p>
    <w:p>
      <w:pPr>
        <w:spacing w:line="304" w:lineRule="auto" w:before="0"/>
        <w:ind w:left="765" w:right="1778" w:firstLine="0"/>
        <w:jc w:val="left"/>
        <w:rPr>
          <w:i/>
          <w:sz w:val="22"/>
        </w:rPr>
      </w:pPr>
      <w:r>
        <w:rPr>
          <w:i/>
          <w:sz w:val="22"/>
        </w:rPr>
        <w:t>Stamp</w:t>
      </w:r>
      <w:r>
        <w:rPr>
          <w:i/>
          <w:spacing w:val="-24"/>
          <w:sz w:val="22"/>
        </w:rPr>
        <w:t> </w:t>
      </w:r>
      <w:r>
        <w:rPr>
          <w:i/>
          <w:sz w:val="22"/>
        </w:rPr>
        <w:t>Amendment</w:t>
      </w:r>
      <w:r>
        <w:rPr>
          <w:i/>
          <w:spacing w:val="-24"/>
          <w:sz w:val="22"/>
        </w:rPr>
        <w:t> </w:t>
      </w:r>
      <w:r>
        <w:rPr>
          <w:i/>
          <w:sz w:val="22"/>
        </w:rPr>
        <w:t>(Assessment)</w:t>
      </w:r>
      <w:r>
        <w:rPr>
          <w:i/>
          <w:spacing w:val="-24"/>
          <w:sz w:val="22"/>
        </w:rPr>
        <w:t> </w:t>
      </w:r>
      <w:r>
        <w:rPr>
          <w:i/>
          <w:sz w:val="22"/>
        </w:rPr>
        <w:t>Act</w:t>
      </w:r>
      <w:r>
        <w:rPr>
          <w:i/>
          <w:spacing w:val="-24"/>
          <w:sz w:val="22"/>
        </w:rPr>
        <w:t> </w:t>
      </w:r>
      <w:r>
        <w:rPr>
          <w:i/>
          <w:spacing w:val="-5"/>
          <w:sz w:val="22"/>
        </w:rPr>
        <w:t>2005 </w:t>
      </w:r>
      <w:r>
        <w:rPr>
          <w:i/>
          <w:sz w:val="22"/>
        </w:rPr>
        <w:t>Stamp Amendment (Budget) Act</w:t>
      </w:r>
      <w:r>
        <w:rPr>
          <w:i/>
          <w:spacing w:val="-25"/>
          <w:sz w:val="22"/>
        </w:rPr>
        <w:t> </w:t>
      </w:r>
      <w:r>
        <w:rPr>
          <w:i/>
          <w:sz w:val="22"/>
        </w:rPr>
        <w:t>2002</w:t>
      </w:r>
    </w:p>
    <w:p>
      <w:pPr>
        <w:spacing w:line="304" w:lineRule="auto" w:before="0"/>
        <w:ind w:left="765" w:right="0" w:firstLine="0"/>
        <w:jc w:val="left"/>
        <w:rPr>
          <w:i/>
          <w:sz w:val="22"/>
        </w:rPr>
      </w:pPr>
      <w:r>
        <w:rPr>
          <w:i/>
          <w:w w:val="95"/>
          <w:sz w:val="22"/>
        </w:rPr>
        <w:t>Taxation Administration (Consequential Provisions) Act 2002 </w:t>
      </w:r>
      <w:r>
        <w:rPr>
          <w:i/>
          <w:sz w:val="22"/>
        </w:rPr>
        <w:t>Taxation Administration Act 2003</w:t>
      </w:r>
    </w:p>
    <w:p>
      <w:pPr>
        <w:pStyle w:val="BodyText"/>
        <w:rPr>
          <w:i/>
          <w:sz w:val="62"/>
        </w:rPr>
      </w:pPr>
      <w:r>
        <w:rPr/>
        <w:br w:type="column"/>
      </w:r>
      <w:r>
        <w:rPr>
          <w:i/>
          <w:sz w:val="62"/>
        </w:rPr>
      </w:r>
    </w:p>
    <w:p>
      <w:pPr>
        <w:pStyle w:val="Heading4"/>
        <w:spacing w:before="0"/>
      </w:pPr>
      <w:r>
        <w:rPr>
          <w:color w:val="6F2770"/>
        </w:rPr>
        <w:t>Government Procurement</w:t>
      </w:r>
    </w:p>
    <w:p>
      <w:pPr>
        <w:spacing w:before="38"/>
        <w:ind w:left="765" w:right="0" w:firstLine="0"/>
        <w:jc w:val="left"/>
        <w:rPr>
          <w:i/>
          <w:sz w:val="22"/>
        </w:rPr>
      </w:pPr>
      <w:r>
        <w:rPr>
          <w:i/>
          <w:sz w:val="22"/>
        </w:rPr>
        <w:t>State Supply Commission Act 1991</w:t>
      </w:r>
    </w:p>
    <w:p>
      <w:pPr>
        <w:pStyle w:val="BodyText"/>
        <w:spacing w:before="11"/>
        <w:rPr>
          <w:i/>
          <w:sz w:val="31"/>
        </w:rPr>
      </w:pPr>
    </w:p>
    <w:p>
      <w:pPr>
        <w:pStyle w:val="Heading4"/>
        <w:spacing w:before="0"/>
      </w:pPr>
      <w:r>
        <w:rPr>
          <w:color w:val="6F2770"/>
        </w:rPr>
        <w:t>Building Management and Works</w:t>
      </w:r>
    </w:p>
    <w:p>
      <w:pPr>
        <w:spacing w:before="37"/>
        <w:ind w:left="765" w:right="0" w:firstLine="0"/>
        <w:jc w:val="left"/>
        <w:rPr>
          <w:i/>
          <w:sz w:val="22"/>
        </w:rPr>
      </w:pPr>
      <w:r>
        <w:rPr>
          <w:i/>
          <w:sz w:val="22"/>
        </w:rPr>
        <w:t>Public Works Act 1902</w:t>
      </w:r>
    </w:p>
    <w:p>
      <w:pPr>
        <w:spacing w:before="67"/>
        <w:ind w:left="765" w:right="0" w:firstLine="0"/>
        <w:jc w:val="left"/>
        <w:rPr>
          <w:i/>
          <w:sz w:val="22"/>
        </w:rPr>
      </w:pPr>
      <w:r>
        <w:rPr>
          <w:i/>
          <w:sz w:val="22"/>
        </w:rPr>
        <w:t>Sunset Reserve Transformation Act 2014</w:t>
      </w:r>
    </w:p>
    <w:p>
      <w:pPr>
        <w:spacing w:after="0"/>
        <w:jc w:val="left"/>
        <w:rPr>
          <w:sz w:val="22"/>
        </w:rPr>
        <w:sectPr>
          <w:type w:val="continuous"/>
          <w:pgSz w:w="16840" w:h="11910" w:orient="landscape"/>
          <w:pgMar w:top="1100" w:bottom="280" w:left="0" w:right="0"/>
          <w:cols w:num="2" w:equalWidth="0">
            <w:col w:w="6666" w:space="1200"/>
            <w:col w:w="8974"/>
          </w:cols>
        </w:sectPr>
      </w:pPr>
    </w:p>
    <w:p>
      <w:pPr>
        <w:tabs>
          <w:tab w:pos="4810" w:val="left" w:leader="none"/>
          <w:tab w:pos="9621" w:val="left" w:leader="none"/>
          <w:tab w:pos="14432" w:val="left" w:leader="none"/>
        </w:tabs>
        <w:spacing w:line="240" w:lineRule="auto"/>
        <w:ind w:left="0" w:right="-58" w:firstLine="0"/>
        <w:rPr>
          <w:sz w:val="20"/>
        </w:rPr>
      </w:pPr>
      <w:bookmarkStart w:name="_bookmark52" w:id="53"/>
      <w:bookmarkEnd w:id="53"/>
      <w:r>
        <w:rPr/>
      </w:r>
      <w:r>
        <w:rPr>
          <w:sz w:val="20"/>
        </w:rPr>
        <w:pict>
          <v:shape style="width:120.3pt;height:42.55pt;mso-position-horizontal-relative:char;mso-position-vertical-relative:line" type="#_x0000_t202" filled="true" fillcolor="#bba1bc" stroked="false">
            <w10:anchorlock/>
            <v:textbox inset="0,0,0,0">
              <w:txbxContent>
                <w:p>
                  <w:pPr>
                    <w:pStyle w:val="BodyText"/>
                    <w:spacing w:before="9"/>
                    <w:rPr>
                      <w:i/>
                      <w:sz w:val="26"/>
                    </w:rPr>
                  </w:pPr>
                </w:p>
                <w:p>
                  <w:pPr>
                    <w:spacing w:before="0"/>
                    <w:ind w:left="663" w:right="0" w:firstLine="0"/>
                    <w:jc w:val="left"/>
                    <w:rPr>
                      <w:sz w:val="20"/>
                    </w:rPr>
                  </w:pPr>
                  <w:hyperlink w:history="true" w:anchor="_bookmark0">
                    <w:r>
                      <w:rPr>
                        <w:sz w:val="20"/>
                      </w:rPr>
                      <w:t>CONTENTS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433" w:right="0" w:firstLine="354"/>
                    <w:jc w:val="left"/>
                    <w:rPr>
                      <w:sz w:val="20"/>
                    </w:rPr>
                  </w:pPr>
                  <w:hyperlink w:history="true" w:anchor="_bookmark4">
                    <w:r>
                      <w:rPr>
                        <w:sz w:val="20"/>
                      </w:rPr>
                      <w:t>AGENCY </w:t>
                    </w:r>
                    <w:r>
                      <w:rPr>
                        <w:w w:val="95"/>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cbb8cc" stroked="false">
            <w10:anchorlock/>
            <v:textbox inset="0,0,0,0">
              <w:txbxContent>
                <w:p>
                  <w:pPr>
                    <w:spacing w:line="249" w:lineRule="auto" w:before="182"/>
                    <w:ind w:left="602" w:right="0" w:hanging="393"/>
                    <w:jc w:val="left"/>
                    <w:rPr>
                      <w:sz w:val="20"/>
                    </w:rPr>
                  </w:pPr>
                  <w:hyperlink w:history="true" w:anchor="_bookmark37">
                    <w:r>
                      <w:rPr>
                        <w:sz w:val="20"/>
                      </w:rPr>
                      <w:t>KEY PERFORMANCE 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d4d896" stroked="false">
            <w10:anchorlock/>
            <v:textbox inset="0,0,0,0">
              <w:txbxContent>
                <w:p>
                  <w:pPr>
                    <w:pStyle w:val="BodyText"/>
                    <w:spacing w:before="9"/>
                    <w:rPr>
                      <w:i/>
                      <w:sz w:val="26"/>
                    </w:rPr>
                  </w:pPr>
                </w:p>
                <w:p>
                  <w:pPr>
                    <w:spacing w:before="0"/>
                    <w:ind w:left="702" w:right="0" w:firstLine="0"/>
                    <w:jc w:val="left"/>
                    <w:rPr>
                      <w:sz w:val="20"/>
                    </w:rPr>
                  </w:pPr>
                  <w:hyperlink w:history="true" w:anchor="_bookmark52">
                    <w:r>
                      <w:rPr>
                        <w:sz w:val="20"/>
                      </w:rPr>
                      <w:t>APPENDIX</w:t>
                    </w:r>
                  </w:hyperlink>
                </w:p>
              </w:txbxContent>
            </v:textbox>
            <v:fill type="solid"/>
          </v:shape>
        </w:pict>
      </w:r>
      <w:r>
        <w:rPr>
          <w:sz w:val="20"/>
        </w:rPr>
      </w:r>
    </w:p>
    <w:p>
      <w:pPr>
        <w:pStyle w:val="BodyText"/>
        <w:rPr>
          <w:i/>
          <w:sz w:val="20"/>
        </w:rPr>
      </w:pPr>
    </w:p>
    <w:p>
      <w:pPr>
        <w:pStyle w:val="BodyText"/>
        <w:rPr>
          <w:i/>
          <w:sz w:val="21"/>
        </w:rPr>
      </w:pPr>
    </w:p>
    <w:p>
      <w:pPr>
        <w:pStyle w:val="Heading1"/>
      </w:pPr>
      <w:r>
        <w:rPr/>
        <w:pict>
          <v:group style="position:absolute;margin-left:661.676025pt;margin-top:12.690963pt;width:118.25pt;height:120.2pt;mso-position-horizontal-relative:page;mso-position-vertical-relative:paragraph;z-index:31552" coordorigin="13234,254" coordsize="2365,2404">
            <v:shape style="position:absolute;left:-56;top:20038;width:1996;height:2000" coordorigin="-55,20039" coordsize="1996,2000" path="m14749,799l15088,1138m14545,705l15182,1342m14398,668l15219,1489m14275,656l15231,1612m14165,656l15230,1722m14067,668l15219,1820m13976,688l15199,1911m13892,714l15173,1995m13813,746l15141,2074m13740,783l15104,2147m13672,825l15062,2215m13608,872l15015,2278m13549,923l14964,2338m13494,978l14909,2393m13444,1038l14849,2444m13397,1102l14785,2490m13355,1171l14717,2532m13318,1244l14643,2569m13287,1322l14564,2600m13261,1407l14479,2626m13243,1499l14388,2645m13236,1603l14288,2655m13236,1713l14178,2655m13246,1833l14053,2641m13284,1982l13904,2602m13390,2198l13689,2497e" filled="false" stroked="true" strokeweight=".25pt" strokecolor="#bbbcbb">
              <v:path arrowok="t"/>
              <v:stroke dashstyle="solid"/>
            </v:shape>
            <v:shape style="position:absolute;left:1159;top:19639;width:1145;height:1145" coordorigin="1160,19639" coordsize="1145,1145" path="m15239,295l15556,613m15091,258l15594,760m14979,256l15595,872m14884,271l15580,968m14801,299l15553,1051m14728,336l15515,1123m14663,382l15469,1188m14606,435l15416,1245m14557,496l15355,1295m14515,565l15287,1336m14482,642l15209,1369m14460,730l15121,1392m14451,832l15020,1401m14467,958l14894,1385m14557,1159l14693,1294e" filled="false" stroked="true" strokeweight=".25pt" strokecolor="#6f2770">
              <v:path arrowok="t"/>
              <v:stroke dashstyle="solid"/>
            </v:shape>
            <w10:wrap type="none"/>
          </v:group>
        </w:pict>
      </w:r>
      <w:r>
        <w:rPr/>
        <w:pict>
          <v:shape style="position:absolute;margin-left:601.348999pt;margin-top:-67.374214pt;width:120.3pt;height:42.55pt;mso-position-horizontal-relative:page;mso-position-vertical-relative:paragraph;z-index:31624" type="#_x0000_t202" filled="true" fillcolor="#c3acc4" stroked="false">
            <v:textbox inset="0,0,0,0">
              <w:txbxContent>
                <w:p>
                  <w:pPr>
                    <w:pStyle w:val="BodyText"/>
                    <w:spacing w:before="9"/>
                    <w:rPr>
                      <w:sz w:val="26"/>
                    </w:rPr>
                  </w:pPr>
                </w:p>
                <w:p>
                  <w:pPr>
                    <w:spacing w:before="0"/>
                    <w:ind w:left="497" w:right="0" w:firstLine="0"/>
                    <w:jc w:val="left"/>
                    <w:rPr>
                      <w:sz w:val="20"/>
                    </w:rPr>
                  </w:pPr>
                  <w:hyperlink w:history="true" w:anchor="_bookmark47">
                    <w:r>
                      <w:rPr>
                        <w:sz w:val="20"/>
                      </w:rPr>
                      <w:t>DISCLOSURES</w:t>
                    </w:r>
                  </w:hyperlink>
                </w:p>
              </w:txbxContent>
            </v:textbox>
            <v:fill type="solid"/>
            <w10:wrap type="none"/>
          </v:shape>
        </w:pict>
      </w:r>
      <w:r>
        <w:rPr/>
        <w:pict>
          <v:shape style="position:absolute;margin-left:360.811798pt;margin-top:-67.374214pt;width:120.3pt;height:42.55pt;mso-position-horizontal-relative:page;mso-position-vertical-relative:paragraph;z-index:31648" type="#_x0000_t202" filled="true" fillcolor="#d4c4d4" stroked="false">
            <v:textbox inset="0,0,0,0">
              <w:txbxContent>
                <w:p>
                  <w:pPr>
                    <w:spacing w:line="249" w:lineRule="auto" w:before="182"/>
                    <w:ind w:left="559" w:right="549" w:firstLine="120"/>
                    <w:jc w:val="left"/>
                    <w:rPr>
                      <w:sz w:val="20"/>
                    </w:rPr>
                  </w:pPr>
                  <w:hyperlink w:history="true" w:anchor="_bookmark17">
                    <w:r>
                      <w:rPr>
                        <w:sz w:val="20"/>
                      </w:rPr>
                      <w:t>FINANCIAL </w:t>
                    </w:r>
                    <w:r>
                      <w:rPr>
                        <w:w w:val="95"/>
                        <w:sz w:val="20"/>
                      </w:rPr>
                      <w:t>STATEMENTS</w:t>
                    </w:r>
                  </w:hyperlink>
                </w:p>
              </w:txbxContent>
            </v:textbox>
            <v:fill type="solid"/>
            <w10:wrap type="none"/>
          </v:shape>
        </w:pict>
      </w:r>
      <w:r>
        <w:rPr/>
        <w:pict>
          <v:shape style="position:absolute;margin-left:120.271004pt;margin-top:-67.374214pt;width:120.3pt;height:42.55pt;mso-position-horizontal-relative:page;mso-position-vertical-relative:paragraph;z-index:31672" type="#_x0000_t202" filled="true" fillcolor="#c3acc4" stroked="false">
            <v:textbox inset="0,0,0,0">
              <w:txbxContent>
                <w:p>
                  <w:pPr>
                    <w:pStyle w:val="BodyText"/>
                    <w:spacing w:before="9"/>
                    <w:rPr>
                      <w:sz w:val="26"/>
                    </w:rPr>
                  </w:pPr>
                </w:p>
                <w:p>
                  <w:pPr>
                    <w:spacing w:before="0"/>
                    <w:ind w:left="687" w:right="0" w:firstLine="0"/>
                    <w:jc w:val="left"/>
                    <w:rPr>
                      <w:sz w:val="20"/>
                    </w:rPr>
                  </w:pPr>
                  <w:hyperlink w:history="true" w:anchor="_bookmark1">
                    <w:r>
                      <w:rPr>
                        <w:sz w:val="20"/>
                      </w:rPr>
                      <w:t>OVERVIEW</w:t>
                    </w:r>
                  </w:hyperlink>
                </w:p>
              </w:txbxContent>
            </v:textbox>
            <v:fill type="solid"/>
            <w10:wrap type="none"/>
          </v:shape>
        </w:pict>
      </w:r>
      <w:r>
        <w:rPr>
          <w:color w:val="6F2770"/>
        </w:rPr>
        <w:t>General Contacts</w:t>
      </w:r>
    </w:p>
    <w:p>
      <w:pPr>
        <w:spacing w:after="0"/>
        <w:sectPr>
          <w:footerReference w:type="default" r:id="rId256"/>
          <w:pgSz w:w="16840" w:h="11910" w:orient="landscape"/>
          <w:pgMar w:footer="484" w:header="0" w:top="0" w:bottom="680" w:left="0" w:right="0"/>
        </w:sectPr>
      </w:pPr>
    </w:p>
    <w:p>
      <w:pPr>
        <w:pStyle w:val="Heading6"/>
        <w:spacing w:before="163"/>
      </w:pPr>
      <w:r>
        <w:rPr/>
        <w:pict>
          <v:group style="position:absolute;margin-left:0pt;margin-top:546.582581pt;width:24.1pt;height:41.55pt;mso-position-horizontal-relative:page;mso-position-vertical-relative:page;z-index:3157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3160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t>Postal address:</w:t>
      </w:r>
    </w:p>
    <w:p>
      <w:pPr>
        <w:pStyle w:val="BodyText"/>
        <w:spacing w:before="11"/>
        <w:ind w:left="765"/>
      </w:pPr>
      <w:r>
        <w:rPr/>
        <w:t>Locked Bag 11</w:t>
      </w:r>
    </w:p>
    <w:p>
      <w:pPr>
        <w:pStyle w:val="BodyText"/>
        <w:spacing w:before="11"/>
        <w:ind w:left="765"/>
      </w:pPr>
      <w:r>
        <w:rPr/>
        <w:t>Cloisters Square WA 6850</w:t>
      </w:r>
    </w:p>
    <w:p>
      <w:pPr>
        <w:pStyle w:val="BodyText"/>
        <w:rPr>
          <w:sz w:val="26"/>
        </w:rPr>
      </w:pPr>
    </w:p>
    <w:p>
      <w:pPr>
        <w:pStyle w:val="Heading1"/>
        <w:spacing w:before="214"/>
      </w:pPr>
      <w:r>
        <w:rPr>
          <w:color w:val="6F2770"/>
          <w:w w:val="95"/>
        </w:rPr>
        <w:t>Business Units</w:t>
      </w:r>
    </w:p>
    <w:p>
      <w:pPr>
        <w:pStyle w:val="Heading5"/>
        <w:spacing w:before="169"/>
      </w:pPr>
      <w:r>
        <w:rPr>
          <w:color w:val="6F2770"/>
        </w:rPr>
        <w:t>Building</w:t>
      </w:r>
      <w:r>
        <w:rPr>
          <w:color w:val="6F2770"/>
          <w:spacing w:val="-40"/>
        </w:rPr>
        <w:t> </w:t>
      </w:r>
      <w:r>
        <w:rPr>
          <w:color w:val="6F2770"/>
        </w:rPr>
        <w:t>Management</w:t>
      </w:r>
      <w:r>
        <w:rPr>
          <w:color w:val="6F2770"/>
          <w:spacing w:val="-39"/>
        </w:rPr>
        <w:t> </w:t>
      </w:r>
      <w:r>
        <w:rPr>
          <w:color w:val="6F2770"/>
        </w:rPr>
        <w:t>and</w:t>
      </w:r>
      <w:r>
        <w:rPr>
          <w:color w:val="6F2770"/>
          <w:spacing w:val="-40"/>
        </w:rPr>
        <w:t> </w:t>
      </w:r>
      <w:r>
        <w:rPr>
          <w:color w:val="6F2770"/>
          <w:spacing w:val="-6"/>
        </w:rPr>
        <w:t>Works</w:t>
      </w:r>
    </w:p>
    <w:p>
      <w:pPr>
        <w:pStyle w:val="BodyText"/>
        <w:spacing w:before="254"/>
        <w:ind w:left="765"/>
      </w:pPr>
      <w:r>
        <w:rPr/>
        <w:t>Optima Centre</w:t>
      </w:r>
    </w:p>
    <w:p>
      <w:pPr>
        <w:pStyle w:val="BodyText"/>
        <w:spacing w:line="249" w:lineRule="auto" w:before="11"/>
        <w:ind w:left="765" w:right="2233"/>
      </w:pPr>
      <w:r>
        <w:rPr/>
        <w:t>16 Parkland Road Osborne Park WA 6017</w:t>
      </w:r>
    </w:p>
    <w:p>
      <w:pPr>
        <w:pStyle w:val="Heading6"/>
        <w:spacing w:before="98"/>
      </w:pPr>
      <w:r>
        <w:rPr/>
        <w:t>Postal address:</w:t>
      </w:r>
    </w:p>
    <w:p>
      <w:pPr>
        <w:pStyle w:val="BodyText"/>
        <w:spacing w:before="11"/>
        <w:ind w:left="765"/>
      </w:pPr>
      <w:r>
        <w:rPr/>
        <w:t>Locked Bag 44</w:t>
      </w:r>
    </w:p>
    <w:p>
      <w:pPr>
        <w:pStyle w:val="BodyText"/>
        <w:spacing w:before="11"/>
        <w:ind w:left="765"/>
      </w:pPr>
      <w:r>
        <w:rPr/>
        <w:t>Cloisters Square WA 6850</w:t>
      </w:r>
    </w:p>
    <w:p>
      <w:pPr>
        <w:spacing w:before="107"/>
        <w:ind w:left="765" w:right="0" w:firstLine="0"/>
        <w:jc w:val="left"/>
        <w:rPr>
          <w:sz w:val="22"/>
        </w:rPr>
      </w:pPr>
      <w:r>
        <w:rPr>
          <w:b/>
          <w:sz w:val="22"/>
        </w:rPr>
        <w:t>Phone: </w:t>
      </w:r>
      <w:r>
        <w:rPr>
          <w:sz w:val="22"/>
        </w:rPr>
        <w:t>08 6551 1600</w:t>
      </w:r>
    </w:p>
    <w:p>
      <w:pPr>
        <w:pStyle w:val="BodyText"/>
        <w:spacing w:before="4"/>
        <w:rPr>
          <w:sz w:val="30"/>
        </w:rPr>
      </w:pPr>
    </w:p>
    <w:p>
      <w:pPr>
        <w:pStyle w:val="Heading5"/>
        <w:spacing w:before="0"/>
      </w:pPr>
      <w:r>
        <w:rPr>
          <w:color w:val="6F2770"/>
        </w:rPr>
        <w:t>Strategic Projects</w:t>
      </w:r>
    </w:p>
    <w:p>
      <w:pPr>
        <w:pStyle w:val="BodyText"/>
        <w:spacing w:line="249" w:lineRule="auto" w:before="254"/>
        <w:ind w:left="765" w:right="1677"/>
      </w:pPr>
      <w:r>
        <w:rPr/>
        <w:t>David Malcolm Justice </w:t>
      </w:r>
      <w:r>
        <w:rPr>
          <w:spacing w:val="-5"/>
        </w:rPr>
        <w:t>Centre </w:t>
      </w:r>
      <w:r>
        <w:rPr/>
        <w:t>28 Barrack Street</w:t>
      </w:r>
    </w:p>
    <w:p>
      <w:pPr>
        <w:pStyle w:val="BodyText"/>
        <w:spacing w:before="2"/>
        <w:ind w:left="765"/>
      </w:pPr>
      <w:r>
        <w:rPr/>
        <w:t>Perth WA 6000</w:t>
      </w:r>
    </w:p>
    <w:p>
      <w:pPr>
        <w:pStyle w:val="Heading6"/>
        <w:spacing w:before="107"/>
      </w:pPr>
      <w:r>
        <w:rPr/>
        <w:t>Postal address:</w:t>
      </w:r>
    </w:p>
    <w:p>
      <w:pPr>
        <w:pStyle w:val="BodyText"/>
        <w:spacing w:before="11"/>
        <w:ind w:left="765"/>
      </w:pPr>
      <w:r>
        <w:rPr/>
        <w:t>Locked Bag 11</w:t>
      </w:r>
    </w:p>
    <w:p>
      <w:pPr>
        <w:pStyle w:val="BodyText"/>
        <w:spacing w:before="11"/>
        <w:ind w:left="765"/>
      </w:pPr>
      <w:r>
        <w:rPr/>
        <w:t>Cloisters Square WA 6850</w:t>
      </w:r>
    </w:p>
    <w:p>
      <w:pPr>
        <w:spacing w:before="107"/>
        <w:ind w:left="765" w:right="0" w:firstLine="0"/>
        <w:jc w:val="left"/>
        <w:rPr>
          <w:sz w:val="22"/>
        </w:rPr>
      </w:pPr>
      <w:r>
        <w:rPr>
          <w:b/>
          <w:sz w:val="22"/>
        </w:rPr>
        <w:t>Phone: </w:t>
      </w:r>
      <w:r>
        <w:rPr>
          <w:sz w:val="22"/>
        </w:rPr>
        <w:t>08 6551 2802</w:t>
      </w:r>
    </w:p>
    <w:p>
      <w:pPr>
        <w:spacing w:before="107"/>
        <w:ind w:left="765" w:right="0" w:firstLine="0"/>
        <w:jc w:val="left"/>
        <w:rPr>
          <w:sz w:val="22"/>
        </w:rPr>
      </w:pPr>
      <w:r>
        <w:rPr>
          <w:b/>
          <w:sz w:val="22"/>
        </w:rPr>
        <w:t>Fax: </w:t>
      </w:r>
      <w:r>
        <w:rPr>
          <w:sz w:val="22"/>
        </w:rPr>
        <w:t>08 6551 2850</w:t>
      </w:r>
    </w:p>
    <w:p>
      <w:pPr>
        <w:spacing w:before="163"/>
        <w:ind w:left="628" w:right="0" w:firstLine="0"/>
        <w:jc w:val="left"/>
        <w:rPr>
          <w:sz w:val="22"/>
        </w:rPr>
      </w:pPr>
      <w:r>
        <w:rPr/>
        <w:br w:type="column"/>
      </w:r>
      <w:r>
        <w:rPr>
          <w:b/>
          <w:sz w:val="22"/>
        </w:rPr>
        <w:t>Main switchboard: </w:t>
      </w:r>
      <w:r>
        <w:rPr>
          <w:sz w:val="22"/>
        </w:rPr>
        <w:t>08 6551 1000</w:t>
      </w:r>
    </w:p>
    <w:p>
      <w:pPr>
        <w:spacing w:before="11"/>
        <w:ind w:left="628" w:right="0" w:firstLine="0"/>
        <w:jc w:val="left"/>
        <w:rPr>
          <w:sz w:val="22"/>
        </w:rPr>
      </w:pPr>
      <w:r>
        <w:rPr>
          <w:b/>
          <w:sz w:val="22"/>
        </w:rPr>
        <w:t>Internet: </w:t>
      </w:r>
      <w:hyperlink r:id="rId257">
        <w:r>
          <w:rPr>
            <w:color w:val="6F2770"/>
            <w:sz w:val="22"/>
            <w:u w:val="single" w:color="6F2770"/>
          </w:rPr>
          <w:t>www.finance.wa.gov.au</w:t>
        </w:r>
      </w:hyperlink>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1"/>
        </w:rPr>
      </w:pPr>
    </w:p>
    <w:p>
      <w:pPr>
        <w:pStyle w:val="Heading5"/>
        <w:spacing w:before="0"/>
        <w:ind w:left="628"/>
      </w:pPr>
      <w:r>
        <w:rPr>
          <w:color w:val="6F2770"/>
          <w:w w:val="95"/>
        </w:rPr>
        <w:t>Government</w:t>
      </w:r>
      <w:r>
        <w:rPr>
          <w:color w:val="6F2770"/>
          <w:spacing w:val="78"/>
          <w:w w:val="95"/>
        </w:rPr>
        <w:t> </w:t>
      </w:r>
      <w:r>
        <w:rPr>
          <w:color w:val="6F2770"/>
          <w:spacing w:val="-4"/>
          <w:w w:val="95"/>
        </w:rPr>
        <w:t>Procurement</w:t>
      </w:r>
    </w:p>
    <w:p>
      <w:pPr>
        <w:pStyle w:val="BodyText"/>
        <w:spacing w:before="254"/>
        <w:ind w:left="628"/>
      </w:pPr>
      <w:r>
        <w:rPr/>
        <w:t>Optima Centre</w:t>
      </w:r>
    </w:p>
    <w:p>
      <w:pPr>
        <w:pStyle w:val="BodyText"/>
        <w:spacing w:line="249" w:lineRule="auto" w:before="11"/>
        <w:ind w:left="628" w:right="1226"/>
      </w:pPr>
      <w:r>
        <w:rPr/>
        <w:t>16 Parkland Road Osborne Park WA 6017</w:t>
      </w:r>
    </w:p>
    <w:p>
      <w:pPr>
        <w:pStyle w:val="Heading6"/>
        <w:spacing w:before="98"/>
        <w:ind w:left="628"/>
      </w:pPr>
      <w:r>
        <w:rPr/>
        <w:t>Postal address:</w:t>
      </w:r>
    </w:p>
    <w:p>
      <w:pPr>
        <w:pStyle w:val="BodyText"/>
        <w:spacing w:before="11"/>
        <w:ind w:left="628"/>
      </w:pPr>
      <w:r>
        <w:rPr/>
        <w:t>Locked Bag 11</w:t>
      </w:r>
    </w:p>
    <w:p>
      <w:pPr>
        <w:pStyle w:val="BodyText"/>
        <w:spacing w:before="11"/>
        <w:ind w:left="628"/>
      </w:pPr>
      <w:r>
        <w:rPr/>
        <w:t>Cloisters Square WA 6850</w:t>
      </w:r>
    </w:p>
    <w:p>
      <w:pPr>
        <w:spacing w:before="107"/>
        <w:ind w:left="628" w:right="0" w:firstLine="0"/>
        <w:jc w:val="left"/>
        <w:rPr>
          <w:sz w:val="22"/>
        </w:rPr>
      </w:pPr>
      <w:r>
        <w:rPr>
          <w:b/>
          <w:sz w:val="22"/>
        </w:rPr>
        <w:t>Phone: </w:t>
      </w:r>
      <w:r>
        <w:rPr>
          <w:sz w:val="22"/>
        </w:rPr>
        <w:t>08 6551 1555</w:t>
      </w:r>
    </w:p>
    <w:p>
      <w:pPr>
        <w:pStyle w:val="BodyText"/>
        <w:rPr>
          <w:sz w:val="38"/>
        </w:rPr>
      </w:pPr>
      <w:r>
        <w:rPr/>
        <w:br w:type="column"/>
      </w:r>
      <w:r>
        <w:rPr>
          <w:sz w:val="38"/>
        </w:rPr>
      </w:r>
    </w:p>
    <w:p>
      <w:pPr>
        <w:pStyle w:val="BodyText"/>
        <w:rPr>
          <w:sz w:val="38"/>
        </w:rPr>
      </w:pPr>
    </w:p>
    <w:p>
      <w:pPr>
        <w:pStyle w:val="BodyText"/>
        <w:rPr>
          <w:sz w:val="38"/>
        </w:rPr>
      </w:pPr>
    </w:p>
    <w:p>
      <w:pPr>
        <w:pStyle w:val="BodyText"/>
        <w:rPr>
          <w:sz w:val="38"/>
        </w:rPr>
      </w:pPr>
    </w:p>
    <w:p>
      <w:pPr>
        <w:pStyle w:val="BodyText"/>
        <w:rPr>
          <w:sz w:val="38"/>
        </w:rPr>
      </w:pPr>
    </w:p>
    <w:p>
      <w:pPr>
        <w:pStyle w:val="Heading5"/>
        <w:spacing w:before="241"/>
      </w:pPr>
      <w:r>
        <w:rPr>
          <w:color w:val="6F2770"/>
        </w:rPr>
        <w:t>State Revenue</w:t>
      </w:r>
    </w:p>
    <w:p>
      <w:pPr>
        <w:pStyle w:val="BodyText"/>
        <w:spacing w:before="254"/>
        <w:ind w:left="765"/>
      </w:pPr>
      <w:r>
        <w:rPr/>
        <w:t>QBE House</w:t>
      </w:r>
    </w:p>
    <w:p>
      <w:pPr>
        <w:pStyle w:val="BodyText"/>
        <w:spacing w:line="249" w:lineRule="auto" w:before="11"/>
        <w:ind w:left="765" w:right="4094"/>
      </w:pPr>
      <w:r>
        <w:rPr/>
        <w:t>200 St Georges </w:t>
      </w:r>
      <w:r>
        <w:rPr>
          <w:spacing w:val="-7"/>
        </w:rPr>
        <w:t>Terrace </w:t>
      </w:r>
      <w:r>
        <w:rPr/>
        <w:t>Perth WA 6000</w:t>
      </w:r>
    </w:p>
    <w:p>
      <w:pPr>
        <w:pStyle w:val="Heading6"/>
        <w:spacing w:before="97"/>
      </w:pPr>
      <w:r>
        <w:rPr/>
        <w:t>Postal address:</w:t>
      </w:r>
    </w:p>
    <w:p>
      <w:pPr>
        <w:pStyle w:val="BodyText"/>
        <w:spacing w:before="11"/>
        <w:ind w:left="765"/>
      </w:pPr>
      <w:r>
        <w:rPr/>
        <w:t>GPO Box T1600</w:t>
      </w:r>
    </w:p>
    <w:p>
      <w:pPr>
        <w:pStyle w:val="BodyText"/>
        <w:spacing w:before="11"/>
        <w:ind w:left="765"/>
      </w:pPr>
      <w:r>
        <w:rPr/>
        <w:t>Perth WA 6845</w:t>
      </w:r>
    </w:p>
    <w:p>
      <w:pPr>
        <w:spacing w:before="107"/>
        <w:ind w:left="765" w:right="0" w:firstLine="0"/>
        <w:jc w:val="left"/>
        <w:rPr>
          <w:sz w:val="22"/>
        </w:rPr>
      </w:pPr>
      <w:r>
        <w:rPr>
          <w:b/>
          <w:sz w:val="22"/>
        </w:rPr>
        <w:t>Switch: </w:t>
      </w:r>
      <w:r>
        <w:rPr>
          <w:sz w:val="22"/>
        </w:rPr>
        <w:t>08 9262 1400</w:t>
      </w:r>
    </w:p>
    <w:p>
      <w:pPr>
        <w:spacing w:before="107"/>
        <w:ind w:left="765" w:right="0" w:firstLine="0"/>
        <w:jc w:val="left"/>
        <w:rPr>
          <w:sz w:val="22"/>
        </w:rPr>
      </w:pPr>
      <w:r>
        <w:rPr>
          <w:b/>
          <w:sz w:val="22"/>
        </w:rPr>
        <w:t>WA Country Callers: </w:t>
      </w:r>
      <w:r>
        <w:rPr>
          <w:sz w:val="22"/>
        </w:rPr>
        <w:t>1300 368 364</w:t>
      </w:r>
    </w:p>
    <w:p>
      <w:pPr>
        <w:spacing w:after="0"/>
        <w:jc w:val="left"/>
        <w:rPr>
          <w:sz w:val="22"/>
        </w:rPr>
        <w:sectPr>
          <w:type w:val="continuous"/>
          <w:pgSz w:w="16840" w:h="11910" w:orient="landscape"/>
          <w:pgMar w:top="1100" w:bottom="280" w:left="0" w:right="0"/>
          <w:cols w:num="3" w:equalWidth="0">
            <w:col w:w="5342" w:space="40"/>
            <w:col w:w="4198" w:space="69"/>
            <w:col w:w="7191"/>
          </w:cols>
        </w:sectPr>
      </w:pPr>
    </w:p>
    <w:p>
      <w:pPr>
        <w:pStyle w:val="BodyText"/>
        <w:spacing w:before="4"/>
        <w:rPr>
          <w:rFonts w:ascii="Times New Roman"/>
          <w:sz w:val="17"/>
        </w:rPr>
      </w:pPr>
      <w:r>
        <w:rPr/>
        <w:pict>
          <v:shape style="position:absolute;margin-left:33.185699pt;margin-top:8.980301pt;width:773.6pt;height:23.75pt;mso-position-horizontal-relative:page;mso-position-vertical-relative:page;z-index:-680800" type="#_x0000_t202" filled="false" stroked="false">
            <v:textbox inset="0,0,0,0">
              <w:txbxContent>
                <w:p>
                  <w:pPr>
                    <w:tabs>
                      <w:tab w:pos="2429" w:val="left" w:leader="none"/>
                      <w:tab w:pos="4934" w:val="left" w:leader="none"/>
                      <w:tab w:pos="7232" w:val="left" w:leader="none"/>
                      <w:tab w:pos="9167" w:val="left" w:leader="none"/>
                    </w:tabs>
                    <w:spacing w:line="79" w:lineRule="auto" w:before="41"/>
                    <w:ind w:left="0" w:right="0" w:firstLine="0"/>
                    <w:jc w:val="left"/>
                    <w:rPr>
                      <w:sz w:val="20"/>
                    </w:rPr>
                  </w:pPr>
                  <w:hyperlink w:history="true" w:anchor="_bookmark0">
                    <w:r>
                      <w:rPr>
                        <w:position w:val="-12"/>
                        <w:sz w:val="20"/>
                      </w:rPr>
                      <w:t>CONTENTS</w:t>
                    </w:r>
                  </w:hyperlink>
                  <w:r>
                    <w:rPr>
                      <w:position w:val="-12"/>
                      <w:sz w:val="20"/>
                    </w:rPr>
                    <w:tab/>
                  </w:r>
                  <w:hyperlink w:history="true" w:anchor="_bookmark1">
                    <w:r>
                      <w:rPr>
                        <w:position w:val="-12"/>
                        <w:sz w:val="20"/>
                      </w:rPr>
                      <w:t>OVERVIEW</w:t>
                    </w:r>
                  </w:hyperlink>
                  <w:r>
                    <w:rPr>
                      <w:position w:val="-12"/>
                      <w:sz w:val="20"/>
                    </w:rPr>
                    <w:tab/>
                  </w:r>
                  <w:hyperlink w:history="true" w:anchor="_bookmark4">
                    <w:r>
                      <w:rPr>
                        <w:sz w:val="20"/>
                      </w:rPr>
                      <w:t>AGENCY</w:t>
                    </w:r>
                  </w:hyperlink>
                  <w:r>
                    <w:rPr>
                      <w:sz w:val="20"/>
                    </w:rPr>
                    <w:tab/>
                  </w:r>
                  <w:hyperlink w:history="true" w:anchor="_bookmark17">
                    <w:r>
                      <w:rPr>
                        <w:sz w:val="20"/>
                      </w:rPr>
                      <w:t>FINANCIAL</w:t>
                    </w:r>
                  </w:hyperlink>
                  <w:r>
                    <w:rPr>
                      <w:sz w:val="20"/>
                    </w:rPr>
                    <w:tab/>
                  </w:r>
                  <w:hyperlink w:history="true" w:anchor="_bookmark37">
                    <w:r>
                      <w:rPr>
                        <w:sz w:val="20"/>
                      </w:rPr>
                      <w:t>KEY</w:t>
                    </w:r>
                    <w:r>
                      <w:rPr>
                        <w:spacing w:val="-1"/>
                        <w:sz w:val="20"/>
                      </w:rPr>
                      <w:t> </w:t>
                    </w:r>
                    <w:r>
                      <w:rPr>
                        <w:sz w:val="20"/>
                      </w:rPr>
                      <w:t>PERFORMANCE</w:t>
                    </w:r>
                  </w:hyperlink>
                </w:p>
                <w:p>
                  <w:pPr>
                    <w:tabs>
                      <w:tab w:pos="7112" w:val="left" w:leader="none"/>
                      <w:tab w:pos="9560" w:val="left" w:leader="none"/>
                      <w:tab w:pos="11860" w:val="left" w:leader="none"/>
                      <w:tab w:pos="14471" w:val="left" w:leader="none"/>
                    </w:tabs>
                    <w:spacing w:line="232" w:lineRule="auto" w:before="0"/>
                    <w:ind w:left="4580" w:right="0" w:firstLine="0"/>
                    <w:jc w:val="left"/>
                    <w:rPr>
                      <w:sz w:val="20"/>
                    </w:rPr>
                  </w:pPr>
                  <w:hyperlink w:history="true" w:anchor="_bookmark4">
                    <w:r>
                      <w:rPr>
                        <w:sz w:val="20"/>
                      </w:rPr>
                      <w:t>PERFORMANCE</w:t>
                    </w:r>
                  </w:hyperlink>
                  <w:r>
                    <w:rPr>
                      <w:sz w:val="20"/>
                    </w:rPr>
                    <w:tab/>
                  </w:r>
                  <w:hyperlink w:history="true" w:anchor="_bookmark17">
                    <w:r>
                      <w:rPr>
                        <w:spacing w:val="-4"/>
                        <w:sz w:val="20"/>
                      </w:rPr>
                      <w:t>STATEMENTS</w:t>
                    </w:r>
                  </w:hyperlink>
                  <w:r>
                    <w:rPr>
                      <w:spacing w:val="-4"/>
                      <w:sz w:val="20"/>
                    </w:rPr>
                    <w:tab/>
                  </w:r>
                  <w:hyperlink w:history="true" w:anchor="_bookmark37">
                    <w:r>
                      <w:rPr>
                        <w:sz w:val="20"/>
                      </w:rPr>
                      <w:t>INDICATORS</w:t>
                    </w:r>
                  </w:hyperlink>
                  <w:r>
                    <w:rPr>
                      <w:sz w:val="20"/>
                    </w:rPr>
                    <w:tab/>
                  </w:r>
                  <w:hyperlink w:history="true" w:anchor="_bookmark47">
                    <w:r>
                      <w:rPr>
                        <w:position w:val="11"/>
                        <w:sz w:val="20"/>
                      </w:rPr>
                      <w:t>DISCLOSURES</w:t>
                    </w:r>
                  </w:hyperlink>
                  <w:r>
                    <w:rPr>
                      <w:position w:val="11"/>
                      <w:sz w:val="20"/>
                    </w:rPr>
                    <w:tab/>
                  </w:r>
                  <w:hyperlink w:history="true" w:anchor="_bookmark52">
                    <w:r>
                      <w:rPr>
                        <w:spacing w:val="-3"/>
                        <w:position w:val="11"/>
                        <w:sz w:val="20"/>
                      </w:rPr>
                      <w:t>APPENDIX</w:t>
                    </w:r>
                  </w:hyperlink>
                </w:p>
              </w:txbxContent>
            </v:textbox>
            <w10:wrap type="none"/>
          </v:shape>
        </w:pict>
      </w:r>
      <w:r>
        <w:rPr/>
        <w:pict>
          <v:group style="position:absolute;margin-left:0pt;margin-top:.000001pt;width:841.9pt;height:595.3pt;mso-position-horizontal-relative:page;mso-position-vertical-relative:page;z-index:31720" coordorigin="0,0" coordsize="16838,11906">
            <v:line style="position:absolute" from="765,11415" to="10886,11415" stroked="true" strokeweight=".25pt" strokecolor="#939598">
              <v:stroke dashstyle="solid"/>
            </v:line>
            <v:rect style="position:absolute;left:0;top:0;width:2406;height:851" filled="true" fillcolor="#bba1bc" stroked="false">
              <v:fill type="solid"/>
            </v:rect>
            <v:rect style="position:absolute;left:2405;top:0;width:2406;height:851" filled="true" fillcolor="#c3acc4" stroked="false">
              <v:fill type="solid"/>
            </v:rect>
            <v:rect style="position:absolute;left:4810;top:0;width:2406;height:851" filled="true" fillcolor="#cbb8cc" stroked="false">
              <v:fill type="solid"/>
            </v:rect>
            <v:rect style="position:absolute;left:7216;top:0;width:2406;height:851" filled="true" fillcolor="#d4c4d4" stroked="false">
              <v:fill type="solid"/>
            </v:rect>
            <v:rect style="position:absolute;left:9621;top:0;width:2406;height:851" filled="true" fillcolor="#cbb8cc" stroked="false">
              <v:fill type="solid"/>
            </v:rect>
            <v:rect style="position:absolute;left:12026;top:0;width:2406;height:851" filled="true" fillcolor="#c3acc4" stroked="false">
              <v:fill type="solid"/>
            </v:rect>
            <v:rect style="position:absolute;left:14432;top:0;width:2406;height:851" filled="true" fillcolor="#d4d896" stroked="false">
              <v:fill type="solid"/>
            </v:rect>
            <v:line style="position:absolute" from="0,0" to="0,850" stroked="true" strokeweight="0pt" strokecolor="#d4d896">
              <v:stroke dashstyle="solid"/>
            </v:line>
            <v:shape style="position:absolute;left:0;top:0;width:16838;height:11906" type="#_x0000_t75" stroked="false">
              <v:imagedata r:id="rId259" o:title=""/>
            </v:shape>
            <v:shape style="position:absolute;left:-5630;top:-4365;width:6820;height:6811" coordorigin="-5629,-4365" coordsize="6820,6811" path="m10192,10136l10172,10116m10302,10136l10282,10116m10412,10136l10392,10116m10523,10136l10503,10116m10633,10136l10613,10116m10743,10136l10723,10116m10838,10120l10834,10116m9797,10072l9781,10056m9949,10114l9891,10056m10061,10116l10001,10056m10172,10116l10112,10056m10282,10116l10222,10056m10392,10116l10332,10056m10503,10116l10443,10056m10613,10116l10553,10056m10723,10116l10663,10056m10834,10116l10774,10056m10944,10116l10884,10056m11043,10105l10994,10056m11130,10081l11105,10056m11216,10057l11215,10056m8392,9440l8366,9414m8320,9368l7841,8889m7796,8844l7785,8833m8739,9676l7561,8498m8960,9786l7415,8242m9170,9886l7328,8044m9343,9949l7260,7866m9517,10013l7207,7703m9670,10056l7166,7551m9781,10056l7139,7414m9891,10056l7113,7278m10001,10056l7094,7148m10112,10056l7082,7026m10222,10056l7074,6907m10332,10056l7070,6793m10443,10056l7070,6683m10553,10056l7073,6576m10663,10056l7080,6472m10774,10056l7089,6371m10884,10056l7100,6271m10994,10056l7115,6177m11105,10056l7133,6084m11215,10056l7151,5992m11318,10048l7171,5901m11404,10024l7195,5815m11490,9999l7221,5730m11575,9974l7246,5645m11645,9934l7276,5565m11730,9909l7307,5486m11807,9875l7338,5406m11884,9842l7373,5331m11957,9804l7405,5253m12037,9774l7442,5179m12104,9731l7481,5108m12174,9691l7522,5038m12250,9656l7563,4969m12317,9612l7606,4902m12383,9568l7649,4835m12448,9523l7694,4769m12513,9478l7739,4704m12577,9431l7785,4639m12630,9374l7840,4584m12694,9327l7888,4521m12753,9276l7939,4462m12808,9221l7994,4407m12870,9172l8043,4346m12924,9116l8099,4291m12973,9055l8161,4243m13030,9001l8214,4186m13079,8940l8275,4137m13127,8877l8338,4089m13182,8822l8392,4032m13227,8758l8456,3986m13273,8692l8521,3941m13317,8626l8587,3896m13360,8559l8653,3852m13402,8491l8719,3808m13444,8422l8798,3776m13484,8352l8866,3734m13523,8281l8935,3693m13559,8206l9013,3661m13592,8129l9088,3625m13627,8054l9163,3589m13656,7973l9242,3559m13688,7894l9326,3532m13718,7813l9397,3493m13743,7728l9483,3468m13768,7643l9569,3444m13792,7557l9655,3419m13811,7465l9761,3416m13829,7373l9872,3416m13846,7280l9982,3416m13861,7185l10092,3416m13872,7085l10203,3416m13880,6983l10313,3416m13887,6879l10424,3416m13889,6771l10534,3416m13889,6660l10644,3416m13884,6545l10755,3416m13876,6426l10865,3416m13863,6304l10975,3416m13843,6173l11086,3416m13817,6036l11196,3416m13786,5896l11312,3421m13743,5742l11467,3466m13688,5576l11650,3539m13617,5395l11833,3612m13525,5193l12025,3693m13370,4927l12270,3828m13063,4510l12705,4152m9761,3416l9756,3411m9872,3416l9843,3387m9982,3416l9929,3363m10092,3416l10032,3356m10203,3416l10143,3356m10313,3416l10253,3356m10424,3416l10364,3356m10534,3416l10474,3356m10644,3416l10584,3356m10755,3416l10695,3356m10865,3416l10805,3356m10975,3416l10915,3356m11086,3416l11034,3364m11196,3416l11186,3406m10143,3356l10134,3347m10253,3356l10233,3336m10364,3356l10344,3336m10474,3356l10454,3336m10584,3356l10564,3336m10695,3356l10675,3336m10805,3356l10786,3337m10454,3336l10443,3325e" filled="false" stroked="true" strokeweight=".25pt" strokecolor="#aebd37">
              <v:path arrowok="t"/>
              <v:stroke dashstyle="solid"/>
            </v:shape>
            <v:shape style="position:absolute;left:-5225;top:-260;width:2758;height:2758" coordorigin="-5225,-259" coordsize="2758,2758" path="m6775,9478l6196,8899m6970,9562l6113,8705m7123,9605l6069,8552m7255,9627l6048,8419m7374,9636l6039,8300m7484,9635l6040,8191m7586,9626l6048,8089m7681,9611l6063,7994m7771,9591l6084,7904m7856,9566l6109,7819m7936,9536l6139,7738m8013,9502l6173,7662m8086,9464l6210,7589m8155,9423l6252,7520m8221,9379l6296,7454m8284,9331l6343,7391m8343,9280l6394,7331m8399,9226l6448,7275m8453,9169l6505,7222m8503,9109l6566,7172m8550,9046l6629,7125m8593,8979l6696,7081m8634,8909l6766,7041m8671,8835l6839,7004m8704,8758l6917,6971m8732,8676l6998,6942m8757,8590l7084,6918m8776,8499l7175,6899m8790,8403l7272,6885m8796,8299l7375,6878m8796,8188l7487,6879m8784,8066l7609,6891m8758,7930l7745,6917m8709,7770l7904,6966m8609,7560l8115,7066e" filled="false" stroked="true" strokeweight=".25pt" strokecolor="#6f2770">
              <v:path arrowok="t"/>
              <v:stroke dashstyle="solid"/>
            </v:shape>
            <v:shape style="position:absolute;left:-5629;top:-1708;width:1926;height:1926" coordorigin="-5628,-1708" coordsize="1926,1926" path="m1570,6053l1032,5515m1728,6101l985,5358m1857,6119l966,5229m1968,6120l965,5117m2069,6111l974,5016m2161,6093l993,4924m2246,6067l1018,4839m2325,6036l1050,4761m2398,5999l1087,4687m2467,5957l1129,4619m2530,5910l1176,4555m2589,5858l1227,4496m2644,5802l1283,4442m2694,5742l1343,4392m2739,5677l1408,4347m2780,5607l1478,4306m2815,5533l1553,4270m2845,5453l1633,4240m2869,5365l1720,4217m2884,5271l1815,4201m2891,5167l1918,4195m2885,5050l2035,4201m2860,4915l2170,4226m2797,4742l2344,4289e" filled="false" stroked="true" strokeweight=".25pt" strokecolor="#bbbcbb">
              <v:path arrowok="t"/>
              <v:stroke dashstyl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v:shape style="position:absolute;left:0;top:10929;width:482;height:831" coordorigin="0,10930" coordsize="482,831" path="m66,10930l49,10930,33,10931,16,10933,0,10935,0,11754,16,11757,33,11759,49,11760,66,11760,140,11753,211,11734,275,11703,333,11663,383,11612,424,11555,455,11490,474,11420,481,11345,474,11270,455,11200,424,11135,383,11077,333,11027,275,10986,211,10956,140,10936,66,10930xe" filled="true" fillcolor="#ffffff" stroked="false">
              <v:path arrowok="t"/>
              <v:fill type="solid"/>
            </v:shape>
            <v:shape style="position:absolute;left:0;top:10929;width:482;height:831" coordorigin="0,10930" coordsize="482,831" path="m66,10930l49,10930,33,10931,16,10933,0,10935,0,11754,16,11757,33,11759,49,11760,66,11760,140,11753,211,11734,275,11703,333,11663,383,11612,424,11555,455,11490,474,11420,481,11345,474,11270,455,11200,424,11135,383,11077,333,11027,275,10986,211,10956,140,10936,66,10930xe" filled="true" fillcolor="#aebd37" stroked="false">
              <v:path arrowok="t"/>
              <v:fill opacity="13107f" type="solid"/>
            </v:shape>
            <v:shape style="position:absolute;left:174;top:11258;width:93;height:171" coordorigin="174,11259" coordsize="93,171" path="m256,11259l248,11259,182,11325,176,11334,174,11344,174,11346,176,11356,182,11365,245,11428,249,11430,256,11430,259,11428,267,11421,267,11412,200,11346,200,11344,267,11277,267,11269,256,11259xe" filled="true" fillcolor="#000000" stroked="false">
              <v:path arrowok="t"/>
              <v:fill type="solid"/>
            </v:shape>
            <w10:wrap type="none"/>
          </v:group>
        </w:pict>
      </w:r>
      <w:bookmarkStart w:name="_bookmark53" w:id="54"/>
      <w:bookmarkEnd w:id="54"/>
      <w:r>
        <w:rPr/>
      </w:r>
      <w:r>
        <w:rPr>
          <w:rFonts w:ascii="Times New Roman"/>
          <w:sz w:val="17"/>
        </w:rPr>
      </w:r>
    </w:p>
    <w:sectPr>
      <w:footerReference w:type="default" r:id="rId258"/>
      <w:pgSz w:w="16840" w:h="11910" w:orient="landscape"/>
      <w:pgMar w:footer="0" w:header="0" w:top="11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37.2677pt;margin-top:560.067505pt;width:508.05pt;height:13.95pt;mso-position-horizontal-relative:page;mso-position-vertical-relative:page;z-index:-71147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22.6pt;height:13.95pt;mso-position-horizontal-relative:page;mso-position-vertical-relative:page;z-index:-711448" type="#_x0000_t202" filled="false" stroked="false">
          <v:textbox inset="0,0,0,0">
            <w:txbxContent>
              <w:p>
                <w:pPr>
                  <w:spacing w:before="27"/>
                  <w:ind w:left="20" w:right="0" w:firstLine="0"/>
                  <w:jc w:val="left"/>
                  <w:rPr>
                    <w:b/>
                    <w:sz w:val="20"/>
                  </w:rPr>
                </w:pPr>
                <w:r>
                  <w:rPr>
                    <w:b/>
                    <w:color w:val="6D6E71"/>
                    <w:sz w:val="20"/>
                  </w:rPr>
                  <w:t>Department of Finance Annual Report 2017-18</w:t>
                </w:r>
              </w:p>
            </w:txbxContent>
          </v:textbox>
          <w10:wrap type="none"/>
        </v:shape>
      </w:pict>
    </w:r>
    <w:r>
      <w:rPr/>
      <w:pict>
        <v:shape style="position:absolute;margin-left:797.062012pt;margin-top:560.067505pt;width:7.6pt;height:13.95pt;mso-position-horizontal-relative:page;mso-position-vertical-relative:page;z-index:-711424" type="#_x0000_t202" filled="false" stroked="false">
          <v:textbox inset="0,0,0,0">
            <w:txbxContent>
              <w:p>
                <w:pPr>
                  <w:spacing w:before="27"/>
                  <w:ind w:left="20" w:right="0" w:firstLine="0"/>
                  <w:jc w:val="left"/>
                  <w:rPr>
                    <w:b/>
                    <w:sz w:val="20"/>
                  </w:rPr>
                </w:pPr>
                <w:r>
                  <w:rPr>
                    <w:b/>
                    <w:color w:val="6F2770"/>
                    <w:w w:val="99"/>
                    <w:sz w:val="20"/>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92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89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872" type="#_x0000_t202" filled="false" stroked="false">
          <v:textbox inset="0,0,0,0">
            <w:txbxContent>
              <w:p>
                <w:pPr>
                  <w:tabs>
                    <w:tab w:pos="481" w:val="left" w:leader="none"/>
                  </w:tabs>
                  <w:spacing w:before="27"/>
                  <w:ind w:left="20" w:right="0" w:firstLine="0"/>
                  <w:jc w:val="left"/>
                  <w:rPr>
                    <w:b/>
                    <w:sz w:val="20"/>
                  </w:rPr>
                </w:pPr>
                <w:r>
                  <w:rPr>
                    <w:b/>
                    <w:color w:val="6F2770"/>
                    <w:sz w:val="20"/>
                  </w:rPr>
                  <w:t>12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84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492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489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4872" type="#_x0000_t202" filled="false" stroked="false">
          <v:textbox inset="0,0,0,0">
            <w:txbxContent>
              <w:p>
                <w:pPr>
                  <w:spacing w:before="27"/>
                  <w:ind w:left="20" w:right="0" w:firstLine="0"/>
                  <w:jc w:val="left"/>
                  <w:rPr>
                    <w:b/>
                    <w:sz w:val="20"/>
                  </w:rPr>
                </w:pPr>
                <w:r>
                  <w:rPr>
                    <w:b/>
                    <w:color w:val="6F2770"/>
                    <w:sz w:val="20"/>
                  </w:rPr>
                  <w:t>102 </w:t>
                </w: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0484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482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480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477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2097pt;margin-top:560.067505pt;width:245.7pt;height:13.95pt;mso-position-horizontal-relative:page;mso-position-vertical-relative:page;z-index:-704752" type="#_x0000_t202" filled="false" stroked="false">
          <v:textbox inset="0,0,0,0">
            <w:txbxContent>
              <w:p>
                <w:pPr>
                  <w:spacing w:before="27"/>
                  <w:ind w:left="20" w:right="0" w:firstLine="0"/>
                  <w:jc w:val="left"/>
                  <w:rPr>
                    <w:b/>
                    <w:sz w:val="20"/>
                  </w:rPr>
                </w:pPr>
                <w:r>
                  <w:rPr>
                    <w:b/>
                    <w:color w:val="6D6E71"/>
                    <w:sz w:val="20"/>
                  </w:rPr>
                  <w:t>Department of Finance Annual Report 2017-18 </w:t>
                </w:r>
                <w:r>
                  <w:rPr>
                    <w:b/>
                    <w:color w:val="6F2770"/>
                    <w:sz w:val="20"/>
                  </w:rPr>
                  <w:t>109</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472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470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4680" type="#_x0000_t202" filled="false" stroked="false">
          <v:textbox inset="0,0,0,0">
            <w:txbxContent>
              <w:p>
                <w:pPr>
                  <w:spacing w:before="27"/>
                  <w:ind w:left="20" w:right="0" w:firstLine="0"/>
                  <w:jc w:val="left"/>
                  <w:rPr>
                    <w:b/>
                    <w:sz w:val="20"/>
                  </w:rPr>
                </w:pPr>
                <w:r>
                  <w:rPr>
                    <w:b/>
                    <w:color w:val="6F2770"/>
                    <w:sz w:val="20"/>
                  </w:rPr>
                  <w:t>110 </w:t>
                </w: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0465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82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80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1077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1075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13</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0.067505pt;width:508.05pt;height:13.95pt;mso-position-horizontal-relative:page;mso-position-vertical-relative:page;z-index:-70463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2097pt;margin-top:560.067505pt;width:245.7pt;height:13.95pt;mso-position-horizontal-relative:page;mso-position-vertical-relative:page;z-index:-704608" type="#_x0000_t202" filled="false" stroked="false">
          <v:textbox inset="0,0,0,0">
            <w:txbxContent>
              <w:p>
                <w:pPr>
                  <w:spacing w:before="27"/>
                  <w:ind w:left="20" w:right="0" w:firstLine="0"/>
                  <w:jc w:val="left"/>
                  <w:rPr>
                    <w:b/>
                    <w:sz w:val="20"/>
                  </w:rPr>
                </w:pPr>
                <w:r>
                  <w:rPr>
                    <w:b/>
                    <w:color w:val="6D6E71"/>
                    <w:sz w:val="20"/>
                  </w:rPr>
                  <w:t>Department of Finance Annual Report 2017-18 </w:t>
                </w:r>
                <w:r>
                  <w:rPr>
                    <w:b/>
                    <w:color w:val="6F2770"/>
                    <w:sz w:val="20"/>
                  </w:rPr>
                  <w:t>119</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0.067505pt;width:245.7pt;height:13.95pt;mso-position-horizontal-relative:page;mso-position-vertical-relative:page;z-index:-704584" type="#_x0000_t202" filled="false" stroked="false">
          <v:textbox inset="0,0,0,0">
            <w:txbxContent>
              <w:p>
                <w:pPr>
                  <w:spacing w:before="27"/>
                  <w:ind w:left="20" w:right="0" w:firstLine="0"/>
                  <w:jc w:val="left"/>
                  <w:rPr>
                    <w:b/>
                    <w:sz w:val="20"/>
                  </w:rPr>
                </w:pPr>
                <w:r>
                  <w:rPr>
                    <w:b/>
                    <w:color w:val="6F2770"/>
                    <w:sz w:val="20"/>
                  </w:rPr>
                  <w:t>120 </w:t>
                </w: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0456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72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70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680" type="#_x0000_t202" filled="false" stroked="false">
          <v:textbox inset="0,0,0,0">
            <w:txbxContent>
              <w:p>
                <w:pPr>
                  <w:tabs>
                    <w:tab w:pos="481" w:val="left" w:leader="none"/>
                  </w:tabs>
                  <w:spacing w:before="27"/>
                  <w:ind w:left="20" w:right="0" w:firstLine="0"/>
                  <w:jc w:val="left"/>
                  <w:rPr>
                    <w:b/>
                    <w:sz w:val="20"/>
                  </w:rPr>
                </w:pPr>
                <w:r>
                  <w:rPr>
                    <w:b/>
                    <w:color w:val="6F2770"/>
                    <w:sz w:val="20"/>
                  </w:rPr>
                  <w:t>14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65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63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60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584" type="#_x0000_t202" filled="false" stroked="false">
          <v:textbox inset="0,0,0,0">
            <w:txbxContent>
              <w:p>
                <w:pPr>
                  <w:tabs>
                    <w:tab w:pos="481" w:val="left" w:leader="none"/>
                  </w:tabs>
                  <w:spacing w:before="27"/>
                  <w:ind w:left="20" w:right="0" w:firstLine="0"/>
                  <w:jc w:val="left"/>
                  <w:rPr>
                    <w:b/>
                    <w:sz w:val="20"/>
                  </w:rPr>
                </w:pPr>
                <w:r>
                  <w:rPr>
                    <w:b/>
                    <w:color w:val="6F2770"/>
                    <w:sz w:val="20"/>
                  </w:rPr>
                  <w:t>20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56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53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51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1048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10464"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21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140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137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7.6pt;height:13.95pt;mso-position-horizontal-relative:page;mso-position-vertical-relative:page;z-index:-711352" type="#_x0000_t202" filled="false" stroked="false">
          <v:textbox inset="0,0,0,0">
            <w:txbxContent>
              <w:p>
                <w:pPr>
                  <w:spacing w:before="27"/>
                  <w:ind w:left="20" w:right="0" w:firstLine="0"/>
                  <w:jc w:val="left"/>
                  <w:rPr>
                    <w:b/>
                    <w:sz w:val="20"/>
                  </w:rPr>
                </w:pPr>
                <w:r>
                  <w:rPr>
                    <w:b/>
                    <w:color w:val="6F2770"/>
                    <w:w w:val="99"/>
                    <w:sz w:val="20"/>
                  </w:rPr>
                  <w:t>4</w:t>
                </w:r>
              </w:p>
            </w:txbxContent>
          </v:textbox>
          <w10:wrap type="none"/>
        </v:shape>
      </w:pict>
    </w:r>
    <w:r>
      <w:rPr/>
      <w:pict>
        <v:shape style="position:absolute;margin-left:60.3577pt;margin-top:560.067505pt;width:222.6pt;height:13.95pt;mso-position-horizontal-relative:page;mso-position-vertical-relative:page;z-index:-711328" type="#_x0000_t202" filled="false" stroked="false">
          <v:textbox inset="0,0,0,0">
            <w:txbxContent>
              <w:p>
                <w:pPr>
                  <w:spacing w:before="27"/>
                  <w:ind w:left="20" w:right="0" w:firstLine="0"/>
                  <w:jc w:val="left"/>
                  <w:rPr>
                    <w:b/>
                    <w:sz w:val="20"/>
                  </w:rPr>
                </w:pP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1130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44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41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392" type="#_x0000_t202" filled="false" stroked="false">
          <v:textbox inset="0,0,0,0">
            <w:txbxContent>
              <w:p>
                <w:pPr>
                  <w:tabs>
                    <w:tab w:pos="481" w:val="left" w:leader="none"/>
                  </w:tabs>
                  <w:spacing w:before="27"/>
                  <w:ind w:left="20" w:right="0" w:firstLine="0"/>
                  <w:jc w:val="left"/>
                  <w:rPr>
                    <w:b/>
                    <w:sz w:val="20"/>
                  </w:rPr>
                </w:pPr>
                <w:r>
                  <w:rPr>
                    <w:b/>
                    <w:color w:val="6F2770"/>
                    <w:sz w:val="20"/>
                  </w:rPr>
                  <w:t>22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36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34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32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296" type="#_x0000_t202" filled="false" stroked="false">
          <v:textbox inset="0,0,0,0">
            <w:txbxContent>
              <w:p>
                <w:pPr>
                  <w:tabs>
                    <w:tab w:pos="481" w:val="left" w:leader="none"/>
                  </w:tabs>
                  <w:spacing w:before="27"/>
                  <w:ind w:left="20" w:right="0" w:firstLine="0"/>
                  <w:jc w:val="left"/>
                  <w:rPr>
                    <w:b/>
                    <w:sz w:val="20"/>
                  </w:rPr>
                </w:pPr>
                <w:r>
                  <w:rPr>
                    <w:b/>
                    <w:color w:val="6F2770"/>
                    <w:sz w:val="20"/>
                  </w:rPr>
                  <w:t>24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27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24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22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1020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1017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25</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15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12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104" type="#_x0000_t202" filled="false" stroked="false">
          <v:textbox inset="0,0,0,0">
            <w:txbxContent>
              <w:p>
                <w:pPr>
                  <w:tabs>
                    <w:tab w:pos="481" w:val="left" w:leader="none"/>
                  </w:tabs>
                  <w:spacing w:before="27"/>
                  <w:ind w:left="20" w:right="0" w:firstLine="0"/>
                  <w:jc w:val="left"/>
                  <w:rPr>
                    <w:b/>
                    <w:sz w:val="20"/>
                  </w:rPr>
                </w:pPr>
                <w:r>
                  <w:rPr>
                    <w:b/>
                    <w:color w:val="6F2770"/>
                    <w:sz w:val="20"/>
                  </w:rPr>
                  <w:t>26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1008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128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125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1123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0571pt;margin-top:560.067505pt;width:222.6pt;height:13.95pt;mso-position-horizontal-relative:page;mso-position-vertical-relative:page;z-index:-711208" type="#_x0000_t202" filled="false" stroked="false">
          <v:textbox inset="0,0,0,0">
            <w:txbxContent>
              <w:p>
                <w:pPr>
                  <w:spacing w:before="27"/>
                  <w:ind w:left="20" w:right="0" w:firstLine="0"/>
                  <w:jc w:val="left"/>
                  <w:rPr>
                    <w:b/>
                    <w:sz w:val="20"/>
                  </w:rPr>
                </w:pPr>
                <w:r>
                  <w:rPr>
                    <w:b/>
                    <w:color w:val="6D6E71"/>
                    <w:sz w:val="20"/>
                  </w:rPr>
                  <w:t>Department of Finance Annual Report 2017-18</w:t>
                </w:r>
              </w:p>
            </w:txbxContent>
          </v:textbox>
          <w10:wrap type="none"/>
        </v:shape>
      </w:pict>
    </w:r>
    <w:r>
      <w:rPr/>
      <w:pict>
        <v:shape style="position:absolute;margin-left:797.060608pt;margin-top:560.067505pt;width:7.6pt;height:13.95pt;mso-position-horizontal-relative:page;mso-position-vertical-relative:page;z-index:-711184" type="#_x0000_t202" filled="false" stroked="false">
          <v:textbox inset="0,0,0,0">
            <w:txbxContent>
              <w:p>
                <w:pPr>
                  <w:spacing w:before="27"/>
                  <w:ind w:left="20" w:right="0" w:firstLine="0"/>
                  <w:jc w:val="left"/>
                  <w:rPr>
                    <w:b/>
                    <w:sz w:val="20"/>
                  </w:rPr>
                </w:pPr>
                <w:r>
                  <w:rPr>
                    <w:b/>
                    <w:color w:val="6F2770"/>
                    <w:w w:val="99"/>
                    <w:sz w:val="20"/>
                  </w:rPr>
                  <w:t>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005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003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10008" type="#_x0000_t202" filled="false" stroked="false">
          <v:textbox inset="0,0,0,0">
            <w:txbxContent>
              <w:p>
                <w:pPr>
                  <w:tabs>
                    <w:tab w:pos="481" w:val="left" w:leader="none"/>
                  </w:tabs>
                  <w:spacing w:before="27"/>
                  <w:ind w:left="20" w:right="0" w:firstLine="0"/>
                  <w:jc w:val="left"/>
                  <w:rPr>
                    <w:b/>
                    <w:sz w:val="20"/>
                  </w:rPr>
                </w:pPr>
                <w:r>
                  <w:rPr>
                    <w:b/>
                    <w:color w:val="6F2770"/>
                    <w:sz w:val="20"/>
                  </w:rPr>
                  <w:t>32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98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96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93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991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988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33</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86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84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816" type="#_x0000_t202" filled="false" stroked="false">
          <v:textbox inset="0,0,0,0">
            <w:txbxContent>
              <w:p>
                <w:pPr>
                  <w:tabs>
                    <w:tab w:pos="481" w:val="left" w:leader="none"/>
                  </w:tabs>
                  <w:spacing w:before="27"/>
                  <w:ind w:left="20" w:right="0" w:firstLine="0"/>
                  <w:jc w:val="left"/>
                  <w:rPr>
                    <w:b/>
                    <w:sz w:val="20"/>
                  </w:rPr>
                </w:pPr>
                <w:r>
                  <w:rPr>
                    <w:b/>
                    <w:color w:val="6F2770"/>
                    <w:sz w:val="20"/>
                  </w:rPr>
                  <w:t>34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79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76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74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972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969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35</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67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64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624" type="#_x0000_t202" filled="false" stroked="false">
          <v:textbox inset="0,0,0,0">
            <w:txbxContent>
              <w:p>
                <w:pPr>
                  <w:tabs>
                    <w:tab w:pos="481" w:val="left" w:leader="none"/>
                  </w:tabs>
                  <w:spacing w:before="27"/>
                  <w:ind w:left="20" w:right="0" w:firstLine="0"/>
                  <w:jc w:val="left"/>
                  <w:rPr>
                    <w:b/>
                    <w:sz w:val="20"/>
                  </w:rPr>
                </w:pPr>
                <w:r>
                  <w:rPr>
                    <w:b/>
                    <w:color w:val="6F2770"/>
                    <w:sz w:val="20"/>
                  </w:rPr>
                  <w:t>36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60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57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55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528" type="#_x0000_t202" filled="false" stroked="false">
          <v:textbox inset="0,0,0,0">
            <w:txbxContent>
              <w:p>
                <w:pPr>
                  <w:tabs>
                    <w:tab w:pos="481" w:val="left" w:leader="none"/>
                  </w:tabs>
                  <w:spacing w:before="27"/>
                  <w:ind w:left="20" w:right="0" w:firstLine="0"/>
                  <w:jc w:val="left"/>
                  <w:rPr>
                    <w:b/>
                    <w:sz w:val="20"/>
                  </w:rPr>
                </w:pPr>
                <w:r>
                  <w:rPr>
                    <w:b/>
                    <w:color w:val="6F2770"/>
                    <w:sz w:val="20"/>
                  </w:rPr>
                  <w:t>40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50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48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45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943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940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41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38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36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336" type="#_x0000_t202" filled="false" stroked="false">
          <v:textbox inset="0,0,0,0">
            <w:txbxContent>
              <w:p>
                <w:pPr>
                  <w:tabs>
                    <w:tab w:pos="481" w:val="left" w:leader="none"/>
                  </w:tabs>
                  <w:spacing w:before="27"/>
                  <w:ind w:left="20" w:right="0" w:firstLine="0"/>
                  <w:jc w:val="left"/>
                  <w:rPr>
                    <w:b/>
                    <w:sz w:val="20"/>
                  </w:rPr>
                </w:pPr>
                <w:r>
                  <w:rPr>
                    <w:b/>
                    <w:color w:val="6F2770"/>
                    <w:sz w:val="20"/>
                  </w:rPr>
                  <w:t>42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31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28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26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924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921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43</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19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16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144" type="#_x0000_t202" filled="false" stroked="false">
          <v:textbox inset="0,0,0,0">
            <w:txbxContent>
              <w:p>
                <w:pPr>
                  <w:tabs>
                    <w:tab w:pos="481" w:val="left" w:leader="none"/>
                  </w:tabs>
                  <w:spacing w:before="27"/>
                  <w:ind w:left="20" w:right="0" w:firstLine="0"/>
                  <w:jc w:val="left"/>
                  <w:rPr>
                    <w:b/>
                    <w:sz w:val="20"/>
                  </w:rPr>
                </w:pPr>
                <w:r>
                  <w:rPr>
                    <w:b/>
                    <w:color w:val="6F2770"/>
                    <w:sz w:val="20"/>
                  </w:rPr>
                  <w:t>44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12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09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907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9048" type="#_x0000_t202" filled="false" stroked="false">
          <v:textbox inset="0,0,0,0">
            <w:txbxContent>
              <w:p>
                <w:pPr>
                  <w:tabs>
                    <w:tab w:pos="481" w:val="left" w:leader="none"/>
                  </w:tabs>
                  <w:spacing w:before="27"/>
                  <w:ind w:left="20" w:right="0" w:firstLine="0"/>
                  <w:jc w:val="left"/>
                  <w:rPr>
                    <w:b/>
                    <w:sz w:val="20"/>
                  </w:rPr>
                </w:pPr>
                <w:r>
                  <w:rPr>
                    <w:b/>
                    <w:color w:val="6F2770"/>
                    <w:sz w:val="20"/>
                  </w:rPr>
                  <w:t>46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902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900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97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95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92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47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90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88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85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83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49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80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78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8760" type="#_x0000_t202" filled="false" stroked="false">
          <v:textbox inset="0,0,0,0">
            <w:txbxContent>
              <w:p>
                <w:pPr>
                  <w:tabs>
                    <w:tab w:pos="481" w:val="left" w:leader="none"/>
                  </w:tabs>
                  <w:spacing w:before="27"/>
                  <w:ind w:left="20" w:right="0" w:firstLine="0"/>
                  <w:jc w:val="left"/>
                  <w:rPr>
                    <w:b/>
                    <w:sz w:val="20"/>
                  </w:rPr>
                </w:pPr>
                <w:r>
                  <w:rPr>
                    <w:b/>
                    <w:color w:val="6F2770"/>
                    <w:sz w:val="20"/>
                  </w:rPr>
                  <w:t>50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873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71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68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66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640"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51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61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59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8568" type="#_x0000_t202" filled="false" stroked="false">
          <v:textbox inset="0,0,0,0">
            <w:txbxContent>
              <w:p>
                <w:pPr>
                  <w:tabs>
                    <w:tab w:pos="481" w:val="left" w:leader="none"/>
                  </w:tabs>
                  <w:spacing w:before="27"/>
                  <w:ind w:left="20" w:right="0" w:firstLine="0"/>
                  <w:jc w:val="left"/>
                  <w:rPr>
                    <w:b/>
                    <w:sz w:val="20"/>
                  </w:rPr>
                </w:pPr>
                <w:r>
                  <w:rPr>
                    <w:b/>
                    <w:color w:val="6F2770"/>
                    <w:sz w:val="20"/>
                  </w:rPr>
                  <w:t>52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854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52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49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47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44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53</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116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113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7.6pt;height:13.95pt;mso-position-horizontal-relative:page;mso-position-vertical-relative:page;z-index:-711112" type="#_x0000_t202" filled="false" stroked="false">
          <v:textbox inset="0,0,0,0">
            <w:txbxContent>
              <w:p>
                <w:pPr>
                  <w:spacing w:before="27"/>
                  <w:ind w:left="20" w:right="0" w:firstLine="0"/>
                  <w:jc w:val="left"/>
                  <w:rPr>
                    <w:b/>
                    <w:sz w:val="20"/>
                  </w:rPr>
                </w:pPr>
                <w:r>
                  <w:rPr>
                    <w:b/>
                    <w:color w:val="6F2770"/>
                    <w:w w:val="99"/>
                    <w:sz w:val="20"/>
                  </w:rPr>
                  <w:t>8</w:t>
                </w:r>
              </w:p>
            </w:txbxContent>
          </v:textbox>
          <w10:wrap type="none"/>
        </v:shape>
      </w:pict>
    </w:r>
    <w:r>
      <w:rPr/>
      <w:pict>
        <v:shape style="position:absolute;margin-left:60.3577pt;margin-top:560.067505pt;width:222.6pt;height:13.95pt;mso-position-horizontal-relative:page;mso-position-vertical-relative:page;z-index:-711088" type="#_x0000_t202" filled="false" stroked="false">
          <v:textbox inset="0,0,0,0">
            <w:txbxContent>
              <w:p>
                <w:pPr>
                  <w:spacing w:before="27"/>
                  <w:ind w:left="20" w:right="0" w:firstLine="0"/>
                  <w:jc w:val="left"/>
                  <w:rPr>
                    <w:b/>
                    <w:sz w:val="20"/>
                  </w:rPr>
                </w:pP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1106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42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40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8376" type="#_x0000_t202" filled="false" stroked="false">
          <v:textbox inset="0,0,0,0">
            <w:txbxContent>
              <w:p>
                <w:pPr>
                  <w:tabs>
                    <w:tab w:pos="481" w:val="left" w:leader="none"/>
                  </w:tabs>
                  <w:spacing w:before="27"/>
                  <w:ind w:left="20" w:right="0" w:firstLine="0"/>
                  <w:jc w:val="left"/>
                  <w:rPr>
                    <w:b/>
                    <w:sz w:val="20"/>
                  </w:rPr>
                </w:pPr>
                <w:r>
                  <w:rPr>
                    <w:b/>
                    <w:color w:val="6F2770"/>
                    <w:sz w:val="20"/>
                  </w:rPr>
                  <w:t>62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835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32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30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28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25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63</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23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20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8184" type="#_x0000_t202" filled="false" stroked="false">
          <v:textbox inset="0,0,0,0">
            <w:txbxContent>
              <w:p>
                <w:pPr>
                  <w:tabs>
                    <w:tab w:pos="481" w:val="left" w:leader="none"/>
                  </w:tabs>
                  <w:spacing w:before="27"/>
                  <w:ind w:left="20" w:right="0" w:firstLine="0"/>
                  <w:jc w:val="left"/>
                  <w:rPr>
                    <w:b/>
                    <w:sz w:val="20"/>
                  </w:rPr>
                </w:pPr>
                <w:r>
                  <w:rPr>
                    <w:b/>
                    <w:color w:val="6F2770"/>
                    <w:sz w:val="20"/>
                  </w:rPr>
                  <w:t>64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816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13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11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808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8064"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65</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804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801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992" type="#_x0000_t202" filled="false" stroked="false">
          <v:textbox inset="0,0,0,0">
            <w:txbxContent>
              <w:p>
                <w:pPr>
                  <w:tabs>
                    <w:tab w:pos="481" w:val="left" w:leader="none"/>
                  </w:tabs>
                  <w:spacing w:before="27"/>
                  <w:ind w:left="20" w:right="0" w:firstLine="0"/>
                  <w:jc w:val="left"/>
                  <w:rPr>
                    <w:b/>
                    <w:sz w:val="20"/>
                  </w:rPr>
                </w:pPr>
                <w:r>
                  <w:rPr>
                    <w:b/>
                    <w:color w:val="6F2770"/>
                    <w:sz w:val="20"/>
                  </w:rPr>
                  <w:t>68</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96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94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92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789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787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69</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84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82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800" type="#_x0000_t202" filled="false" stroked="false">
          <v:textbox inset="0,0,0,0">
            <w:txbxContent>
              <w:p>
                <w:pPr>
                  <w:tabs>
                    <w:tab w:pos="481" w:val="left" w:leader="none"/>
                  </w:tabs>
                  <w:spacing w:before="27"/>
                  <w:ind w:left="20" w:right="0" w:firstLine="0"/>
                  <w:jc w:val="left"/>
                  <w:rPr>
                    <w:b/>
                    <w:sz w:val="20"/>
                  </w:rPr>
                </w:pPr>
                <w:r>
                  <w:rPr>
                    <w:b/>
                    <w:color w:val="6F2770"/>
                    <w:sz w:val="20"/>
                  </w:rPr>
                  <w:t>70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77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75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72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770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7680"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1104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1101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1099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22.6pt;height:13.95pt;mso-position-horizontal-relative:page;mso-position-vertical-relative:page;z-index:-710968" type="#_x0000_t202" filled="false" stroked="false">
          <v:textbox inset="0,0,0,0">
            <w:txbxContent>
              <w:p>
                <w:pPr>
                  <w:spacing w:before="27"/>
                  <w:ind w:left="20" w:right="0" w:firstLine="0"/>
                  <w:jc w:val="left"/>
                  <w:rPr>
                    <w:b/>
                    <w:sz w:val="20"/>
                  </w:rPr>
                </w:pPr>
                <w:r>
                  <w:rPr>
                    <w:b/>
                    <w:color w:val="6D6E71"/>
                    <w:sz w:val="20"/>
                  </w:rPr>
                  <w:t>Department of Finance Annual Report 2017-18</w:t>
                </w:r>
              </w:p>
            </w:txbxContent>
          </v:textbox>
          <w10:wrap type="none"/>
        </v:shape>
      </w:pict>
    </w:r>
    <w:r>
      <w:rPr/>
      <w:pict>
        <v:shape style="position:absolute;margin-left:797.062012pt;margin-top:560.067505pt;width:7.6pt;height:13.95pt;mso-position-horizontal-relative:page;mso-position-vertical-relative:page;z-index:-710944" type="#_x0000_t202" filled="false" stroked="false">
          <v:textbox inset="0,0,0,0">
            <w:txbxContent>
              <w:p>
                <w:pPr>
                  <w:spacing w:before="27"/>
                  <w:ind w:left="20" w:right="0" w:firstLine="0"/>
                  <w:jc w:val="left"/>
                  <w:rPr>
                    <w:b/>
                    <w:sz w:val="20"/>
                  </w:rPr>
                </w:pPr>
                <w:r>
                  <w:rPr>
                    <w:b/>
                    <w:color w:val="6F2770"/>
                    <w:w w:val="99"/>
                    <w:sz w:val="20"/>
                  </w:rPr>
                  <w:t>9</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65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63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608" type="#_x0000_t202" filled="false" stroked="false">
          <v:textbox inset="0,0,0,0">
            <w:txbxContent>
              <w:p>
                <w:pPr>
                  <w:tabs>
                    <w:tab w:pos="481" w:val="left" w:leader="none"/>
                  </w:tabs>
                  <w:spacing w:before="27"/>
                  <w:ind w:left="20" w:right="0" w:firstLine="0"/>
                  <w:jc w:val="left"/>
                  <w:rPr>
                    <w:b/>
                    <w:sz w:val="20"/>
                  </w:rPr>
                </w:pPr>
                <w:r>
                  <w:rPr>
                    <w:b/>
                    <w:color w:val="6F2770"/>
                    <w:sz w:val="20"/>
                  </w:rPr>
                  <w:t>72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58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56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53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751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748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73</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46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44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416" type="#_x0000_t202" filled="false" stroked="false">
          <v:textbox inset="0,0,0,0">
            <w:txbxContent>
              <w:p>
                <w:pPr>
                  <w:tabs>
                    <w:tab w:pos="481" w:val="left" w:leader="none"/>
                  </w:tabs>
                  <w:spacing w:before="27"/>
                  <w:ind w:left="20" w:right="0" w:firstLine="0"/>
                  <w:jc w:val="left"/>
                  <w:rPr>
                    <w:b/>
                    <w:sz w:val="20"/>
                  </w:rPr>
                </w:pPr>
                <w:r>
                  <w:rPr>
                    <w:b/>
                    <w:color w:val="6F2770"/>
                    <w:sz w:val="20"/>
                  </w:rPr>
                  <w:t>74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39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36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ffffff" stroked="false">
            <v:path arrowok="t"/>
            <v:fill type="solid"/>
          </v:shape>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34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ffffff" stroked="false">
            <v:path arrowok="t"/>
            <v:fill type="solid"/>
          </v:shape>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732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729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75</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27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24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224" type="#_x0000_t202" filled="false" stroked="false">
          <v:textbox inset="0,0,0,0">
            <w:txbxContent>
              <w:p>
                <w:pPr>
                  <w:tabs>
                    <w:tab w:pos="481" w:val="left" w:leader="none"/>
                  </w:tabs>
                  <w:spacing w:before="27"/>
                  <w:ind w:left="20" w:right="0" w:firstLine="0"/>
                  <w:jc w:val="left"/>
                  <w:rPr>
                    <w:b/>
                    <w:sz w:val="20"/>
                  </w:rPr>
                </w:pPr>
                <w:r>
                  <w:rPr>
                    <w:b/>
                    <w:color w:val="6F2770"/>
                    <w:sz w:val="20"/>
                  </w:rPr>
                  <w:t>76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20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17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15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712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7104"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77</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708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705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7032" type="#_x0000_t202" filled="false" stroked="false">
          <v:textbox inset="0,0,0,0">
            <w:txbxContent>
              <w:p>
                <w:pPr>
                  <w:tabs>
                    <w:tab w:pos="481" w:val="left" w:leader="none"/>
                  </w:tabs>
                  <w:spacing w:before="27"/>
                  <w:ind w:left="20" w:right="0" w:firstLine="0"/>
                  <w:jc w:val="left"/>
                  <w:rPr>
                    <w:b/>
                    <w:sz w:val="20"/>
                  </w:rPr>
                </w:pPr>
                <w:r>
                  <w:rPr>
                    <w:b/>
                    <w:color w:val="6F2770"/>
                    <w:sz w:val="20"/>
                  </w:rPr>
                  <w:t>78</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700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98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96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693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691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79</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88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86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6840" type="#_x0000_t202" filled="false" stroked="false">
          <v:textbox inset="0,0,0,0">
            <w:txbxContent>
              <w:p>
                <w:pPr>
                  <w:tabs>
                    <w:tab w:pos="481" w:val="left" w:leader="none"/>
                  </w:tabs>
                  <w:spacing w:before="27"/>
                  <w:ind w:left="20" w:right="0" w:firstLine="0"/>
                  <w:jc w:val="left"/>
                  <w:rPr>
                    <w:b/>
                    <w:sz w:val="20"/>
                  </w:rPr>
                </w:pPr>
                <w:r>
                  <w:rPr>
                    <w:b/>
                    <w:color w:val="6F2770"/>
                    <w:sz w:val="20"/>
                  </w:rPr>
                  <w:t>80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681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79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76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674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6720"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81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69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67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6648" type="#_x0000_t202" filled="false" stroked="false">
          <v:textbox inset="0,0,0,0">
            <w:txbxContent>
              <w:p>
                <w:pPr>
                  <w:tabs>
                    <w:tab w:pos="481" w:val="left" w:leader="none"/>
                  </w:tabs>
                  <w:spacing w:before="27"/>
                  <w:ind w:left="20" w:right="0" w:firstLine="0"/>
                  <w:jc w:val="left"/>
                  <w:rPr>
                    <w:b/>
                    <w:sz w:val="20"/>
                  </w:rPr>
                </w:pPr>
                <w:r>
                  <w:rPr>
                    <w:b/>
                    <w:color w:val="6F2770"/>
                    <w:sz w:val="20"/>
                  </w:rPr>
                  <w:t>82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662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60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57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655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652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83</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50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48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6456" type="#_x0000_t202" filled="false" stroked="false">
          <v:textbox inset="0,0,0,0">
            <w:txbxContent>
              <w:p>
                <w:pPr>
                  <w:tabs>
                    <w:tab w:pos="481" w:val="left" w:leader="none"/>
                  </w:tabs>
                  <w:spacing w:before="27"/>
                  <w:ind w:left="20" w:right="0" w:firstLine="0"/>
                  <w:jc w:val="left"/>
                  <w:rPr>
                    <w:b/>
                    <w:sz w:val="20"/>
                  </w:rPr>
                </w:pPr>
                <w:r>
                  <w:rPr>
                    <w:b/>
                    <w:color w:val="6F2770"/>
                    <w:sz w:val="20"/>
                  </w:rPr>
                  <w:t>84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643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40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38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636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633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85</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31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28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6264" type="#_x0000_t202" filled="false" stroked="false">
          <v:textbox inset="0,0,0,0">
            <w:txbxContent>
              <w:p>
                <w:pPr>
                  <w:tabs>
                    <w:tab w:pos="481" w:val="left" w:leader="none"/>
                  </w:tabs>
                  <w:spacing w:before="27"/>
                  <w:ind w:left="20" w:right="0" w:firstLine="0"/>
                  <w:jc w:val="left"/>
                  <w:rPr>
                    <w:b/>
                    <w:sz w:val="20"/>
                  </w:rPr>
                </w:pPr>
                <w:r>
                  <w:rPr>
                    <w:b/>
                    <w:color w:val="6F2770"/>
                    <w:sz w:val="20"/>
                  </w:rPr>
                  <w:t>86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624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21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19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616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6144"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87</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12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09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6072" type="#_x0000_t202" filled="false" stroked="false">
          <v:textbox inset="0,0,0,0">
            <w:txbxContent>
              <w:p>
                <w:pPr>
                  <w:tabs>
                    <w:tab w:pos="481" w:val="left" w:leader="none"/>
                  </w:tabs>
                  <w:spacing w:before="27"/>
                  <w:ind w:left="20" w:right="0" w:firstLine="0"/>
                  <w:jc w:val="left"/>
                  <w:rPr>
                    <w:b/>
                    <w:sz w:val="20"/>
                  </w:rPr>
                </w:pPr>
                <w:r>
                  <w:rPr>
                    <w:b/>
                    <w:color w:val="6F2770"/>
                    <w:sz w:val="20"/>
                  </w:rPr>
                  <w:t>88</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604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602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600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597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595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89</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92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90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5880" type="#_x0000_t202" filled="false" stroked="false">
          <v:textbox inset="0,0,0,0">
            <w:txbxContent>
              <w:p>
                <w:pPr>
                  <w:tabs>
                    <w:tab w:pos="481" w:val="left" w:leader="none"/>
                  </w:tabs>
                  <w:spacing w:before="27"/>
                  <w:ind w:left="20" w:right="0" w:firstLine="0"/>
                  <w:jc w:val="left"/>
                  <w:rPr>
                    <w:b/>
                    <w:sz w:val="20"/>
                  </w:rPr>
                </w:pPr>
                <w:r>
                  <w:rPr>
                    <w:b/>
                    <w:color w:val="6F2770"/>
                    <w:sz w:val="20"/>
                  </w:rPr>
                  <w:t>90</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585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83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80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578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5760"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91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73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71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5688" type="#_x0000_t202" filled="false" stroked="false">
          <v:textbox inset="0,0,0,0">
            <w:txbxContent>
              <w:p>
                <w:pPr>
                  <w:tabs>
                    <w:tab w:pos="481" w:val="left" w:leader="none"/>
                  </w:tabs>
                  <w:spacing w:before="27"/>
                  <w:ind w:left="20" w:right="0" w:firstLine="0"/>
                  <w:jc w:val="left"/>
                  <w:rPr>
                    <w:b/>
                    <w:sz w:val="20"/>
                  </w:rPr>
                </w:pPr>
                <w:r>
                  <w:rPr>
                    <w:b/>
                    <w:color w:val="6F2770"/>
                    <w:sz w:val="20"/>
                  </w:rPr>
                  <w:t>92</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5664"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640"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616"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559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5568"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93</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544"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520"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5496" type="#_x0000_t202" filled="false" stroked="false">
          <v:textbox inset="0,0,0,0">
            <w:txbxContent>
              <w:p>
                <w:pPr>
                  <w:tabs>
                    <w:tab w:pos="481" w:val="left" w:leader="none"/>
                  </w:tabs>
                  <w:spacing w:before="27"/>
                  <w:ind w:left="20" w:right="0" w:firstLine="0"/>
                  <w:jc w:val="left"/>
                  <w:rPr>
                    <w:b/>
                    <w:sz w:val="20"/>
                  </w:rPr>
                </w:pPr>
                <w:r>
                  <w:rPr>
                    <w:b/>
                    <w:color w:val="6F2770"/>
                    <w:sz w:val="20"/>
                  </w:rPr>
                  <w:t>94</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547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44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42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group style="position:absolute;margin-left:265.539398pt;margin-top:502.449097pt;width:142.25pt;height:.550pt;mso-position-horizontal-relative:page;mso-position-vertical-relative:page;z-index:-705400" coordorigin="5311,10049" coordsize="2845,11">
          <v:line style="position:absolute" from="5311,10054" to="6728,10054" stroked="true" strokeweight=".501pt" strokecolor="#000000">
            <v:stroke dashstyle="solid"/>
          </v:line>
          <v:line style="position:absolute" from="6728,10054" to="8155,10054" stroked="true" strokeweight=".501pt" strokecolor="#000000">
            <v:stroke dashstyle="solid"/>
          </v:line>
          <w10:wrap type="none"/>
        </v:group>
      </w:pict>
    </w:r>
    <w:r>
      <w:rPr/>
      <w:pict>
        <v:shape style="position:absolute;margin-left:37.2677pt;margin-top:560.067505pt;width:508.05pt;height:13.95pt;mso-position-horizontal-relative:page;mso-position-vertical-relative:page;z-index:-705376"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5352"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95</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32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30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group style="position:absolute;margin-left:269.082611pt;margin-top:497.672394pt;width:142.25pt;height:.550pt;mso-position-horizontal-relative:page;mso-position-vertical-relative:page;z-index:-705280" coordorigin="5382,9953" coordsize="2845,11">
          <v:line style="position:absolute" from="5382,9958" to="6799,9958" stroked="true" strokeweight=".501pt" strokecolor="#000000">
            <v:stroke dashstyle="solid"/>
          </v:line>
          <v:line style="position:absolute" from="6799,9958" to="8226,9958" stroked="true" strokeweight=".501pt" strokecolor="#000000">
            <v:stroke dashstyle="solid"/>
          </v:line>
          <w10:wrap type="none"/>
        </v:group>
      </w:pict>
    </w:r>
    <w:r>
      <w:rPr/>
      <w:pict>
        <v:shape style="position:absolute;margin-left:37.2677pt;margin-top:560.067505pt;width:245.7pt;height:13.95pt;mso-position-horizontal-relative:page;mso-position-vertical-relative:page;z-index:-705256" type="#_x0000_t202" filled="false" stroked="false">
          <v:textbox inset="0,0,0,0">
            <w:txbxContent>
              <w:p>
                <w:pPr>
                  <w:tabs>
                    <w:tab w:pos="481" w:val="left" w:leader="none"/>
                  </w:tabs>
                  <w:spacing w:before="27"/>
                  <w:ind w:left="20" w:right="0" w:firstLine="0"/>
                  <w:jc w:val="left"/>
                  <w:rPr>
                    <w:b/>
                    <w:sz w:val="20"/>
                  </w:rPr>
                </w:pPr>
                <w:r>
                  <w:rPr>
                    <w:b/>
                    <w:color w:val="6F2770"/>
                    <w:sz w:val="20"/>
                  </w:rPr>
                  <w:t>96</w:t>
                  <w:tab/>
                </w:r>
                <w:r>
                  <w:rPr>
                    <w:b/>
                    <w:color w:val="6D6E71"/>
                    <w:sz w:val="20"/>
                  </w:rPr>
                  <w:t>Department of Finance Annual Report</w:t>
                </w:r>
                <w:r>
                  <w:rPr>
                    <w:b/>
                    <w:color w:val="6D6E71"/>
                    <w:spacing w:val="19"/>
                    <w:sz w:val="20"/>
                  </w:rPr>
                  <w:t> </w:t>
                </w:r>
                <w:r>
                  <w:rPr>
                    <w:b/>
                    <w:color w:val="6D6E71"/>
                    <w:sz w:val="20"/>
                  </w:rPr>
                  <w:t>2017-18</w:t>
                </w:r>
              </w:p>
            </w:txbxContent>
          </v:textbox>
          <w10:wrap type="none"/>
        </v:shape>
      </w:pict>
    </w:r>
    <w:r>
      <w:rPr/>
      <w:pict>
        <v:shape style="position:absolute;margin-left:296.584015pt;margin-top:560.067505pt;width:508.05pt;height:13.95pt;mso-position-horizontal-relative:page;mso-position-vertical-relative:page;z-index:-705232"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208"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184"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516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1975pt;margin-top:560.067505pt;width:245.7pt;height:13.95pt;mso-position-horizontal-relative:page;mso-position-vertical-relative:page;z-index:-705136" type="#_x0000_t202" filled="false" stroked="false">
          <v:textbox inset="0,0,0,0">
            <w:txbxContent>
              <w:p>
                <w:pPr>
                  <w:tabs>
                    <w:tab w:pos="4670" w:val="left" w:leader="none"/>
                  </w:tabs>
                  <w:spacing w:before="27"/>
                  <w:ind w:left="20" w:right="0" w:firstLine="0"/>
                  <w:jc w:val="left"/>
                  <w:rPr>
                    <w:b/>
                    <w:sz w:val="20"/>
                  </w:rPr>
                </w:pPr>
                <w:r>
                  <w:rPr>
                    <w:b/>
                    <w:color w:val="6D6E71"/>
                    <w:sz w:val="20"/>
                  </w:rPr>
                  <w:t>Department of Finance Annual</w:t>
                </w:r>
                <w:r>
                  <w:rPr>
                    <w:b/>
                    <w:color w:val="6D6E71"/>
                    <w:spacing w:val="12"/>
                    <w:sz w:val="20"/>
                  </w:rPr>
                  <w:t> </w:t>
                </w:r>
                <w:r>
                  <w:rPr>
                    <w:b/>
                    <w:color w:val="6D6E71"/>
                    <w:sz w:val="20"/>
                  </w:rPr>
                  <w:t>Report</w:t>
                </w:r>
                <w:r>
                  <w:rPr>
                    <w:b/>
                    <w:color w:val="6D6E71"/>
                    <w:spacing w:val="3"/>
                    <w:sz w:val="20"/>
                  </w:rPr>
                  <w:t> </w:t>
                </w:r>
                <w:r>
                  <w:rPr>
                    <w:b/>
                    <w:color w:val="6D6E71"/>
                    <w:sz w:val="20"/>
                  </w:rPr>
                  <w:t>2017-18</w:t>
                  <w:tab/>
                </w:r>
                <w:r>
                  <w:rPr>
                    <w:b/>
                    <w:color w:val="6F2770"/>
                    <w:sz w:val="20"/>
                  </w:rPr>
                  <w:t>97</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112"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5088"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245.7pt;height:13.95pt;mso-position-horizontal-relative:page;mso-position-vertical-relative:page;z-index:-705064" type="#_x0000_t202" filled="false" stroked="false">
          <v:textbox inset="0,0,0,0">
            <w:txbxContent>
              <w:p>
                <w:pPr>
                  <w:spacing w:before="27"/>
                  <w:ind w:left="20" w:right="0" w:firstLine="0"/>
                  <w:jc w:val="left"/>
                  <w:rPr>
                    <w:b/>
                    <w:sz w:val="20"/>
                  </w:rPr>
                </w:pPr>
                <w:r>
                  <w:rPr>
                    <w:b/>
                    <w:color w:val="6F2770"/>
                    <w:sz w:val="20"/>
                  </w:rPr>
                  <w:t>100 </w:t>
                </w:r>
                <w:r>
                  <w:rPr>
                    <w:b/>
                    <w:color w:val="6D6E71"/>
                    <w:sz w:val="20"/>
                  </w:rPr>
                  <w:t>Department of Finance Annual Report 2017-18</w:t>
                </w:r>
              </w:p>
            </w:txbxContent>
          </v:textbox>
          <w10:wrap type="none"/>
        </v:shape>
      </w:pict>
    </w:r>
    <w:r>
      <w:rPr/>
      <w:pict>
        <v:shape style="position:absolute;margin-left:296.584015pt;margin-top:560.067505pt;width:508.05pt;height:13.95pt;mso-position-horizontal-relative:page;mso-position-vertical-relative:page;z-index:-705040"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46.582581pt;width:24.1pt;height:41.55pt;mso-position-horizontal-relative:page;mso-position-vertical-relative:page;z-index:-705016" coordorigin="0,10932" coordsize="482,831">
          <v:shape style="position:absolute;left:0;top:10931;width:482;height:831" coordorigin="0,10932" coordsize="482,831" path="m66,10932l49,10932,33,10933,16,10935,0,10937,0,11756,16,11759,33,11760,49,11762,66,11762,140,11755,211,11736,275,11705,333,11664,383,11614,424,11556,455,11492,474,11421,481,11347,474,11272,455,11202,424,11137,383,11079,333,11029,275,10988,211,10958,140,10938,66,10932xe" filled="true" fillcolor="#aebd37" stroked="false">
            <v:path arrowok="t"/>
            <v:fill opacity="13107f" type="solid"/>
          </v:shape>
          <v:shape style="position:absolute;left:174;top:11260;width:93;height:171" coordorigin="174,11261" coordsize="93,171" path="m256,11261l248,11261,182,11327,176,11336,174,11346,174,11348,176,11358,182,11367,245,11430,249,11432,256,11432,259,11430,267,11423,267,11414,200,11348,200,11346,267,11279,267,11271,256,11261xe" filled="true" fillcolor="#000000" stroked="false">
            <v:path arrowok="t"/>
            <v:fill type="solid"/>
          </v:shape>
          <w10:wrap type="none"/>
        </v:group>
      </w:pict>
    </w:r>
    <w:r>
      <w:rPr/>
      <w:pict>
        <v:group style="position:absolute;margin-left:817.839111pt;margin-top:546.582581pt;width:24.1pt;height:41.55pt;mso-position-horizontal-relative:page;mso-position-vertical-relative:page;z-index:-704992" coordorigin="16357,10932" coordsize="482,831">
          <v:shape style="position:absolute;left:16356;top:10931;width:482;height:831" coordorigin="16357,10932" coordsize="482,831" path="m16772,10932l16697,10938,16627,10958,16562,10988,16504,11029,16454,11079,16413,11137,16383,11202,16363,11272,16357,11347,16363,11421,16383,11492,16413,11556,16454,11614,16504,11664,16562,11705,16627,11736,16697,11755,16772,11762,16789,11762,16805,11760,16822,11759,16838,11756,16838,10937,16822,10935,16805,10933,16789,10932,16772,10932xe" filled="true" fillcolor="#aebd37" stroked="false">
            <v:path arrowok="t"/>
            <v:fill opacity="13107f" type="solid"/>
          </v:shape>
          <v:shape style="position:absolute;left:16571;top:11260;width:93;height:171" coordorigin="16571,11261" coordsize="93,171" path="m16590,11261l16582,11261,16571,11271,16571,11279,16638,11346,16638,11348,16571,11414,16571,11423,16579,11430,16582,11432,16589,11432,16592,11430,16655,11367,16662,11358,16664,11348,16664,11346,16662,11336,16655,11327,16590,11261xe" filled="true" fillcolor="#000000" stroked="false">
            <v:path arrowok="t"/>
            <v:fill type="solid"/>
          </v:shape>
          <w10:wrap type="none"/>
        </v:group>
      </w:pict>
    </w:r>
    <w:r>
      <w:rPr/>
      <w:pict>
        <v:shape style="position:absolute;margin-left:37.2677pt;margin-top:560.067505pt;width:508.05pt;height:13.95pt;mso-position-horizontal-relative:page;mso-position-vertical-relative:page;z-index:-704968" type="#_x0000_t202" filled="false" stroked="false">
          <v:textbox inset="0,0,0,0">
            <w:txbxContent>
              <w:p>
                <w:pPr>
                  <w:tabs>
                    <w:tab w:pos="10140" w:val="left" w:leader="none"/>
                  </w:tabs>
                  <w:spacing w:before="27"/>
                  <w:ind w:left="20" w:right="0" w:firstLine="0"/>
                  <w:jc w:val="left"/>
                  <w:rPr>
                    <w:b/>
                    <w:sz w:val="20"/>
                  </w:rPr>
                </w:pPr>
                <w:r>
                  <w:rPr>
                    <w:b/>
                    <w:color w:val="6D6E71"/>
                    <w:w w:val="100"/>
                    <w:sz w:val="20"/>
                    <w:u w:val="single" w:color="939598"/>
                  </w:rPr>
                  <w:t> </w:t>
                </w:r>
                <w:r>
                  <w:rPr>
                    <w:b/>
                    <w:color w:val="6D6E71"/>
                    <w:sz w:val="20"/>
                    <w:u w:val="single" w:color="939598"/>
                  </w:rPr>
                  <w:tab/>
                </w:r>
              </w:p>
            </w:txbxContent>
          </v:textbox>
          <w10:wrap type="none"/>
        </v:shape>
      </w:pict>
    </w:r>
    <w:r>
      <w:rPr/>
      <w:pict>
        <v:shape style="position:absolute;margin-left:558.962097pt;margin-top:560.067505pt;width:245.7pt;height:13.95pt;mso-position-horizontal-relative:page;mso-position-vertical-relative:page;z-index:-704944" type="#_x0000_t202" filled="false" stroked="false">
          <v:textbox inset="0,0,0,0">
            <w:txbxContent>
              <w:p>
                <w:pPr>
                  <w:spacing w:before="27"/>
                  <w:ind w:left="20" w:right="0" w:firstLine="0"/>
                  <w:jc w:val="left"/>
                  <w:rPr>
                    <w:b/>
                    <w:sz w:val="20"/>
                  </w:rPr>
                </w:pPr>
                <w:r>
                  <w:rPr>
                    <w:b/>
                    <w:color w:val="6D6E71"/>
                    <w:sz w:val="20"/>
                  </w:rPr>
                  <w:t>Department of Finance Annual Report 2017-18 </w:t>
                </w:r>
                <w:r>
                  <w:rPr>
                    <w:b/>
                    <w:color w:val="6F2770"/>
                    <w:sz w:val="20"/>
                  </w:rPr>
                  <w:t>101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765" w:hanging="98"/>
      </w:pPr>
      <w:rPr>
        <w:rFonts w:hint="default" w:ascii="Arial" w:hAnsi="Arial" w:eastAsia="Arial" w:cs="Arial"/>
        <w:i/>
        <w:w w:val="111"/>
        <w:sz w:val="15"/>
        <w:szCs w:val="15"/>
        <w:lang w:val="en-us" w:eastAsia="en-us" w:bidi="en-us"/>
      </w:rPr>
    </w:lvl>
    <w:lvl w:ilvl="1">
      <w:start w:val="0"/>
      <w:numFmt w:val="bullet"/>
      <w:lvlText w:val="•"/>
      <w:lvlJc w:val="left"/>
      <w:pPr>
        <w:ind w:left="1229" w:hanging="98"/>
      </w:pPr>
      <w:rPr>
        <w:rFonts w:hint="default"/>
        <w:lang w:val="en-us" w:eastAsia="en-us" w:bidi="en-us"/>
      </w:rPr>
    </w:lvl>
    <w:lvl w:ilvl="2">
      <w:start w:val="0"/>
      <w:numFmt w:val="bullet"/>
      <w:lvlText w:val="•"/>
      <w:lvlJc w:val="left"/>
      <w:pPr>
        <w:ind w:left="1699" w:hanging="98"/>
      </w:pPr>
      <w:rPr>
        <w:rFonts w:hint="default"/>
        <w:lang w:val="en-us" w:eastAsia="en-us" w:bidi="en-us"/>
      </w:rPr>
    </w:lvl>
    <w:lvl w:ilvl="3">
      <w:start w:val="0"/>
      <w:numFmt w:val="bullet"/>
      <w:lvlText w:val="•"/>
      <w:lvlJc w:val="left"/>
      <w:pPr>
        <w:ind w:left="2168" w:hanging="98"/>
      </w:pPr>
      <w:rPr>
        <w:rFonts w:hint="default"/>
        <w:lang w:val="en-us" w:eastAsia="en-us" w:bidi="en-us"/>
      </w:rPr>
    </w:lvl>
    <w:lvl w:ilvl="4">
      <w:start w:val="0"/>
      <w:numFmt w:val="bullet"/>
      <w:lvlText w:val="•"/>
      <w:lvlJc w:val="left"/>
      <w:pPr>
        <w:ind w:left="2638" w:hanging="98"/>
      </w:pPr>
      <w:rPr>
        <w:rFonts w:hint="default"/>
        <w:lang w:val="en-us" w:eastAsia="en-us" w:bidi="en-us"/>
      </w:rPr>
    </w:lvl>
    <w:lvl w:ilvl="5">
      <w:start w:val="0"/>
      <w:numFmt w:val="bullet"/>
      <w:lvlText w:val="•"/>
      <w:lvlJc w:val="left"/>
      <w:pPr>
        <w:ind w:left="3108" w:hanging="98"/>
      </w:pPr>
      <w:rPr>
        <w:rFonts w:hint="default"/>
        <w:lang w:val="en-us" w:eastAsia="en-us" w:bidi="en-us"/>
      </w:rPr>
    </w:lvl>
    <w:lvl w:ilvl="6">
      <w:start w:val="0"/>
      <w:numFmt w:val="bullet"/>
      <w:lvlText w:val="•"/>
      <w:lvlJc w:val="left"/>
      <w:pPr>
        <w:ind w:left="3577" w:hanging="98"/>
      </w:pPr>
      <w:rPr>
        <w:rFonts w:hint="default"/>
        <w:lang w:val="en-us" w:eastAsia="en-us" w:bidi="en-us"/>
      </w:rPr>
    </w:lvl>
    <w:lvl w:ilvl="7">
      <w:start w:val="0"/>
      <w:numFmt w:val="bullet"/>
      <w:lvlText w:val="•"/>
      <w:lvlJc w:val="left"/>
      <w:pPr>
        <w:ind w:left="4047" w:hanging="98"/>
      </w:pPr>
      <w:rPr>
        <w:rFonts w:hint="default"/>
        <w:lang w:val="en-us" w:eastAsia="en-us" w:bidi="en-us"/>
      </w:rPr>
    </w:lvl>
    <w:lvl w:ilvl="8">
      <w:start w:val="0"/>
      <w:numFmt w:val="bullet"/>
      <w:lvlText w:val="•"/>
      <w:lvlJc w:val="left"/>
      <w:pPr>
        <w:ind w:left="4517" w:hanging="98"/>
      </w:pPr>
      <w:rPr>
        <w:rFonts w:hint="default"/>
        <w:lang w:val="en-us" w:eastAsia="en-us" w:bidi="en-us"/>
      </w:rPr>
    </w:lvl>
  </w:abstractNum>
  <w:abstractNum w:abstractNumId="32">
    <w:multiLevelType w:val="hybridMultilevel"/>
    <w:lvl w:ilvl="0">
      <w:start w:val="1"/>
      <w:numFmt w:val="decimal"/>
      <w:lvlText w:val="%1."/>
      <w:lvlJc w:val="left"/>
      <w:pPr>
        <w:ind w:left="692" w:hanging="245"/>
        <w:jc w:val="left"/>
      </w:pPr>
      <w:rPr>
        <w:rFonts w:hint="default" w:ascii="Arial" w:hAnsi="Arial" w:eastAsia="Arial" w:cs="Arial"/>
        <w:spacing w:val="-25"/>
        <w:w w:val="92"/>
        <w:sz w:val="22"/>
        <w:szCs w:val="22"/>
        <w:lang w:val="en-us" w:eastAsia="en-us" w:bidi="en-us"/>
      </w:rPr>
    </w:lvl>
    <w:lvl w:ilvl="1">
      <w:start w:val="1"/>
      <w:numFmt w:val="lowerLetter"/>
      <w:lvlText w:val="(%2)"/>
      <w:lvlJc w:val="left"/>
      <w:pPr>
        <w:ind w:left="1036" w:hanging="192"/>
        <w:jc w:val="left"/>
      </w:pPr>
      <w:rPr>
        <w:rFonts w:hint="default" w:ascii="Arial" w:hAnsi="Arial" w:eastAsia="Arial" w:cs="Arial"/>
        <w:w w:val="81"/>
        <w:sz w:val="15"/>
        <w:szCs w:val="15"/>
        <w:lang w:val="en-us" w:eastAsia="en-us" w:bidi="en-us"/>
      </w:rPr>
    </w:lvl>
    <w:lvl w:ilvl="2">
      <w:start w:val="0"/>
      <w:numFmt w:val="bullet"/>
      <w:lvlText w:val="•"/>
      <w:lvlJc w:val="left"/>
      <w:pPr>
        <w:ind w:left="1886" w:hanging="192"/>
      </w:pPr>
      <w:rPr>
        <w:rFonts w:hint="default"/>
        <w:lang w:val="en-us" w:eastAsia="en-us" w:bidi="en-us"/>
      </w:rPr>
    </w:lvl>
    <w:lvl w:ilvl="3">
      <w:start w:val="0"/>
      <w:numFmt w:val="bullet"/>
      <w:lvlText w:val="•"/>
      <w:lvlJc w:val="left"/>
      <w:pPr>
        <w:ind w:left="2732" w:hanging="192"/>
      </w:pPr>
      <w:rPr>
        <w:rFonts w:hint="default"/>
        <w:lang w:val="en-us" w:eastAsia="en-us" w:bidi="en-us"/>
      </w:rPr>
    </w:lvl>
    <w:lvl w:ilvl="4">
      <w:start w:val="0"/>
      <w:numFmt w:val="bullet"/>
      <w:lvlText w:val="•"/>
      <w:lvlJc w:val="left"/>
      <w:pPr>
        <w:ind w:left="3578" w:hanging="192"/>
      </w:pPr>
      <w:rPr>
        <w:rFonts w:hint="default"/>
        <w:lang w:val="en-us" w:eastAsia="en-us" w:bidi="en-us"/>
      </w:rPr>
    </w:lvl>
    <w:lvl w:ilvl="5">
      <w:start w:val="0"/>
      <w:numFmt w:val="bullet"/>
      <w:lvlText w:val="•"/>
      <w:lvlJc w:val="left"/>
      <w:pPr>
        <w:ind w:left="4424" w:hanging="192"/>
      </w:pPr>
      <w:rPr>
        <w:rFonts w:hint="default"/>
        <w:lang w:val="en-us" w:eastAsia="en-us" w:bidi="en-us"/>
      </w:rPr>
    </w:lvl>
    <w:lvl w:ilvl="6">
      <w:start w:val="0"/>
      <w:numFmt w:val="bullet"/>
      <w:lvlText w:val="•"/>
      <w:lvlJc w:val="left"/>
      <w:pPr>
        <w:ind w:left="5270" w:hanging="192"/>
      </w:pPr>
      <w:rPr>
        <w:rFonts w:hint="default"/>
        <w:lang w:val="en-us" w:eastAsia="en-us" w:bidi="en-us"/>
      </w:rPr>
    </w:lvl>
    <w:lvl w:ilvl="7">
      <w:start w:val="0"/>
      <w:numFmt w:val="bullet"/>
      <w:lvlText w:val="•"/>
      <w:lvlJc w:val="left"/>
      <w:pPr>
        <w:ind w:left="6116" w:hanging="192"/>
      </w:pPr>
      <w:rPr>
        <w:rFonts w:hint="default"/>
        <w:lang w:val="en-us" w:eastAsia="en-us" w:bidi="en-us"/>
      </w:rPr>
    </w:lvl>
    <w:lvl w:ilvl="8">
      <w:start w:val="0"/>
      <w:numFmt w:val="bullet"/>
      <w:lvlText w:val="•"/>
      <w:lvlJc w:val="left"/>
      <w:pPr>
        <w:ind w:left="6962" w:hanging="192"/>
      </w:pPr>
      <w:rPr>
        <w:rFonts w:hint="default"/>
        <w:lang w:val="en-us" w:eastAsia="en-us" w:bidi="en-us"/>
      </w:rPr>
    </w:lvl>
  </w:abstractNum>
  <w:abstractNum w:abstractNumId="31">
    <w:multiLevelType w:val="hybridMultilevel"/>
    <w:lvl w:ilvl="0">
      <w:start w:val="1"/>
      <w:numFmt w:val="lowerLetter"/>
      <w:lvlText w:val="(%1)"/>
      <w:lvlJc w:val="left"/>
      <w:pPr>
        <w:ind w:left="973" w:hanging="192"/>
        <w:jc w:val="right"/>
      </w:pPr>
      <w:rPr>
        <w:rFonts w:hint="default" w:ascii="Arial" w:hAnsi="Arial" w:eastAsia="Arial" w:cs="Arial"/>
        <w:w w:val="81"/>
        <w:sz w:val="15"/>
        <w:szCs w:val="15"/>
        <w:lang w:val="en-us" w:eastAsia="en-us" w:bidi="en-us"/>
      </w:rPr>
    </w:lvl>
    <w:lvl w:ilvl="1">
      <w:start w:val="1"/>
      <w:numFmt w:val="decimal"/>
      <w:lvlText w:val="%2."/>
      <w:lvlJc w:val="left"/>
      <w:pPr>
        <w:ind w:left="1071" w:hanging="281"/>
        <w:jc w:val="left"/>
      </w:pPr>
      <w:rPr>
        <w:rFonts w:hint="default" w:ascii="Arial" w:hAnsi="Arial" w:eastAsia="Arial" w:cs="Arial"/>
        <w:spacing w:val="-26"/>
        <w:w w:val="72"/>
        <w:sz w:val="22"/>
        <w:szCs w:val="22"/>
        <w:lang w:val="en-us" w:eastAsia="en-us" w:bidi="en-us"/>
      </w:rPr>
    </w:lvl>
    <w:lvl w:ilvl="2">
      <w:start w:val="0"/>
      <w:numFmt w:val="bullet"/>
      <w:lvlText w:val="•"/>
      <w:lvlJc w:val="left"/>
      <w:pPr>
        <w:ind w:left="1577" w:hanging="281"/>
      </w:pPr>
      <w:rPr>
        <w:rFonts w:hint="default"/>
        <w:lang w:val="en-us" w:eastAsia="en-us" w:bidi="en-us"/>
      </w:rPr>
    </w:lvl>
    <w:lvl w:ilvl="3">
      <w:start w:val="0"/>
      <w:numFmt w:val="bullet"/>
      <w:lvlText w:val="•"/>
      <w:lvlJc w:val="left"/>
      <w:pPr>
        <w:ind w:left="2075" w:hanging="281"/>
      </w:pPr>
      <w:rPr>
        <w:rFonts w:hint="default"/>
        <w:lang w:val="en-us" w:eastAsia="en-us" w:bidi="en-us"/>
      </w:rPr>
    </w:lvl>
    <w:lvl w:ilvl="4">
      <w:start w:val="0"/>
      <w:numFmt w:val="bullet"/>
      <w:lvlText w:val="•"/>
      <w:lvlJc w:val="left"/>
      <w:pPr>
        <w:ind w:left="2573" w:hanging="281"/>
      </w:pPr>
      <w:rPr>
        <w:rFonts w:hint="default"/>
        <w:lang w:val="en-us" w:eastAsia="en-us" w:bidi="en-us"/>
      </w:rPr>
    </w:lvl>
    <w:lvl w:ilvl="5">
      <w:start w:val="0"/>
      <w:numFmt w:val="bullet"/>
      <w:lvlText w:val="•"/>
      <w:lvlJc w:val="left"/>
      <w:pPr>
        <w:ind w:left="3071" w:hanging="281"/>
      </w:pPr>
      <w:rPr>
        <w:rFonts w:hint="default"/>
        <w:lang w:val="en-us" w:eastAsia="en-us" w:bidi="en-us"/>
      </w:rPr>
    </w:lvl>
    <w:lvl w:ilvl="6">
      <w:start w:val="0"/>
      <w:numFmt w:val="bullet"/>
      <w:lvlText w:val="•"/>
      <w:lvlJc w:val="left"/>
      <w:pPr>
        <w:ind w:left="3569" w:hanging="281"/>
      </w:pPr>
      <w:rPr>
        <w:rFonts w:hint="default"/>
        <w:lang w:val="en-us" w:eastAsia="en-us" w:bidi="en-us"/>
      </w:rPr>
    </w:lvl>
    <w:lvl w:ilvl="7">
      <w:start w:val="0"/>
      <w:numFmt w:val="bullet"/>
      <w:lvlText w:val="•"/>
      <w:lvlJc w:val="left"/>
      <w:pPr>
        <w:ind w:left="4067" w:hanging="281"/>
      </w:pPr>
      <w:rPr>
        <w:rFonts w:hint="default"/>
        <w:lang w:val="en-us" w:eastAsia="en-us" w:bidi="en-us"/>
      </w:rPr>
    </w:lvl>
    <w:lvl w:ilvl="8">
      <w:start w:val="0"/>
      <w:numFmt w:val="bullet"/>
      <w:lvlText w:val="•"/>
      <w:lvlJc w:val="left"/>
      <w:pPr>
        <w:ind w:left="4565" w:hanging="281"/>
      </w:pPr>
      <w:rPr>
        <w:rFonts w:hint="default"/>
        <w:lang w:val="en-us" w:eastAsia="en-us" w:bidi="en-us"/>
      </w:rPr>
    </w:lvl>
  </w:abstractNum>
  <w:abstractNum w:abstractNumId="30">
    <w:multiLevelType w:val="hybridMultilevel"/>
    <w:lvl w:ilvl="0">
      <w:start w:val="1"/>
      <w:numFmt w:val="lowerLetter"/>
      <w:lvlText w:val="(%1)"/>
      <w:lvlJc w:val="left"/>
      <w:pPr>
        <w:ind w:left="612" w:hanging="192"/>
        <w:jc w:val="left"/>
      </w:pPr>
      <w:rPr>
        <w:rFonts w:hint="default" w:ascii="Arial" w:hAnsi="Arial" w:eastAsia="Arial" w:cs="Arial"/>
        <w:w w:val="81"/>
        <w:sz w:val="15"/>
        <w:szCs w:val="15"/>
        <w:lang w:val="en-us" w:eastAsia="en-us" w:bidi="en-us"/>
      </w:rPr>
    </w:lvl>
    <w:lvl w:ilvl="1">
      <w:start w:val="1"/>
      <w:numFmt w:val="lowerLetter"/>
      <w:lvlText w:val="(%2)"/>
      <w:lvlJc w:val="left"/>
      <w:pPr>
        <w:ind w:left="701" w:hanging="192"/>
        <w:jc w:val="left"/>
      </w:pPr>
      <w:rPr>
        <w:rFonts w:hint="default" w:ascii="Arial" w:hAnsi="Arial" w:eastAsia="Arial" w:cs="Arial"/>
        <w:w w:val="81"/>
        <w:sz w:val="15"/>
        <w:szCs w:val="15"/>
        <w:lang w:val="en-us" w:eastAsia="en-us" w:bidi="en-us"/>
      </w:rPr>
    </w:lvl>
    <w:lvl w:ilvl="2">
      <w:start w:val="0"/>
      <w:numFmt w:val="bullet"/>
      <w:lvlText w:val="•"/>
      <w:lvlJc w:val="left"/>
      <w:pPr>
        <w:ind w:left="1287" w:hanging="192"/>
      </w:pPr>
      <w:rPr>
        <w:rFonts w:hint="default"/>
        <w:lang w:val="en-us" w:eastAsia="en-us" w:bidi="en-us"/>
      </w:rPr>
    </w:lvl>
    <w:lvl w:ilvl="3">
      <w:start w:val="0"/>
      <w:numFmt w:val="bullet"/>
      <w:lvlText w:val="•"/>
      <w:lvlJc w:val="left"/>
      <w:pPr>
        <w:ind w:left="1875" w:hanging="192"/>
      </w:pPr>
      <w:rPr>
        <w:rFonts w:hint="default"/>
        <w:lang w:val="en-us" w:eastAsia="en-us" w:bidi="en-us"/>
      </w:rPr>
    </w:lvl>
    <w:lvl w:ilvl="4">
      <w:start w:val="0"/>
      <w:numFmt w:val="bullet"/>
      <w:lvlText w:val="•"/>
      <w:lvlJc w:val="left"/>
      <w:pPr>
        <w:ind w:left="2462" w:hanging="192"/>
      </w:pPr>
      <w:rPr>
        <w:rFonts w:hint="default"/>
        <w:lang w:val="en-us" w:eastAsia="en-us" w:bidi="en-us"/>
      </w:rPr>
    </w:lvl>
    <w:lvl w:ilvl="5">
      <w:start w:val="0"/>
      <w:numFmt w:val="bullet"/>
      <w:lvlText w:val="•"/>
      <w:lvlJc w:val="left"/>
      <w:pPr>
        <w:ind w:left="3050" w:hanging="192"/>
      </w:pPr>
      <w:rPr>
        <w:rFonts w:hint="default"/>
        <w:lang w:val="en-us" w:eastAsia="en-us" w:bidi="en-us"/>
      </w:rPr>
    </w:lvl>
    <w:lvl w:ilvl="6">
      <w:start w:val="0"/>
      <w:numFmt w:val="bullet"/>
      <w:lvlText w:val="•"/>
      <w:lvlJc w:val="left"/>
      <w:pPr>
        <w:ind w:left="3637" w:hanging="192"/>
      </w:pPr>
      <w:rPr>
        <w:rFonts w:hint="default"/>
        <w:lang w:val="en-us" w:eastAsia="en-us" w:bidi="en-us"/>
      </w:rPr>
    </w:lvl>
    <w:lvl w:ilvl="7">
      <w:start w:val="0"/>
      <w:numFmt w:val="bullet"/>
      <w:lvlText w:val="•"/>
      <w:lvlJc w:val="left"/>
      <w:pPr>
        <w:ind w:left="4225" w:hanging="192"/>
      </w:pPr>
      <w:rPr>
        <w:rFonts w:hint="default"/>
        <w:lang w:val="en-us" w:eastAsia="en-us" w:bidi="en-us"/>
      </w:rPr>
    </w:lvl>
    <w:lvl w:ilvl="8">
      <w:start w:val="0"/>
      <w:numFmt w:val="bullet"/>
      <w:lvlText w:val="•"/>
      <w:lvlJc w:val="left"/>
      <w:pPr>
        <w:ind w:left="4812" w:hanging="192"/>
      </w:pPr>
      <w:rPr>
        <w:rFonts w:hint="default"/>
        <w:lang w:val="en-us" w:eastAsia="en-us" w:bidi="en-us"/>
      </w:rPr>
    </w:lvl>
  </w:abstractNum>
  <w:abstractNum w:abstractNumId="29">
    <w:multiLevelType w:val="hybridMultilevel"/>
    <w:lvl w:ilvl="0">
      <w:start w:val="1"/>
      <w:numFmt w:val="decimal"/>
      <w:lvlText w:val="%1."/>
      <w:lvlJc w:val="left"/>
      <w:pPr>
        <w:ind w:left="1071" w:hanging="281"/>
        <w:jc w:val="left"/>
      </w:pPr>
      <w:rPr>
        <w:rFonts w:hint="default" w:ascii="Arial" w:hAnsi="Arial" w:eastAsia="Arial" w:cs="Arial"/>
        <w:spacing w:val="-26"/>
        <w:w w:val="92"/>
        <w:sz w:val="22"/>
        <w:szCs w:val="22"/>
        <w:lang w:val="en-us" w:eastAsia="en-us" w:bidi="en-us"/>
      </w:rPr>
    </w:lvl>
    <w:lvl w:ilvl="1">
      <w:start w:val="0"/>
      <w:numFmt w:val="bullet"/>
      <w:lvlText w:val="•"/>
      <w:lvlJc w:val="left"/>
      <w:pPr>
        <w:ind w:left="2533" w:hanging="281"/>
      </w:pPr>
      <w:rPr>
        <w:rFonts w:hint="default"/>
        <w:lang w:val="en-us" w:eastAsia="en-us" w:bidi="en-us"/>
      </w:rPr>
    </w:lvl>
    <w:lvl w:ilvl="2">
      <w:start w:val="0"/>
      <w:numFmt w:val="bullet"/>
      <w:lvlText w:val="•"/>
      <w:lvlJc w:val="left"/>
      <w:pPr>
        <w:ind w:left="3986" w:hanging="281"/>
      </w:pPr>
      <w:rPr>
        <w:rFonts w:hint="default"/>
        <w:lang w:val="en-us" w:eastAsia="en-us" w:bidi="en-us"/>
      </w:rPr>
    </w:lvl>
    <w:lvl w:ilvl="3">
      <w:start w:val="0"/>
      <w:numFmt w:val="bullet"/>
      <w:lvlText w:val="•"/>
      <w:lvlJc w:val="left"/>
      <w:pPr>
        <w:ind w:left="5439" w:hanging="281"/>
      </w:pPr>
      <w:rPr>
        <w:rFonts w:hint="default"/>
        <w:lang w:val="en-us" w:eastAsia="en-us" w:bidi="en-us"/>
      </w:rPr>
    </w:lvl>
    <w:lvl w:ilvl="4">
      <w:start w:val="0"/>
      <w:numFmt w:val="bullet"/>
      <w:lvlText w:val="•"/>
      <w:lvlJc w:val="left"/>
      <w:pPr>
        <w:ind w:left="6892" w:hanging="281"/>
      </w:pPr>
      <w:rPr>
        <w:rFonts w:hint="default"/>
        <w:lang w:val="en-us" w:eastAsia="en-us" w:bidi="en-us"/>
      </w:rPr>
    </w:lvl>
    <w:lvl w:ilvl="5">
      <w:start w:val="0"/>
      <w:numFmt w:val="bullet"/>
      <w:lvlText w:val="•"/>
      <w:lvlJc w:val="left"/>
      <w:pPr>
        <w:ind w:left="8345" w:hanging="281"/>
      </w:pPr>
      <w:rPr>
        <w:rFonts w:hint="default"/>
        <w:lang w:val="en-us" w:eastAsia="en-us" w:bidi="en-us"/>
      </w:rPr>
    </w:lvl>
    <w:lvl w:ilvl="6">
      <w:start w:val="0"/>
      <w:numFmt w:val="bullet"/>
      <w:lvlText w:val="•"/>
      <w:lvlJc w:val="left"/>
      <w:pPr>
        <w:ind w:left="9798" w:hanging="281"/>
      </w:pPr>
      <w:rPr>
        <w:rFonts w:hint="default"/>
        <w:lang w:val="en-us" w:eastAsia="en-us" w:bidi="en-us"/>
      </w:rPr>
    </w:lvl>
    <w:lvl w:ilvl="7">
      <w:start w:val="0"/>
      <w:numFmt w:val="bullet"/>
      <w:lvlText w:val="•"/>
      <w:lvlJc w:val="left"/>
      <w:pPr>
        <w:ind w:left="11251" w:hanging="281"/>
      </w:pPr>
      <w:rPr>
        <w:rFonts w:hint="default"/>
        <w:lang w:val="en-us" w:eastAsia="en-us" w:bidi="en-us"/>
      </w:rPr>
    </w:lvl>
    <w:lvl w:ilvl="8">
      <w:start w:val="0"/>
      <w:numFmt w:val="bullet"/>
      <w:lvlText w:val="•"/>
      <w:lvlJc w:val="left"/>
      <w:pPr>
        <w:ind w:left="12704" w:hanging="281"/>
      </w:pPr>
      <w:rPr>
        <w:rFonts w:hint="default"/>
        <w:lang w:val="en-us" w:eastAsia="en-us" w:bidi="en-us"/>
      </w:rPr>
    </w:lvl>
  </w:abstractNum>
  <w:abstractNum w:abstractNumId="28">
    <w:multiLevelType w:val="hybridMultilevel"/>
    <w:lvl w:ilvl="0">
      <w:start w:val="1"/>
      <w:numFmt w:val="lowerLetter"/>
      <w:lvlText w:val="(%1)"/>
      <w:lvlJc w:val="left"/>
      <w:pPr>
        <w:ind w:left="644" w:hanging="192"/>
        <w:jc w:val="left"/>
      </w:pPr>
      <w:rPr>
        <w:rFonts w:hint="default" w:ascii="Arial" w:hAnsi="Arial" w:eastAsia="Arial" w:cs="Arial"/>
        <w:w w:val="81"/>
        <w:sz w:val="15"/>
        <w:szCs w:val="15"/>
        <w:lang w:val="en-us" w:eastAsia="en-us" w:bidi="en-us"/>
      </w:rPr>
    </w:lvl>
    <w:lvl w:ilvl="1">
      <w:start w:val="1"/>
      <w:numFmt w:val="decimal"/>
      <w:lvlText w:val="%2."/>
      <w:lvlJc w:val="left"/>
      <w:pPr>
        <w:ind w:left="1061" w:hanging="281"/>
        <w:jc w:val="left"/>
      </w:pPr>
      <w:rPr>
        <w:rFonts w:hint="default" w:ascii="Arial" w:hAnsi="Arial" w:eastAsia="Arial" w:cs="Arial"/>
        <w:spacing w:val="-26"/>
        <w:w w:val="92"/>
        <w:sz w:val="22"/>
        <w:szCs w:val="22"/>
        <w:lang w:val="en-us" w:eastAsia="en-us" w:bidi="en-us"/>
      </w:rPr>
    </w:lvl>
    <w:lvl w:ilvl="2">
      <w:start w:val="1"/>
      <w:numFmt w:val="lowerLetter"/>
      <w:lvlText w:val="(%3)"/>
      <w:lvlJc w:val="left"/>
      <w:pPr>
        <w:ind w:left="1112" w:hanging="192"/>
        <w:jc w:val="right"/>
      </w:pPr>
      <w:rPr>
        <w:rFonts w:hint="default" w:ascii="Arial" w:hAnsi="Arial" w:eastAsia="Arial" w:cs="Arial"/>
        <w:w w:val="81"/>
        <w:sz w:val="15"/>
        <w:szCs w:val="15"/>
        <w:lang w:val="en-us" w:eastAsia="en-us" w:bidi="en-us"/>
      </w:rPr>
    </w:lvl>
    <w:lvl w:ilvl="3">
      <w:start w:val="1"/>
      <w:numFmt w:val="decimal"/>
      <w:lvlText w:val="%4."/>
      <w:lvlJc w:val="left"/>
      <w:pPr>
        <w:ind w:left="891" w:hanging="281"/>
        <w:jc w:val="left"/>
      </w:pPr>
      <w:rPr>
        <w:rFonts w:hint="default" w:ascii="Arial" w:hAnsi="Arial" w:eastAsia="Arial" w:cs="Arial"/>
        <w:spacing w:val="-26"/>
        <w:w w:val="92"/>
        <w:sz w:val="22"/>
        <w:szCs w:val="22"/>
        <w:lang w:val="en-us" w:eastAsia="en-us" w:bidi="en-us"/>
      </w:rPr>
    </w:lvl>
    <w:lvl w:ilvl="4">
      <w:start w:val="1"/>
      <w:numFmt w:val="lowerLetter"/>
      <w:lvlText w:val="(%5)"/>
      <w:lvlJc w:val="left"/>
      <w:pPr>
        <w:ind w:left="973" w:hanging="192"/>
        <w:jc w:val="right"/>
      </w:pPr>
      <w:rPr>
        <w:rFonts w:hint="default" w:ascii="Arial" w:hAnsi="Arial" w:eastAsia="Arial" w:cs="Arial"/>
        <w:w w:val="81"/>
        <w:sz w:val="15"/>
        <w:szCs w:val="15"/>
        <w:lang w:val="en-us" w:eastAsia="en-us" w:bidi="en-us"/>
      </w:rPr>
    </w:lvl>
    <w:lvl w:ilvl="5">
      <w:start w:val="0"/>
      <w:numFmt w:val="bullet"/>
      <w:lvlText w:val="•"/>
      <w:lvlJc w:val="left"/>
      <w:pPr>
        <w:ind w:left="906" w:hanging="192"/>
      </w:pPr>
      <w:rPr>
        <w:rFonts w:hint="default"/>
        <w:lang w:val="en-us" w:eastAsia="en-us" w:bidi="en-us"/>
      </w:rPr>
    </w:lvl>
    <w:lvl w:ilvl="6">
      <w:start w:val="0"/>
      <w:numFmt w:val="bullet"/>
      <w:lvlText w:val="•"/>
      <w:lvlJc w:val="left"/>
      <w:pPr>
        <w:ind w:left="692" w:hanging="192"/>
      </w:pPr>
      <w:rPr>
        <w:rFonts w:hint="default"/>
        <w:lang w:val="en-us" w:eastAsia="en-us" w:bidi="en-us"/>
      </w:rPr>
    </w:lvl>
    <w:lvl w:ilvl="7">
      <w:start w:val="0"/>
      <w:numFmt w:val="bullet"/>
      <w:lvlText w:val="•"/>
      <w:lvlJc w:val="left"/>
      <w:pPr>
        <w:ind w:left="478" w:hanging="192"/>
      </w:pPr>
      <w:rPr>
        <w:rFonts w:hint="default"/>
        <w:lang w:val="en-us" w:eastAsia="en-us" w:bidi="en-us"/>
      </w:rPr>
    </w:lvl>
    <w:lvl w:ilvl="8">
      <w:start w:val="0"/>
      <w:numFmt w:val="bullet"/>
      <w:lvlText w:val="•"/>
      <w:lvlJc w:val="left"/>
      <w:pPr>
        <w:ind w:left="264" w:hanging="192"/>
      </w:pPr>
      <w:rPr>
        <w:rFonts w:hint="default"/>
        <w:lang w:val="en-us" w:eastAsia="en-us" w:bidi="en-us"/>
      </w:rPr>
    </w:lvl>
  </w:abstractNum>
  <w:abstractNum w:abstractNumId="27">
    <w:multiLevelType w:val="hybridMultilevel"/>
    <w:lvl w:ilvl="0">
      <w:start w:val="1"/>
      <w:numFmt w:val="lowerLetter"/>
      <w:lvlText w:val="(%1)"/>
      <w:lvlJc w:val="left"/>
      <w:pPr>
        <w:ind w:left="599" w:hanging="192"/>
        <w:jc w:val="left"/>
      </w:pPr>
      <w:rPr>
        <w:rFonts w:hint="default" w:ascii="Arial" w:hAnsi="Arial" w:eastAsia="Arial" w:cs="Arial"/>
        <w:w w:val="81"/>
        <w:sz w:val="15"/>
        <w:szCs w:val="15"/>
        <w:lang w:val="en-us" w:eastAsia="en-us" w:bidi="en-us"/>
      </w:rPr>
    </w:lvl>
    <w:lvl w:ilvl="1">
      <w:start w:val="0"/>
      <w:numFmt w:val="bullet"/>
      <w:lvlText w:val="•"/>
      <w:lvlJc w:val="left"/>
      <w:pPr>
        <w:ind w:left="1061" w:hanging="192"/>
      </w:pPr>
      <w:rPr>
        <w:rFonts w:hint="default"/>
        <w:lang w:val="en-us" w:eastAsia="en-us" w:bidi="en-us"/>
      </w:rPr>
    </w:lvl>
    <w:lvl w:ilvl="2">
      <w:start w:val="0"/>
      <w:numFmt w:val="bullet"/>
      <w:lvlText w:val="•"/>
      <w:lvlJc w:val="left"/>
      <w:pPr>
        <w:ind w:left="1522" w:hanging="192"/>
      </w:pPr>
      <w:rPr>
        <w:rFonts w:hint="default"/>
        <w:lang w:val="en-us" w:eastAsia="en-us" w:bidi="en-us"/>
      </w:rPr>
    </w:lvl>
    <w:lvl w:ilvl="3">
      <w:start w:val="0"/>
      <w:numFmt w:val="bullet"/>
      <w:lvlText w:val="•"/>
      <w:lvlJc w:val="left"/>
      <w:pPr>
        <w:ind w:left="1983" w:hanging="192"/>
      </w:pPr>
      <w:rPr>
        <w:rFonts w:hint="default"/>
        <w:lang w:val="en-us" w:eastAsia="en-us" w:bidi="en-us"/>
      </w:rPr>
    </w:lvl>
    <w:lvl w:ilvl="4">
      <w:start w:val="0"/>
      <w:numFmt w:val="bullet"/>
      <w:lvlText w:val="•"/>
      <w:lvlJc w:val="left"/>
      <w:pPr>
        <w:ind w:left="2444" w:hanging="192"/>
      </w:pPr>
      <w:rPr>
        <w:rFonts w:hint="default"/>
        <w:lang w:val="en-us" w:eastAsia="en-us" w:bidi="en-us"/>
      </w:rPr>
    </w:lvl>
    <w:lvl w:ilvl="5">
      <w:start w:val="0"/>
      <w:numFmt w:val="bullet"/>
      <w:lvlText w:val="•"/>
      <w:lvlJc w:val="left"/>
      <w:pPr>
        <w:ind w:left="2905" w:hanging="192"/>
      </w:pPr>
      <w:rPr>
        <w:rFonts w:hint="default"/>
        <w:lang w:val="en-us" w:eastAsia="en-us" w:bidi="en-us"/>
      </w:rPr>
    </w:lvl>
    <w:lvl w:ilvl="6">
      <w:start w:val="0"/>
      <w:numFmt w:val="bullet"/>
      <w:lvlText w:val="•"/>
      <w:lvlJc w:val="left"/>
      <w:pPr>
        <w:ind w:left="3366" w:hanging="192"/>
      </w:pPr>
      <w:rPr>
        <w:rFonts w:hint="default"/>
        <w:lang w:val="en-us" w:eastAsia="en-us" w:bidi="en-us"/>
      </w:rPr>
    </w:lvl>
    <w:lvl w:ilvl="7">
      <w:start w:val="0"/>
      <w:numFmt w:val="bullet"/>
      <w:lvlText w:val="•"/>
      <w:lvlJc w:val="left"/>
      <w:pPr>
        <w:ind w:left="3827" w:hanging="192"/>
      </w:pPr>
      <w:rPr>
        <w:rFonts w:hint="default"/>
        <w:lang w:val="en-us" w:eastAsia="en-us" w:bidi="en-us"/>
      </w:rPr>
    </w:lvl>
    <w:lvl w:ilvl="8">
      <w:start w:val="0"/>
      <w:numFmt w:val="bullet"/>
      <w:lvlText w:val="•"/>
      <w:lvlJc w:val="left"/>
      <w:pPr>
        <w:ind w:left="4288" w:hanging="192"/>
      </w:pPr>
      <w:rPr>
        <w:rFonts w:hint="default"/>
        <w:lang w:val="en-us" w:eastAsia="en-us" w:bidi="en-us"/>
      </w:rPr>
    </w:lvl>
  </w:abstractNum>
  <w:abstractNum w:abstractNumId="26">
    <w:multiLevelType w:val="hybridMultilevel"/>
    <w:lvl w:ilvl="0">
      <w:start w:val="1"/>
      <w:numFmt w:val="lowerLetter"/>
      <w:lvlText w:val="(%1)"/>
      <w:lvlJc w:val="left"/>
      <w:pPr>
        <w:ind w:left="1083" w:hanging="318"/>
        <w:jc w:val="left"/>
      </w:pPr>
      <w:rPr>
        <w:rFonts w:hint="default" w:ascii="Arial" w:hAnsi="Arial" w:eastAsia="Arial" w:cs="Arial"/>
        <w:b/>
        <w:bCs/>
        <w:w w:val="95"/>
        <w:sz w:val="22"/>
        <w:szCs w:val="22"/>
        <w:lang w:val="en-us" w:eastAsia="en-us" w:bidi="en-us"/>
      </w:rPr>
    </w:lvl>
    <w:lvl w:ilvl="1">
      <w:start w:val="0"/>
      <w:numFmt w:val="bullet"/>
      <w:lvlText w:val="•"/>
      <w:lvlJc w:val="left"/>
      <w:pPr>
        <w:ind w:left="1751" w:hanging="318"/>
      </w:pPr>
      <w:rPr>
        <w:rFonts w:hint="default"/>
        <w:lang w:val="en-us" w:eastAsia="en-us" w:bidi="en-us"/>
      </w:rPr>
    </w:lvl>
    <w:lvl w:ilvl="2">
      <w:start w:val="0"/>
      <w:numFmt w:val="bullet"/>
      <w:lvlText w:val="•"/>
      <w:lvlJc w:val="left"/>
      <w:pPr>
        <w:ind w:left="2422" w:hanging="318"/>
      </w:pPr>
      <w:rPr>
        <w:rFonts w:hint="default"/>
        <w:lang w:val="en-us" w:eastAsia="en-us" w:bidi="en-us"/>
      </w:rPr>
    </w:lvl>
    <w:lvl w:ilvl="3">
      <w:start w:val="0"/>
      <w:numFmt w:val="bullet"/>
      <w:lvlText w:val="•"/>
      <w:lvlJc w:val="left"/>
      <w:pPr>
        <w:ind w:left="3093" w:hanging="318"/>
      </w:pPr>
      <w:rPr>
        <w:rFonts w:hint="default"/>
        <w:lang w:val="en-us" w:eastAsia="en-us" w:bidi="en-us"/>
      </w:rPr>
    </w:lvl>
    <w:lvl w:ilvl="4">
      <w:start w:val="0"/>
      <w:numFmt w:val="bullet"/>
      <w:lvlText w:val="•"/>
      <w:lvlJc w:val="left"/>
      <w:pPr>
        <w:ind w:left="3764" w:hanging="318"/>
      </w:pPr>
      <w:rPr>
        <w:rFonts w:hint="default"/>
        <w:lang w:val="en-us" w:eastAsia="en-us" w:bidi="en-us"/>
      </w:rPr>
    </w:lvl>
    <w:lvl w:ilvl="5">
      <w:start w:val="0"/>
      <w:numFmt w:val="bullet"/>
      <w:lvlText w:val="•"/>
      <w:lvlJc w:val="left"/>
      <w:pPr>
        <w:ind w:left="4435" w:hanging="318"/>
      </w:pPr>
      <w:rPr>
        <w:rFonts w:hint="default"/>
        <w:lang w:val="en-us" w:eastAsia="en-us" w:bidi="en-us"/>
      </w:rPr>
    </w:lvl>
    <w:lvl w:ilvl="6">
      <w:start w:val="0"/>
      <w:numFmt w:val="bullet"/>
      <w:lvlText w:val="•"/>
      <w:lvlJc w:val="left"/>
      <w:pPr>
        <w:ind w:left="5106" w:hanging="318"/>
      </w:pPr>
      <w:rPr>
        <w:rFonts w:hint="default"/>
        <w:lang w:val="en-us" w:eastAsia="en-us" w:bidi="en-us"/>
      </w:rPr>
    </w:lvl>
    <w:lvl w:ilvl="7">
      <w:start w:val="0"/>
      <w:numFmt w:val="bullet"/>
      <w:lvlText w:val="•"/>
      <w:lvlJc w:val="left"/>
      <w:pPr>
        <w:ind w:left="5777" w:hanging="318"/>
      </w:pPr>
      <w:rPr>
        <w:rFonts w:hint="default"/>
        <w:lang w:val="en-us" w:eastAsia="en-us" w:bidi="en-us"/>
      </w:rPr>
    </w:lvl>
    <w:lvl w:ilvl="8">
      <w:start w:val="0"/>
      <w:numFmt w:val="bullet"/>
      <w:lvlText w:val="•"/>
      <w:lvlJc w:val="left"/>
      <w:pPr>
        <w:ind w:left="6448" w:hanging="318"/>
      </w:pPr>
      <w:rPr>
        <w:rFonts w:hint="default"/>
        <w:lang w:val="en-us" w:eastAsia="en-us" w:bidi="en-us"/>
      </w:rPr>
    </w:lvl>
  </w:abstractNum>
  <w:abstractNum w:abstractNumId="25">
    <w:multiLevelType w:val="hybridMultilevel"/>
    <w:lvl w:ilvl="0">
      <w:start w:val="1"/>
      <w:numFmt w:val="decimal"/>
      <w:lvlText w:val="%1."/>
      <w:lvlJc w:val="left"/>
      <w:pPr>
        <w:ind w:left="1010" w:hanging="245"/>
        <w:jc w:val="left"/>
      </w:pPr>
      <w:rPr>
        <w:rFonts w:hint="default" w:ascii="Arial" w:hAnsi="Arial" w:eastAsia="Arial" w:cs="Arial"/>
        <w:spacing w:val="-21"/>
        <w:w w:val="91"/>
        <w:sz w:val="22"/>
        <w:szCs w:val="22"/>
        <w:lang w:val="en-us" w:eastAsia="en-us" w:bidi="en-us"/>
      </w:rPr>
    </w:lvl>
    <w:lvl w:ilvl="1">
      <w:start w:val="0"/>
      <w:numFmt w:val="bullet"/>
      <w:lvlText w:val="•"/>
      <w:lvlJc w:val="left"/>
      <w:pPr>
        <w:ind w:left="2583" w:hanging="245"/>
      </w:pPr>
      <w:rPr>
        <w:rFonts w:hint="default"/>
        <w:lang w:val="en-us" w:eastAsia="en-us" w:bidi="en-us"/>
      </w:rPr>
    </w:lvl>
    <w:lvl w:ilvl="2">
      <w:start w:val="0"/>
      <w:numFmt w:val="bullet"/>
      <w:lvlText w:val="•"/>
      <w:lvlJc w:val="left"/>
      <w:pPr>
        <w:ind w:left="4167" w:hanging="245"/>
      </w:pPr>
      <w:rPr>
        <w:rFonts w:hint="default"/>
        <w:lang w:val="en-us" w:eastAsia="en-us" w:bidi="en-us"/>
      </w:rPr>
    </w:lvl>
    <w:lvl w:ilvl="3">
      <w:start w:val="0"/>
      <w:numFmt w:val="bullet"/>
      <w:lvlText w:val="•"/>
      <w:lvlJc w:val="left"/>
      <w:pPr>
        <w:ind w:left="5751" w:hanging="245"/>
      </w:pPr>
      <w:rPr>
        <w:rFonts w:hint="default"/>
        <w:lang w:val="en-us" w:eastAsia="en-us" w:bidi="en-us"/>
      </w:rPr>
    </w:lvl>
    <w:lvl w:ilvl="4">
      <w:start w:val="0"/>
      <w:numFmt w:val="bullet"/>
      <w:lvlText w:val="•"/>
      <w:lvlJc w:val="left"/>
      <w:pPr>
        <w:ind w:left="7335" w:hanging="245"/>
      </w:pPr>
      <w:rPr>
        <w:rFonts w:hint="default"/>
        <w:lang w:val="en-us" w:eastAsia="en-us" w:bidi="en-us"/>
      </w:rPr>
    </w:lvl>
    <w:lvl w:ilvl="5">
      <w:start w:val="0"/>
      <w:numFmt w:val="bullet"/>
      <w:lvlText w:val="•"/>
      <w:lvlJc w:val="left"/>
      <w:pPr>
        <w:ind w:left="8918" w:hanging="245"/>
      </w:pPr>
      <w:rPr>
        <w:rFonts w:hint="default"/>
        <w:lang w:val="en-us" w:eastAsia="en-us" w:bidi="en-us"/>
      </w:rPr>
    </w:lvl>
    <w:lvl w:ilvl="6">
      <w:start w:val="0"/>
      <w:numFmt w:val="bullet"/>
      <w:lvlText w:val="•"/>
      <w:lvlJc w:val="left"/>
      <w:pPr>
        <w:ind w:left="10502" w:hanging="245"/>
      </w:pPr>
      <w:rPr>
        <w:rFonts w:hint="default"/>
        <w:lang w:val="en-us" w:eastAsia="en-us" w:bidi="en-us"/>
      </w:rPr>
    </w:lvl>
    <w:lvl w:ilvl="7">
      <w:start w:val="0"/>
      <w:numFmt w:val="bullet"/>
      <w:lvlText w:val="•"/>
      <w:lvlJc w:val="left"/>
      <w:pPr>
        <w:ind w:left="12086" w:hanging="245"/>
      </w:pPr>
      <w:rPr>
        <w:rFonts w:hint="default"/>
        <w:lang w:val="en-us" w:eastAsia="en-us" w:bidi="en-us"/>
      </w:rPr>
    </w:lvl>
    <w:lvl w:ilvl="8">
      <w:start w:val="0"/>
      <w:numFmt w:val="bullet"/>
      <w:lvlText w:val="•"/>
      <w:lvlJc w:val="left"/>
      <w:pPr>
        <w:ind w:left="13670" w:hanging="245"/>
      </w:pPr>
      <w:rPr>
        <w:rFonts w:hint="default"/>
        <w:lang w:val="en-us" w:eastAsia="en-us" w:bidi="en-us"/>
      </w:rPr>
    </w:lvl>
  </w:abstractNum>
  <w:abstractNum w:abstractNumId="24">
    <w:multiLevelType w:val="hybridMultilevel"/>
    <w:lvl w:ilvl="0">
      <w:start w:val="1"/>
      <w:numFmt w:val="decimal"/>
      <w:lvlText w:val="%1."/>
      <w:lvlJc w:val="left"/>
      <w:pPr>
        <w:ind w:left="1010" w:hanging="245"/>
        <w:jc w:val="left"/>
      </w:pPr>
      <w:rPr>
        <w:rFonts w:hint="default" w:ascii="Arial" w:hAnsi="Arial" w:eastAsia="Arial" w:cs="Arial"/>
        <w:spacing w:val="-21"/>
        <w:w w:val="91"/>
        <w:sz w:val="22"/>
        <w:szCs w:val="22"/>
        <w:lang w:val="en-us" w:eastAsia="en-us" w:bidi="en-us"/>
      </w:rPr>
    </w:lvl>
    <w:lvl w:ilvl="1">
      <w:start w:val="0"/>
      <w:numFmt w:val="bullet"/>
      <w:lvlText w:val="•"/>
      <w:lvlJc w:val="left"/>
      <w:pPr>
        <w:ind w:left="2583" w:hanging="245"/>
      </w:pPr>
      <w:rPr>
        <w:rFonts w:hint="default"/>
        <w:lang w:val="en-us" w:eastAsia="en-us" w:bidi="en-us"/>
      </w:rPr>
    </w:lvl>
    <w:lvl w:ilvl="2">
      <w:start w:val="0"/>
      <w:numFmt w:val="bullet"/>
      <w:lvlText w:val="•"/>
      <w:lvlJc w:val="left"/>
      <w:pPr>
        <w:ind w:left="4167" w:hanging="245"/>
      </w:pPr>
      <w:rPr>
        <w:rFonts w:hint="default"/>
        <w:lang w:val="en-us" w:eastAsia="en-us" w:bidi="en-us"/>
      </w:rPr>
    </w:lvl>
    <w:lvl w:ilvl="3">
      <w:start w:val="0"/>
      <w:numFmt w:val="bullet"/>
      <w:lvlText w:val="•"/>
      <w:lvlJc w:val="left"/>
      <w:pPr>
        <w:ind w:left="5751" w:hanging="245"/>
      </w:pPr>
      <w:rPr>
        <w:rFonts w:hint="default"/>
        <w:lang w:val="en-us" w:eastAsia="en-us" w:bidi="en-us"/>
      </w:rPr>
    </w:lvl>
    <w:lvl w:ilvl="4">
      <w:start w:val="0"/>
      <w:numFmt w:val="bullet"/>
      <w:lvlText w:val="•"/>
      <w:lvlJc w:val="left"/>
      <w:pPr>
        <w:ind w:left="7335" w:hanging="245"/>
      </w:pPr>
      <w:rPr>
        <w:rFonts w:hint="default"/>
        <w:lang w:val="en-us" w:eastAsia="en-us" w:bidi="en-us"/>
      </w:rPr>
    </w:lvl>
    <w:lvl w:ilvl="5">
      <w:start w:val="0"/>
      <w:numFmt w:val="bullet"/>
      <w:lvlText w:val="•"/>
      <w:lvlJc w:val="left"/>
      <w:pPr>
        <w:ind w:left="8918" w:hanging="245"/>
      </w:pPr>
      <w:rPr>
        <w:rFonts w:hint="default"/>
        <w:lang w:val="en-us" w:eastAsia="en-us" w:bidi="en-us"/>
      </w:rPr>
    </w:lvl>
    <w:lvl w:ilvl="6">
      <w:start w:val="0"/>
      <w:numFmt w:val="bullet"/>
      <w:lvlText w:val="•"/>
      <w:lvlJc w:val="left"/>
      <w:pPr>
        <w:ind w:left="10502" w:hanging="245"/>
      </w:pPr>
      <w:rPr>
        <w:rFonts w:hint="default"/>
        <w:lang w:val="en-us" w:eastAsia="en-us" w:bidi="en-us"/>
      </w:rPr>
    </w:lvl>
    <w:lvl w:ilvl="7">
      <w:start w:val="0"/>
      <w:numFmt w:val="bullet"/>
      <w:lvlText w:val="•"/>
      <w:lvlJc w:val="left"/>
      <w:pPr>
        <w:ind w:left="12086" w:hanging="245"/>
      </w:pPr>
      <w:rPr>
        <w:rFonts w:hint="default"/>
        <w:lang w:val="en-us" w:eastAsia="en-us" w:bidi="en-us"/>
      </w:rPr>
    </w:lvl>
    <w:lvl w:ilvl="8">
      <w:start w:val="0"/>
      <w:numFmt w:val="bullet"/>
      <w:lvlText w:val="•"/>
      <w:lvlJc w:val="left"/>
      <w:pPr>
        <w:ind w:left="13670" w:hanging="245"/>
      </w:pPr>
      <w:rPr>
        <w:rFonts w:hint="default"/>
        <w:lang w:val="en-us" w:eastAsia="en-us" w:bidi="en-us"/>
      </w:rPr>
    </w:lvl>
  </w:abstractNum>
  <w:abstractNum w:abstractNumId="23">
    <w:multiLevelType w:val="hybridMultilevel"/>
    <w:lvl w:ilvl="0">
      <w:start w:val="1"/>
      <w:numFmt w:val="lowerLetter"/>
      <w:lvlText w:val="(%1)"/>
      <w:lvlJc w:val="left"/>
      <w:pPr>
        <w:ind w:left="977" w:hanging="192"/>
        <w:jc w:val="left"/>
      </w:pPr>
      <w:rPr>
        <w:rFonts w:hint="default" w:ascii="Arial" w:hAnsi="Arial" w:eastAsia="Arial" w:cs="Arial"/>
        <w:w w:val="81"/>
        <w:sz w:val="15"/>
        <w:szCs w:val="15"/>
        <w:lang w:val="en-us" w:eastAsia="en-us" w:bidi="en-us"/>
      </w:rPr>
    </w:lvl>
    <w:lvl w:ilvl="1">
      <w:start w:val="0"/>
      <w:numFmt w:val="bullet"/>
      <w:lvlText w:val="•"/>
      <w:lvlJc w:val="left"/>
      <w:pPr>
        <w:ind w:left="2565" w:hanging="192"/>
      </w:pPr>
      <w:rPr>
        <w:rFonts w:hint="default"/>
        <w:lang w:val="en-us" w:eastAsia="en-us" w:bidi="en-us"/>
      </w:rPr>
    </w:lvl>
    <w:lvl w:ilvl="2">
      <w:start w:val="0"/>
      <w:numFmt w:val="bullet"/>
      <w:lvlText w:val="•"/>
      <w:lvlJc w:val="left"/>
      <w:pPr>
        <w:ind w:left="4151" w:hanging="192"/>
      </w:pPr>
      <w:rPr>
        <w:rFonts w:hint="default"/>
        <w:lang w:val="en-us" w:eastAsia="en-us" w:bidi="en-us"/>
      </w:rPr>
    </w:lvl>
    <w:lvl w:ilvl="3">
      <w:start w:val="0"/>
      <w:numFmt w:val="bullet"/>
      <w:lvlText w:val="•"/>
      <w:lvlJc w:val="left"/>
      <w:pPr>
        <w:ind w:left="5737" w:hanging="192"/>
      </w:pPr>
      <w:rPr>
        <w:rFonts w:hint="default"/>
        <w:lang w:val="en-us" w:eastAsia="en-us" w:bidi="en-us"/>
      </w:rPr>
    </w:lvl>
    <w:lvl w:ilvl="4">
      <w:start w:val="0"/>
      <w:numFmt w:val="bullet"/>
      <w:lvlText w:val="•"/>
      <w:lvlJc w:val="left"/>
      <w:pPr>
        <w:ind w:left="7323" w:hanging="192"/>
      </w:pPr>
      <w:rPr>
        <w:rFonts w:hint="default"/>
        <w:lang w:val="en-us" w:eastAsia="en-us" w:bidi="en-us"/>
      </w:rPr>
    </w:lvl>
    <w:lvl w:ilvl="5">
      <w:start w:val="0"/>
      <w:numFmt w:val="bullet"/>
      <w:lvlText w:val="•"/>
      <w:lvlJc w:val="left"/>
      <w:pPr>
        <w:ind w:left="8908" w:hanging="192"/>
      </w:pPr>
      <w:rPr>
        <w:rFonts w:hint="default"/>
        <w:lang w:val="en-us" w:eastAsia="en-us" w:bidi="en-us"/>
      </w:rPr>
    </w:lvl>
    <w:lvl w:ilvl="6">
      <w:start w:val="0"/>
      <w:numFmt w:val="bullet"/>
      <w:lvlText w:val="•"/>
      <w:lvlJc w:val="left"/>
      <w:pPr>
        <w:ind w:left="10494" w:hanging="192"/>
      </w:pPr>
      <w:rPr>
        <w:rFonts w:hint="default"/>
        <w:lang w:val="en-us" w:eastAsia="en-us" w:bidi="en-us"/>
      </w:rPr>
    </w:lvl>
    <w:lvl w:ilvl="7">
      <w:start w:val="0"/>
      <w:numFmt w:val="bullet"/>
      <w:lvlText w:val="•"/>
      <w:lvlJc w:val="left"/>
      <w:pPr>
        <w:ind w:left="12080" w:hanging="192"/>
      </w:pPr>
      <w:rPr>
        <w:rFonts w:hint="default"/>
        <w:lang w:val="en-us" w:eastAsia="en-us" w:bidi="en-us"/>
      </w:rPr>
    </w:lvl>
    <w:lvl w:ilvl="8">
      <w:start w:val="0"/>
      <w:numFmt w:val="bullet"/>
      <w:lvlText w:val="•"/>
      <w:lvlJc w:val="left"/>
      <w:pPr>
        <w:ind w:left="13666" w:hanging="192"/>
      </w:pPr>
      <w:rPr>
        <w:rFonts w:hint="default"/>
        <w:lang w:val="en-us" w:eastAsia="en-us" w:bidi="en-us"/>
      </w:rPr>
    </w:lvl>
  </w:abstractNum>
  <w:abstractNum w:abstractNumId="22">
    <w:multiLevelType w:val="hybridMultilevel"/>
    <w:lvl w:ilvl="0">
      <w:start w:val="1"/>
      <w:numFmt w:val="decimal"/>
      <w:lvlText w:val="%1."/>
      <w:lvlJc w:val="left"/>
      <w:pPr>
        <w:ind w:left="1010" w:hanging="245"/>
        <w:jc w:val="left"/>
      </w:pPr>
      <w:rPr>
        <w:rFonts w:hint="default" w:ascii="Arial" w:hAnsi="Arial" w:eastAsia="Arial" w:cs="Arial"/>
        <w:spacing w:val="-4"/>
        <w:w w:val="92"/>
        <w:sz w:val="22"/>
        <w:szCs w:val="22"/>
        <w:lang w:val="en-us" w:eastAsia="en-us" w:bidi="en-us"/>
      </w:rPr>
    </w:lvl>
    <w:lvl w:ilvl="1">
      <w:start w:val="0"/>
      <w:numFmt w:val="bullet"/>
      <w:lvlText w:val="•"/>
      <w:lvlJc w:val="left"/>
      <w:pPr>
        <w:ind w:left="2583" w:hanging="245"/>
      </w:pPr>
      <w:rPr>
        <w:rFonts w:hint="default"/>
        <w:lang w:val="en-us" w:eastAsia="en-us" w:bidi="en-us"/>
      </w:rPr>
    </w:lvl>
    <w:lvl w:ilvl="2">
      <w:start w:val="0"/>
      <w:numFmt w:val="bullet"/>
      <w:lvlText w:val="•"/>
      <w:lvlJc w:val="left"/>
      <w:pPr>
        <w:ind w:left="4167" w:hanging="245"/>
      </w:pPr>
      <w:rPr>
        <w:rFonts w:hint="default"/>
        <w:lang w:val="en-us" w:eastAsia="en-us" w:bidi="en-us"/>
      </w:rPr>
    </w:lvl>
    <w:lvl w:ilvl="3">
      <w:start w:val="0"/>
      <w:numFmt w:val="bullet"/>
      <w:lvlText w:val="•"/>
      <w:lvlJc w:val="left"/>
      <w:pPr>
        <w:ind w:left="5751" w:hanging="245"/>
      </w:pPr>
      <w:rPr>
        <w:rFonts w:hint="default"/>
        <w:lang w:val="en-us" w:eastAsia="en-us" w:bidi="en-us"/>
      </w:rPr>
    </w:lvl>
    <w:lvl w:ilvl="4">
      <w:start w:val="0"/>
      <w:numFmt w:val="bullet"/>
      <w:lvlText w:val="•"/>
      <w:lvlJc w:val="left"/>
      <w:pPr>
        <w:ind w:left="7335" w:hanging="245"/>
      </w:pPr>
      <w:rPr>
        <w:rFonts w:hint="default"/>
        <w:lang w:val="en-us" w:eastAsia="en-us" w:bidi="en-us"/>
      </w:rPr>
    </w:lvl>
    <w:lvl w:ilvl="5">
      <w:start w:val="0"/>
      <w:numFmt w:val="bullet"/>
      <w:lvlText w:val="•"/>
      <w:lvlJc w:val="left"/>
      <w:pPr>
        <w:ind w:left="8918" w:hanging="245"/>
      </w:pPr>
      <w:rPr>
        <w:rFonts w:hint="default"/>
        <w:lang w:val="en-us" w:eastAsia="en-us" w:bidi="en-us"/>
      </w:rPr>
    </w:lvl>
    <w:lvl w:ilvl="6">
      <w:start w:val="0"/>
      <w:numFmt w:val="bullet"/>
      <w:lvlText w:val="•"/>
      <w:lvlJc w:val="left"/>
      <w:pPr>
        <w:ind w:left="10502" w:hanging="245"/>
      </w:pPr>
      <w:rPr>
        <w:rFonts w:hint="default"/>
        <w:lang w:val="en-us" w:eastAsia="en-us" w:bidi="en-us"/>
      </w:rPr>
    </w:lvl>
    <w:lvl w:ilvl="7">
      <w:start w:val="0"/>
      <w:numFmt w:val="bullet"/>
      <w:lvlText w:val="•"/>
      <w:lvlJc w:val="left"/>
      <w:pPr>
        <w:ind w:left="12086" w:hanging="245"/>
      </w:pPr>
      <w:rPr>
        <w:rFonts w:hint="default"/>
        <w:lang w:val="en-us" w:eastAsia="en-us" w:bidi="en-us"/>
      </w:rPr>
    </w:lvl>
    <w:lvl w:ilvl="8">
      <w:start w:val="0"/>
      <w:numFmt w:val="bullet"/>
      <w:lvlText w:val="•"/>
      <w:lvlJc w:val="left"/>
      <w:pPr>
        <w:ind w:left="13670" w:hanging="245"/>
      </w:pPr>
      <w:rPr>
        <w:rFonts w:hint="default"/>
        <w:lang w:val="en-us" w:eastAsia="en-us" w:bidi="en-us"/>
      </w:rPr>
    </w:lvl>
  </w:abstractNum>
  <w:abstractNum w:abstractNumId="21">
    <w:multiLevelType w:val="hybridMultilevel"/>
    <w:lvl w:ilvl="0">
      <w:start w:val="2"/>
      <w:numFmt w:val="decimal"/>
      <w:lvlText w:val="%1."/>
      <w:lvlJc w:val="left"/>
      <w:pPr>
        <w:ind w:left="1010" w:hanging="245"/>
        <w:jc w:val="left"/>
      </w:pPr>
      <w:rPr>
        <w:rFonts w:hint="default" w:ascii="Arial" w:hAnsi="Arial" w:eastAsia="Arial" w:cs="Arial"/>
        <w:spacing w:val="-4"/>
        <w:w w:val="92"/>
        <w:sz w:val="22"/>
        <w:szCs w:val="22"/>
        <w:lang w:val="en-us" w:eastAsia="en-us" w:bidi="en-us"/>
      </w:rPr>
    </w:lvl>
    <w:lvl w:ilvl="1">
      <w:start w:val="0"/>
      <w:numFmt w:val="bullet"/>
      <w:lvlText w:val="•"/>
      <w:lvlJc w:val="left"/>
      <w:pPr>
        <w:ind w:left="2583" w:hanging="245"/>
      </w:pPr>
      <w:rPr>
        <w:rFonts w:hint="default"/>
        <w:lang w:val="en-us" w:eastAsia="en-us" w:bidi="en-us"/>
      </w:rPr>
    </w:lvl>
    <w:lvl w:ilvl="2">
      <w:start w:val="0"/>
      <w:numFmt w:val="bullet"/>
      <w:lvlText w:val="•"/>
      <w:lvlJc w:val="left"/>
      <w:pPr>
        <w:ind w:left="4167" w:hanging="245"/>
      </w:pPr>
      <w:rPr>
        <w:rFonts w:hint="default"/>
        <w:lang w:val="en-us" w:eastAsia="en-us" w:bidi="en-us"/>
      </w:rPr>
    </w:lvl>
    <w:lvl w:ilvl="3">
      <w:start w:val="0"/>
      <w:numFmt w:val="bullet"/>
      <w:lvlText w:val="•"/>
      <w:lvlJc w:val="left"/>
      <w:pPr>
        <w:ind w:left="5751" w:hanging="245"/>
      </w:pPr>
      <w:rPr>
        <w:rFonts w:hint="default"/>
        <w:lang w:val="en-us" w:eastAsia="en-us" w:bidi="en-us"/>
      </w:rPr>
    </w:lvl>
    <w:lvl w:ilvl="4">
      <w:start w:val="0"/>
      <w:numFmt w:val="bullet"/>
      <w:lvlText w:val="•"/>
      <w:lvlJc w:val="left"/>
      <w:pPr>
        <w:ind w:left="7335" w:hanging="245"/>
      </w:pPr>
      <w:rPr>
        <w:rFonts w:hint="default"/>
        <w:lang w:val="en-us" w:eastAsia="en-us" w:bidi="en-us"/>
      </w:rPr>
    </w:lvl>
    <w:lvl w:ilvl="5">
      <w:start w:val="0"/>
      <w:numFmt w:val="bullet"/>
      <w:lvlText w:val="•"/>
      <w:lvlJc w:val="left"/>
      <w:pPr>
        <w:ind w:left="8918" w:hanging="245"/>
      </w:pPr>
      <w:rPr>
        <w:rFonts w:hint="default"/>
        <w:lang w:val="en-us" w:eastAsia="en-us" w:bidi="en-us"/>
      </w:rPr>
    </w:lvl>
    <w:lvl w:ilvl="6">
      <w:start w:val="0"/>
      <w:numFmt w:val="bullet"/>
      <w:lvlText w:val="•"/>
      <w:lvlJc w:val="left"/>
      <w:pPr>
        <w:ind w:left="10502" w:hanging="245"/>
      </w:pPr>
      <w:rPr>
        <w:rFonts w:hint="default"/>
        <w:lang w:val="en-us" w:eastAsia="en-us" w:bidi="en-us"/>
      </w:rPr>
    </w:lvl>
    <w:lvl w:ilvl="7">
      <w:start w:val="0"/>
      <w:numFmt w:val="bullet"/>
      <w:lvlText w:val="•"/>
      <w:lvlJc w:val="left"/>
      <w:pPr>
        <w:ind w:left="12086" w:hanging="245"/>
      </w:pPr>
      <w:rPr>
        <w:rFonts w:hint="default"/>
        <w:lang w:val="en-us" w:eastAsia="en-us" w:bidi="en-us"/>
      </w:rPr>
    </w:lvl>
    <w:lvl w:ilvl="8">
      <w:start w:val="0"/>
      <w:numFmt w:val="bullet"/>
      <w:lvlText w:val="•"/>
      <w:lvlJc w:val="left"/>
      <w:pPr>
        <w:ind w:left="13670" w:hanging="245"/>
      </w:pPr>
      <w:rPr>
        <w:rFonts w:hint="default"/>
        <w:lang w:val="en-us" w:eastAsia="en-us" w:bidi="en-us"/>
      </w:rPr>
    </w:lvl>
  </w:abstractNum>
  <w:abstractNum w:abstractNumId="20">
    <w:multiLevelType w:val="hybridMultilevel"/>
    <w:lvl w:ilvl="0">
      <w:start w:val="2"/>
      <w:numFmt w:val="decimal"/>
      <w:lvlText w:val="%1."/>
      <w:lvlJc w:val="left"/>
      <w:pPr>
        <w:ind w:left="1001" w:hanging="239"/>
        <w:jc w:val="left"/>
      </w:pPr>
      <w:rPr>
        <w:rFonts w:hint="default" w:ascii="Arial" w:hAnsi="Arial" w:eastAsia="Arial" w:cs="Arial"/>
        <w:spacing w:val="-3"/>
        <w:w w:val="100"/>
        <w:sz w:val="22"/>
        <w:szCs w:val="22"/>
        <w:lang w:val="en-us" w:eastAsia="en-us" w:bidi="en-us"/>
      </w:rPr>
    </w:lvl>
    <w:lvl w:ilvl="1">
      <w:start w:val="0"/>
      <w:numFmt w:val="bullet"/>
      <w:lvlText w:val="•"/>
      <w:lvlJc w:val="left"/>
      <w:pPr>
        <w:ind w:left="2583" w:hanging="239"/>
      </w:pPr>
      <w:rPr>
        <w:rFonts w:hint="default"/>
        <w:lang w:val="en-us" w:eastAsia="en-us" w:bidi="en-us"/>
      </w:rPr>
    </w:lvl>
    <w:lvl w:ilvl="2">
      <w:start w:val="0"/>
      <w:numFmt w:val="bullet"/>
      <w:lvlText w:val="•"/>
      <w:lvlJc w:val="left"/>
      <w:pPr>
        <w:ind w:left="4167" w:hanging="239"/>
      </w:pPr>
      <w:rPr>
        <w:rFonts w:hint="default"/>
        <w:lang w:val="en-us" w:eastAsia="en-us" w:bidi="en-us"/>
      </w:rPr>
    </w:lvl>
    <w:lvl w:ilvl="3">
      <w:start w:val="0"/>
      <w:numFmt w:val="bullet"/>
      <w:lvlText w:val="•"/>
      <w:lvlJc w:val="left"/>
      <w:pPr>
        <w:ind w:left="5751" w:hanging="239"/>
      </w:pPr>
      <w:rPr>
        <w:rFonts w:hint="default"/>
        <w:lang w:val="en-us" w:eastAsia="en-us" w:bidi="en-us"/>
      </w:rPr>
    </w:lvl>
    <w:lvl w:ilvl="4">
      <w:start w:val="0"/>
      <w:numFmt w:val="bullet"/>
      <w:lvlText w:val="•"/>
      <w:lvlJc w:val="left"/>
      <w:pPr>
        <w:ind w:left="7335" w:hanging="239"/>
      </w:pPr>
      <w:rPr>
        <w:rFonts w:hint="default"/>
        <w:lang w:val="en-us" w:eastAsia="en-us" w:bidi="en-us"/>
      </w:rPr>
    </w:lvl>
    <w:lvl w:ilvl="5">
      <w:start w:val="0"/>
      <w:numFmt w:val="bullet"/>
      <w:lvlText w:val="•"/>
      <w:lvlJc w:val="left"/>
      <w:pPr>
        <w:ind w:left="8918" w:hanging="239"/>
      </w:pPr>
      <w:rPr>
        <w:rFonts w:hint="default"/>
        <w:lang w:val="en-us" w:eastAsia="en-us" w:bidi="en-us"/>
      </w:rPr>
    </w:lvl>
    <w:lvl w:ilvl="6">
      <w:start w:val="0"/>
      <w:numFmt w:val="bullet"/>
      <w:lvlText w:val="•"/>
      <w:lvlJc w:val="left"/>
      <w:pPr>
        <w:ind w:left="10502" w:hanging="239"/>
      </w:pPr>
      <w:rPr>
        <w:rFonts w:hint="default"/>
        <w:lang w:val="en-us" w:eastAsia="en-us" w:bidi="en-us"/>
      </w:rPr>
    </w:lvl>
    <w:lvl w:ilvl="7">
      <w:start w:val="0"/>
      <w:numFmt w:val="bullet"/>
      <w:lvlText w:val="•"/>
      <w:lvlJc w:val="left"/>
      <w:pPr>
        <w:ind w:left="12086" w:hanging="239"/>
      </w:pPr>
      <w:rPr>
        <w:rFonts w:hint="default"/>
        <w:lang w:val="en-us" w:eastAsia="en-us" w:bidi="en-us"/>
      </w:rPr>
    </w:lvl>
    <w:lvl w:ilvl="8">
      <w:start w:val="0"/>
      <w:numFmt w:val="bullet"/>
      <w:lvlText w:val="•"/>
      <w:lvlJc w:val="left"/>
      <w:pPr>
        <w:ind w:left="13670" w:hanging="239"/>
      </w:pPr>
      <w:rPr>
        <w:rFonts w:hint="default"/>
        <w:lang w:val="en-us" w:eastAsia="en-us" w:bidi="en-us"/>
      </w:rPr>
    </w:lvl>
  </w:abstractNum>
  <w:abstractNum w:abstractNumId="19">
    <w:multiLevelType w:val="hybridMultilevel"/>
    <w:lvl w:ilvl="0">
      <w:start w:val="1"/>
      <w:numFmt w:val="decimal"/>
      <w:lvlText w:val="%1."/>
      <w:lvlJc w:val="left"/>
      <w:pPr>
        <w:ind w:left="1010" w:hanging="245"/>
        <w:jc w:val="left"/>
      </w:pPr>
      <w:rPr>
        <w:rFonts w:hint="default" w:ascii="Arial" w:hAnsi="Arial" w:eastAsia="Arial" w:cs="Arial"/>
        <w:spacing w:val="-4"/>
        <w:w w:val="92"/>
        <w:sz w:val="22"/>
        <w:szCs w:val="22"/>
        <w:lang w:val="en-us" w:eastAsia="en-us" w:bidi="en-us"/>
      </w:rPr>
    </w:lvl>
    <w:lvl w:ilvl="1">
      <w:start w:val="0"/>
      <w:numFmt w:val="bullet"/>
      <w:lvlText w:val="•"/>
      <w:lvlJc w:val="left"/>
      <w:pPr>
        <w:ind w:left="2583" w:hanging="245"/>
      </w:pPr>
      <w:rPr>
        <w:rFonts w:hint="default"/>
        <w:lang w:val="en-us" w:eastAsia="en-us" w:bidi="en-us"/>
      </w:rPr>
    </w:lvl>
    <w:lvl w:ilvl="2">
      <w:start w:val="0"/>
      <w:numFmt w:val="bullet"/>
      <w:lvlText w:val="•"/>
      <w:lvlJc w:val="left"/>
      <w:pPr>
        <w:ind w:left="4167" w:hanging="245"/>
      </w:pPr>
      <w:rPr>
        <w:rFonts w:hint="default"/>
        <w:lang w:val="en-us" w:eastAsia="en-us" w:bidi="en-us"/>
      </w:rPr>
    </w:lvl>
    <w:lvl w:ilvl="3">
      <w:start w:val="0"/>
      <w:numFmt w:val="bullet"/>
      <w:lvlText w:val="•"/>
      <w:lvlJc w:val="left"/>
      <w:pPr>
        <w:ind w:left="5751" w:hanging="245"/>
      </w:pPr>
      <w:rPr>
        <w:rFonts w:hint="default"/>
        <w:lang w:val="en-us" w:eastAsia="en-us" w:bidi="en-us"/>
      </w:rPr>
    </w:lvl>
    <w:lvl w:ilvl="4">
      <w:start w:val="0"/>
      <w:numFmt w:val="bullet"/>
      <w:lvlText w:val="•"/>
      <w:lvlJc w:val="left"/>
      <w:pPr>
        <w:ind w:left="7335" w:hanging="245"/>
      </w:pPr>
      <w:rPr>
        <w:rFonts w:hint="default"/>
        <w:lang w:val="en-us" w:eastAsia="en-us" w:bidi="en-us"/>
      </w:rPr>
    </w:lvl>
    <w:lvl w:ilvl="5">
      <w:start w:val="0"/>
      <w:numFmt w:val="bullet"/>
      <w:lvlText w:val="•"/>
      <w:lvlJc w:val="left"/>
      <w:pPr>
        <w:ind w:left="8918" w:hanging="245"/>
      </w:pPr>
      <w:rPr>
        <w:rFonts w:hint="default"/>
        <w:lang w:val="en-us" w:eastAsia="en-us" w:bidi="en-us"/>
      </w:rPr>
    </w:lvl>
    <w:lvl w:ilvl="6">
      <w:start w:val="0"/>
      <w:numFmt w:val="bullet"/>
      <w:lvlText w:val="•"/>
      <w:lvlJc w:val="left"/>
      <w:pPr>
        <w:ind w:left="10502" w:hanging="245"/>
      </w:pPr>
      <w:rPr>
        <w:rFonts w:hint="default"/>
        <w:lang w:val="en-us" w:eastAsia="en-us" w:bidi="en-us"/>
      </w:rPr>
    </w:lvl>
    <w:lvl w:ilvl="7">
      <w:start w:val="0"/>
      <w:numFmt w:val="bullet"/>
      <w:lvlText w:val="•"/>
      <w:lvlJc w:val="left"/>
      <w:pPr>
        <w:ind w:left="12086" w:hanging="245"/>
      </w:pPr>
      <w:rPr>
        <w:rFonts w:hint="default"/>
        <w:lang w:val="en-us" w:eastAsia="en-us" w:bidi="en-us"/>
      </w:rPr>
    </w:lvl>
    <w:lvl w:ilvl="8">
      <w:start w:val="0"/>
      <w:numFmt w:val="bullet"/>
      <w:lvlText w:val="•"/>
      <w:lvlJc w:val="left"/>
      <w:pPr>
        <w:ind w:left="13670" w:hanging="245"/>
      </w:pPr>
      <w:rPr>
        <w:rFonts w:hint="default"/>
        <w:lang w:val="en-us" w:eastAsia="en-us" w:bidi="en-us"/>
      </w:rPr>
    </w:lvl>
  </w:abstractNum>
  <w:abstractNum w:abstractNumId="18">
    <w:multiLevelType w:val="hybridMultilevel"/>
    <w:lvl w:ilvl="0">
      <w:start w:val="1"/>
      <w:numFmt w:val="lowerLetter"/>
      <w:lvlText w:val="(%1)"/>
      <w:lvlJc w:val="left"/>
      <w:pPr>
        <w:ind w:left="957" w:hanging="192"/>
        <w:jc w:val="left"/>
      </w:pPr>
      <w:rPr>
        <w:rFonts w:hint="default" w:ascii="Arial" w:hAnsi="Arial" w:eastAsia="Arial" w:cs="Arial"/>
        <w:w w:val="81"/>
        <w:sz w:val="15"/>
        <w:szCs w:val="15"/>
        <w:lang w:val="en-us" w:eastAsia="en-us" w:bidi="en-us"/>
      </w:rPr>
    </w:lvl>
    <w:lvl w:ilvl="1">
      <w:start w:val="0"/>
      <w:numFmt w:val="bullet"/>
      <w:lvlText w:val="•"/>
      <w:lvlJc w:val="left"/>
      <w:pPr>
        <w:ind w:left="2547" w:hanging="192"/>
      </w:pPr>
      <w:rPr>
        <w:rFonts w:hint="default"/>
        <w:lang w:val="en-us" w:eastAsia="en-us" w:bidi="en-us"/>
      </w:rPr>
    </w:lvl>
    <w:lvl w:ilvl="2">
      <w:start w:val="0"/>
      <w:numFmt w:val="bullet"/>
      <w:lvlText w:val="•"/>
      <w:lvlJc w:val="left"/>
      <w:pPr>
        <w:ind w:left="4135" w:hanging="192"/>
      </w:pPr>
      <w:rPr>
        <w:rFonts w:hint="default"/>
        <w:lang w:val="en-us" w:eastAsia="en-us" w:bidi="en-us"/>
      </w:rPr>
    </w:lvl>
    <w:lvl w:ilvl="3">
      <w:start w:val="0"/>
      <w:numFmt w:val="bullet"/>
      <w:lvlText w:val="•"/>
      <w:lvlJc w:val="left"/>
      <w:pPr>
        <w:ind w:left="5723" w:hanging="192"/>
      </w:pPr>
      <w:rPr>
        <w:rFonts w:hint="default"/>
        <w:lang w:val="en-us" w:eastAsia="en-us" w:bidi="en-us"/>
      </w:rPr>
    </w:lvl>
    <w:lvl w:ilvl="4">
      <w:start w:val="0"/>
      <w:numFmt w:val="bullet"/>
      <w:lvlText w:val="•"/>
      <w:lvlJc w:val="left"/>
      <w:pPr>
        <w:ind w:left="7311" w:hanging="192"/>
      </w:pPr>
      <w:rPr>
        <w:rFonts w:hint="default"/>
        <w:lang w:val="en-us" w:eastAsia="en-us" w:bidi="en-us"/>
      </w:rPr>
    </w:lvl>
    <w:lvl w:ilvl="5">
      <w:start w:val="0"/>
      <w:numFmt w:val="bullet"/>
      <w:lvlText w:val="•"/>
      <w:lvlJc w:val="left"/>
      <w:pPr>
        <w:ind w:left="8898" w:hanging="192"/>
      </w:pPr>
      <w:rPr>
        <w:rFonts w:hint="default"/>
        <w:lang w:val="en-us" w:eastAsia="en-us" w:bidi="en-us"/>
      </w:rPr>
    </w:lvl>
    <w:lvl w:ilvl="6">
      <w:start w:val="0"/>
      <w:numFmt w:val="bullet"/>
      <w:lvlText w:val="•"/>
      <w:lvlJc w:val="left"/>
      <w:pPr>
        <w:ind w:left="10486" w:hanging="192"/>
      </w:pPr>
      <w:rPr>
        <w:rFonts w:hint="default"/>
        <w:lang w:val="en-us" w:eastAsia="en-us" w:bidi="en-us"/>
      </w:rPr>
    </w:lvl>
    <w:lvl w:ilvl="7">
      <w:start w:val="0"/>
      <w:numFmt w:val="bullet"/>
      <w:lvlText w:val="•"/>
      <w:lvlJc w:val="left"/>
      <w:pPr>
        <w:ind w:left="12074" w:hanging="192"/>
      </w:pPr>
      <w:rPr>
        <w:rFonts w:hint="default"/>
        <w:lang w:val="en-us" w:eastAsia="en-us" w:bidi="en-us"/>
      </w:rPr>
    </w:lvl>
    <w:lvl w:ilvl="8">
      <w:start w:val="0"/>
      <w:numFmt w:val="bullet"/>
      <w:lvlText w:val="•"/>
      <w:lvlJc w:val="left"/>
      <w:pPr>
        <w:ind w:left="13662" w:hanging="192"/>
      </w:pPr>
      <w:rPr>
        <w:rFonts w:hint="default"/>
        <w:lang w:val="en-us" w:eastAsia="en-us" w:bidi="en-us"/>
      </w:rPr>
    </w:lvl>
  </w:abstractNum>
  <w:abstractNum w:abstractNumId="17">
    <w:multiLevelType w:val="hybridMultilevel"/>
    <w:lvl w:ilvl="0">
      <w:start w:val="1"/>
      <w:numFmt w:val="lowerLetter"/>
      <w:lvlText w:val="(%1)"/>
      <w:lvlJc w:val="left"/>
      <w:pPr>
        <w:ind w:left="957" w:hanging="192"/>
        <w:jc w:val="left"/>
      </w:pPr>
      <w:rPr>
        <w:rFonts w:hint="default" w:ascii="Arial" w:hAnsi="Arial" w:eastAsia="Arial" w:cs="Arial"/>
        <w:w w:val="81"/>
        <w:sz w:val="15"/>
        <w:szCs w:val="15"/>
        <w:lang w:val="en-us" w:eastAsia="en-us" w:bidi="en-us"/>
      </w:rPr>
    </w:lvl>
    <w:lvl w:ilvl="1">
      <w:start w:val="0"/>
      <w:numFmt w:val="bullet"/>
      <w:lvlText w:val="•"/>
      <w:lvlJc w:val="left"/>
      <w:pPr>
        <w:ind w:left="2547" w:hanging="192"/>
      </w:pPr>
      <w:rPr>
        <w:rFonts w:hint="default"/>
        <w:lang w:val="en-us" w:eastAsia="en-us" w:bidi="en-us"/>
      </w:rPr>
    </w:lvl>
    <w:lvl w:ilvl="2">
      <w:start w:val="0"/>
      <w:numFmt w:val="bullet"/>
      <w:lvlText w:val="•"/>
      <w:lvlJc w:val="left"/>
      <w:pPr>
        <w:ind w:left="4135" w:hanging="192"/>
      </w:pPr>
      <w:rPr>
        <w:rFonts w:hint="default"/>
        <w:lang w:val="en-us" w:eastAsia="en-us" w:bidi="en-us"/>
      </w:rPr>
    </w:lvl>
    <w:lvl w:ilvl="3">
      <w:start w:val="0"/>
      <w:numFmt w:val="bullet"/>
      <w:lvlText w:val="•"/>
      <w:lvlJc w:val="left"/>
      <w:pPr>
        <w:ind w:left="5723" w:hanging="192"/>
      </w:pPr>
      <w:rPr>
        <w:rFonts w:hint="default"/>
        <w:lang w:val="en-us" w:eastAsia="en-us" w:bidi="en-us"/>
      </w:rPr>
    </w:lvl>
    <w:lvl w:ilvl="4">
      <w:start w:val="0"/>
      <w:numFmt w:val="bullet"/>
      <w:lvlText w:val="•"/>
      <w:lvlJc w:val="left"/>
      <w:pPr>
        <w:ind w:left="7311" w:hanging="192"/>
      </w:pPr>
      <w:rPr>
        <w:rFonts w:hint="default"/>
        <w:lang w:val="en-us" w:eastAsia="en-us" w:bidi="en-us"/>
      </w:rPr>
    </w:lvl>
    <w:lvl w:ilvl="5">
      <w:start w:val="0"/>
      <w:numFmt w:val="bullet"/>
      <w:lvlText w:val="•"/>
      <w:lvlJc w:val="left"/>
      <w:pPr>
        <w:ind w:left="8898" w:hanging="192"/>
      </w:pPr>
      <w:rPr>
        <w:rFonts w:hint="default"/>
        <w:lang w:val="en-us" w:eastAsia="en-us" w:bidi="en-us"/>
      </w:rPr>
    </w:lvl>
    <w:lvl w:ilvl="6">
      <w:start w:val="0"/>
      <w:numFmt w:val="bullet"/>
      <w:lvlText w:val="•"/>
      <w:lvlJc w:val="left"/>
      <w:pPr>
        <w:ind w:left="10486" w:hanging="192"/>
      </w:pPr>
      <w:rPr>
        <w:rFonts w:hint="default"/>
        <w:lang w:val="en-us" w:eastAsia="en-us" w:bidi="en-us"/>
      </w:rPr>
    </w:lvl>
    <w:lvl w:ilvl="7">
      <w:start w:val="0"/>
      <w:numFmt w:val="bullet"/>
      <w:lvlText w:val="•"/>
      <w:lvlJc w:val="left"/>
      <w:pPr>
        <w:ind w:left="12074" w:hanging="192"/>
      </w:pPr>
      <w:rPr>
        <w:rFonts w:hint="default"/>
        <w:lang w:val="en-us" w:eastAsia="en-us" w:bidi="en-us"/>
      </w:rPr>
    </w:lvl>
    <w:lvl w:ilvl="8">
      <w:start w:val="0"/>
      <w:numFmt w:val="bullet"/>
      <w:lvlText w:val="•"/>
      <w:lvlJc w:val="left"/>
      <w:pPr>
        <w:ind w:left="13662" w:hanging="192"/>
      </w:pPr>
      <w:rPr>
        <w:rFonts w:hint="default"/>
        <w:lang w:val="en-us" w:eastAsia="en-us" w:bidi="en-us"/>
      </w:rPr>
    </w:lvl>
  </w:abstractNum>
  <w:abstractNum w:abstractNumId="16">
    <w:multiLevelType w:val="hybridMultilevel"/>
    <w:lvl w:ilvl="0">
      <w:start w:val="1"/>
      <w:numFmt w:val="lowerLetter"/>
      <w:lvlText w:val="(%1)"/>
      <w:lvlJc w:val="left"/>
      <w:pPr>
        <w:ind w:left="957" w:hanging="192"/>
        <w:jc w:val="left"/>
      </w:pPr>
      <w:rPr>
        <w:rFonts w:hint="default"/>
        <w:w w:val="81"/>
        <w:lang w:val="en-us" w:eastAsia="en-us" w:bidi="en-us"/>
      </w:rPr>
    </w:lvl>
    <w:lvl w:ilvl="1">
      <w:start w:val="0"/>
      <w:numFmt w:val="bullet"/>
      <w:lvlText w:val="•"/>
      <w:lvlJc w:val="left"/>
      <w:pPr>
        <w:ind w:left="2547" w:hanging="192"/>
      </w:pPr>
      <w:rPr>
        <w:rFonts w:hint="default"/>
        <w:lang w:val="en-us" w:eastAsia="en-us" w:bidi="en-us"/>
      </w:rPr>
    </w:lvl>
    <w:lvl w:ilvl="2">
      <w:start w:val="0"/>
      <w:numFmt w:val="bullet"/>
      <w:lvlText w:val="•"/>
      <w:lvlJc w:val="left"/>
      <w:pPr>
        <w:ind w:left="4135" w:hanging="192"/>
      </w:pPr>
      <w:rPr>
        <w:rFonts w:hint="default"/>
        <w:lang w:val="en-us" w:eastAsia="en-us" w:bidi="en-us"/>
      </w:rPr>
    </w:lvl>
    <w:lvl w:ilvl="3">
      <w:start w:val="0"/>
      <w:numFmt w:val="bullet"/>
      <w:lvlText w:val="•"/>
      <w:lvlJc w:val="left"/>
      <w:pPr>
        <w:ind w:left="5723" w:hanging="192"/>
      </w:pPr>
      <w:rPr>
        <w:rFonts w:hint="default"/>
        <w:lang w:val="en-us" w:eastAsia="en-us" w:bidi="en-us"/>
      </w:rPr>
    </w:lvl>
    <w:lvl w:ilvl="4">
      <w:start w:val="0"/>
      <w:numFmt w:val="bullet"/>
      <w:lvlText w:val="•"/>
      <w:lvlJc w:val="left"/>
      <w:pPr>
        <w:ind w:left="7311" w:hanging="192"/>
      </w:pPr>
      <w:rPr>
        <w:rFonts w:hint="default"/>
        <w:lang w:val="en-us" w:eastAsia="en-us" w:bidi="en-us"/>
      </w:rPr>
    </w:lvl>
    <w:lvl w:ilvl="5">
      <w:start w:val="0"/>
      <w:numFmt w:val="bullet"/>
      <w:lvlText w:val="•"/>
      <w:lvlJc w:val="left"/>
      <w:pPr>
        <w:ind w:left="8898" w:hanging="192"/>
      </w:pPr>
      <w:rPr>
        <w:rFonts w:hint="default"/>
        <w:lang w:val="en-us" w:eastAsia="en-us" w:bidi="en-us"/>
      </w:rPr>
    </w:lvl>
    <w:lvl w:ilvl="6">
      <w:start w:val="0"/>
      <w:numFmt w:val="bullet"/>
      <w:lvlText w:val="•"/>
      <w:lvlJc w:val="left"/>
      <w:pPr>
        <w:ind w:left="10486" w:hanging="192"/>
      </w:pPr>
      <w:rPr>
        <w:rFonts w:hint="default"/>
        <w:lang w:val="en-us" w:eastAsia="en-us" w:bidi="en-us"/>
      </w:rPr>
    </w:lvl>
    <w:lvl w:ilvl="7">
      <w:start w:val="0"/>
      <w:numFmt w:val="bullet"/>
      <w:lvlText w:val="•"/>
      <w:lvlJc w:val="left"/>
      <w:pPr>
        <w:ind w:left="12074" w:hanging="192"/>
      </w:pPr>
      <w:rPr>
        <w:rFonts w:hint="default"/>
        <w:lang w:val="en-us" w:eastAsia="en-us" w:bidi="en-us"/>
      </w:rPr>
    </w:lvl>
    <w:lvl w:ilvl="8">
      <w:start w:val="0"/>
      <w:numFmt w:val="bullet"/>
      <w:lvlText w:val="•"/>
      <w:lvlJc w:val="left"/>
      <w:pPr>
        <w:ind w:left="13662" w:hanging="192"/>
      </w:pPr>
      <w:rPr>
        <w:rFonts w:hint="default"/>
        <w:lang w:val="en-us" w:eastAsia="en-us" w:bidi="en-us"/>
      </w:rPr>
    </w:lvl>
  </w:abstractNum>
  <w:abstractNum w:abstractNumId="15">
    <w:multiLevelType w:val="hybridMultilevel"/>
    <w:lvl w:ilvl="0">
      <w:start w:val="1"/>
      <w:numFmt w:val="lowerLetter"/>
      <w:lvlText w:val="(%1)"/>
      <w:lvlJc w:val="left"/>
      <w:pPr>
        <w:ind w:left="1083" w:hanging="318"/>
        <w:jc w:val="left"/>
      </w:pPr>
      <w:rPr>
        <w:rFonts w:hint="default" w:ascii="Arial" w:hAnsi="Arial" w:eastAsia="Arial" w:cs="Arial"/>
        <w:b/>
        <w:bCs/>
        <w:w w:val="95"/>
        <w:sz w:val="22"/>
        <w:szCs w:val="22"/>
        <w:lang w:val="en-us" w:eastAsia="en-us" w:bidi="en-us"/>
      </w:rPr>
    </w:lvl>
    <w:lvl w:ilvl="1">
      <w:start w:val="0"/>
      <w:numFmt w:val="bullet"/>
      <w:lvlText w:val="•"/>
      <w:lvlJc w:val="left"/>
      <w:pPr>
        <w:ind w:left="1783" w:hanging="318"/>
      </w:pPr>
      <w:rPr>
        <w:rFonts w:hint="default"/>
        <w:lang w:val="en-us" w:eastAsia="en-us" w:bidi="en-us"/>
      </w:rPr>
    </w:lvl>
    <w:lvl w:ilvl="2">
      <w:start w:val="0"/>
      <w:numFmt w:val="bullet"/>
      <w:lvlText w:val="•"/>
      <w:lvlJc w:val="left"/>
      <w:pPr>
        <w:ind w:left="2487" w:hanging="318"/>
      </w:pPr>
      <w:rPr>
        <w:rFonts w:hint="default"/>
        <w:lang w:val="en-us" w:eastAsia="en-us" w:bidi="en-us"/>
      </w:rPr>
    </w:lvl>
    <w:lvl w:ilvl="3">
      <w:start w:val="0"/>
      <w:numFmt w:val="bullet"/>
      <w:lvlText w:val="•"/>
      <w:lvlJc w:val="left"/>
      <w:pPr>
        <w:ind w:left="3190" w:hanging="318"/>
      </w:pPr>
      <w:rPr>
        <w:rFonts w:hint="default"/>
        <w:lang w:val="en-us" w:eastAsia="en-us" w:bidi="en-us"/>
      </w:rPr>
    </w:lvl>
    <w:lvl w:ilvl="4">
      <w:start w:val="0"/>
      <w:numFmt w:val="bullet"/>
      <w:lvlText w:val="•"/>
      <w:lvlJc w:val="left"/>
      <w:pPr>
        <w:ind w:left="3894" w:hanging="318"/>
      </w:pPr>
      <w:rPr>
        <w:rFonts w:hint="default"/>
        <w:lang w:val="en-us" w:eastAsia="en-us" w:bidi="en-us"/>
      </w:rPr>
    </w:lvl>
    <w:lvl w:ilvl="5">
      <w:start w:val="0"/>
      <w:numFmt w:val="bullet"/>
      <w:lvlText w:val="•"/>
      <w:lvlJc w:val="left"/>
      <w:pPr>
        <w:ind w:left="4598" w:hanging="318"/>
      </w:pPr>
      <w:rPr>
        <w:rFonts w:hint="default"/>
        <w:lang w:val="en-us" w:eastAsia="en-us" w:bidi="en-us"/>
      </w:rPr>
    </w:lvl>
    <w:lvl w:ilvl="6">
      <w:start w:val="0"/>
      <w:numFmt w:val="bullet"/>
      <w:lvlText w:val="•"/>
      <w:lvlJc w:val="left"/>
      <w:pPr>
        <w:ind w:left="5301" w:hanging="318"/>
      </w:pPr>
      <w:rPr>
        <w:rFonts w:hint="default"/>
        <w:lang w:val="en-us" w:eastAsia="en-us" w:bidi="en-us"/>
      </w:rPr>
    </w:lvl>
    <w:lvl w:ilvl="7">
      <w:start w:val="0"/>
      <w:numFmt w:val="bullet"/>
      <w:lvlText w:val="•"/>
      <w:lvlJc w:val="left"/>
      <w:pPr>
        <w:ind w:left="6005" w:hanging="318"/>
      </w:pPr>
      <w:rPr>
        <w:rFonts w:hint="default"/>
        <w:lang w:val="en-us" w:eastAsia="en-us" w:bidi="en-us"/>
      </w:rPr>
    </w:lvl>
    <w:lvl w:ilvl="8">
      <w:start w:val="0"/>
      <w:numFmt w:val="bullet"/>
      <w:lvlText w:val="•"/>
      <w:lvlJc w:val="left"/>
      <w:pPr>
        <w:ind w:left="6709" w:hanging="318"/>
      </w:pPr>
      <w:rPr>
        <w:rFonts w:hint="default"/>
        <w:lang w:val="en-us" w:eastAsia="en-us" w:bidi="en-us"/>
      </w:rPr>
    </w:lvl>
  </w:abstractNum>
  <w:abstractNum w:abstractNumId="14">
    <w:multiLevelType w:val="hybridMultilevel"/>
    <w:lvl w:ilvl="0">
      <w:start w:val="1"/>
      <w:numFmt w:val="lowerLetter"/>
      <w:lvlText w:val="(%1)"/>
      <w:lvlJc w:val="left"/>
      <w:pPr>
        <w:ind w:left="385" w:hanging="192"/>
        <w:jc w:val="left"/>
      </w:pPr>
      <w:rPr>
        <w:rFonts w:hint="default" w:ascii="Arial" w:hAnsi="Arial" w:eastAsia="Arial" w:cs="Arial"/>
        <w:w w:val="81"/>
        <w:sz w:val="15"/>
        <w:szCs w:val="15"/>
        <w:lang w:val="en-us" w:eastAsia="en-us" w:bidi="en-us"/>
      </w:rPr>
    </w:lvl>
    <w:lvl w:ilvl="1">
      <w:start w:val="1"/>
      <w:numFmt w:val="lowerLetter"/>
      <w:lvlText w:val="(%2)"/>
      <w:lvlJc w:val="left"/>
      <w:pPr>
        <w:ind w:left="8631" w:hanging="192"/>
        <w:jc w:val="left"/>
      </w:pPr>
      <w:rPr>
        <w:rFonts w:hint="default" w:ascii="Arial" w:hAnsi="Arial" w:eastAsia="Arial" w:cs="Arial"/>
        <w:w w:val="81"/>
        <w:sz w:val="15"/>
        <w:szCs w:val="15"/>
        <w:lang w:val="en-us" w:eastAsia="en-us" w:bidi="en-us"/>
      </w:rPr>
    </w:lvl>
    <w:lvl w:ilvl="2">
      <w:start w:val="0"/>
      <w:numFmt w:val="bullet"/>
      <w:lvlText w:val="•"/>
      <w:lvlJc w:val="left"/>
      <w:pPr>
        <w:ind w:left="8634" w:hanging="192"/>
      </w:pPr>
      <w:rPr>
        <w:rFonts w:hint="default"/>
        <w:lang w:val="en-us" w:eastAsia="en-us" w:bidi="en-us"/>
      </w:rPr>
    </w:lvl>
    <w:lvl w:ilvl="3">
      <w:start w:val="0"/>
      <w:numFmt w:val="bullet"/>
      <w:lvlText w:val="•"/>
      <w:lvlJc w:val="left"/>
      <w:pPr>
        <w:ind w:left="8629" w:hanging="192"/>
      </w:pPr>
      <w:rPr>
        <w:rFonts w:hint="default"/>
        <w:lang w:val="en-us" w:eastAsia="en-us" w:bidi="en-us"/>
      </w:rPr>
    </w:lvl>
    <w:lvl w:ilvl="4">
      <w:start w:val="0"/>
      <w:numFmt w:val="bullet"/>
      <w:lvlText w:val="•"/>
      <w:lvlJc w:val="left"/>
      <w:pPr>
        <w:ind w:left="8623" w:hanging="192"/>
      </w:pPr>
      <w:rPr>
        <w:rFonts w:hint="default"/>
        <w:lang w:val="en-us" w:eastAsia="en-us" w:bidi="en-us"/>
      </w:rPr>
    </w:lvl>
    <w:lvl w:ilvl="5">
      <w:start w:val="0"/>
      <w:numFmt w:val="bullet"/>
      <w:lvlText w:val="•"/>
      <w:lvlJc w:val="left"/>
      <w:pPr>
        <w:ind w:left="8618" w:hanging="192"/>
      </w:pPr>
      <w:rPr>
        <w:rFonts w:hint="default"/>
        <w:lang w:val="en-us" w:eastAsia="en-us" w:bidi="en-us"/>
      </w:rPr>
    </w:lvl>
    <w:lvl w:ilvl="6">
      <w:start w:val="0"/>
      <w:numFmt w:val="bullet"/>
      <w:lvlText w:val="•"/>
      <w:lvlJc w:val="left"/>
      <w:pPr>
        <w:ind w:left="8613" w:hanging="192"/>
      </w:pPr>
      <w:rPr>
        <w:rFonts w:hint="default"/>
        <w:lang w:val="en-us" w:eastAsia="en-us" w:bidi="en-us"/>
      </w:rPr>
    </w:lvl>
    <w:lvl w:ilvl="7">
      <w:start w:val="0"/>
      <w:numFmt w:val="bullet"/>
      <w:lvlText w:val="•"/>
      <w:lvlJc w:val="left"/>
      <w:pPr>
        <w:ind w:left="8607" w:hanging="192"/>
      </w:pPr>
      <w:rPr>
        <w:rFonts w:hint="default"/>
        <w:lang w:val="en-us" w:eastAsia="en-us" w:bidi="en-us"/>
      </w:rPr>
    </w:lvl>
    <w:lvl w:ilvl="8">
      <w:start w:val="0"/>
      <w:numFmt w:val="bullet"/>
      <w:lvlText w:val="•"/>
      <w:lvlJc w:val="left"/>
      <w:pPr>
        <w:ind w:left="8602" w:hanging="192"/>
      </w:pPr>
      <w:rPr>
        <w:rFonts w:hint="default"/>
        <w:lang w:val="en-us" w:eastAsia="en-us" w:bidi="en-us"/>
      </w:rPr>
    </w:lvl>
  </w:abstractNum>
  <w:abstractNum w:abstractNumId="13">
    <w:multiLevelType w:val="hybridMultilevel"/>
    <w:lvl w:ilvl="0">
      <w:start w:val="1"/>
      <w:numFmt w:val="lowerLetter"/>
      <w:lvlText w:val="(%1)"/>
      <w:lvlJc w:val="left"/>
      <w:pPr>
        <w:ind w:left="957" w:hanging="192"/>
        <w:jc w:val="left"/>
      </w:pPr>
      <w:rPr>
        <w:rFonts w:hint="default" w:ascii="Arial" w:hAnsi="Arial" w:eastAsia="Arial" w:cs="Arial"/>
        <w:w w:val="81"/>
        <w:sz w:val="15"/>
        <w:szCs w:val="15"/>
        <w:lang w:val="en-us" w:eastAsia="en-us" w:bidi="en-us"/>
      </w:rPr>
    </w:lvl>
    <w:lvl w:ilvl="1">
      <w:start w:val="0"/>
      <w:numFmt w:val="bullet"/>
      <w:lvlText w:val="•"/>
      <w:lvlJc w:val="left"/>
      <w:pPr>
        <w:ind w:left="1684" w:hanging="192"/>
      </w:pPr>
      <w:rPr>
        <w:rFonts w:hint="default"/>
        <w:lang w:val="en-us" w:eastAsia="en-us" w:bidi="en-us"/>
      </w:rPr>
    </w:lvl>
    <w:lvl w:ilvl="2">
      <w:start w:val="0"/>
      <w:numFmt w:val="bullet"/>
      <w:lvlText w:val="•"/>
      <w:lvlJc w:val="left"/>
      <w:pPr>
        <w:ind w:left="2409" w:hanging="192"/>
      </w:pPr>
      <w:rPr>
        <w:rFonts w:hint="default"/>
        <w:lang w:val="en-us" w:eastAsia="en-us" w:bidi="en-us"/>
      </w:rPr>
    </w:lvl>
    <w:lvl w:ilvl="3">
      <w:start w:val="0"/>
      <w:numFmt w:val="bullet"/>
      <w:lvlText w:val="•"/>
      <w:lvlJc w:val="left"/>
      <w:pPr>
        <w:ind w:left="3133" w:hanging="192"/>
      </w:pPr>
      <w:rPr>
        <w:rFonts w:hint="default"/>
        <w:lang w:val="en-us" w:eastAsia="en-us" w:bidi="en-us"/>
      </w:rPr>
    </w:lvl>
    <w:lvl w:ilvl="4">
      <w:start w:val="0"/>
      <w:numFmt w:val="bullet"/>
      <w:lvlText w:val="•"/>
      <w:lvlJc w:val="left"/>
      <w:pPr>
        <w:ind w:left="3858" w:hanging="192"/>
      </w:pPr>
      <w:rPr>
        <w:rFonts w:hint="default"/>
        <w:lang w:val="en-us" w:eastAsia="en-us" w:bidi="en-us"/>
      </w:rPr>
    </w:lvl>
    <w:lvl w:ilvl="5">
      <w:start w:val="0"/>
      <w:numFmt w:val="bullet"/>
      <w:lvlText w:val="•"/>
      <w:lvlJc w:val="left"/>
      <w:pPr>
        <w:ind w:left="4582" w:hanging="192"/>
      </w:pPr>
      <w:rPr>
        <w:rFonts w:hint="default"/>
        <w:lang w:val="en-us" w:eastAsia="en-us" w:bidi="en-us"/>
      </w:rPr>
    </w:lvl>
    <w:lvl w:ilvl="6">
      <w:start w:val="0"/>
      <w:numFmt w:val="bullet"/>
      <w:lvlText w:val="•"/>
      <w:lvlJc w:val="left"/>
      <w:pPr>
        <w:ind w:left="5307" w:hanging="192"/>
      </w:pPr>
      <w:rPr>
        <w:rFonts w:hint="default"/>
        <w:lang w:val="en-us" w:eastAsia="en-us" w:bidi="en-us"/>
      </w:rPr>
    </w:lvl>
    <w:lvl w:ilvl="7">
      <w:start w:val="0"/>
      <w:numFmt w:val="bullet"/>
      <w:lvlText w:val="•"/>
      <w:lvlJc w:val="left"/>
      <w:pPr>
        <w:ind w:left="6032" w:hanging="192"/>
      </w:pPr>
      <w:rPr>
        <w:rFonts w:hint="default"/>
        <w:lang w:val="en-us" w:eastAsia="en-us" w:bidi="en-us"/>
      </w:rPr>
    </w:lvl>
    <w:lvl w:ilvl="8">
      <w:start w:val="0"/>
      <w:numFmt w:val="bullet"/>
      <w:lvlText w:val="•"/>
      <w:lvlJc w:val="left"/>
      <w:pPr>
        <w:ind w:left="6756" w:hanging="192"/>
      </w:pPr>
      <w:rPr>
        <w:rFonts w:hint="default"/>
        <w:lang w:val="en-us" w:eastAsia="en-us" w:bidi="en-us"/>
      </w:rPr>
    </w:lvl>
  </w:abstractNum>
  <w:abstractNum w:abstractNumId="12">
    <w:multiLevelType w:val="hybridMultilevel"/>
    <w:lvl w:ilvl="0">
      <w:start w:val="1"/>
      <w:numFmt w:val="lowerLetter"/>
      <w:lvlText w:val="(%1)"/>
      <w:lvlJc w:val="left"/>
      <w:pPr>
        <w:ind w:left="973" w:hanging="192"/>
        <w:jc w:val="left"/>
      </w:pPr>
      <w:rPr>
        <w:rFonts w:hint="default" w:ascii="Arial" w:hAnsi="Arial" w:eastAsia="Arial" w:cs="Arial"/>
        <w:w w:val="81"/>
        <w:sz w:val="15"/>
        <w:szCs w:val="15"/>
        <w:lang w:val="en-us" w:eastAsia="en-us" w:bidi="en-us"/>
      </w:rPr>
    </w:lvl>
    <w:lvl w:ilvl="1">
      <w:start w:val="0"/>
      <w:numFmt w:val="bullet"/>
      <w:lvlText w:val="•"/>
      <w:lvlJc w:val="left"/>
      <w:pPr>
        <w:ind w:left="1702" w:hanging="192"/>
      </w:pPr>
      <w:rPr>
        <w:rFonts w:hint="default"/>
        <w:lang w:val="en-us" w:eastAsia="en-us" w:bidi="en-us"/>
      </w:rPr>
    </w:lvl>
    <w:lvl w:ilvl="2">
      <w:start w:val="0"/>
      <w:numFmt w:val="bullet"/>
      <w:lvlText w:val="•"/>
      <w:lvlJc w:val="left"/>
      <w:pPr>
        <w:ind w:left="2425" w:hanging="192"/>
      </w:pPr>
      <w:rPr>
        <w:rFonts w:hint="default"/>
        <w:lang w:val="en-us" w:eastAsia="en-us" w:bidi="en-us"/>
      </w:rPr>
    </w:lvl>
    <w:lvl w:ilvl="3">
      <w:start w:val="0"/>
      <w:numFmt w:val="bullet"/>
      <w:lvlText w:val="•"/>
      <w:lvlJc w:val="left"/>
      <w:pPr>
        <w:ind w:left="3147" w:hanging="192"/>
      </w:pPr>
      <w:rPr>
        <w:rFonts w:hint="default"/>
        <w:lang w:val="en-us" w:eastAsia="en-us" w:bidi="en-us"/>
      </w:rPr>
    </w:lvl>
    <w:lvl w:ilvl="4">
      <w:start w:val="0"/>
      <w:numFmt w:val="bullet"/>
      <w:lvlText w:val="•"/>
      <w:lvlJc w:val="left"/>
      <w:pPr>
        <w:ind w:left="3870" w:hanging="192"/>
      </w:pPr>
      <w:rPr>
        <w:rFonts w:hint="default"/>
        <w:lang w:val="en-us" w:eastAsia="en-us" w:bidi="en-us"/>
      </w:rPr>
    </w:lvl>
    <w:lvl w:ilvl="5">
      <w:start w:val="0"/>
      <w:numFmt w:val="bullet"/>
      <w:lvlText w:val="•"/>
      <w:lvlJc w:val="left"/>
      <w:pPr>
        <w:ind w:left="4593" w:hanging="192"/>
      </w:pPr>
      <w:rPr>
        <w:rFonts w:hint="default"/>
        <w:lang w:val="en-us" w:eastAsia="en-us" w:bidi="en-us"/>
      </w:rPr>
    </w:lvl>
    <w:lvl w:ilvl="6">
      <w:start w:val="0"/>
      <w:numFmt w:val="bullet"/>
      <w:lvlText w:val="•"/>
      <w:lvlJc w:val="left"/>
      <w:pPr>
        <w:ind w:left="5315" w:hanging="192"/>
      </w:pPr>
      <w:rPr>
        <w:rFonts w:hint="default"/>
        <w:lang w:val="en-us" w:eastAsia="en-us" w:bidi="en-us"/>
      </w:rPr>
    </w:lvl>
    <w:lvl w:ilvl="7">
      <w:start w:val="0"/>
      <w:numFmt w:val="bullet"/>
      <w:lvlText w:val="•"/>
      <w:lvlJc w:val="left"/>
      <w:pPr>
        <w:ind w:left="6038" w:hanging="192"/>
      </w:pPr>
      <w:rPr>
        <w:rFonts w:hint="default"/>
        <w:lang w:val="en-us" w:eastAsia="en-us" w:bidi="en-us"/>
      </w:rPr>
    </w:lvl>
    <w:lvl w:ilvl="8">
      <w:start w:val="0"/>
      <w:numFmt w:val="bullet"/>
      <w:lvlText w:val="•"/>
      <w:lvlJc w:val="left"/>
      <w:pPr>
        <w:ind w:left="6760" w:hanging="192"/>
      </w:pPr>
      <w:rPr>
        <w:rFonts w:hint="default"/>
        <w:lang w:val="en-us" w:eastAsia="en-us" w:bidi="en-us"/>
      </w:rPr>
    </w:lvl>
  </w:abstractNum>
  <w:abstractNum w:abstractNumId="11">
    <w:multiLevelType w:val="hybridMultilevel"/>
    <w:lvl w:ilvl="0">
      <w:start w:val="1"/>
      <w:numFmt w:val="lowerLetter"/>
      <w:lvlText w:val="(%1)"/>
      <w:lvlJc w:val="left"/>
      <w:pPr>
        <w:ind w:left="508" w:hanging="122"/>
        <w:jc w:val="left"/>
      </w:pPr>
      <w:rPr>
        <w:rFonts w:hint="default" w:ascii="Arial" w:hAnsi="Arial" w:eastAsia="Arial" w:cs="Arial"/>
        <w:spacing w:val="-2"/>
        <w:w w:val="81"/>
        <w:sz w:val="10"/>
        <w:szCs w:val="10"/>
        <w:lang w:val="en-us" w:eastAsia="en-us" w:bidi="en-us"/>
      </w:rPr>
    </w:lvl>
    <w:lvl w:ilvl="1">
      <w:start w:val="1"/>
      <w:numFmt w:val="lowerLetter"/>
      <w:lvlText w:val="(%2)"/>
      <w:lvlJc w:val="left"/>
      <w:pPr>
        <w:ind w:left="973" w:hanging="192"/>
        <w:jc w:val="left"/>
      </w:pPr>
      <w:rPr>
        <w:rFonts w:hint="default" w:ascii="Arial" w:hAnsi="Arial" w:eastAsia="Arial" w:cs="Arial"/>
        <w:w w:val="81"/>
        <w:sz w:val="15"/>
        <w:szCs w:val="15"/>
        <w:lang w:val="en-us" w:eastAsia="en-us" w:bidi="en-us"/>
      </w:rPr>
    </w:lvl>
    <w:lvl w:ilvl="2">
      <w:start w:val="0"/>
      <w:numFmt w:val="bullet"/>
      <w:lvlText w:val="•"/>
      <w:lvlJc w:val="left"/>
      <w:pPr>
        <w:ind w:left="1536" w:hanging="192"/>
      </w:pPr>
      <w:rPr>
        <w:rFonts w:hint="default"/>
        <w:lang w:val="en-us" w:eastAsia="en-us" w:bidi="en-us"/>
      </w:rPr>
    </w:lvl>
    <w:lvl w:ilvl="3">
      <w:start w:val="0"/>
      <w:numFmt w:val="bullet"/>
      <w:lvlText w:val="•"/>
      <w:lvlJc w:val="left"/>
      <w:pPr>
        <w:ind w:left="2092" w:hanging="192"/>
      </w:pPr>
      <w:rPr>
        <w:rFonts w:hint="default"/>
        <w:lang w:val="en-us" w:eastAsia="en-us" w:bidi="en-us"/>
      </w:rPr>
    </w:lvl>
    <w:lvl w:ilvl="4">
      <w:start w:val="0"/>
      <w:numFmt w:val="bullet"/>
      <w:lvlText w:val="•"/>
      <w:lvlJc w:val="left"/>
      <w:pPr>
        <w:ind w:left="2649" w:hanging="192"/>
      </w:pPr>
      <w:rPr>
        <w:rFonts w:hint="default"/>
        <w:lang w:val="en-us" w:eastAsia="en-us" w:bidi="en-us"/>
      </w:rPr>
    </w:lvl>
    <w:lvl w:ilvl="5">
      <w:start w:val="0"/>
      <w:numFmt w:val="bullet"/>
      <w:lvlText w:val="•"/>
      <w:lvlJc w:val="left"/>
      <w:pPr>
        <w:ind w:left="3205" w:hanging="192"/>
      </w:pPr>
      <w:rPr>
        <w:rFonts w:hint="default"/>
        <w:lang w:val="en-us" w:eastAsia="en-us" w:bidi="en-us"/>
      </w:rPr>
    </w:lvl>
    <w:lvl w:ilvl="6">
      <w:start w:val="0"/>
      <w:numFmt w:val="bullet"/>
      <w:lvlText w:val="•"/>
      <w:lvlJc w:val="left"/>
      <w:pPr>
        <w:ind w:left="3762" w:hanging="192"/>
      </w:pPr>
      <w:rPr>
        <w:rFonts w:hint="default"/>
        <w:lang w:val="en-us" w:eastAsia="en-us" w:bidi="en-us"/>
      </w:rPr>
    </w:lvl>
    <w:lvl w:ilvl="7">
      <w:start w:val="0"/>
      <w:numFmt w:val="bullet"/>
      <w:lvlText w:val="•"/>
      <w:lvlJc w:val="left"/>
      <w:pPr>
        <w:ind w:left="4318" w:hanging="192"/>
      </w:pPr>
      <w:rPr>
        <w:rFonts w:hint="default"/>
        <w:lang w:val="en-us" w:eastAsia="en-us" w:bidi="en-us"/>
      </w:rPr>
    </w:lvl>
    <w:lvl w:ilvl="8">
      <w:start w:val="0"/>
      <w:numFmt w:val="bullet"/>
      <w:lvlText w:val="•"/>
      <w:lvlJc w:val="left"/>
      <w:pPr>
        <w:ind w:left="4874" w:hanging="192"/>
      </w:pPr>
      <w:rPr>
        <w:rFonts w:hint="default"/>
        <w:lang w:val="en-us" w:eastAsia="en-us" w:bidi="en-us"/>
      </w:rPr>
    </w:lvl>
  </w:abstractNum>
  <w:abstractNum w:abstractNumId="10">
    <w:multiLevelType w:val="hybridMultilevel"/>
    <w:lvl w:ilvl="0">
      <w:start w:val="1"/>
      <w:numFmt w:val="lowerLetter"/>
      <w:lvlText w:val="(%1)"/>
      <w:lvlJc w:val="left"/>
      <w:pPr>
        <w:ind w:left="543" w:hanging="154"/>
        <w:jc w:val="left"/>
      </w:pPr>
      <w:rPr>
        <w:rFonts w:hint="default" w:ascii="Arial" w:hAnsi="Arial" w:eastAsia="Arial" w:cs="Arial"/>
        <w:w w:val="81"/>
        <w:sz w:val="12"/>
        <w:szCs w:val="12"/>
        <w:lang w:val="en-us" w:eastAsia="en-us" w:bidi="en-us"/>
      </w:rPr>
    </w:lvl>
    <w:lvl w:ilvl="1">
      <w:start w:val="0"/>
      <w:numFmt w:val="bullet"/>
      <w:lvlText w:val="•"/>
      <w:lvlJc w:val="left"/>
      <w:pPr>
        <w:ind w:left="1607" w:hanging="154"/>
      </w:pPr>
      <w:rPr>
        <w:rFonts w:hint="default"/>
        <w:lang w:val="en-us" w:eastAsia="en-us" w:bidi="en-us"/>
      </w:rPr>
    </w:lvl>
    <w:lvl w:ilvl="2">
      <w:start w:val="0"/>
      <w:numFmt w:val="bullet"/>
      <w:lvlText w:val="•"/>
      <w:lvlJc w:val="left"/>
      <w:pPr>
        <w:ind w:left="2675" w:hanging="154"/>
      </w:pPr>
      <w:rPr>
        <w:rFonts w:hint="default"/>
        <w:lang w:val="en-us" w:eastAsia="en-us" w:bidi="en-us"/>
      </w:rPr>
    </w:lvl>
    <w:lvl w:ilvl="3">
      <w:start w:val="0"/>
      <w:numFmt w:val="bullet"/>
      <w:lvlText w:val="•"/>
      <w:lvlJc w:val="left"/>
      <w:pPr>
        <w:ind w:left="3743" w:hanging="154"/>
      </w:pPr>
      <w:rPr>
        <w:rFonts w:hint="default"/>
        <w:lang w:val="en-us" w:eastAsia="en-us" w:bidi="en-us"/>
      </w:rPr>
    </w:lvl>
    <w:lvl w:ilvl="4">
      <w:start w:val="0"/>
      <w:numFmt w:val="bullet"/>
      <w:lvlText w:val="•"/>
      <w:lvlJc w:val="left"/>
      <w:pPr>
        <w:ind w:left="4811" w:hanging="154"/>
      </w:pPr>
      <w:rPr>
        <w:rFonts w:hint="default"/>
        <w:lang w:val="en-us" w:eastAsia="en-us" w:bidi="en-us"/>
      </w:rPr>
    </w:lvl>
    <w:lvl w:ilvl="5">
      <w:start w:val="0"/>
      <w:numFmt w:val="bullet"/>
      <w:lvlText w:val="•"/>
      <w:lvlJc w:val="left"/>
      <w:pPr>
        <w:ind w:left="5879" w:hanging="154"/>
      </w:pPr>
      <w:rPr>
        <w:rFonts w:hint="default"/>
        <w:lang w:val="en-us" w:eastAsia="en-us" w:bidi="en-us"/>
      </w:rPr>
    </w:lvl>
    <w:lvl w:ilvl="6">
      <w:start w:val="0"/>
      <w:numFmt w:val="bullet"/>
      <w:lvlText w:val="•"/>
      <w:lvlJc w:val="left"/>
      <w:pPr>
        <w:ind w:left="6946" w:hanging="154"/>
      </w:pPr>
      <w:rPr>
        <w:rFonts w:hint="default"/>
        <w:lang w:val="en-us" w:eastAsia="en-us" w:bidi="en-us"/>
      </w:rPr>
    </w:lvl>
    <w:lvl w:ilvl="7">
      <w:start w:val="0"/>
      <w:numFmt w:val="bullet"/>
      <w:lvlText w:val="•"/>
      <w:lvlJc w:val="left"/>
      <w:pPr>
        <w:ind w:left="8014" w:hanging="154"/>
      </w:pPr>
      <w:rPr>
        <w:rFonts w:hint="default"/>
        <w:lang w:val="en-us" w:eastAsia="en-us" w:bidi="en-us"/>
      </w:rPr>
    </w:lvl>
    <w:lvl w:ilvl="8">
      <w:start w:val="0"/>
      <w:numFmt w:val="bullet"/>
      <w:lvlText w:val="•"/>
      <w:lvlJc w:val="left"/>
      <w:pPr>
        <w:ind w:left="9082" w:hanging="154"/>
      </w:pPr>
      <w:rPr>
        <w:rFonts w:hint="default"/>
        <w:lang w:val="en-us" w:eastAsia="en-us" w:bidi="en-us"/>
      </w:rPr>
    </w:lvl>
  </w:abstractNum>
  <w:abstractNum w:abstractNumId="9">
    <w:multiLevelType w:val="hybridMultilevel"/>
    <w:lvl w:ilvl="0">
      <w:start w:val="1"/>
      <w:numFmt w:val="lowerLetter"/>
      <w:lvlText w:val="(%1)"/>
      <w:lvlJc w:val="left"/>
      <w:pPr>
        <w:ind w:left="566" w:hanging="154"/>
        <w:jc w:val="left"/>
      </w:pPr>
      <w:rPr>
        <w:rFonts w:hint="default" w:ascii="Arial" w:hAnsi="Arial" w:eastAsia="Arial" w:cs="Arial"/>
        <w:w w:val="81"/>
        <w:sz w:val="12"/>
        <w:szCs w:val="12"/>
        <w:lang w:val="en-us" w:eastAsia="en-us" w:bidi="en-us"/>
      </w:rPr>
    </w:lvl>
    <w:lvl w:ilvl="1">
      <w:start w:val="1"/>
      <w:numFmt w:val="lowerLetter"/>
      <w:lvlText w:val="(%2)"/>
      <w:lvlJc w:val="left"/>
      <w:pPr>
        <w:ind w:left="898" w:hanging="154"/>
        <w:jc w:val="left"/>
      </w:pPr>
      <w:rPr>
        <w:rFonts w:hint="default" w:ascii="Arial" w:hAnsi="Arial" w:eastAsia="Arial" w:cs="Arial"/>
        <w:w w:val="81"/>
        <w:sz w:val="12"/>
        <w:szCs w:val="12"/>
        <w:lang w:val="en-us" w:eastAsia="en-us" w:bidi="en-us"/>
      </w:rPr>
    </w:lvl>
    <w:lvl w:ilvl="2">
      <w:start w:val="0"/>
      <w:numFmt w:val="bullet"/>
      <w:lvlText w:val="•"/>
      <w:lvlJc w:val="left"/>
      <w:pPr>
        <w:ind w:left="215" w:hanging="154"/>
      </w:pPr>
      <w:rPr>
        <w:rFonts w:hint="default"/>
        <w:lang w:val="en-us" w:eastAsia="en-us" w:bidi="en-us"/>
      </w:rPr>
    </w:lvl>
    <w:lvl w:ilvl="3">
      <w:start w:val="0"/>
      <w:numFmt w:val="bullet"/>
      <w:lvlText w:val="•"/>
      <w:lvlJc w:val="left"/>
      <w:pPr>
        <w:ind w:left="-469" w:hanging="154"/>
      </w:pPr>
      <w:rPr>
        <w:rFonts w:hint="default"/>
        <w:lang w:val="en-us" w:eastAsia="en-us" w:bidi="en-us"/>
      </w:rPr>
    </w:lvl>
    <w:lvl w:ilvl="4">
      <w:start w:val="0"/>
      <w:numFmt w:val="bullet"/>
      <w:lvlText w:val="•"/>
      <w:lvlJc w:val="left"/>
      <w:pPr>
        <w:ind w:left="-1154" w:hanging="154"/>
      </w:pPr>
      <w:rPr>
        <w:rFonts w:hint="default"/>
        <w:lang w:val="en-us" w:eastAsia="en-us" w:bidi="en-us"/>
      </w:rPr>
    </w:lvl>
    <w:lvl w:ilvl="5">
      <w:start w:val="0"/>
      <w:numFmt w:val="bullet"/>
      <w:lvlText w:val="•"/>
      <w:lvlJc w:val="left"/>
      <w:pPr>
        <w:ind w:left="-1838" w:hanging="154"/>
      </w:pPr>
      <w:rPr>
        <w:rFonts w:hint="default"/>
        <w:lang w:val="en-us" w:eastAsia="en-us" w:bidi="en-us"/>
      </w:rPr>
    </w:lvl>
    <w:lvl w:ilvl="6">
      <w:start w:val="0"/>
      <w:numFmt w:val="bullet"/>
      <w:lvlText w:val="•"/>
      <w:lvlJc w:val="left"/>
      <w:pPr>
        <w:ind w:left="-2523" w:hanging="154"/>
      </w:pPr>
      <w:rPr>
        <w:rFonts w:hint="default"/>
        <w:lang w:val="en-us" w:eastAsia="en-us" w:bidi="en-us"/>
      </w:rPr>
    </w:lvl>
    <w:lvl w:ilvl="7">
      <w:start w:val="0"/>
      <w:numFmt w:val="bullet"/>
      <w:lvlText w:val="•"/>
      <w:lvlJc w:val="left"/>
      <w:pPr>
        <w:ind w:left="-3207" w:hanging="154"/>
      </w:pPr>
      <w:rPr>
        <w:rFonts w:hint="default"/>
        <w:lang w:val="en-us" w:eastAsia="en-us" w:bidi="en-us"/>
      </w:rPr>
    </w:lvl>
    <w:lvl w:ilvl="8">
      <w:start w:val="0"/>
      <w:numFmt w:val="bullet"/>
      <w:lvlText w:val="•"/>
      <w:lvlJc w:val="left"/>
      <w:pPr>
        <w:ind w:left="-3892" w:hanging="154"/>
      </w:pPr>
      <w:rPr>
        <w:rFonts w:hint="default"/>
        <w:lang w:val="en-us" w:eastAsia="en-us" w:bidi="en-us"/>
      </w:rPr>
    </w:lvl>
  </w:abstractNum>
  <w:abstractNum w:abstractNumId="8">
    <w:multiLevelType w:val="hybridMultilevel"/>
    <w:lvl w:ilvl="0">
      <w:start w:val="1"/>
      <w:numFmt w:val="lowerLetter"/>
      <w:lvlText w:val="(%1)"/>
      <w:lvlJc w:val="left"/>
      <w:pPr>
        <w:ind w:left="918" w:hanging="154"/>
        <w:jc w:val="left"/>
      </w:pPr>
      <w:rPr>
        <w:rFonts w:hint="default" w:ascii="Arial" w:hAnsi="Arial" w:eastAsia="Arial" w:cs="Arial"/>
        <w:w w:val="81"/>
        <w:sz w:val="12"/>
        <w:szCs w:val="12"/>
        <w:lang w:val="en-us" w:eastAsia="en-us" w:bidi="en-us"/>
      </w:rPr>
    </w:lvl>
    <w:lvl w:ilvl="1">
      <w:start w:val="0"/>
      <w:numFmt w:val="bullet"/>
      <w:lvlText w:val="•"/>
      <w:lvlJc w:val="left"/>
      <w:pPr>
        <w:ind w:left="1383" w:hanging="154"/>
      </w:pPr>
      <w:rPr>
        <w:rFonts w:hint="default"/>
        <w:lang w:val="en-us" w:eastAsia="en-us" w:bidi="en-us"/>
      </w:rPr>
    </w:lvl>
    <w:lvl w:ilvl="2">
      <w:start w:val="0"/>
      <w:numFmt w:val="bullet"/>
      <w:lvlText w:val="•"/>
      <w:lvlJc w:val="left"/>
      <w:pPr>
        <w:ind w:left="1847" w:hanging="154"/>
      </w:pPr>
      <w:rPr>
        <w:rFonts w:hint="default"/>
        <w:lang w:val="en-us" w:eastAsia="en-us" w:bidi="en-us"/>
      </w:rPr>
    </w:lvl>
    <w:lvl w:ilvl="3">
      <w:start w:val="0"/>
      <w:numFmt w:val="bullet"/>
      <w:lvlText w:val="•"/>
      <w:lvlJc w:val="left"/>
      <w:pPr>
        <w:ind w:left="2310" w:hanging="154"/>
      </w:pPr>
      <w:rPr>
        <w:rFonts w:hint="default"/>
        <w:lang w:val="en-us" w:eastAsia="en-us" w:bidi="en-us"/>
      </w:rPr>
    </w:lvl>
    <w:lvl w:ilvl="4">
      <w:start w:val="0"/>
      <w:numFmt w:val="bullet"/>
      <w:lvlText w:val="•"/>
      <w:lvlJc w:val="left"/>
      <w:pPr>
        <w:ind w:left="2774" w:hanging="154"/>
      </w:pPr>
      <w:rPr>
        <w:rFonts w:hint="default"/>
        <w:lang w:val="en-us" w:eastAsia="en-us" w:bidi="en-us"/>
      </w:rPr>
    </w:lvl>
    <w:lvl w:ilvl="5">
      <w:start w:val="0"/>
      <w:numFmt w:val="bullet"/>
      <w:lvlText w:val="•"/>
      <w:lvlJc w:val="left"/>
      <w:pPr>
        <w:ind w:left="3237" w:hanging="154"/>
      </w:pPr>
      <w:rPr>
        <w:rFonts w:hint="default"/>
        <w:lang w:val="en-us" w:eastAsia="en-us" w:bidi="en-us"/>
      </w:rPr>
    </w:lvl>
    <w:lvl w:ilvl="6">
      <w:start w:val="0"/>
      <w:numFmt w:val="bullet"/>
      <w:lvlText w:val="•"/>
      <w:lvlJc w:val="left"/>
      <w:pPr>
        <w:ind w:left="3701" w:hanging="154"/>
      </w:pPr>
      <w:rPr>
        <w:rFonts w:hint="default"/>
        <w:lang w:val="en-us" w:eastAsia="en-us" w:bidi="en-us"/>
      </w:rPr>
    </w:lvl>
    <w:lvl w:ilvl="7">
      <w:start w:val="0"/>
      <w:numFmt w:val="bullet"/>
      <w:lvlText w:val="•"/>
      <w:lvlJc w:val="left"/>
      <w:pPr>
        <w:ind w:left="4165" w:hanging="154"/>
      </w:pPr>
      <w:rPr>
        <w:rFonts w:hint="default"/>
        <w:lang w:val="en-us" w:eastAsia="en-us" w:bidi="en-us"/>
      </w:rPr>
    </w:lvl>
    <w:lvl w:ilvl="8">
      <w:start w:val="0"/>
      <w:numFmt w:val="bullet"/>
      <w:lvlText w:val="•"/>
      <w:lvlJc w:val="left"/>
      <w:pPr>
        <w:ind w:left="4628" w:hanging="154"/>
      </w:pPr>
      <w:rPr>
        <w:rFonts w:hint="default"/>
        <w:lang w:val="en-us" w:eastAsia="en-us" w:bidi="en-us"/>
      </w:rPr>
    </w:lvl>
  </w:abstractNum>
  <w:abstractNum w:abstractNumId="7">
    <w:multiLevelType w:val="hybridMultilevel"/>
    <w:lvl w:ilvl="0">
      <w:start w:val="0"/>
      <w:numFmt w:val="bullet"/>
      <w:lvlText w:val="-"/>
      <w:lvlJc w:val="left"/>
      <w:pPr>
        <w:ind w:left="1254" w:hanging="143"/>
      </w:pPr>
      <w:rPr>
        <w:rFonts w:hint="default" w:ascii="Arial" w:hAnsi="Arial" w:eastAsia="Arial" w:cs="Arial"/>
        <w:w w:val="111"/>
        <w:sz w:val="22"/>
        <w:szCs w:val="22"/>
        <w:lang w:val="en-us" w:eastAsia="en-us" w:bidi="en-us"/>
      </w:rPr>
    </w:lvl>
    <w:lvl w:ilvl="1">
      <w:start w:val="0"/>
      <w:numFmt w:val="bullet"/>
      <w:lvlText w:val="•"/>
      <w:lvlJc w:val="left"/>
      <w:pPr>
        <w:ind w:left="1683" w:hanging="143"/>
      </w:pPr>
      <w:rPr>
        <w:rFonts w:hint="default"/>
        <w:lang w:val="en-us" w:eastAsia="en-us" w:bidi="en-us"/>
      </w:rPr>
    </w:lvl>
    <w:lvl w:ilvl="2">
      <w:start w:val="0"/>
      <w:numFmt w:val="bullet"/>
      <w:lvlText w:val="•"/>
      <w:lvlJc w:val="left"/>
      <w:pPr>
        <w:ind w:left="2107" w:hanging="143"/>
      </w:pPr>
      <w:rPr>
        <w:rFonts w:hint="default"/>
        <w:lang w:val="en-us" w:eastAsia="en-us" w:bidi="en-us"/>
      </w:rPr>
    </w:lvl>
    <w:lvl w:ilvl="3">
      <w:start w:val="0"/>
      <w:numFmt w:val="bullet"/>
      <w:lvlText w:val="•"/>
      <w:lvlJc w:val="left"/>
      <w:pPr>
        <w:ind w:left="2530" w:hanging="143"/>
      </w:pPr>
      <w:rPr>
        <w:rFonts w:hint="default"/>
        <w:lang w:val="en-us" w:eastAsia="en-us" w:bidi="en-us"/>
      </w:rPr>
    </w:lvl>
    <w:lvl w:ilvl="4">
      <w:start w:val="0"/>
      <w:numFmt w:val="bullet"/>
      <w:lvlText w:val="•"/>
      <w:lvlJc w:val="left"/>
      <w:pPr>
        <w:ind w:left="2954" w:hanging="143"/>
      </w:pPr>
      <w:rPr>
        <w:rFonts w:hint="default"/>
        <w:lang w:val="en-us" w:eastAsia="en-us" w:bidi="en-us"/>
      </w:rPr>
    </w:lvl>
    <w:lvl w:ilvl="5">
      <w:start w:val="0"/>
      <w:numFmt w:val="bullet"/>
      <w:lvlText w:val="•"/>
      <w:lvlJc w:val="left"/>
      <w:pPr>
        <w:ind w:left="3378" w:hanging="143"/>
      </w:pPr>
      <w:rPr>
        <w:rFonts w:hint="default"/>
        <w:lang w:val="en-us" w:eastAsia="en-us" w:bidi="en-us"/>
      </w:rPr>
    </w:lvl>
    <w:lvl w:ilvl="6">
      <w:start w:val="0"/>
      <w:numFmt w:val="bullet"/>
      <w:lvlText w:val="•"/>
      <w:lvlJc w:val="left"/>
      <w:pPr>
        <w:ind w:left="3801" w:hanging="143"/>
      </w:pPr>
      <w:rPr>
        <w:rFonts w:hint="default"/>
        <w:lang w:val="en-us" w:eastAsia="en-us" w:bidi="en-us"/>
      </w:rPr>
    </w:lvl>
    <w:lvl w:ilvl="7">
      <w:start w:val="0"/>
      <w:numFmt w:val="bullet"/>
      <w:lvlText w:val="•"/>
      <w:lvlJc w:val="left"/>
      <w:pPr>
        <w:ind w:left="4225" w:hanging="143"/>
      </w:pPr>
      <w:rPr>
        <w:rFonts w:hint="default"/>
        <w:lang w:val="en-us" w:eastAsia="en-us" w:bidi="en-us"/>
      </w:rPr>
    </w:lvl>
    <w:lvl w:ilvl="8">
      <w:start w:val="0"/>
      <w:numFmt w:val="bullet"/>
      <w:lvlText w:val="•"/>
      <w:lvlJc w:val="left"/>
      <w:pPr>
        <w:ind w:left="4648" w:hanging="143"/>
      </w:pPr>
      <w:rPr>
        <w:rFonts w:hint="default"/>
        <w:lang w:val="en-us" w:eastAsia="en-us" w:bidi="en-us"/>
      </w:rPr>
    </w:lvl>
  </w:abstractNum>
  <w:abstractNum w:abstractNumId="6">
    <w:multiLevelType w:val="hybridMultilevel"/>
    <w:lvl w:ilvl="0">
      <w:start w:val="10"/>
      <w:numFmt w:val="lowerLetter"/>
      <w:lvlText w:val="(%1)"/>
      <w:lvlJc w:val="left"/>
      <w:pPr>
        <w:ind w:left="423" w:hanging="253"/>
        <w:jc w:val="right"/>
      </w:pPr>
      <w:rPr>
        <w:rFonts w:hint="default" w:ascii="Arial" w:hAnsi="Arial" w:eastAsia="Arial" w:cs="Arial"/>
        <w:b/>
        <w:bCs/>
        <w:w w:val="92"/>
        <w:sz w:val="22"/>
        <w:szCs w:val="22"/>
        <w:lang w:val="en-us" w:eastAsia="en-us" w:bidi="en-us"/>
      </w:rPr>
    </w:lvl>
    <w:lvl w:ilvl="1">
      <w:start w:val="0"/>
      <w:numFmt w:val="bullet"/>
      <w:lvlText w:val="•"/>
      <w:lvlJc w:val="left"/>
      <w:pPr>
        <w:ind w:left="878" w:hanging="253"/>
      </w:pPr>
      <w:rPr>
        <w:rFonts w:hint="default"/>
        <w:lang w:val="en-us" w:eastAsia="en-us" w:bidi="en-us"/>
      </w:rPr>
    </w:lvl>
    <w:lvl w:ilvl="2">
      <w:start w:val="0"/>
      <w:numFmt w:val="bullet"/>
      <w:lvlText w:val="•"/>
      <w:lvlJc w:val="left"/>
      <w:pPr>
        <w:ind w:left="1335" w:hanging="253"/>
      </w:pPr>
      <w:rPr>
        <w:rFonts w:hint="default"/>
        <w:lang w:val="en-us" w:eastAsia="en-us" w:bidi="en-us"/>
      </w:rPr>
    </w:lvl>
    <w:lvl w:ilvl="3">
      <w:start w:val="0"/>
      <w:numFmt w:val="bullet"/>
      <w:lvlText w:val="•"/>
      <w:lvlJc w:val="left"/>
      <w:pPr>
        <w:ind w:left="1793" w:hanging="253"/>
      </w:pPr>
      <w:rPr>
        <w:rFonts w:hint="default"/>
        <w:lang w:val="en-us" w:eastAsia="en-us" w:bidi="en-us"/>
      </w:rPr>
    </w:lvl>
    <w:lvl w:ilvl="4">
      <w:start w:val="0"/>
      <w:numFmt w:val="bullet"/>
      <w:lvlText w:val="•"/>
      <w:lvlJc w:val="left"/>
      <w:pPr>
        <w:ind w:left="2251" w:hanging="253"/>
      </w:pPr>
      <w:rPr>
        <w:rFonts w:hint="default"/>
        <w:lang w:val="en-us" w:eastAsia="en-us" w:bidi="en-us"/>
      </w:rPr>
    </w:lvl>
    <w:lvl w:ilvl="5">
      <w:start w:val="0"/>
      <w:numFmt w:val="bullet"/>
      <w:lvlText w:val="•"/>
      <w:lvlJc w:val="left"/>
      <w:pPr>
        <w:ind w:left="2709" w:hanging="253"/>
      </w:pPr>
      <w:rPr>
        <w:rFonts w:hint="default"/>
        <w:lang w:val="en-us" w:eastAsia="en-us" w:bidi="en-us"/>
      </w:rPr>
    </w:lvl>
    <w:lvl w:ilvl="6">
      <w:start w:val="0"/>
      <w:numFmt w:val="bullet"/>
      <w:lvlText w:val="•"/>
      <w:lvlJc w:val="left"/>
      <w:pPr>
        <w:ind w:left="3167" w:hanging="253"/>
      </w:pPr>
      <w:rPr>
        <w:rFonts w:hint="default"/>
        <w:lang w:val="en-us" w:eastAsia="en-us" w:bidi="en-us"/>
      </w:rPr>
    </w:lvl>
    <w:lvl w:ilvl="7">
      <w:start w:val="0"/>
      <w:numFmt w:val="bullet"/>
      <w:lvlText w:val="•"/>
      <w:lvlJc w:val="left"/>
      <w:pPr>
        <w:ind w:left="3625" w:hanging="253"/>
      </w:pPr>
      <w:rPr>
        <w:rFonts w:hint="default"/>
        <w:lang w:val="en-us" w:eastAsia="en-us" w:bidi="en-us"/>
      </w:rPr>
    </w:lvl>
    <w:lvl w:ilvl="8">
      <w:start w:val="0"/>
      <w:numFmt w:val="bullet"/>
      <w:lvlText w:val="•"/>
      <w:lvlJc w:val="left"/>
      <w:pPr>
        <w:ind w:left="4083" w:hanging="253"/>
      </w:pPr>
      <w:rPr>
        <w:rFonts w:hint="default"/>
        <w:lang w:val="en-us" w:eastAsia="en-us" w:bidi="en-us"/>
      </w:rPr>
    </w:lvl>
  </w:abstractNum>
  <w:abstractNum w:abstractNumId="5">
    <w:multiLevelType w:val="hybridMultilevel"/>
    <w:lvl w:ilvl="0">
      <w:start w:val="1"/>
      <w:numFmt w:val="lowerLetter"/>
      <w:lvlText w:val="(%1)"/>
      <w:lvlJc w:val="left"/>
      <w:pPr>
        <w:ind w:left="977" w:hanging="192"/>
        <w:jc w:val="left"/>
      </w:pPr>
      <w:rPr>
        <w:rFonts w:hint="default" w:ascii="Arial" w:hAnsi="Arial" w:eastAsia="Arial" w:cs="Arial"/>
        <w:w w:val="81"/>
        <w:sz w:val="15"/>
        <w:szCs w:val="15"/>
        <w:lang w:val="en-us" w:eastAsia="en-us" w:bidi="en-us"/>
      </w:rPr>
    </w:lvl>
    <w:lvl w:ilvl="1">
      <w:start w:val="0"/>
      <w:numFmt w:val="bullet"/>
      <w:lvlText w:val="•"/>
      <w:lvlJc w:val="left"/>
      <w:pPr>
        <w:ind w:left="1440" w:hanging="192"/>
      </w:pPr>
      <w:rPr>
        <w:rFonts w:hint="default"/>
        <w:lang w:val="en-us" w:eastAsia="en-us" w:bidi="en-us"/>
      </w:rPr>
    </w:lvl>
    <w:lvl w:ilvl="2">
      <w:start w:val="0"/>
      <w:numFmt w:val="bullet"/>
      <w:lvlText w:val="•"/>
      <w:lvlJc w:val="left"/>
      <w:pPr>
        <w:ind w:left="1900" w:hanging="192"/>
      </w:pPr>
      <w:rPr>
        <w:rFonts w:hint="default"/>
        <w:lang w:val="en-us" w:eastAsia="en-us" w:bidi="en-us"/>
      </w:rPr>
    </w:lvl>
    <w:lvl w:ilvl="3">
      <w:start w:val="0"/>
      <w:numFmt w:val="bullet"/>
      <w:lvlText w:val="•"/>
      <w:lvlJc w:val="left"/>
      <w:pPr>
        <w:ind w:left="2360" w:hanging="192"/>
      </w:pPr>
      <w:rPr>
        <w:rFonts w:hint="default"/>
        <w:lang w:val="en-us" w:eastAsia="en-us" w:bidi="en-us"/>
      </w:rPr>
    </w:lvl>
    <w:lvl w:ilvl="4">
      <w:start w:val="0"/>
      <w:numFmt w:val="bullet"/>
      <w:lvlText w:val="•"/>
      <w:lvlJc w:val="left"/>
      <w:pPr>
        <w:ind w:left="2820" w:hanging="192"/>
      </w:pPr>
      <w:rPr>
        <w:rFonts w:hint="default"/>
        <w:lang w:val="en-us" w:eastAsia="en-us" w:bidi="en-us"/>
      </w:rPr>
    </w:lvl>
    <w:lvl w:ilvl="5">
      <w:start w:val="0"/>
      <w:numFmt w:val="bullet"/>
      <w:lvlText w:val="•"/>
      <w:lvlJc w:val="left"/>
      <w:pPr>
        <w:ind w:left="3280" w:hanging="192"/>
      </w:pPr>
      <w:rPr>
        <w:rFonts w:hint="default"/>
        <w:lang w:val="en-us" w:eastAsia="en-us" w:bidi="en-us"/>
      </w:rPr>
    </w:lvl>
    <w:lvl w:ilvl="6">
      <w:start w:val="0"/>
      <w:numFmt w:val="bullet"/>
      <w:lvlText w:val="•"/>
      <w:lvlJc w:val="left"/>
      <w:pPr>
        <w:ind w:left="3740" w:hanging="192"/>
      </w:pPr>
      <w:rPr>
        <w:rFonts w:hint="default"/>
        <w:lang w:val="en-us" w:eastAsia="en-us" w:bidi="en-us"/>
      </w:rPr>
    </w:lvl>
    <w:lvl w:ilvl="7">
      <w:start w:val="0"/>
      <w:numFmt w:val="bullet"/>
      <w:lvlText w:val="•"/>
      <w:lvlJc w:val="left"/>
      <w:pPr>
        <w:ind w:left="4201" w:hanging="192"/>
      </w:pPr>
      <w:rPr>
        <w:rFonts w:hint="default"/>
        <w:lang w:val="en-us" w:eastAsia="en-us" w:bidi="en-us"/>
      </w:rPr>
    </w:lvl>
    <w:lvl w:ilvl="8">
      <w:start w:val="0"/>
      <w:numFmt w:val="bullet"/>
      <w:lvlText w:val="•"/>
      <w:lvlJc w:val="left"/>
      <w:pPr>
        <w:ind w:left="4661" w:hanging="192"/>
      </w:pPr>
      <w:rPr>
        <w:rFonts w:hint="default"/>
        <w:lang w:val="en-us" w:eastAsia="en-us" w:bidi="en-us"/>
      </w:rPr>
    </w:lvl>
  </w:abstractNum>
  <w:abstractNum w:abstractNumId="4">
    <w:multiLevelType w:val="hybridMultilevel"/>
    <w:lvl w:ilvl="0">
      <w:start w:val="1"/>
      <w:numFmt w:val="lowerLetter"/>
      <w:lvlText w:val="(%1)"/>
      <w:lvlJc w:val="left"/>
      <w:pPr>
        <w:ind w:left="741" w:hanging="318"/>
        <w:jc w:val="right"/>
      </w:pPr>
      <w:rPr>
        <w:rFonts w:hint="default" w:ascii="Arial" w:hAnsi="Arial" w:eastAsia="Arial" w:cs="Arial"/>
        <w:b/>
        <w:bCs/>
        <w:w w:val="95"/>
        <w:sz w:val="22"/>
        <w:szCs w:val="22"/>
        <w:lang w:val="en-us" w:eastAsia="en-us" w:bidi="en-us"/>
      </w:rPr>
    </w:lvl>
    <w:lvl w:ilvl="1">
      <w:start w:val="0"/>
      <w:numFmt w:val="bullet"/>
      <w:lvlText w:val="•"/>
      <w:lvlJc w:val="left"/>
      <w:pPr>
        <w:ind w:left="1186" w:hanging="318"/>
      </w:pPr>
      <w:rPr>
        <w:rFonts w:hint="default"/>
        <w:lang w:val="en-us" w:eastAsia="en-us" w:bidi="en-us"/>
      </w:rPr>
    </w:lvl>
    <w:lvl w:ilvl="2">
      <w:start w:val="0"/>
      <w:numFmt w:val="bullet"/>
      <w:lvlText w:val="•"/>
      <w:lvlJc w:val="left"/>
      <w:pPr>
        <w:ind w:left="1633" w:hanging="318"/>
      </w:pPr>
      <w:rPr>
        <w:rFonts w:hint="default"/>
        <w:lang w:val="en-us" w:eastAsia="en-us" w:bidi="en-us"/>
      </w:rPr>
    </w:lvl>
    <w:lvl w:ilvl="3">
      <w:start w:val="0"/>
      <w:numFmt w:val="bullet"/>
      <w:lvlText w:val="•"/>
      <w:lvlJc w:val="left"/>
      <w:pPr>
        <w:ind w:left="2080" w:hanging="318"/>
      </w:pPr>
      <w:rPr>
        <w:rFonts w:hint="default"/>
        <w:lang w:val="en-us" w:eastAsia="en-us" w:bidi="en-us"/>
      </w:rPr>
    </w:lvl>
    <w:lvl w:ilvl="4">
      <w:start w:val="0"/>
      <w:numFmt w:val="bullet"/>
      <w:lvlText w:val="•"/>
      <w:lvlJc w:val="left"/>
      <w:pPr>
        <w:ind w:left="2527" w:hanging="318"/>
      </w:pPr>
      <w:rPr>
        <w:rFonts w:hint="default"/>
        <w:lang w:val="en-us" w:eastAsia="en-us" w:bidi="en-us"/>
      </w:rPr>
    </w:lvl>
    <w:lvl w:ilvl="5">
      <w:start w:val="0"/>
      <w:numFmt w:val="bullet"/>
      <w:lvlText w:val="•"/>
      <w:lvlJc w:val="left"/>
      <w:pPr>
        <w:ind w:left="2973" w:hanging="318"/>
      </w:pPr>
      <w:rPr>
        <w:rFonts w:hint="default"/>
        <w:lang w:val="en-us" w:eastAsia="en-us" w:bidi="en-us"/>
      </w:rPr>
    </w:lvl>
    <w:lvl w:ilvl="6">
      <w:start w:val="0"/>
      <w:numFmt w:val="bullet"/>
      <w:lvlText w:val="•"/>
      <w:lvlJc w:val="left"/>
      <w:pPr>
        <w:ind w:left="3420" w:hanging="318"/>
      </w:pPr>
      <w:rPr>
        <w:rFonts w:hint="default"/>
        <w:lang w:val="en-us" w:eastAsia="en-us" w:bidi="en-us"/>
      </w:rPr>
    </w:lvl>
    <w:lvl w:ilvl="7">
      <w:start w:val="0"/>
      <w:numFmt w:val="bullet"/>
      <w:lvlText w:val="•"/>
      <w:lvlJc w:val="left"/>
      <w:pPr>
        <w:ind w:left="3867" w:hanging="318"/>
      </w:pPr>
      <w:rPr>
        <w:rFonts w:hint="default"/>
        <w:lang w:val="en-us" w:eastAsia="en-us" w:bidi="en-us"/>
      </w:rPr>
    </w:lvl>
    <w:lvl w:ilvl="8">
      <w:start w:val="0"/>
      <w:numFmt w:val="bullet"/>
      <w:lvlText w:val="•"/>
      <w:lvlJc w:val="left"/>
      <w:pPr>
        <w:ind w:left="4314" w:hanging="318"/>
      </w:pPr>
      <w:rPr>
        <w:rFonts w:hint="default"/>
        <w:lang w:val="en-us" w:eastAsia="en-us" w:bidi="en-us"/>
      </w:rPr>
    </w:lvl>
  </w:abstractNum>
  <w:abstractNum w:abstractNumId="3">
    <w:multiLevelType w:val="hybridMultilevel"/>
    <w:lvl w:ilvl="0">
      <w:start w:val="1"/>
      <w:numFmt w:val="lowerLetter"/>
      <w:lvlText w:val="(%1)"/>
      <w:lvlJc w:val="left"/>
      <w:pPr>
        <w:ind w:left="995" w:hanging="231"/>
        <w:jc w:val="left"/>
      </w:pPr>
      <w:rPr>
        <w:rFonts w:hint="default" w:ascii="Arial" w:hAnsi="Arial" w:eastAsia="Arial" w:cs="Arial"/>
        <w:w w:val="81"/>
        <w:sz w:val="18"/>
        <w:szCs w:val="18"/>
        <w:lang w:val="en-us" w:eastAsia="en-us" w:bidi="en-us"/>
      </w:rPr>
    </w:lvl>
    <w:lvl w:ilvl="1">
      <w:start w:val="0"/>
      <w:numFmt w:val="bullet"/>
      <w:lvlText w:val="•"/>
      <w:lvlJc w:val="left"/>
      <w:pPr>
        <w:ind w:left="2583" w:hanging="231"/>
      </w:pPr>
      <w:rPr>
        <w:rFonts w:hint="default"/>
        <w:lang w:val="en-us" w:eastAsia="en-us" w:bidi="en-us"/>
      </w:rPr>
    </w:lvl>
    <w:lvl w:ilvl="2">
      <w:start w:val="0"/>
      <w:numFmt w:val="bullet"/>
      <w:lvlText w:val="•"/>
      <w:lvlJc w:val="left"/>
      <w:pPr>
        <w:ind w:left="4167" w:hanging="231"/>
      </w:pPr>
      <w:rPr>
        <w:rFonts w:hint="default"/>
        <w:lang w:val="en-us" w:eastAsia="en-us" w:bidi="en-us"/>
      </w:rPr>
    </w:lvl>
    <w:lvl w:ilvl="3">
      <w:start w:val="0"/>
      <w:numFmt w:val="bullet"/>
      <w:lvlText w:val="•"/>
      <w:lvlJc w:val="left"/>
      <w:pPr>
        <w:ind w:left="5751" w:hanging="231"/>
      </w:pPr>
      <w:rPr>
        <w:rFonts w:hint="default"/>
        <w:lang w:val="en-us" w:eastAsia="en-us" w:bidi="en-us"/>
      </w:rPr>
    </w:lvl>
    <w:lvl w:ilvl="4">
      <w:start w:val="0"/>
      <w:numFmt w:val="bullet"/>
      <w:lvlText w:val="•"/>
      <w:lvlJc w:val="left"/>
      <w:pPr>
        <w:ind w:left="7335" w:hanging="231"/>
      </w:pPr>
      <w:rPr>
        <w:rFonts w:hint="default"/>
        <w:lang w:val="en-us" w:eastAsia="en-us" w:bidi="en-us"/>
      </w:rPr>
    </w:lvl>
    <w:lvl w:ilvl="5">
      <w:start w:val="0"/>
      <w:numFmt w:val="bullet"/>
      <w:lvlText w:val="•"/>
      <w:lvlJc w:val="left"/>
      <w:pPr>
        <w:ind w:left="8918" w:hanging="231"/>
      </w:pPr>
      <w:rPr>
        <w:rFonts w:hint="default"/>
        <w:lang w:val="en-us" w:eastAsia="en-us" w:bidi="en-us"/>
      </w:rPr>
    </w:lvl>
    <w:lvl w:ilvl="6">
      <w:start w:val="0"/>
      <w:numFmt w:val="bullet"/>
      <w:lvlText w:val="•"/>
      <w:lvlJc w:val="left"/>
      <w:pPr>
        <w:ind w:left="10502" w:hanging="231"/>
      </w:pPr>
      <w:rPr>
        <w:rFonts w:hint="default"/>
        <w:lang w:val="en-us" w:eastAsia="en-us" w:bidi="en-us"/>
      </w:rPr>
    </w:lvl>
    <w:lvl w:ilvl="7">
      <w:start w:val="0"/>
      <w:numFmt w:val="bullet"/>
      <w:lvlText w:val="•"/>
      <w:lvlJc w:val="left"/>
      <w:pPr>
        <w:ind w:left="12086" w:hanging="231"/>
      </w:pPr>
      <w:rPr>
        <w:rFonts w:hint="default"/>
        <w:lang w:val="en-us" w:eastAsia="en-us" w:bidi="en-us"/>
      </w:rPr>
    </w:lvl>
    <w:lvl w:ilvl="8">
      <w:start w:val="0"/>
      <w:numFmt w:val="bullet"/>
      <w:lvlText w:val="•"/>
      <w:lvlJc w:val="left"/>
      <w:pPr>
        <w:ind w:left="13670" w:hanging="231"/>
      </w:pPr>
      <w:rPr>
        <w:rFonts w:hint="default"/>
        <w:lang w:val="en-us" w:eastAsia="en-us" w:bidi="en-us"/>
      </w:rPr>
    </w:lvl>
  </w:abstractNum>
  <w:abstractNum w:abstractNumId="2">
    <w:multiLevelType w:val="hybridMultilevel"/>
    <w:lvl w:ilvl="0">
      <w:start w:val="1"/>
      <w:numFmt w:val="lowerLetter"/>
      <w:lvlText w:val="(%1)"/>
      <w:lvlJc w:val="left"/>
      <w:pPr>
        <w:ind w:left="995" w:hanging="231"/>
        <w:jc w:val="left"/>
      </w:pPr>
      <w:rPr>
        <w:rFonts w:hint="default" w:ascii="Arial" w:hAnsi="Arial" w:eastAsia="Arial" w:cs="Arial"/>
        <w:w w:val="81"/>
        <w:sz w:val="18"/>
        <w:szCs w:val="18"/>
        <w:lang w:val="en-us" w:eastAsia="en-us" w:bidi="en-us"/>
      </w:rPr>
    </w:lvl>
    <w:lvl w:ilvl="1">
      <w:start w:val="0"/>
      <w:numFmt w:val="bullet"/>
      <w:lvlText w:val="•"/>
      <w:lvlJc w:val="left"/>
      <w:pPr>
        <w:ind w:left="2583" w:hanging="231"/>
      </w:pPr>
      <w:rPr>
        <w:rFonts w:hint="default"/>
        <w:lang w:val="en-us" w:eastAsia="en-us" w:bidi="en-us"/>
      </w:rPr>
    </w:lvl>
    <w:lvl w:ilvl="2">
      <w:start w:val="0"/>
      <w:numFmt w:val="bullet"/>
      <w:lvlText w:val="•"/>
      <w:lvlJc w:val="left"/>
      <w:pPr>
        <w:ind w:left="4167" w:hanging="231"/>
      </w:pPr>
      <w:rPr>
        <w:rFonts w:hint="default"/>
        <w:lang w:val="en-us" w:eastAsia="en-us" w:bidi="en-us"/>
      </w:rPr>
    </w:lvl>
    <w:lvl w:ilvl="3">
      <w:start w:val="0"/>
      <w:numFmt w:val="bullet"/>
      <w:lvlText w:val="•"/>
      <w:lvlJc w:val="left"/>
      <w:pPr>
        <w:ind w:left="5751" w:hanging="231"/>
      </w:pPr>
      <w:rPr>
        <w:rFonts w:hint="default"/>
        <w:lang w:val="en-us" w:eastAsia="en-us" w:bidi="en-us"/>
      </w:rPr>
    </w:lvl>
    <w:lvl w:ilvl="4">
      <w:start w:val="0"/>
      <w:numFmt w:val="bullet"/>
      <w:lvlText w:val="•"/>
      <w:lvlJc w:val="left"/>
      <w:pPr>
        <w:ind w:left="7335" w:hanging="231"/>
      </w:pPr>
      <w:rPr>
        <w:rFonts w:hint="default"/>
        <w:lang w:val="en-us" w:eastAsia="en-us" w:bidi="en-us"/>
      </w:rPr>
    </w:lvl>
    <w:lvl w:ilvl="5">
      <w:start w:val="0"/>
      <w:numFmt w:val="bullet"/>
      <w:lvlText w:val="•"/>
      <w:lvlJc w:val="left"/>
      <w:pPr>
        <w:ind w:left="8918" w:hanging="231"/>
      </w:pPr>
      <w:rPr>
        <w:rFonts w:hint="default"/>
        <w:lang w:val="en-us" w:eastAsia="en-us" w:bidi="en-us"/>
      </w:rPr>
    </w:lvl>
    <w:lvl w:ilvl="6">
      <w:start w:val="0"/>
      <w:numFmt w:val="bullet"/>
      <w:lvlText w:val="•"/>
      <w:lvlJc w:val="left"/>
      <w:pPr>
        <w:ind w:left="10502" w:hanging="231"/>
      </w:pPr>
      <w:rPr>
        <w:rFonts w:hint="default"/>
        <w:lang w:val="en-us" w:eastAsia="en-us" w:bidi="en-us"/>
      </w:rPr>
    </w:lvl>
    <w:lvl w:ilvl="7">
      <w:start w:val="0"/>
      <w:numFmt w:val="bullet"/>
      <w:lvlText w:val="•"/>
      <w:lvlJc w:val="left"/>
      <w:pPr>
        <w:ind w:left="12086" w:hanging="231"/>
      </w:pPr>
      <w:rPr>
        <w:rFonts w:hint="default"/>
        <w:lang w:val="en-us" w:eastAsia="en-us" w:bidi="en-us"/>
      </w:rPr>
    </w:lvl>
    <w:lvl w:ilvl="8">
      <w:start w:val="0"/>
      <w:numFmt w:val="bullet"/>
      <w:lvlText w:val="•"/>
      <w:lvlJc w:val="left"/>
      <w:pPr>
        <w:ind w:left="13670" w:hanging="231"/>
      </w:pPr>
      <w:rPr>
        <w:rFonts w:hint="default"/>
        <w:lang w:val="en-us" w:eastAsia="en-us" w:bidi="en-us"/>
      </w:rPr>
    </w:lvl>
  </w:abstractNum>
  <w:abstractNum w:abstractNumId="1">
    <w:multiLevelType w:val="hybridMultilevel"/>
    <w:lvl w:ilvl="0">
      <w:start w:val="1"/>
      <w:numFmt w:val="lowerLetter"/>
      <w:lvlText w:val="(%1)"/>
      <w:lvlJc w:val="left"/>
      <w:pPr>
        <w:ind w:left="995" w:hanging="231"/>
        <w:jc w:val="left"/>
      </w:pPr>
      <w:rPr>
        <w:rFonts w:hint="default" w:ascii="Arial" w:hAnsi="Arial" w:eastAsia="Arial" w:cs="Arial"/>
        <w:w w:val="81"/>
        <w:sz w:val="18"/>
        <w:szCs w:val="18"/>
        <w:lang w:val="en-us" w:eastAsia="en-us" w:bidi="en-us"/>
      </w:rPr>
    </w:lvl>
    <w:lvl w:ilvl="1">
      <w:start w:val="0"/>
      <w:numFmt w:val="bullet"/>
      <w:lvlText w:val="•"/>
      <w:lvlJc w:val="left"/>
      <w:pPr>
        <w:ind w:left="2583" w:hanging="231"/>
      </w:pPr>
      <w:rPr>
        <w:rFonts w:hint="default"/>
        <w:lang w:val="en-us" w:eastAsia="en-us" w:bidi="en-us"/>
      </w:rPr>
    </w:lvl>
    <w:lvl w:ilvl="2">
      <w:start w:val="0"/>
      <w:numFmt w:val="bullet"/>
      <w:lvlText w:val="•"/>
      <w:lvlJc w:val="left"/>
      <w:pPr>
        <w:ind w:left="4167" w:hanging="231"/>
      </w:pPr>
      <w:rPr>
        <w:rFonts w:hint="default"/>
        <w:lang w:val="en-us" w:eastAsia="en-us" w:bidi="en-us"/>
      </w:rPr>
    </w:lvl>
    <w:lvl w:ilvl="3">
      <w:start w:val="0"/>
      <w:numFmt w:val="bullet"/>
      <w:lvlText w:val="•"/>
      <w:lvlJc w:val="left"/>
      <w:pPr>
        <w:ind w:left="5751" w:hanging="231"/>
      </w:pPr>
      <w:rPr>
        <w:rFonts w:hint="default"/>
        <w:lang w:val="en-us" w:eastAsia="en-us" w:bidi="en-us"/>
      </w:rPr>
    </w:lvl>
    <w:lvl w:ilvl="4">
      <w:start w:val="0"/>
      <w:numFmt w:val="bullet"/>
      <w:lvlText w:val="•"/>
      <w:lvlJc w:val="left"/>
      <w:pPr>
        <w:ind w:left="7335" w:hanging="231"/>
      </w:pPr>
      <w:rPr>
        <w:rFonts w:hint="default"/>
        <w:lang w:val="en-us" w:eastAsia="en-us" w:bidi="en-us"/>
      </w:rPr>
    </w:lvl>
    <w:lvl w:ilvl="5">
      <w:start w:val="0"/>
      <w:numFmt w:val="bullet"/>
      <w:lvlText w:val="•"/>
      <w:lvlJc w:val="left"/>
      <w:pPr>
        <w:ind w:left="8918" w:hanging="231"/>
      </w:pPr>
      <w:rPr>
        <w:rFonts w:hint="default"/>
        <w:lang w:val="en-us" w:eastAsia="en-us" w:bidi="en-us"/>
      </w:rPr>
    </w:lvl>
    <w:lvl w:ilvl="6">
      <w:start w:val="0"/>
      <w:numFmt w:val="bullet"/>
      <w:lvlText w:val="•"/>
      <w:lvlJc w:val="left"/>
      <w:pPr>
        <w:ind w:left="10502" w:hanging="231"/>
      </w:pPr>
      <w:rPr>
        <w:rFonts w:hint="default"/>
        <w:lang w:val="en-us" w:eastAsia="en-us" w:bidi="en-us"/>
      </w:rPr>
    </w:lvl>
    <w:lvl w:ilvl="7">
      <w:start w:val="0"/>
      <w:numFmt w:val="bullet"/>
      <w:lvlText w:val="•"/>
      <w:lvlJc w:val="left"/>
      <w:pPr>
        <w:ind w:left="12086" w:hanging="231"/>
      </w:pPr>
      <w:rPr>
        <w:rFonts w:hint="default"/>
        <w:lang w:val="en-us" w:eastAsia="en-us" w:bidi="en-us"/>
      </w:rPr>
    </w:lvl>
    <w:lvl w:ilvl="8">
      <w:start w:val="0"/>
      <w:numFmt w:val="bullet"/>
      <w:lvlText w:val="•"/>
      <w:lvlJc w:val="left"/>
      <w:pPr>
        <w:ind w:left="13670" w:hanging="231"/>
      </w:pPr>
      <w:rPr>
        <w:rFonts w:hint="default"/>
        <w:lang w:val="en-us" w:eastAsia="en-us" w:bidi="en-us"/>
      </w:rPr>
    </w:lvl>
  </w:abstractNum>
  <w:abstractNum w:abstractNumId="0">
    <w:multiLevelType w:val="hybridMultilevel"/>
    <w:lvl w:ilvl="0">
      <w:start w:val="1"/>
      <w:numFmt w:val="lowerLetter"/>
      <w:lvlText w:val="(%1)"/>
      <w:lvlJc w:val="left"/>
      <w:pPr>
        <w:ind w:left="918" w:hanging="154"/>
        <w:jc w:val="left"/>
      </w:pPr>
      <w:rPr>
        <w:rFonts w:hint="default" w:ascii="Arial" w:hAnsi="Arial" w:eastAsia="Arial" w:cs="Arial"/>
        <w:w w:val="81"/>
        <w:sz w:val="12"/>
        <w:szCs w:val="12"/>
        <w:lang w:val="en-us" w:eastAsia="en-us" w:bidi="en-us"/>
      </w:rPr>
    </w:lvl>
    <w:lvl w:ilvl="1">
      <w:start w:val="0"/>
      <w:numFmt w:val="bullet"/>
      <w:lvlText w:val="•"/>
      <w:lvlJc w:val="left"/>
      <w:pPr>
        <w:ind w:left="2511" w:hanging="154"/>
      </w:pPr>
      <w:rPr>
        <w:rFonts w:hint="default"/>
        <w:lang w:val="en-us" w:eastAsia="en-us" w:bidi="en-us"/>
      </w:rPr>
    </w:lvl>
    <w:lvl w:ilvl="2">
      <w:start w:val="0"/>
      <w:numFmt w:val="bullet"/>
      <w:lvlText w:val="•"/>
      <w:lvlJc w:val="left"/>
      <w:pPr>
        <w:ind w:left="4103" w:hanging="154"/>
      </w:pPr>
      <w:rPr>
        <w:rFonts w:hint="default"/>
        <w:lang w:val="en-us" w:eastAsia="en-us" w:bidi="en-us"/>
      </w:rPr>
    </w:lvl>
    <w:lvl w:ilvl="3">
      <w:start w:val="0"/>
      <w:numFmt w:val="bullet"/>
      <w:lvlText w:val="•"/>
      <w:lvlJc w:val="left"/>
      <w:pPr>
        <w:ind w:left="5695" w:hanging="154"/>
      </w:pPr>
      <w:rPr>
        <w:rFonts w:hint="default"/>
        <w:lang w:val="en-us" w:eastAsia="en-us" w:bidi="en-us"/>
      </w:rPr>
    </w:lvl>
    <w:lvl w:ilvl="4">
      <w:start w:val="0"/>
      <w:numFmt w:val="bullet"/>
      <w:lvlText w:val="•"/>
      <w:lvlJc w:val="left"/>
      <w:pPr>
        <w:ind w:left="7287" w:hanging="154"/>
      </w:pPr>
      <w:rPr>
        <w:rFonts w:hint="default"/>
        <w:lang w:val="en-us" w:eastAsia="en-us" w:bidi="en-us"/>
      </w:rPr>
    </w:lvl>
    <w:lvl w:ilvl="5">
      <w:start w:val="0"/>
      <w:numFmt w:val="bullet"/>
      <w:lvlText w:val="•"/>
      <w:lvlJc w:val="left"/>
      <w:pPr>
        <w:ind w:left="8878" w:hanging="154"/>
      </w:pPr>
      <w:rPr>
        <w:rFonts w:hint="default"/>
        <w:lang w:val="en-us" w:eastAsia="en-us" w:bidi="en-us"/>
      </w:rPr>
    </w:lvl>
    <w:lvl w:ilvl="6">
      <w:start w:val="0"/>
      <w:numFmt w:val="bullet"/>
      <w:lvlText w:val="•"/>
      <w:lvlJc w:val="left"/>
      <w:pPr>
        <w:ind w:left="10470" w:hanging="154"/>
      </w:pPr>
      <w:rPr>
        <w:rFonts w:hint="default"/>
        <w:lang w:val="en-us" w:eastAsia="en-us" w:bidi="en-us"/>
      </w:rPr>
    </w:lvl>
    <w:lvl w:ilvl="7">
      <w:start w:val="0"/>
      <w:numFmt w:val="bullet"/>
      <w:lvlText w:val="•"/>
      <w:lvlJc w:val="left"/>
      <w:pPr>
        <w:ind w:left="12062" w:hanging="154"/>
      </w:pPr>
      <w:rPr>
        <w:rFonts w:hint="default"/>
        <w:lang w:val="en-us" w:eastAsia="en-us" w:bidi="en-us"/>
      </w:rPr>
    </w:lvl>
    <w:lvl w:ilvl="8">
      <w:start w:val="0"/>
      <w:numFmt w:val="bullet"/>
      <w:lvlText w:val="•"/>
      <w:lvlJc w:val="left"/>
      <w:pPr>
        <w:ind w:left="13654" w:hanging="154"/>
      </w:pPr>
      <w:rPr>
        <w:rFonts w:hint="default"/>
        <w:lang w:val="en-us" w:eastAsia="en-us" w:bidi="en-us"/>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08"/>
      <w:ind w:left="576"/>
    </w:pPr>
    <w:rPr>
      <w:rFonts w:ascii="Arial" w:hAnsi="Arial" w:eastAsia="Arial" w:cs="Arial"/>
      <w:b/>
      <w:bCs/>
      <w:sz w:val="22"/>
      <w:szCs w:val="22"/>
      <w:lang w:val="en-us" w:eastAsia="en-us" w:bidi="en-us"/>
    </w:rPr>
  </w:style>
  <w:style w:styleId="TOC2" w:type="paragraph">
    <w:name w:val="TOC 2"/>
    <w:basedOn w:val="Normal"/>
    <w:uiPriority w:val="1"/>
    <w:qFormat/>
    <w:pPr>
      <w:spacing w:before="431"/>
      <w:ind w:left="765"/>
    </w:pPr>
    <w:rPr>
      <w:rFonts w:ascii="Arial" w:hAnsi="Arial" w:eastAsia="Arial" w:cs="Arial"/>
      <w:b/>
      <w:bCs/>
      <w:sz w:val="22"/>
      <w:szCs w:val="22"/>
      <w:lang w:val="en-us" w:eastAsia="en-us" w:bidi="en-us"/>
    </w:rPr>
  </w:style>
  <w:style w:styleId="TOC3" w:type="paragraph">
    <w:name w:val="TOC 3"/>
    <w:basedOn w:val="Normal"/>
    <w:uiPriority w:val="1"/>
    <w:qFormat/>
    <w:pPr>
      <w:spacing w:before="167"/>
      <w:ind w:left="877"/>
    </w:pPr>
    <w:rPr>
      <w:rFonts w:ascii="Arial" w:hAnsi="Arial" w:eastAsia="Arial" w:cs="Arial"/>
      <w:sz w:val="22"/>
      <w:szCs w:val="22"/>
      <w:lang w:val="en-us" w:eastAsia="en-us" w:bidi="en-us"/>
    </w:rPr>
  </w:style>
  <w:style w:styleId="TOC4" w:type="paragraph">
    <w:name w:val="TOC 4"/>
    <w:basedOn w:val="Normal"/>
    <w:uiPriority w:val="1"/>
    <w:qFormat/>
    <w:pPr>
      <w:spacing w:before="167"/>
      <w:ind w:left="1045"/>
    </w:pPr>
    <w:rPr>
      <w:rFonts w:ascii="Arial" w:hAnsi="Arial" w:eastAsia="Arial" w:cs="Arial"/>
      <w:sz w:val="22"/>
      <w:szCs w:val="22"/>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92"/>
      <w:ind w:left="765"/>
      <w:outlineLvl w:val="1"/>
    </w:pPr>
    <w:rPr>
      <w:rFonts w:ascii="Arial" w:hAnsi="Arial" w:eastAsia="Arial" w:cs="Arial"/>
      <w:sz w:val="72"/>
      <w:szCs w:val="72"/>
      <w:lang w:val="en-us" w:eastAsia="en-us" w:bidi="en-us"/>
    </w:rPr>
  </w:style>
  <w:style w:styleId="Heading2" w:type="paragraph">
    <w:name w:val="Heading 2"/>
    <w:basedOn w:val="Normal"/>
    <w:uiPriority w:val="1"/>
    <w:qFormat/>
    <w:pPr>
      <w:spacing w:before="94"/>
      <w:ind w:left="765"/>
      <w:outlineLvl w:val="2"/>
    </w:pPr>
    <w:rPr>
      <w:rFonts w:ascii="Arial" w:hAnsi="Arial" w:eastAsia="Arial" w:cs="Arial"/>
      <w:sz w:val="54"/>
      <w:szCs w:val="54"/>
      <w:lang w:val="en-us" w:eastAsia="en-us" w:bidi="en-us"/>
    </w:rPr>
  </w:style>
  <w:style w:styleId="Heading3" w:type="paragraph">
    <w:name w:val="Heading 3"/>
    <w:basedOn w:val="Normal"/>
    <w:uiPriority w:val="1"/>
    <w:qFormat/>
    <w:pPr>
      <w:spacing w:before="116"/>
      <w:ind w:left="1074"/>
      <w:outlineLvl w:val="3"/>
    </w:pPr>
    <w:rPr>
      <w:rFonts w:ascii="Arial" w:hAnsi="Arial" w:eastAsia="Arial" w:cs="Arial"/>
      <w:b/>
      <w:bCs/>
      <w:sz w:val="43"/>
      <w:szCs w:val="43"/>
      <w:lang w:val="en-us" w:eastAsia="en-us" w:bidi="en-us"/>
    </w:rPr>
  </w:style>
  <w:style w:styleId="Heading4" w:type="paragraph">
    <w:name w:val="Heading 4"/>
    <w:basedOn w:val="Normal"/>
    <w:uiPriority w:val="1"/>
    <w:qFormat/>
    <w:pPr>
      <w:spacing w:before="30"/>
      <w:ind w:left="765"/>
      <w:outlineLvl w:val="4"/>
    </w:pPr>
    <w:rPr>
      <w:rFonts w:ascii="Arial" w:hAnsi="Arial" w:eastAsia="Arial" w:cs="Arial"/>
      <w:sz w:val="36"/>
      <w:szCs w:val="36"/>
      <w:lang w:val="en-us" w:eastAsia="en-us" w:bidi="en-us"/>
    </w:rPr>
  </w:style>
  <w:style w:styleId="Heading5" w:type="paragraph">
    <w:name w:val="Heading 5"/>
    <w:basedOn w:val="Normal"/>
    <w:uiPriority w:val="1"/>
    <w:qFormat/>
    <w:pPr>
      <w:spacing w:before="109"/>
      <w:ind w:left="765"/>
      <w:outlineLvl w:val="5"/>
    </w:pPr>
    <w:rPr>
      <w:rFonts w:ascii="Arial" w:hAnsi="Arial" w:eastAsia="Arial" w:cs="Arial"/>
      <w:sz w:val="32"/>
      <w:szCs w:val="32"/>
      <w:lang w:val="en-us" w:eastAsia="en-us" w:bidi="en-us"/>
    </w:rPr>
  </w:style>
  <w:style w:styleId="Heading6" w:type="paragraph">
    <w:name w:val="Heading 6"/>
    <w:basedOn w:val="Normal"/>
    <w:uiPriority w:val="1"/>
    <w:qFormat/>
    <w:pPr>
      <w:ind w:left="765"/>
      <w:outlineLvl w:val="6"/>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1010" w:hanging="245"/>
    </w:pPr>
    <w:rPr>
      <w:rFonts w:ascii="Arial" w:hAnsi="Arial" w:eastAsia="Arial" w:cs="Arial"/>
      <w:lang w:val="en-us" w:eastAsia="en-us" w:bidi="en-us"/>
    </w:rPr>
  </w:style>
  <w:style w:styleId="TableParagraph" w:type="paragraph">
    <w:name w:val="Table Paragraph"/>
    <w:basedOn w:val="Normal"/>
    <w:uiPriority w:val="1"/>
    <w:qFormat/>
    <w:pPr>
      <w:spacing w:before="32"/>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mailto:Corporate.Communications@finance.wa.gov.au"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oter" Target="footer2.xm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footer" Target="footer3.xml"/><Relationship Id="rId23" Type="http://schemas.openxmlformats.org/officeDocument/2006/relationships/image" Target="media/image15.jpeg"/><Relationship Id="rId24" Type="http://schemas.openxmlformats.org/officeDocument/2006/relationships/footer" Target="footer4.xml"/><Relationship Id="rId25" Type="http://schemas.openxmlformats.org/officeDocument/2006/relationships/hyperlink" Target="http://www.finance.wa.gov.au/cms/index.aspx" TargetMode="External"/><Relationship Id="rId26" Type="http://schemas.openxmlformats.org/officeDocument/2006/relationships/image" Target="media/image16.jpeg"/><Relationship Id="rId27" Type="http://schemas.openxmlformats.org/officeDocument/2006/relationships/footer" Target="footer5.xml"/><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footer" Target="footer6.xml"/><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footer" Target="footer7.xml"/><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footer" Target="footer8.xml"/><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footer" Target="footer9.xml"/><Relationship Id="rId46" Type="http://schemas.openxmlformats.org/officeDocument/2006/relationships/image" Target="media/image31.jpeg"/><Relationship Id="rId47" Type="http://schemas.openxmlformats.org/officeDocument/2006/relationships/footer" Target="footer10.xml"/><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footer" Target="footer11.xml"/><Relationship Id="rId51" Type="http://schemas.openxmlformats.org/officeDocument/2006/relationships/image" Target="media/image34.png"/><Relationship Id="rId52" Type="http://schemas.openxmlformats.org/officeDocument/2006/relationships/footer" Target="footer12.xml"/><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footer" Target="footer13.xml"/><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footer" Target="footer14.xml"/><Relationship Id="rId66" Type="http://schemas.openxmlformats.org/officeDocument/2006/relationships/footer" Target="footer15.xml"/><Relationship Id="rId67" Type="http://schemas.openxmlformats.org/officeDocument/2006/relationships/image" Target="media/image46.jpe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footer" Target="footer16.xml"/><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hyperlink" Target="https://www.wa.gov.au/agency/office-of-digital-government/2016/05/25/digital-wa-western-australian-government-ict-strategy-2016-2020/" TargetMode="External"/><Relationship Id="rId75" Type="http://schemas.openxmlformats.org/officeDocument/2006/relationships/footer" Target="footer17.xml"/><Relationship Id="rId76" Type="http://schemas.openxmlformats.org/officeDocument/2006/relationships/image" Target="media/image52.png"/><Relationship Id="rId77" Type="http://schemas.openxmlformats.org/officeDocument/2006/relationships/footer" Target="footer18.xml"/><Relationship Id="rId78" Type="http://schemas.openxmlformats.org/officeDocument/2006/relationships/image" Target="media/image53.png"/><Relationship Id="rId79" Type="http://schemas.openxmlformats.org/officeDocument/2006/relationships/image" Target="media/image54.png"/><Relationship Id="rId80" Type="http://schemas.openxmlformats.org/officeDocument/2006/relationships/image" Target="media/image55.png"/><Relationship Id="rId81" Type="http://schemas.openxmlformats.org/officeDocument/2006/relationships/image" Target="media/image56.pn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footer" Target="footer19.xml"/><Relationship Id="rId85" Type="http://schemas.openxmlformats.org/officeDocument/2006/relationships/image" Target="media/image59.png"/><Relationship Id="rId86" Type="http://schemas.openxmlformats.org/officeDocument/2006/relationships/image" Target="media/image60.png"/><Relationship Id="rId87" Type="http://schemas.openxmlformats.org/officeDocument/2006/relationships/footer" Target="footer20.xml"/><Relationship Id="rId88" Type="http://schemas.openxmlformats.org/officeDocument/2006/relationships/image" Target="media/image61.png"/><Relationship Id="rId89" Type="http://schemas.openxmlformats.org/officeDocument/2006/relationships/footer" Target="footer21.xml"/><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footer" Target="footer22.xml"/><Relationship Id="rId101" Type="http://schemas.openxmlformats.org/officeDocument/2006/relationships/image" Target="media/image72.png"/><Relationship Id="rId102" Type="http://schemas.openxmlformats.org/officeDocument/2006/relationships/footer" Target="footer23.xml"/><Relationship Id="rId103" Type="http://schemas.openxmlformats.org/officeDocument/2006/relationships/image" Target="media/image73.png"/><Relationship Id="rId104" Type="http://schemas.openxmlformats.org/officeDocument/2006/relationships/image" Target="media/image74.png"/><Relationship Id="rId105" Type="http://schemas.openxmlformats.org/officeDocument/2006/relationships/image" Target="media/image75.png"/><Relationship Id="rId106" Type="http://schemas.openxmlformats.org/officeDocument/2006/relationships/image" Target="media/image76.png"/><Relationship Id="rId107" Type="http://schemas.openxmlformats.org/officeDocument/2006/relationships/image" Target="media/image77.png"/><Relationship Id="rId108" Type="http://schemas.openxmlformats.org/officeDocument/2006/relationships/image" Target="media/image78.png"/><Relationship Id="rId109" Type="http://schemas.openxmlformats.org/officeDocument/2006/relationships/image" Target="media/image79.png"/><Relationship Id="rId110" Type="http://schemas.openxmlformats.org/officeDocument/2006/relationships/image" Target="media/image80.png"/><Relationship Id="rId111" Type="http://schemas.openxmlformats.org/officeDocument/2006/relationships/footer" Target="footer24.xml"/><Relationship Id="rId112" Type="http://schemas.openxmlformats.org/officeDocument/2006/relationships/footer" Target="footer25.xml"/><Relationship Id="rId113" Type="http://schemas.openxmlformats.org/officeDocument/2006/relationships/image" Target="media/image81.jpeg"/><Relationship Id="rId114" Type="http://schemas.openxmlformats.org/officeDocument/2006/relationships/image" Target="media/image82.png"/><Relationship Id="rId115" Type="http://schemas.openxmlformats.org/officeDocument/2006/relationships/footer" Target="footer26.xml"/><Relationship Id="rId116" Type="http://schemas.openxmlformats.org/officeDocument/2006/relationships/image" Target="media/image83.png"/><Relationship Id="rId117" Type="http://schemas.openxmlformats.org/officeDocument/2006/relationships/image" Target="media/image84.png"/><Relationship Id="rId118" Type="http://schemas.openxmlformats.org/officeDocument/2006/relationships/footer" Target="footer27.xml"/><Relationship Id="rId119" Type="http://schemas.openxmlformats.org/officeDocument/2006/relationships/footer" Target="footer28.xml"/><Relationship Id="rId120" Type="http://schemas.openxmlformats.org/officeDocument/2006/relationships/footer" Target="footer29.xml"/><Relationship Id="rId121" Type="http://schemas.openxmlformats.org/officeDocument/2006/relationships/footer" Target="footer30.xml"/><Relationship Id="rId122" Type="http://schemas.openxmlformats.org/officeDocument/2006/relationships/footer" Target="footer31.xml"/><Relationship Id="rId123" Type="http://schemas.openxmlformats.org/officeDocument/2006/relationships/footer" Target="footer32.xml"/><Relationship Id="rId124" Type="http://schemas.openxmlformats.org/officeDocument/2006/relationships/image" Target="media/image85.png"/><Relationship Id="rId125" Type="http://schemas.openxmlformats.org/officeDocument/2006/relationships/image" Target="media/image86.jpeg"/><Relationship Id="rId126" Type="http://schemas.openxmlformats.org/officeDocument/2006/relationships/footer" Target="footer33.xml"/><Relationship Id="rId127" Type="http://schemas.openxmlformats.org/officeDocument/2006/relationships/image" Target="media/image87.jpeg"/><Relationship Id="rId128" Type="http://schemas.openxmlformats.org/officeDocument/2006/relationships/image" Target="media/image88.jpeg"/><Relationship Id="rId129" Type="http://schemas.openxmlformats.org/officeDocument/2006/relationships/image" Target="media/image89.jpeg"/><Relationship Id="rId130" Type="http://schemas.openxmlformats.org/officeDocument/2006/relationships/footer" Target="footer34.xml"/><Relationship Id="rId131" Type="http://schemas.openxmlformats.org/officeDocument/2006/relationships/footer" Target="footer35.xml"/><Relationship Id="rId132" Type="http://schemas.openxmlformats.org/officeDocument/2006/relationships/footer" Target="footer36.xml"/><Relationship Id="rId133" Type="http://schemas.openxmlformats.org/officeDocument/2006/relationships/footer" Target="footer37.xml"/><Relationship Id="rId134" Type="http://schemas.openxmlformats.org/officeDocument/2006/relationships/footer" Target="footer38.xml"/><Relationship Id="rId135" Type="http://schemas.openxmlformats.org/officeDocument/2006/relationships/footer" Target="footer39.xml"/><Relationship Id="rId136" Type="http://schemas.openxmlformats.org/officeDocument/2006/relationships/footer" Target="footer40.xml"/><Relationship Id="rId137" Type="http://schemas.openxmlformats.org/officeDocument/2006/relationships/footer" Target="footer41.xml"/><Relationship Id="rId138" Type="http://schemas.openxmlformats.org/officeDocument/2006/relationships/footer" Target="footer42.xml"/><Relationship Id="rId139" Type="http://schemas.openxmlformats.org/officeDocument/2006/relationships/footer" Target="footer43.xml"/><Relationship Id="rId140" Type="http://schemas.openxmlformats.org/officeDocument/2006/relationships/footer" Target="footer44.xml"/><Relationship Id="rId141" Type="http://schemas.openxmlformats.org/officeDocument/2006/relationships/footer" Target="footer45.xml"/><Relationship Id="rId142" Type="http://schemas.openxmlformats.org/officeDocument/2006/relationships/footer" Target="footer46.xml"/><Relationship Id="rId143" Type="http://schemas.openxmlformats.org/officeDocument/2006/relationships/image" Target="media/image90.png"/><Relationship Id="rId144" Type="http://schemas.openxmlformats.org/officeDocument/2006/relationships/image" Target="media/image91.png"/><Relationship Id="rId145" Type="http://schemas.openxmlformats.org/officeDocument/2006/relationships/footer" Target="footer47.xml"/><Relationship Id="rId146" Type="http://schemas.openxmlformats.org/officeDocument/2006/relationships/footer" Target="footer48.xml"/><Relationship Id="rId147" Type="http://schemas.openxmlformats.org/officeDocument/2006/relationships/footer" Target="footer49.xml"/><Relationship Id="rId148" Type="http://schemas.openxmlformats.org/officeDocument/2006/relationships/footer" Target="footer50.xml"/><Relationship Id="rId149" Type="http://schemas.openxmlformats.org/officeDocument/2006/relationships/footer" Target="footer51.xml"/><Relationship Id="rId150" Type="http://schemas.openxmlformats.org/officeDocument/2006/relationships/footer" Target="footer52.xml"/><Relationship Id="rId151" Type="http://schemas.openxmlformats.org/officeDocument/2006/relationships/footer" Target="footer53.xml"/><Relationship Id="rId152" Type="http://schemas.openxmlformats.org/officeDocument/2006/relationships/footer" Target="footer54.xml"/><Relationship Id="rId153" Type="http://schemas.openxmlformats.org/officeDocument/2006/relationships/footer" Target="footer55.xml"/><Relationship Id="rId154" Type="http://schemas.openxmlformats.org/officeDocument/2006/relationships/footer" Target="footer56.xml"/><Relationship Id="rId155" Type="http://schemas.openxmlformats.org/officeDocument/2006/relationships/footer" Target="footer57.xml"/><Relationship Id="rId156" Type="http://schemas.openxmlformats.org/officeDocument/2006/relationships/footer" Target="footer58.xml"/><Relationship Id="rId157" Type="http://schemas.openxmlformats.org/officeDocument/2006/relationships/footer" Target="footer59.xml"/><Relationship Id="rId158" Type="http://schemas.openxmlformats.org/officeDocument/2006/relationships/footer" Target="footer60.xml"/><Relationship Id="rId159" Type="http://schemas.openxmlformats.org/officeDocument/2006/relationships/footer" Target="footer61.xml"/><Relationship Id="rId160" Type="http://schemas.openxmlformats.org/officeDocument/2006/relationships/footer" Target="footer62.xml"/><Relationship Id="rId161" Type="http://schemas.openxmlformats.org/officeDocument/2006/relationships/footer" Target="footer63.xml"/><Relationship Id="rId162" Type="http://schemas.openxmlformats.org/officeDocument/2006/relationships/footer" Target="footer64.xml"/><Relationship Id="rId163" Type="http://schemas.openxmlformats.org/officeDocument/2006/relationships/footer" Target="footer65.xml"/><Relationship Id="rId164" Type="http://schemas.openxmlformats.org/officeDocument/2006/relationships/footer" Target="footer66.xml"/><Relationship Id="rId165" Type="http://schemas.openxmlformats.org/officeDocument/2006/relationships/footer" Target="footer67.xml"/><Relationship Id="rId166" Type="http://schemas.openxmlformats.org/officeDocument/2006/relationships/footer" Target="footer68.xml"/><Relationship Id="rId167" Type="http://schemas.openxmlformats.org/officeDocument/2006/relationships/footer" Target="footer69.xml"/><Relationship Id="rId168" Type="http://schemas.openxmlformats.org/officeDocument/2006/relationships/footer" Target="footer70.xml"/><Relationship Id="rId169" Type="http://schemas.openxmlformats.org/officeDocument/2006/relationships/footer" Target="footer71.xml"/><Relationship Id="rId170" Type="http://schemas.openxmlformats.org/officeDocument/2006/relationships/footer" Target="footer72.xml"/><Relationship Id="rId171" Type="http://schemas.openxmlformats.org/officeDocument/2006/relationships/footer" Target="footer73.xml"/><Relationship Id="rId172" Type="http://schemas.openxmlformats.org/officeDocument/2006/relationships/footer" Target="footer74.xml"/><Relationship Id="rId173" Type="http://schemas.openxmlformats.org/officeDocument/2006/relationships/footer" Target="footer75.xml"/><Relationship Id="rId174" Type="http://schemas.openxmlformats.org/officeDocument/2006/relationships/footer" Target="footer76.xml"/><Relationship Id="rId175" Type="http://schemas.openxmlformats.org/officeDocument/2006/relationships/footer" Target="footer77.xml"/><Relationship Id="rId176" Type="http://schemas.openxmlformats.org/officeDocument/2006/relationships/footer" Target="footer78.xml"/><Relationship Id="rId177" Type="http://schemas.openxmlformats.org/officeDocument/2006/relationships/footer" Target="footer79.xml"/><Relationship Id="rId178" Type="http://schemas.openxmlformats.org/officeDocument/2006/relationships/footer" Target="footer80.xml"/><Relationship Id="rId179" Type="http://schemas.openxmlformats.org/officeDocument/2006/relationships/image" Target="media/image92.png"/><Relationship Id="rId180" Type="http://schemas.openxmlformats.org/officeDocument/2006/relationships/image" Target="media/image93.png"/><Relationship Id="rId181" Type="http://schemas.openxmlformats.org/officeDocument/2006/relationships/image" Target="media/image94.png"/><Relationship Id="rId182" Type="http://schemas.openxmlformats.org/officeDocument/2006/relationships/image" Target="media/image95.png"/><Relationship Id="rId183" Type="http://schemas.openxmlformats.org/officeDocument/2006/relationships/image" Target="media/image96.png"/><Relationship Id="rId184" Type="http://schemas.openxmlformats.org/officeDocument/2006/relationships/image" Target="media/image97.png"/><Relationship Id="rId185" Type="http://schemas.openxmlformats.org/officeDocument/2006/relationships/footer" Target="footer81.xml"/><Relationship Id="rId186" Type="http://schemas.openxmlformats.org/officeDocument/2006/relationships/image" Target="media/image98.png"/><Relationship Id="rId187" Type="http://schemas.openxmlformats.org/officeDocument/2006/relationships/footer" Target="footer82.xml"/><Relationship Id="rId188" Type="http://schemas.openxmlformats.org/officeDocument/2006/relationships/footer" Target="footer83.xml"/><Relationship Id="rId189" Type="http://schemas.openxmlformats.org/officeDocument/2006/relationships/footer" Target="footer84.xml"/><Relationship Id="rId190" Type="http://schemas.openxmlformats.org/officeDocument/2006/relationships/footer" Target="footer85.xml"/><Relationship Id="rId191" Type="http://schemas.openxmlformats.org/officeDocument/2006/relationships/footer" Target="footer86.xml"/><Relationship Id="rId192" Type="http://schemas.openxmlformats.org/officeDocument/2006/relationships/footer" Target="footer87.xml"/><Relationship Id="rId193" Type="http://schemas.openxmlformats.org/officeDocument/2006/relationships/footer" Target="footer88.xml"/><Relationship Id="rId194" Type="http://schemas.openxmlformats.org/officeDocument/2006/relationships/footer" Target="footer89.xml"/><Relationship Id="rId195" Type="http://schemas.openxmlformats.org/officeDocument/2006/relationships/footer" Target="footer90.xml"/><Relationship Id="rId196" Type="http://schemas.openxmlformats.org/officeDocument/2006/relationships/footer" Target="footer91.xml"/><Relationship Id="rId197" Type="http://schemas.openxmlformats.org/officeDocument/2006/relationships/footer" Target="footer92.xml"/><Relationship Id="rId198" Type="http://schemas.openxmlformats.org/officeDocument/2006/relationships/footer" Target="footer93.xml"/><Relationship Id="rId199" Type="http://schemas.openxmlformats.org/officeDocument/2006/relationships/footer" Target="footer94.xml"/><Relationship Id="rId200" Type="http://schemas.openxmlformats.org/officeDocument/2006/relationships/footer" Target="footer95.xml"/><Relationship Id="rId201" Type="http://schemas.openxmlformats.org/officeDocument/2006/relationships/footer" Target="footer96.xml"/><Relationship Id="rId202" Type="http://schemas.openxmlformats.org/officeDocument/2006/relationships/image" Target="media/image99.jpeg"/><Relationship Id="rId203" Type="http://schemas.openxmlformats.org/officeDocument/2006/relationships/image" Target="media/image100.jpeg"/><Relationship Id="rId204" Type="http://schemas.openxmlformats.org/officeDocument/2006/relationships/footer" Target="footer97.xml"/><Relationship Id="rId205" Type="http://schemas.openxmlformats.org/officeDocument/2006/relationships/image" Target="media/image101.jpeg"/><Relationship Id="rId206" Type="http://schemas.openxmlformats.org/officeDocument/2006/relationships/footer" Target="footer98.xml"/><Relationship Id="rId207" Type="http://schemas.openxmlformats.org/officeDocument/2006/relationships/footer" Target="footer99.xml"/><Relationship Id="rId208" Type="http://schemas.openxmlformats.org/officeDocument/2006/relationships/footer" Target="footer100.xml"/><Relationship Id="rId209" Type="http://schemas.openxmlformats.org/officeDocument/2006/relationships/image" Target="media/image102.png"/><Relationship Id="rId210" Type="http://schemas.openxmlformats.org/officeDocument/2006/relationships/image" Target="media/image103.png"/><Relationship Id="rId211" Type="http://schemas.openxmlformats.org/officeDocument/2006/relationships/footer" Target="footer101.xml"/><Relationship Id="rId212" Type="http://schemas.openxmlformats.org/officeDocument/2006/relationships/footer" Target="footer102.xml"/><Relationship Id="rId213" Type="http://schemas.openxmlformats.org/officeDocument/2006/relationships/footer" Target="footer103.xml"/><Relationship Id="rId214" Type="http://schemas.openxmlformats.org/officeDocument/2006/relationships/footer" Target="footer104.xml"/><Relationship Id="rId215" Type="http://schemas.openxmlformats.org/officeDocument/2006/relationships/image" Target="media/image104.png"/><Relationship Id="rId216" Type="http://schemas.openxmlformats.org/officeDocument/2006/relationships/image" Target="media/image105.png"/><Relationship Id="rId217" Type="http://schemas.openxmlformats.org/officeDocument/2006/relationships/footer" Target="footer105.xml"/><Relationship Id="rId218" Type="http://schemas.openxmlformats.org/officeDocument/2006/relationships/footer" Target="footer106.xml"/><Relationship Id="rId219" Type="http://schemas.openxmlformats.org/officeDocument/2006/relationships/footer" Target="footer107.xml"/><Relationship Id="rId220" Type="http://schemas.openxmlformats.org/officeDocument/2006/relationships/footer" Target="footer108.xml"/><Relationship Id="rId221" Type="http://schemas.openxmlformats.org/officeDocument/2006/relationships/footer" Target="footer109.xml"/><Relationship Id="rId222" Type="http://schemas.openxmlformats.org/officeDocument/2006/relationships/image" Target="media/image106.png"/><Relationship Id="rId223" Type="http://schemas.openxmlformats.org/officeDocument/2006/relationships/image" Target="media/image107.png"/><Relationship Id="rId224" Type="http://schemas.openxmlformats.org/officeDocument/2006/relationships/image" Target="media/image108.png"/><Relationship Id="rId225" Type="http://schemas.openxmlformats.org/officeDocument/2006/relationships/image" Target="media/image109.png"/><Relationship Id="rId226" Type="http://schemas.openxmlformats.org/officeDocument/2006/relationships/image" Target="media/image110.png"/><Relationship Id="rId227" Type="http://schemas.openxmlformats.org/officeDocument/2006/relationships/image" Target="media/image111.png"/><Relationship Id="rId228" Type="http://schemas.openxmlformats.org/officeDocument/2006/relationships/image" Target="media/image112.png"/><Relationship Id="rId229" Type="http://schemas.openxmlformats.org/officeDocument/2006/relationships/image" Target="media/image113.png"/><Relationship Id="rId230" Type="http://schemas.openxmlformats.org/officeDocument/2006/relationships/image" Target="media/image114.png"/><Relationship Id="rId231" Type="http://schemas.openxmlformats.org/officeDocument/2006/relationships/footer" Target="footer110.xml"/><Relationship Id="rId232" Type="http://schemas.openxmlformats.org/officeDocument/2006/relationships/image" Target="media/image115.png"/><Relationship Id="rId233" Type="http://schemas.openxmlformats.org/officeDocument/2006/relationships/image" Target="media/image116.png"/><Relationship Id="rId234" Type="http://schemas.openxmlformats.org/officeDocument/2006/relationships/image" Target="media/image117.jpeg"/><Relationship Id="rId235" Type="http://schemas.openxmlformats.org/officeDocument/2006/relationships/footer" Target="footer111.xml"/><Relationship Id="rId236" Type="http://schemas.openxmlformats.org/officeDocument/2006/relationships/image" Target="media/image118.jpeg"/><Relationship Id="rId237" Type="http://schemas.openxmlformats.org/officeDocument/2006/relationships/image" Target="media/image119.png"/><Relationship Id="rId238" Type="http://schemas.openxmlformats.org/officeDocument/2006/relationships/footer" Target="footer112.xml"/><Relationship Id="rId239" Type="http://schemas.openxmlformats.org/officeDocument/2006/relationships/image" Target="media/image120.png"/><Relationship Id="rId240" Type="http://schemas.openxmlformats.org/officeDocument/2006/relationships/image" Target="media/image121.png"/><Relationship Id="rId241" Type="http://schemas.openxmlformats.org/officeDocument/2006/relationships/image" Target="media/image122.png"/><Relationship Id="rId242" Type="http://schemas.openxmlformats.org/officeDocument/2006/relationships/image" Target="media/image123.png"/><Relationship Id="rId243" Type="http://schemas.openxmlformats.org/officeDocument/2006/relationships/footer" Target="footer113.xml"/><Relationship Id="rId244" Type="http://schemas.openxmlformats.org/officeDocument/2006/relationships/image" Target="media/image124.jpeg"/><Relationship Id="rId245" Type="http://schemas.openxmlformats.org/officeDocument/2006/relationships/footer" Target="footer114.xml"/><Relationship Id="rId246" Type="http://schemas.openxmlformats.org/officeDocument/2006/relationships/footer" Target="footer115.xml"/><Relationship Id="rId247" Type="http://schemas.openxmlformats.org/officeDocument/2006/relationships/image" Target="media/image125.jpeg"/><Relationship Id="rId248" Type="http://schemas.openxmlformats.org/officeDocument/2006/relationships/image" Target="media/image126.png"/><Relationship Id="rId249" Type="http://schemas.openxmlformats.org/officeDocument/2006/relationships/image" Target="media/image127.png"/><Relationship Id="rId250" Type="http://schemas.openxmlformats.org/officeDocument/2006/relationships/footer" Target="footer116.xml"/><Relationship Id="rId251" Type="http://schemas.openxmlformats.org/officeDocument/2006/relationships/image" Target="media/image128.png"/><Relationship Id="rId252" Type="http://schemas.openxmlformats.org/officeDocument/2006/relationships/image" Target="media/image129.png"/><Relationship Id="rId253" Type="http://schemas.openxmlformats.org/officeDocument/2006/relationships/image" Target="media/image130.png"/><Relationship Id="rId254" Type="http://schemas.openxmlformats.org/officeDocument/2006/relationships/footer" Target="footer117.xml"/><Relationship Id="rId255" Type="http://schemas.openxmlformats.org/officeDocument/2006/relationships/image" Target="media/image131.jpeg"/><Relationship Id="rId256" Type="http://schemas.openxmlformats.org/officeDocument/2006/relationships/footer" Target="footer118.xml"/><Relationship Id="rId257" Type="http://schemas.openxmlformats.org/officeDocument/2006/relationships/hyperlink" Target="http://www.finance.wa.gov.au/" TargetMode="External"/><Relationship Id="rId258" Type="http://schemas.openxmlformats.org/officeDocument/2006/relationships/footer" Target="footer119.xml"/><Relationship Id="rId259" Type="http://schemas.openxmlformats.org/officeDocument/2006/relationships/image" Target="media/image132.jpeg"/><Relationship Id="rId2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2019-07-26T04:59:10Z</dcterms:created>
  <dcterms:modified xsi:type="dcterms:W3CDTF">2019-07-26T04:59:10Z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Adobe InDesign CC 14.0 (Windows)</vt:lpwstr>
  </property>
  <property fmtid="{D5CDD505-2E9C-101B-9397-08002B2CF9AE}" pid="4" name="LastSaved">
    <vt:filetime>2019-07-26T00:00:00Z</vt:filetime>
  </property>
</Properties>
</file>