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1940" w:right="0"/>
        <w:jc w:val="left"/>
        <w:rPr>
          <w:b w:val="0"/>
          <w:bCs w:val="0"/>
        </w:rPr>
      </w:pPr>
      <w:r>
        <w:rPr>
          <w:spacing w:val="-2"/>
        </w:rPr>
        <w:t>ADDENDUM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-2"/>
        </w:rPr>
        <w:t> THE</w:t>
      </w:r>
      <w:r>
        <w:rPr>
          <w:spacing w:val="1"/>
        </w:rPr>
        <w:t> </w:t>
      </w:r>
      <w:r>
        <w:rPr>
          <w:spacing w:val="-2"/>
        </w:rPr>
        <w:t>BUY</w:t>
      </w:r>
      <w:r>
        <w:rPr>
          <w:spacing w:val="1"/>
        </w:rPr>
        <w:t> </w:t>
      </w:r>
      <w:r>
        <w:rPr>
          <w:spacing w:val="-2"/>
        </w:rPr>
        <w:t>LOCAL</w:t>
      </w:r>
      <w:r>
        <w:rPr/>
        <w:t> </w:t>
      </w:r>
      <w:r>
        <w:rPr>
          <w:spacing w:val="-2"/>
        </w:rPr>
        <w:t>POLICY</w:t>
      </w:r>
      <w:r>
        <w:rPr>
          <w:b w:val="0"/>
        </w:rPr>
      </w:r>
    </w:p>
    <w:p>
      <w:pPr>
        <w:spacing w:before="119"/>
        <w:ind w:left="118" w:right="0" w:firstLine="372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October</w:t>
      </w:r>
      <w:r>
        <w:rPr>
          <w:rFonts w:ascii="Arial"/>
          <w:b/>
          <w:spacing w:val="2"/>
          <w:sz w:val="28"/>
        </w:rPr>
        <w:t> </w:t>
      </w:r>
      <w:r>
        <w:rPr>
          <w:rFonts w:ascii="Arial"/>
          <w:b/>
          <w:spacing w:val="-2"/>
          <w:sz w:val="28"/>
        </w:rPr>
        <w:t>2018</w:t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 w:before="0"/>
        <w:ind w:right="0"/>
        <w:jc w:val="both"/>
      </w:pPr>
      <w:r>
        <w:rPr/>
        <w:t>This</w:t>
      </w:r>
      <w:r>
        <w:rPr>
          <w:spacing w:val="-2"/>
        </w:rPr>
        <w:t> </w:t>
      </w:r>
      <w:r>
        <w:rPr>
          <w:spacing w:val="-1"/>
        </w:rPr>
        <w:t>addendum</w:t>
      </w:r>
      <w:r>
        <w:rPr>
          <w:spacing w:val="2"/>
        </w:rPr>
        <w:t> </w:t>
      </w:r>
      <w:r>
        <w:rPr>
          <w:spacing w:val="-1"/>
        </w:rPr>
        <w:t>deals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/>
        <w:t>the:</w:t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256" w:lineRule="auto" w:before="183" w:after="0"/>
        <w:ind w:left="838" w:right="386" w:hanging="360"/>
        <w:jc w:val="left"/>
      </w:pPr>
      <w:r>
        <w:rPr>
          <w:spacing w:val="-1"/>
        </w:rPr>
        <w:t>removal</w:t>
      </w:r>
      <w:r>
        <w:rPr/>
        <w:t> </w:t>
      </w:r>
      <w:r>
        <w:rPr>
          <w:spacing w:val="-1"/>
        </w:rPr>
        <w:t>of</w:t>
      </w:r>
      <w:r>
        <w:rPr/>
        <w:t> the</w:t>
      </w:r>
      <w:r>
        <w:rPr>
          <w:spacing w:val="-1"/>
        </w:rPr>
        <w:t> requirement</w:t>
      </w:r>
      <w:r>
        <w:rPr/>
        <w:t> to</w:t>
      </w:r>
      <w:r>
        <w:rPr>
          <w:spacing w:val="-1"/>
        </w:rPr>
        <w:t> consider Local</w:t>
      </w:r>
      <w:r>
        <w:rPr>
          <w:spacing w:val="-3"/>
        </w:rPr>
        <w:t> </w:t>
      </w:r>
      <w:r>
        <w:rPr>
          <w:spacing w:val="-1"/>
        </w:rPr>
        <w:t>Content</w:t>
      </w:r>
      <w:r>
        <w:rPr>
          <w:spacing w:val="-2"/>
        </w:rPr>
        <w:t> </w:t>
      </w:r>
      <w:r>
        <w:rPr/>
        <w:t>as a</w:t>
      </w:r>
      <w:r>
        <w:rPr>
          <w:spacing w:val="1"/>
        </w:rPr>
        <w:t> </w:t>
      </w:r>
      <w:r>
        <w:rPr>
          <w:spacing w:val="-1"/>
        </w:rPr>
        <w:t>weighted selection</w:t>
      </w:r>
      <w:r>
        <w:rPr>
          <w:spacing w:val="57"/>
        </w:rPr>
        <w:t> </w:t>
      </w:r>
      <w:r>
        <w:rPr>
          <w:spacing w:val="-1"/>
        </w:rPr>
        <w:t>criterion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quotation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tender evaluations.</w:t>
      </w:r>
    </w:p>
    <w:p>
      <w:pPr>
        <w:pStyle w:val="BodyText"/>
        <w:spacing w:line="240" w:lineRule="auto" w:before="162"/>
        <w:ind w:right="0"/>
        <w:jc w:val="both"/>
      </w:pPr>
      <w:r>
        <w:rPr/>
        <w:t>This</w:t>
      </w:r>
      <w:r>
        <w:rPr>
          <w:spacing w:val="-2"/>
        </w:rPr>
        <w:t> </w:t>
      </w:r>
      <w:r>
        <w:rPr>
          <w:spacing w:val="-1"/>
        </w:rPr>
        <w:t>addendum:</w:t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258" w:lineRule="auto" w:before="80" w:after="0"/>
        <w:ind w:left="838" w:right="108" w:hanging="360"/>
        <w:jc w:val="left"/>
      </w:pPr>
      <w:r>
        <w:rPr>
          <w:spacing w:val="-1"/>
        </w:rPr>
        <w:t>applies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1"/>
        </w:rPr>
        <w:t>all</w:t>
      </w:r>
      <w:r>
        <w:rPr>
          <w:spacing w:val="2"/>
        </w:rPr>
        <w:t> </w:t>
      </w:r>
      <w:r>
        <w:rPr>
          <w:spacing w:val="-1"/>
        </w:rPr>
        <w:t>purchases</w:t>
      </w:r>
      <w:r>
        <w:rPr>
          <w:spacing w:val="5"/>
        </w:rPr>
        <w:t> </w:t>
      </w:r>
      <w:r>
        <w:rPr>
          <w:spacing w:val="-1"/>
        </w:rPr>
        <w:t>covered</w:t>
      </w:r>
      <w:r>
        <w:rPr>
          <w:spacing w:val="3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>
          <w:rFonts w:ascii="Arial"/>
          <w:i/>
        </w:rPr>
        <w:t>Buy Local</w:t>
      </w:r>
      <w:r>
        <w:rPr>
          <w:rFonts w:ascii="Arial"/>
          <w:i/>
          <w:spacing w:val="2"/>
        </w:rPr>
        <w:t> </w:t>
      </w:r>
      <w:r>
        <w:rPr>
          <w:rFonts w:ascii="Arial"/>
          <w:i/>
          <w:spacing w:val="-1"/>
        </w:rPr>
        <w:t>Policy</w:t>
      </w:r>
      <w:r>
        <w:rPr>
          <w:rFonts w:ascii="Arial"/>
          <w:i/>
          <w:spacing w:val="5"/>
        </w:rPr>
        <w:t> </w:t>
      </w:r>
      <w:r>
        <w:rPr>
          <w:spacing w:val="-1"/>
        </w:rPr>
        <w:t>which</w:t>
      </w:r>
      <w:r>
        <w:rPr>
          <w:spacing w:val="6"/>
        </w:rPr>
        <w:t> </w:t>
      </w:r>
      <w:r>
        <w:rPr>
          <w:spacing w:val="-1"/>
        </w:rPr>
        <w:t>commence</w:t>
      </w:r>
      <w:r>
        <w:rPr>
          <w:spacing w:val="6"/>
        </w:rPr>
        <w:t> </w:t>
      </w:r>
      <w:r>
        <w:rPr>
          <w:spacing w:val="-1"/>
        </w:rPr>
        <w:t>after</w:t>
      </w:r>
      <w:r>
        <w:rPr>
          <w:spacing w:val="49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October 2018.</w:t>
      </w:r>
    </w:p>
    <w:p>
      <w:pPr>
        <w:spacing w:line="240" w:lineRule="auto" w:before="11"/>
        <w:rPr>
          <w:rFonts w:ascii="Arial" w:hAnsi="Arial" w:cs="Arial" w:eastAsia="Arial"/>
          <w:sz w:val="28"/>
          <w:szCs w:val="28"/>
        </w:rPr>
      </w:pPr>
    </w:p>
    <w:p>
      <w:pPr>
        <w:spacing w:line="259" w:lineRule="auto" w:before="0"/>
        <w:ind w:left="118" w:right="110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z w:val="24"/>
          <w:szCs w:val="24"/>
        </w:rPr>
        <w:t>This</w:t>
      </w:r>
      <w:r>
        <w:rPr>
          <w:rFonts w:ascii="Arial" w:hAnsi="Arial" w:cs="Arial" w:eastAsia="Arial"/>
          <w:spacing w:val="-14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addendum</w:t>
      </w:r>
      <w:r>
        <w:rPr>
          <w:rFonts w:ascii="Arial" w:hAnsi="Arial" w:cs="Arial" w:eastAsia="Arial"/>
          <w:spacing w:val="-15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applies</w:t>
      </w:r>
      <w:r>
        <w:rPr>
          <w:rFonts w:ascii="Arial" w:hAnsi="Arial" w:cs="Arial" w:eastAsia="Arial"/>
          <w:spacing w:val="-17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in</w:t>
      </w:r>
      <w:r>
        <w:rPr>
          <w:rFonts w:ascii="Arial" w:hAnsi="Arial" w:cs="Arial" w:eastAsia="Arial"/>
          <w:spacing w:val="-13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addition</w:t>
      </w:r>
      <w:r>
        <w:rPr>
          <w:rFonts w:ascii="Arial" w:hAnsi="Arial" w:cs="Arial" w:eastAsia="Arial"/>
          <w:spacing w:val="-13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to</w:t>
      </w:r>
      <w:r>
        <w:rPr>
          <w:rFonts w:ascii="Arial" w:hAnsi="Arial" w:cs="Arial" w:eastAsia="Arial"/>
          <w:spacing w:val="-13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the</w:t>
      </w:r>
      <w:r>
        <w:rPr>
          <w:rFonts w:ascii="Arial" w:hAnsi="Arial" w:cs="Arial" w:eastAsia="Arial"/>
          <w:spacing w:val="-13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Addendum</w:t>
      </w:r>
      <w:r>
        <w:rPr>
          <w:rFonts w:ascii="Arial" w:hAnsi="Arial" w:cs="Arial" w:eastAsia="Arial"/>
          <w:i/>
          <w:spacing w:val="-18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to</w:t>
      </w:r>
      <w:r>
        <w:rPr>
          <w:rFonts w:ascii="Arial" w:hAnsi="Arial" w:cs="Arial" w:eastAsia="Arial"/>
          <w:i/>
          <w:spacing w:val="-13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the</w:t>
      </w:r>
      <w:r>
        <w:rPr>
          <w:rFonts w:ascii="Arial" w:hAnsi="Arial" w:cs="Arial" w:eastAsia="Arial"/>
          <w:i/>
          <w:spacing w:val="-16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Buy</w:t>
      </w:r>
      <w:r>
        <w:rPr>
          <w:rFonts w:ascii="Arial" w:hAnsi="Arial" w:cs="Arial" w:eastAsia="Arial"/>
          <w:i/>
          <w:spacing w:val="-14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Local</w:t>
      </w:r>
      <w:r>
        <w:rPr>
          <w:rFonts w:ascii="Arial" w:hAnsi="Arial" w:cs="Arial" w:eastAsia="Arial"/>
          <w:i/>
          <w:spacing w:val="-17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Policy</w:t>
      </w:r>
      <w:r>
        <w:rPr>
          <w:rFonts w:ascii="Arial" w:hAnsi="Arial" w:cs="Arial" w:eastAsia="Arial"/>
          <w:i/>
          <w:spacing w:val="-14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–</w:t>
      </w:r>
      <w:r>
        <w:rPr>
          <w:rFonts w:ascii="Arial" w:hAnsi="Arial" w:cs="Arial" w:eastAsia="Arial"/>
          <w:i/>
          <w:spacing w:val="-13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December</w:t>
      </w:r>
      <w:r>
        <w:rPr>
          <w:rFonts w:ascii="Arial" w:hAnsi="Arial" w:cs="Arial" w:eastAsia="Arial"/>
          <w:i/>
          <w:spacing w:val="53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2017</w:t>
      </w:r>
      <w:r>
        <w:rPr>
          <w:rFonts w:ascii="Arial" w:hAnsi="Arial" w:cs="Arial" w:eastAsia="Arial"/>
          <w:spacing w:val="-1"/>
          <w:sz w:val="24"/>
          <w:szCs w:val="24"/>
        </w:rPr>
        <w:t>.</w:t>
      </w:r>
      <w:r>
        <w:rPr>
          <w:rFonts w:ascii="Arial" w:hAnsi="Arial" w:cs="Arial" w:eastAsia="Arial"/>
          <w:spacing w:val="65"/>
          <w:sz w:val="24"/>
          <w:szCs w:val="24"/>
        </w:rPr>
        <w:t> </w:t>
      </w:r>
      <w:r>
        <w:rPr>
          <w:rFonts w:ascii="Arial" w:hAnsi="Arial" w:cs="Arial" w:eastAsia="Arial"/>
          <w:spacing w:val="1"/>
          <w:sz w:val="24"/>
          <w:szCs w:val="24"/>
        </w:rPr>
        <w:t>Where </w:t>
      </w:r>
      <w:r>
        <w:rPr>
          <w:rFonts w:ascii="Arial" w:hAnsi="Arial" w:cs="Arial" w:eastAsia="Arial"/>
          <w:spacing w:val="-1"/>
          <w:sz w:val="24"/>
          <w:szCs w:val="24"/>
        </w:rPr>
        <w:t>there</w:t>
      </w:r>
      <w:r>
        <w:rPr>
          <w:rFonts w:ascii="Arial" w:hAnsi="Arial" w:cs="Arial" w:eastAsia="Arial"/>
          <w:spacing w:val="3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is</w:t>
      </w:r>
      <w:r>
        <w:rPr>
          <w:rFonts w:ascii="Arial" w:hAnsi="Arial" w:cs="Arial" w:eastAsia="Arial"/>
          <w:spacing w:val="2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inconsistency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between</w:t>
      </w:r>
      <w:r>
        <w:rPr>
          <w:rFonts w:ascii="Arial" w:hAnsi="Arial" w:cs="Arial" w:eastAsia="Arial"/>
          <w:spacing w:val="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the</w:t>
      </w:r>
      <w:r>
        <w:rPr>
          <w:rFonts w:ascii="Arial" w:hAnsi="Arial" w:cs="Arial" w:eastAsia="Arial"/>
          <w:spacing w:val="3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Buy</w:t>
      </w:r>
      <w:r>
        <w:rPr>
          <w:rFonts w:ascii="Arial" w:hAnsi="Arial" w:cs="Arial" w:eastAsia="Arial"/>
          <w:i/>
          <w:spacing w:val="2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Local</w:t>
      </w:r>
      <w:r>
        <w:rPr>
          <w:rFonts w:ascii="Arial" w:hAnsi="Arial" w:cs="Arial" w:eastAsia="Arial"/>
          <w:i/>
          <w:spacing w:val="2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Policy</w:t>
      </w:r>
      <w:r>
        <w:rPr>
          <w:rFonts w:ascii="Arial" w:hAnsi="Arial" w:cs="Arial" w:eastAsia="Arial"/>
          <w:i/>
          <w:spacing w:val="2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and</w:t>
      </w:r>
      <w:r>
        <w:rPr>
          <w:rFonts w:ascii="Arial" w:hAnsi="Arial" w:cs="Arial" w:eastAsia="Arial"/>
          <w:spacing w:val="3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this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addendum,</w:t>
      </w:r>
      <w:r>
        <w:rPr>
          <w:rFonts w:ascii="Arial" w:hAnsi="Arial" w:cs="Arial" w:eastAsia="Arial"/>
          <w:spacing w:val="67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the</w:t>
      </w:r>
      <w:r>
        <w:rPr>
          <w:rFonts w:ascii="Arial" w:hAnsi="Arial" w:cs="Arial" w:eastAsia="Arial"/>
          <w:spacing w:val="1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terms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of</w:t>
      </w:r>
      <w:r>
        <w:rPr>
          <w:rFonts w:ascii="Arial" w:hAnsi="Arial" w:cs="Arial" w:eastAsia="Arial"/>
          <w:spacing w:val="3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this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addendum prevail.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 w:before="199"/>
        <w:ind w:right="0"/>
        <w:jc w:val="both"/>
        <w:rPr>
          <w:b w:val="0"/>
          <w:bCs w:val="0"/>
        </w:rPr>
      </w:pPr>
      <w:r>
        <w:rPr>
          <w:spacing w:val="-2"/>
        </w:rPr>
        <w:t>Local</w:t>
      </w:r>
      <w:r>
        <w:rPr>
          <w:spacing w:val="2"/>
        </w:rPr>
        <w:t> </w:t>
      </w:r>
      <w:r>
        <w:rPr>
          <w:spacing w:val="-2"/>
        </w:rPr>
        <w:t>Content</w:t>
      </w:r>
      <w:r>
        <w:rPr>
          <w:b w:val="0"/>
        </w:rPr>
      </w:r>
    </w:p>
    <w:p>
      <w:pPr>
        <w:pStyle w:val="BodyText"/>
        <w:spacing w:line="239" w:lineRule="auto"/>
        <w:ind w:right="110"/>
        <w:jc w:val="both"/>
        <w:rPr>
          <w:sz w:val="16"/>
          <w:szCs w:val="16"/>
        </w:rPr>
      </w:pPr>
      <w:r>
        <w:rPr/>
        <w:t>One</w:t>
      </w:r>
      <w:r>
        <w:rPr>
          <w:spacing w:val="48"/>
        </w:rPr>
        <w:t> </w:t>
      </w:r>
      <w:r>
        <w:rPr>
          <w:spacing w:val="-1"/>
        </w:rPr>
        <w:t>measure</w:t>
      </w:r>
      <w:r>
        <w:rPr>
          <w:spacing w:val="49"/>
        </w:rPr>
        <w:t> </w:t>
      </w:r>
      <w:r>
        <w:rPr>
          <w:spacing w:val="-1"/>
        </w:rPr>
        <w:t>included</w:t>
      </w:r>
      <w:r>
        <w:rPr>
          <w:spacing w:val="52"/>
        </w:rPr>
        <w:t> </w:t>
      </w:r>
      <w:r>
        <w:rPr>
          <w:spacing w:val="-1"/>
        </w:rPr>
        <w:t>in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52"/>
        </w:rPr>
        <w:t> </w:t>
      </w:r>
      <w:r>
        <w:rPr>
          <w:rFonts w:ascii="Arial"/>
          <w:i/>
          <w:spacing w:val="-1"/>
        </w:rPr>
        <w:t>Buy</w:t>
      </w:r>
      <w:r>
        <w:rPr>
          <w:rFonts w:ascii="Arial"/>
          <w:i/>
          <w:spacing w:val="48"/>
        </w:rPr>
        <w:t> </w:t>
      </w:r>
      <w:r>
        <w:rPr>
          <w:rFonts w:ascii="Arial"/>
          <w:i/>
          <w:spacing w:val="-1"/>
        </w:rPr>
        <w:t>Local</w:t>
      </w:r>
      <w:r>
        <w:rPr>
          <w:rFonts w:ascii="Arial"/>
          <w:i/>
          <w:spacing w:val="50"/>
        </w:rPr>
        <w:t> </w:t>
      </w:r>
      <w:r>
        <w:rPr>
          <w:rFonts w:ascii="Arial"/>
          <w:i/>
          <w:spacing w:val="-1"/>
        </w:rPr>
        <w:t>Policy</w:t>
      </w:r>
      <w:r>
        <w:rPr>
          <w:rFonts w:ascii="Arial"/>
          <w:i/>
          <w:spacing w:val="50"/>
        </w:rPr>
        <w:t> </w:t>
      </w:r>
      <w:r>
        <w:rPr>
          <w:spacing w:val="-1"/>
        </w:rPr>
        <w:t>is</w:t>
      </w:r>
      <w:r>
        <w:rPr>
          <w:spacing w:val="51"/>
        </w:rPr>
        <w:t> </w:t>
      </w:r>
      <w:r>
        <w:rPr>
          <w:spacing w:val="-1"/>
        </w:rPr>
        <w:t>the</w:t>
      </w:r>
      <w:r>
        <w:rPr>
          <w:spacing w:val="52"/>
        </w:rPr>
        <w:t> </w:t>
      </w:r>
      <w:r>
        <w:rPr>
          <w:spacing w:val="-1"/>
        </w:rPr>
        <w:t>requirement</w:t>
      </w:r>
      <w:r>
        <w:rPr>
          <w:spacing w:val="48"/>
        </w:rPr>
        <w:t> </w:t>
      </w:r>
      <w:r>
        <w:rPr/>
        <w:t>for</w:t>
      </w:r>
      <w:r>
        <w:rPr>
          <w:spacing w:val="50"/>
        </w:rPr>
        <w:t> </w:t>
      </w:r>
      <w:r>
        <w:rPr>
          <w:spacing w:val="-1"/>
        </w:rPr>
        <w:t>Government</w:t>
      </w:r>
      <w:r>
        <w:rPr>
          <w:spacing w:val="45"/>
        </w:rPr>
        <w:t> </w:t>
      </w:r>
      <w:r>
        <w:rPr>
          <w:spacing w:val="-1"/>
        </w:rPr>
        <w:t>agencies</w:t>
      </w:r>
      <w:r>
        <w:rPr>
          <w:spacing w:val="5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1"/>
        </w:rPr>
        <w:t>include</w:t>
      </w:r>
      <w:r>
        <w:rPr>
          <w:spacing w:val="6"/>
        </w:rPr>
        <w:t> </w:t>
      </w:r>
      <w:r>
        <w:rPr>
          <w:spacing w:val="-1"/>
        </w:rPr>
        <w:t>"local</w:t>
      </w:r>
      <w:r>
        <w:rPr>
          <w:spacing w:val="4"/>
        </w:rPr>
        <w:t> </w:t>
      </w:r>
      <w:r>
        <w:rPr>
          <w:spacing w:val="-1"/>
        </w:rPr>
        <w:t>content"</w:t>
      </w:r>
      <w:r>
        <w:rPr>
          <w:spacing w:val="6"/>
        </w:rPr>
        <w:t> </w:t>
      </w:r>
      <w:r>
        <w:rPr/>
        <w:t>as</w:t>
      </w:r>
      <w:r>
        <w:rPr>
          <w:spacing w:val="2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weighted</w:t>
      </w:r>
      <w:r>
        <w:rPr>
          <w:spacing w:val="6"/>
        </w:rPr>
        <w:t> </w:t>
      </w:r>
      <w:r>
        <w:rPr>
          <w:spacing w:val="-1"/>
        </w:rPr>
        <w:t>selection</w:t>
      </w:r>
      <w:r>
        <w:rPr>
          <w:spacing w:val="6"/>
        </w:rPr>
        <w:t> </w:t>
      </w:r>
      <w:r>
        <w:rPr>
          <w:spacing w:val="-1"/>
        </w:rPr>
        <w:t>criterion</w:t>
      </w:r>
      <w:r>
        <w:rPr>
          <w:spacing w:val="3"/>
        </w:rPr>
        <w:t> </w:t>
      </w:r>
      <w:r>
        <w:rPr/>
        <w:t>for</w:t>
      </w:r>
      <w:r>
        <w:rPr>
          <w:spacing w:val="4"/>
        </w:rPr>
        <w:t> </w:t>
      </w:r>
      <w:r>
        <w:rPr>
          <w:spacing w:val="-1"/>
        </w:rPr>
        <w:t>all</w:t>
      </w:r>
      <w:r>
        <w:rPr>
          <w:spacing w:val="4"/>
        </w:rPr>
        <w:t> </w:t>
      </w:r>
      <w:r>
        <w:rPr>
          <w:spacing w:val="-1"/>
        </w:rPr>
        <w:t>tenders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81"/>
        </w:rPr>
        <w:t> </w:t>
      </w:r>
      <w:r>
        <w:rPr/>
        <w:t>an</w:t>
      </w:r>
      <w:r>
        <w:rPr>
          <w:spacing w:val="-13"/>
        </w:rPr>
        <w:t> </w:t>
      </w:r>
      <w:r>
        <w:rPr>
          <w:spacing w:val="-1"/>
        </w:rPr>
        <w:t>estimated</w:t>
      </w:r>
      <w:r>
        <w:rPr>
          <w:spacing w:val="-11"/>
        </w:rPr>
        <w:t> </w:t>
      </w:r>
      <w:r>
        <w:rPr>
          <w:spacing w:val="-1"/>
        </w:rPr>
        <w:t>cost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$750,000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above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6"/>
        </w:rPr>
        <w:t> </w:t>
      </w:r>
      <w:r>
        <w:rPr/>
        <w:t>the</w:t>
      </w:r>
      <w:r>
        <w:rPr>
          <w:spacing w:val="-13"/>
        </w:rPr>
        <w:t> </w:t>
      </w:r>
      <w:r>
        <w:rPr/>
        <w:t>"local</w:t>
      </w:r>
      <w:r>
        <w:rPr>
          <w:spacing w:val="-15"/>
        </w:rPr>
        <w:t> </w:t>
      </w:r>
      <w:r>
        <w:rPr>
          <w:spacing w:val="-1"/>
        </w:rPr>
        <w:t>content"</w:t>
      </w:r>
      <w:r>
        <w:rPr>
          <w:spacing w:val="-13"/>
        </w:rPr>
        <w:t> </w:t>
      </w:r>
      <w:r>
        <w:rPr>
          <w:spacing w:val="-1"/>
        </w:rPr>
        <w:t>selection</w:t>
      </w:r>
      <w:r>
        <w:rPr>
          <w:spacing w:val="-11"/>
        </w:rPr>
        <w:t> </w:t>
      </w:r>
      <w:r>
        <w:rPr>
          <w:spacing w:val="-1"/>
        </w:rPr>
        <w:t>criterion</w:t>
      </w:r>
      <w:r>
        <w:rPr>
          <w:spacing w:val="-13"/>
        </w:rPr>
        <w:t> </w:t>
      </w:r>
      <w:r>
        <w:rPr/>
        <w:t>must</w:t>
      </w:r>
      <w:r>
        <w:rPr>
          <w:spacing w:val="55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minimum weighting of</w:t>
      </w:r>
      <w:r>
        <w:rPr>
          <w:spacing w:val="3"/>
        </w:rPr>
        <w:t> </w:t>
      </w:r>
      <w:r>
        <w:rPr>
          <w:spacing w:val="-1"/>
        </w:rPr>
        <w:t>20%</w:t>
      </w:r>
      <w:r>
        <w:rPr/>
        <w:t> </w:t>
      </w:r>
      <w:r>
        <w:rPr>
          <w:spacing w:val="-1"/>
        </w:rPr>
        <w:t>(Local</w:t>
      </w:r>
      <w:r>
        <w:rPr/>
        <w:t> </w:t>
      </w:r>
      <w:r>
        <w:rPr>
          <w:spacing w:val="-1"/>
        </w:rPr>
        <w:t>Content</w:t>
      </w:r>
      <w:r>
        <w:rPr>
          <w:spacing w:val="-7"/>
        </w:rPr>
        <w:t> </w:t>
      </w:r>
      <w:r>
        <w:rPr/>
        <w:t>Weighted</w:t>
      </w:r>
      <w:r>
        <w:rPr>
          <w:spacing w:val="1"/>
        </w:rPr>
        <w:t> </w:t>
      </w:r>
      <w:r>
        <w:rPr>
          <w:spacing w:val="-1"/>
        </w:rPr>
        <w:t>Selection</w:t>
      </w:r>
      <w:r>
        <w:rPr>
          <w:spacing w:val="1"/>
        </w:rPr>
        <w:t> </w:t>
      </w:r>
      <w:r>
        <w:rPr/>
        <w:t>Criterion).</w:t>
      </w:r>
      <w:hyperlink w:history="true" w:anchor="_bookmark0">
        <w:r>
          <w:rPr>
            <w:position w:val="8"/>
            <w:sz w:val="16"/>
          </w:rPr>
          <w:t>1</w:t>
        </w:r>
        <w:r>
          <w:rPr>
            <w:sz w:val="16"/>
          </w:rPr>
        </w:r>
      </w:hyperlink>
    </w:p>
    <w:p>
      <w:pPr>
        <w:pStyle w:val="BodyText"/>
        <w:spacing w:line="238" w:lineRule="auto"/>
        <w:ind w:right="107"/>
        <w:jc w:val="both"/>
      </w:pPr>
      <w:r>
        <w:rPr/>
        <w:t>The</w:t>
      </w:r>
      <w:r>
        <w:rPr>
          <w:spacing w:val="8"/>
        </w:rPr>
        <w:t> </w:t>
      </w:r>
      <w:r>
        <w:rPr>
          <w:spacing w:val="-1"/>
        </w:rPr>
        <w:t>measures</w:t>
      </w:r>
      <w:r>
        <w:rPr>
          <w:spacing w:val="7"/>
        </w:rPr>
        <w:t> </w:t>
      </w:r>
      <w:r>
        <w:rPr>
          <w:spacing w:val="-1"/>
        </w:rPr>
        <w:t>provided</w:t>
      </w:r>
      <w:r>
        <w:rPr>
          <w:spacing w:val="8"/>
        </w:rPr>
        <w:t> </w:t>
      </w:r>
      <w:r>
        <w:rPr/>
        <w:t>for</w:t>
      </w:r>
      <w:r>
        <w:rPr>
          <w:spacing w:val="9"/>
        </w:rPr>
        <w:t> </w:t>
      </w:r>
      <w:r>
        <w:rPr/>
        <w:t>by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rFonts w:ascii="Arial"/>
          <w:i/>
          <w:spacing w:val="-1"/>
        </w:rPr>
        <w:t>Western</w:t>
      </w:r>
      <w:r>
        <w:rPr>
          <w:rFonts w:ascii="Arial"/>
          <w:i/>
          <w:spacing w:val="8"/>
        </w:rPr>
        <w:t> </w:t>
      </w:r>
      <w:r>
        <w:rPr>
          <w:rFonts w:ascii="Arial"/>
          <w:i/>
          <w:spacing w:val="-1"/>
        </w:rPr>
        <w:t>Australian</w:t>
      </w:r>
      <w:r>
        <w:rPr>
          <w:rFonts w:ascii="Arial"/>
          <w:i/>
          <w:spacing w:val="8"/>
        </w:rPr>
        <w:t> </w:t>
      </w:r>
      <w:r>
        <w:rPr>
          <w:rFonts w:ascii="Arial"/>
          <w:i/>
        </w:rPr>
        <w:t>Jobs</w:t>
      </w:r>
      <w:r>
        <w:rPr>
          <w:rFonts w:ascii="Arial"/>
          <w:i/>
          <w:spacing w:val="7"/>
        </w:rPr>
        <w:t> </w:t>
      </w:r>
      <w:r>
        <w:rPr>
          <w:rFonts w:ascii="Arial"/>
          <w:i/>
        </w:rPr>
        <w:t>Act</w:t>
      </w:r>
      <w:r>
        <w:rPr>
          <w:rFonts w:ascii="Arial"/>
          <w:i/>
          <w:spacing w:val="8"/>
        </w:rPr>
        <w:t> </w:t>
      </w:r>
      <w:r>
        <w:rPr>
          <w:rFonts w:ascii="Arial"/>
          <w:i/>
          <w:spacing w:val="-1"/>
        </w:rPr>
        <w:t>2017</w:t>
      </w:r>
      <w:r>
        <w:rPr>
          <w:rFonts w:ascii="Arial"/>
          <w:i/>
          <w:spacing w:val="11"/>
        </w:rPr>
        <w:t> </w:t>
      </w:r>
      <w:r>
        <w:rPr>
          <w:spacing w:val="-1"/>
        </w:rPr>
        <w:t>and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Western</w:t>
      </w:r>
      <w:r>
        <w:rPr>
          <w:spacing w:val="47"/>
        </w:rPr>
        <w:t> </w:t>
      </w:r>
      <w:r>
        <w:rPr>
          <w:spacing w:val="-1"/>
        </w:rPr>
        <w:t>Australian</w:t>
      </w:r>
      <w:r>
        <w:rPr>
          <w:spacing w:val="20"/>
        </w:rPr>
        <w:t> </w:t>
      </w:r>
      <w:r>
        <w:rPr>
          <w:spacing w:val="-1"/>
        </w:rPr>
        <w:t>Industry</w:t>
      </w:r>
      <w:r>
        <w:rPr>
          <w:spacing w:val="19"/>
        </w:rPr>
        <w:t> </w:t>
      </w:r>
      <w:r>
        <w:rPr>
          <w:spacing w:val="-1"/>
        </w:rPr>
        <w:t>Participation</w:t>
      </w:r>
      <w:r>
        <w:rPr>
          <w:spacing w:val="20"/>
        </w:rPr>
        <w:t> </w:t>
      </w:r>
      <w:r>
        <w:rPr/>
        <w:t>Strategy</w:t>
      </w:r>
      <w:hyperlink w:history="true" w:anchor="_bookmark1">
        <w:r>
          <w:rPr>
            <w:position w:val="8"/>
            <w:sz w:val="16"/>
          </w:rPr>
          <w:t>2</w:t>
        </w:r>
      </w:hyperlink>
      <w:r>
        <w:rPr>
          <w:spacing w:val="43"/>
          <w:position w:val="8"/>
          <w:sz w:val="16"/>
        </w:rPr>
        <w:t> </w:t>
      </w:r>
      <w:r>
        <w:rPr>
          <w:spacing w:val="-1"/>
        </w:rPr>
        <w:t>will</w:t>
      </w:r>
      <w:r>
        <w:rPr>
          <w:spacing w:val="21"/>
        </w:rPr>
        <w:t> </w:t>
      </w:r>
      <w:r>
        <w:rPr>
          <w:spacing w:val="-1"/>
        </w:rPr>
        <w:t>functionally</w:t>
      </w:r>
      <w:r>
        <w:rPr>
          <w:spacing w:val="19"/>
        </w:rPr>
        <w:t> </w:t>
      </w:r>
      <w:r>
        <w:rPr>
          <w:spacing w:val="-1"/>
        </w:rPr>
        <w:t>replicate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/>
        <w:t>Local</w:t>
      </w:r>
      <w:r>
        <w:rPr>
          <w:spacing w:val="19"/>
        </w:rPr>
        <w:t> </w:t>
      </w:r>
      <w:r>
        <w:rPr>
          <w:spacing w:val="-1"/>
        </w:rPr>
        <w:t>Content</w:t>
      </w:r>
      <w:r>
        <w:rPr>
          <w:spacing w:val="83"/>
        </w:rPr>
        <w:t> </w:t>
      </w:r>
      <w:r>
        <w:rPr>
          <w:spacing w:val="-1"/>
        </w:rPr>
        <w:t>Weighted</w:t>
      </w:r>
      <w:r>
        <w:rPr>
          <w:spacing w:val="51"/>
        </w:rPr>
        <w:t> </w:t>
      </w:r>
      <w:r>
        <w:rPr>
          <w:spacing w:val="-1"/>
        </w:rPr>
        <w:t>Selection</w:t>
      </w:r>
      <w:r>
        <w:rPr>
          <w:spacing w:val="52"/>
        </w:rPr>
        <w:t> </w:t>
      </w:r>
      <w:r>
        <w:rPr>
          <w:spacing w:val="-1"/>
        </w:rPr>
        <w:t>Criterion</w:t>
      </w:r>
      <w:r>
        <w:rPr>
          <w:spacing w:val="52"/>
        </w:rPr>
        <w:t> </w:t>
      </w:r>
      <w:r>
        <w:rPr/>
        <w:t>and</w:t>
      </w:r>
      <w:r>
        <w:rPr>
          <w:spacing w:val="48"/>
        </w:rPr>
        <w:t> </w:t>
      </w:r>
      <w:r>
        <w:rPr/>
        <w:t>as</w:t>
      </w:r>
      <w:r>
        <w:rPr>
          <w:spacing w:val="51"/>
        </w:rPr>
        <w:t> </w:t>
      </w:r>
      <w:r>
        <w:rPr/>
        <w:t>a</w:t>
      </w:r>
      <w:r>
        <w:rPr>
          <w:spacing w:val="52"/>
        </w:rPr>
        <w:t> </w:t>
      </w:r>
      <w:r>
        <w:rPr>
          <w:spacing w:val="-1"/>
        </w:rPr>
        <w:t>consequence,</w:t>
      </w:r>
      <w:r>
        <w:rPr>
          <w:spacing w:val="49"/>
        </w:rPr>
        <w:t> </w:t>
      </w:r>
      <w:r>
        <w:rPr>
          <w:spacing w:val="-1"/>
        </w:rPr>
        <w:t>it</w:t>
      </w:r>
      <w:r>
        <w:rPr>
          <w:spacing w:val="50"/>
        </w:rPr>
        <w:t> </w:t>
      </w:r>
      <w:r>
        <w:rPr>
          <w:spacing w:val="-1"/>
        </w:rPr>
        <w:t>is</w:t>
      </w:r>
      <w:r>
        <w:rPr>
          <w:spacing w:val="51"/>
        </w:rPr>
        <w:t> </w:t>
      </w:r>
      <w:r>
        <w:rPr/>
        <w:t>no</w:t>
      </w:r>
      <w:r>
        <w:rPr>
          <w:spacing w:val="52"/>
        </w:rPr>
        <w:t> </w:t>
      </w:r>
      <w:r>
        <w:rPr>
          <w:spacing w:val="-1"/>
        </w:rPr>
        <w:t>longer</w:t>
      </w:r>
      <w:r>
        <w:rPr>
          <w:spacing w:val="49"/>
        </w:rPr>
        <w:t> </w:t>
      </w:r>
      <w:r>
        <w:rPr>
          <w:spacing w:val="-1"/>
        </w:rPr>
        <w:t>required</w:t>
      </w:r>
      <w:r>
        <w:rPr>
          <w:spacing w:val="52"/>
        </w:rPr>
        <w:t> </w:t>
      </w:r>
      <w:r>
        <w:rPr/>
        <w:t>as</w:t>
      </w:r>
      <w:r>
        <w:rPr>
          <w:spacing w:val="51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measure</w:t>
      </w:r>
      <w:r>
        <w:rPr>
          <w:spacing w:val="1"/>
        </w:rPr>
        <w:t> </w:t>
      </w:r>
      <w:r>
        <w:rPr>
          <w:spacing w:val="-1"/>
        </w:rPr>
        <w:t>within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rFonts w:ascii="Arial"/>
          <w:i/>
          <w:spacing w:val="-2"/>
        </w:rPr>
        <w:t>Buy</w:t>
      </w:r>
      <w:r>
        <w:rPr>
          <w:rFonts w:ascii="Arial"/>
          <w:i/>
        </w:rPr>
        <w:t> Local</w:t>
      </w:r>
      <w:r>
        <w:rPr>
          <w:rFonts w:ascii="Arial"/>
          <w:i/>
          <w:spacing w:val="-3"/>
        </w:rPr>
        <w:t> </w:t>
      </w:r>
      <w:r>
        <w:rPr>
          <w:rFonts w:ascii="Arial"/>
          <w:i/>
          <w:spacing w:val="-1"/>
        </w:rPr>
        <w:t>Policy</w:t>
      </w:r>
      <w:r>
        <w:rPr>
          <w:spacing w:val="-1"/>
        </w:rPr>
        <w:t>.</w:t>
      </w:r>
    </w:p>
    <w:p>
      <w:pPr>
        <w:pStyle w:val="BodyText"/>
        <w:spacing w:line="240" w:lineRule="auto" w:before="122"/>
        <w:ind w:right="109"/>
        <w:jc w:val="both"/>
      </w:pPr>
      <w:r>
        <w:rPr>
          <w:spacing w:val="-1"/>
        </w:rPr>
        <w:t>Government</w:t>
      </w:r>
      <w:r>
        <w:rPr>
          <w:spacing w:val="36"/>
        </w:rPr>
        <w:t> </w:t>
      </w:r>
      <w:r>
        <w:rPr>
          <w:spacing w:val="-1"/>
        </w:rPr>
        <w:t>agencies</w:t>
      </w:r>
      <w:r>
        <w:rPr>
          <w:spacing w:val="34"/>
        </w:rPr>
        <w:t> </w:t>
      </w:r>
      <w:r>
        <w:rPr>
          <w:spacing w:val="-1"/>
        </w:rPr>
        <w:t>are</w:t>
      </w:r>
      <w:r>
        <w:rPr>
          <w:spacing w:val="37"/>
        </w:rPr>
        <w:t> </w:t>
      </w:r>
      <w:r>
        <w:rPr>
          <w:spacing w:val="-1"/>
        </w:rPr>
        <w:t>not</w:t>
      </w:r>
      <w:r>
        <w:rPr>
          <w:spacing w:val="36"/>
        </w:rPr>
        <w:t> </w:t>
      </w:r>
      <w:r>
        <w:rPr>
          <w:spacing w:val="-1"/>
        </w:rPr>
        <w:t>required</w:t>
      </w:r>
      <w:r>
        <w:rPr>
          <w:spacing w:val="37"/>
        </w:rPr>
        <w:t> </w:t>
      </w:r>
      <w:r>
        <w:rPr>
          <w:spacing w:val="-1"/>
        </w:rPr>
        <w:t>to</w:t>
      </w:r>
      <w:r>
        <w:rPr>
          <w:spacing w:val="37"/>
        </w:rPr>
        <w:t> </w:t>
      </w:r>
      <w:r>
        <w:rPr>
          <w:spacing w:val="-1"/>
        </w:rPr>
        <w:t>use</w:t>
      </w:r>
      <w:r>
        <w:rPr>
          <w:spacing w:val="37"/>
        </w:rPr>
        <w:t> </w:t>
      </w:r>
      <w:r>
        <w:rPr/>
        <w:t>or</w:t>
      </w:r>
      <w:r>
        <w:rPr>
          <w:spacing w:val="35"/>
        </w:rPr>
        <w:t> </w:t>
      </w:r>
      <w:r>
        <w:rPr>
          <w:spacing w:val="-1"/>
        </w:rPr>
        <w:t>apply</w:t>
      </w:r>
      <w:r>
        <w:rPr>
          <w:spacing w:val="34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Local</w:t>
      </w:r>
      <w:r>
        <w:rPr>
          <w:spacing w:val="32"/>
        </w:rPr>
        <w:t> </w:t>
      </w:r>
      <w:r>
        <w:rPr>
          <w:spacing w:val="-1"/>
        </w:rPr>
        <w:t>Content</w:t>
      </w:r>
      <w:r>
        <w:rPr>
          <w:spacing w:val="29"/>
        </w:rPr>
        <w:t> </w:t>
      </w:r>
      <w:r>
        <w:rPr/>
        <w:t>Weighted</w:t>
      </w:r>
      <w:r>
        <w:rPr>
          <w:spacing w:val="55"/>
        </w:rPr>
        <w:t> </w:t>
      </w:r>
      <w:r>
        <w:rPr>
          <w:spacing w:val="-1"/>
        </w:rPr>
        <w:t>Selection</w:t>
      </w:r>
      <w:r>
        <w:rPr>
          <w:spacing w:val="1"/>
        </w:rPr>
        <w:t> </w:t>
      </w:r>
      <w:r>
        <w:rPr>
          <w:spacing w:val="-1"/>
        </w:rPr>
        <w:t>Criterion</w:t>
      </w:r>
      <w:r>
        <w:rPr>
          <w:spacing w:val="1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to </w:t>
      </w:r>
      <w:r>
        <w:rPr/>
        <w:t>follow</w:t>
      </w:r>
      <w:r>
        <w:rPr>
          <w:spacing w:val="-3"/>
        </w:rPr>
        <w:t> </w:t>
      </w:r>
      <w:r>
        <w:rPr>
          <w:spacing w:val="-1"/>
        </w:rPr>
        <w:t>its</w:t>
      </w:r>
      <w:r>
        <w:rPr/>
        <w:t> </w:t>
      </w:r>
      <w:r>
        <w:rPr>
          <w:spacing w:val="-1"/>
        </w:rPr>
        <w:t>associated administrative</w:t>
      </w:r>
      <w:r>
        <w:rPr>
          <w:spacing w:val="1"/>
        </w:rPr>
        <w:t> </w:t>
      </w:r>
      <w:r>
        <w:rPr>
          <w:spacing w:val="-1"/>
        </w:rPr>
        <w:t>requirements.</w:t>
      </w:r>
    </w:p>
    <w:p>
      <w:pPr>
        <w:pStyle w:val="BodyText"/>
        <w:spacing w:line="276" w:lineRule="exact" w:before="124"/>
        <w:ind w:right="110"/>
        <w:jc w:val="both"/>
        <w:rPr>
          <w:sz w:val="16"/>
          <w:szCs w:val="16"/>
        </w:rPr>
      </w:pPr>
      <w:r>
        <w:rPr>
          <w:spacing w:val="-1"/>
        </w:rPr>
        <w:t>Government</w:t>
      </w:r>
      <w:r>
        <w:rPr>
          <w:spacing w:val="60"/>
        </w:rPr>
        <w:t> </w:t>
      </w:r>
      <w:r>
        <w:rPr>
          <w:spacing w:val="-1"/>
        </w:rPr>
        <w:t>agencies</w:t>
      </w:r>
      <w:r>
        <w:rPr>
          <w:spacing w:val="58"/>
        </w:rPr>
        <w:t> </w:t>
      </w:r>
      <w:r>
        <w:rPr>
          <w:spacing w:val="-1"/>
        </w:rPr>
        <w:t>are</w:t>
      </w:r>
      <w:r>
        <w:rPr>
          <w:spacing w:val="61"/>
        </w:rPr>
        <w:t> </w:t>
      </w:r>
      <w:r>
        <w:rPr>
          <w:spacing w:val="-1"/>
        </w:rPr>
        <w:t>not</w:t>
      </w:r>
      <w:r>
        <w:rPr>
          <w:spacing w:val="60"/>
        </w:rPr>
        <w:t> </w:t>
      </w:r>
      <w:r>
        <w:rPr>
          <w:spacing w:val="-1"/>
        </w:rPr>
        <w:t>required</w:t>
      </w:r>
      <w:r>
        <w:rPr>
          <w:spacing w:val="61"/>
        </w:rPr>
        <w:t> </w:t>
      </w:r>
      <w:r>
        <w:rPr>
          <w:spacing w:val="-1"/>
        </w:rPr>
        <w:t>to</w:t>
      </w:r>
      <w:r>
        <w:rPr>
          <w:spacing w:val="59"/>
        </w:rPr>
        <w:t> </w:t>
      </w:r>
      <w:r>
        <w:rPr>
          <w:spacing w:val="-1"/>
        </w:rPr>
        <w:t>discuss</w:t>
      </w:r>
      <w:r>
        <w:rPr>
          <w:spacing w:val="60"/>
        </w:rPr>
        <w:t> </w:t>
      </w:r>
      <w:r>
        <w:rPr>
          <w:spacing w:val="-1"/>
        </w:rPr>
        <w:t>with</w:t>
      </w:r>
      <w:r>
        <w:rPr>
          <w:spacing w:val="60"/>
        </w:rPr>
        <w:t> </w:t>
      </w:r>
      <w:r>
        <w:rPr/>
        <w:t>the</w:t>
      </w:r>
      <w:r>
        <w:rPr>
          <w:spacing w:val="61"/>
        </w:rPr>
        <w:t> </w:t>
      </w:r>
      <w:r>
        <w:rPr>
          <w:spacing w:val="-1"/>
        </w:rPr>
        <w:t>Industry</w:t>
      </w:r>
      <w:r>
        <w:rPr>
          <w:spacing w:val="58"/>
        </w:rPr>
        <w:t> </w:t>
      </w:r>
      <w:r>
        <w:rPr>
          <w:spacing w:val="-1"/>
        </w:rPr>
        <w:t>Link</w:t>
      </w:r>
      <w:r>
        <w:rPr>
          <w:spacing w:val="59"/>
        </w:rPr>
        <w:t> </w:t>
      </w:r>
      <w:r>
        <w:rPr>
          <w:spacing w:val="-1"/>
        </w:rPr>
        <w:t>Advisory</w:t>
      </w:r>
      <w:r>
        <w:rPr>
          <w:spacing w:val="63"/>
        </w:rPr>
        <w:t> </w:t>
      </w:r>
      <w:r>
        <w:rPr>
          <w:spacing w:val="-1"/>
        </w:rPr>
        <w:t>Service</w:t>
      </w:r>
      <w:r>
        <w:rPr>
          <w:spacing w:val="3"/>
        </w:rPr>
        <w:t> </w:t>
      </w:r>
      <w:r>
        <w:rPr>
          <w:spacing w:val="-1"/>
        </w:rPr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Department</w:t>
      </w:r>
      <w:r>
        <w:rPr/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Jobs,</w:t>
      </w:r>
      <w:r>
        <w:rPr>
          <w:spacing w:val="-2"/>
        </w:rPr>
        <w:t> </w:t>
      </w:r>
      <w:r>
        <w:rPr>
          <w:spacing w:val="-1"/>
        </w:rPr>
        <w:t>Tourism,</w:t>
      </w:r>
      <w:r>
        <w:rPr/>
        <w:t> </w:t>
      </w:r>
      <w:r>
        <w:rPr>
          <w:spacing w:val="-1"/>
        </w:rPr>
        <w:t>Science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Innovation,</w:t>
      </w:r>
      <w:r>
        <w:rPr/>
        <w:t> </w:t>
      </w:r>
      <w:r>
        <w:rPr>
          <w:spacing w:val="-1"/>
        </w:rPr>
        <w:t>the approach</w:t>
      </w:r>
      <w:r>
        <w:rPr>
          <w:spacing w:val="59"/>
        </w:rPr>
        <w:t> </w:t>
      </w:r>
      <w:r>
        <w:rPr/>
        <w:t>taken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section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procurement</w:t>
      </w:r>
      <w:r>
        <w:rPr>
          <w:spacing w:val="-2"/>
        </w:rPr>
        <w:t> </w:t>
      </w:r>
      <w:r>
        <w:rPr>
          <w:spacing w:val="-1"/>
        </w:rPr>
        <w:t>plan that</w:t>
      </w:r>
      <w:r>
        <w:rPr/>
        <w:t> </w:t>
      </w:r>
      <w:r>
        <w:rPr>
          <w:spacing w:val="-1"/>
        </w:rPr>
        <w:t>addresses</w:t>
      </w:r>
      <w:r>
        <w:rPr>
          <w:spacing w:val="-2"/>
        </w:rPr>
        <w:t> </w:t>
      </w:r>
      <w:r>
        <w:rPr>
          <w:spacing w:val="-1"/>
        </w:rPr>
        <w:t>maximizing local</w:t>
      </w:r>
      <w:r>
        <w:rPr/>
        <w:t> content.</w:t>
      </w:r>
      <w:hyperlink w:history="true" w:anchor="_bookmark2">
        <w:r>
          <w:rPr>
            <w:position w:val="8"/>
            <w:sz w:val="16"/>
          </w:rPr>
          <w:t>3</w:t>
        </w:r>
        <w:r>
          <w:rPr>
            <w:sz w:val="16"/>
          </w:rPr>
        </w:r>
      </w:hyperlink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pStyle w:val="Heading1"/>
        <w:spacing w:line="240" w:lineRule="auto" w:before="211"/>
        <w:ind w:right="0"/>
        <w:jc w:val="both"/>
        <w:rPr>
          <w:b w:val="0"/>
          <w:bCs w:val="0"/>
        </w:rPr>
      </w:pPr>
      <w:r>
        <w:rPr>
          <w:spacing w:val="-2"/>
        </w:rPr>
        <w:t>FURTHER</w:t>
      </w:r>
      <w:r>
        <w:rPr>
          <w:spacing w:val="5"/>
        </w:rPr>
        <w:t> </w:t>
      </w:r>
      <w:r>
        <w:rPr>
          <w:spacing w:val="-2"/>
        </w:rPr>
        <w:t>ADVICE</w:t>
      </w:r>
      <w:r>
        <w:rPr>
          <w:spacing w:val="3"/>
        </w:rPr>
        <w:t> </w:t>
      </w:r>
      <w:r>
        <w:rPr>
          <w:spacing w:val="-3"/>
        </w:rPr>
        <w:t>AND</w:t>
      </w:r>
      <w:r>
        <w:rPr>
          <w:spacing w:val="5"/>
        </w:rPr>
        <w:t> </w:t>
      </w:r>
      <w:r>
        <w:rPr>
          <w:spacing w:val="-2"/>
        </w:rPr>
        <w:t>ASSISTANCE</w:t>
      </w:r>
      <w:r>
        <w:rPr>
          <w:b w:val="0"/>
        </w:rPr>
      </w:r>
    </w:p>
    <w:p>
      <w:pPr>
        <w:pStyle w:val="BodyText"/>
        <w:spacing w:line="240" w:lineRule="auto" w:before="118"/>
        <w:ind w:right="109"/>
        <w:jc w:val="both"/>
      </w:pPr>
      <w:r>
        <w:rPr/>
        <w:t>The</w:t>
      </w:r>
      <w:r>
        <w:rPr>
          <w:spacing w:val="18"/>
        </w:rPr>
        <w:t> </w:t>
      </w:r>
      <w:r>
        <w:rPr>
          <w:rFonts w:ascii="Arial"/>
          <w:i/>
        </w:rPr>
        <w:t>Buy</w:t>
      </w:r>
      <w:r>
        <w:rPr>
          <w:rFonts w:ascii="Arial"/>
          <w:i/>
          <w:spacing w:val="14"/>
        </w:rPr>
        <w:t> </w:t>
      </w:r>
      <w:r>
        <w:rPr>
          <w:rFonts w:ascii="Arial"/>
          <w:i/>
        </w:rPr>
        <w:t>Local</w:t>
      </w:r>
      <w:r>
        <w:rPr>
          <w:rFonts w:ascii="Arial"/>
          <w:i/>
          <w:spacing w:val="16"/>
        </w:rPr>
        <w:t> </w:t>
      </w:r>
      <w:r>
        <w:rPr>
          <w:rFonts w:ascii="Arial"/>
          <w:i/>
          <w:spacing w:val="-1"/>
        </w:rPr>
        <w:t>Policy</w:t>
      </w:r>
      <w:r>
        <w:rPr>
          <w:rFonts w:ascii="Arial"/>
          <w:i/>
          <w:spacing w:val="17"/>
        </w:rPr>
        <w:t> </w:t>
      </w:r>
      <w:r>
        <w:rPr>
          <w:spacing w:val="-1"/>
        </w:rPr>
        <w:t>is</w:t>
      </w:r>
      <w:r>
        <w:rPr>
          <w:spacing w:val="17"/>
        </w:rPr>
        <w:t> </w:t>
      </w:r>
      <w:r>
        <w:rPr/>
        <w:t>a</w:t>
      </w:r>
      <w:r>
        <w:rPr>
          <w:spacing w:val="13"/>
        </w:rPr>
        <w:t> </w:t>
      </w:r>
      <w:r>
        <w:rPr/>
        <w:t>Western</w:t>
      </w:r>
      <w:r>
        <w:rPr>
          <w:spacing w:val="18"/>
        </w:rPr>
        <w:t> </w:t>
      </w:r>
      <w:r>
        <w:rPr>
          <w:spacing w:val="-1"/>
        </w:rPr>
        <w:t>Australian</w:t>
      </w:r>
      <w:r>
        <w:rPr>
          <w:spacing w:val="18"/>
        </w:rPr>
        <w:t> </w:t>
      </w:r>
      <w:r>
        <w:rPr>
          <w:spacing w:val="-1"/>
        </w:rPr>
        <w:t>Government</w:t>
      </w:r>
      <w:r>
        <w:rPr>
          <w:spacing w:val="17"/>
        </w:rPr>
        <w:t> </w:t>
      </w:r>
      <w:r>
        <w:rPr>
          <w:spacing w:val="-1"/>
        </w:rPr>
        <w:t>policy</w:t>
      </w:r>
      <w:r>
        <w:rPr>
          <w:spacing w:val="14"/>
        </w:rPr>
        <w:t> </w:t>
      </w:r>
      <w:r>
        <w:rPr>
          <w:spacing w:val="-1"/>
        </w:rPr>
        <w:t>administered</w:t>
      </w:r>
      <w:r>
        <w:rPr>
          <w:spacing w:val="18"/>
        </w:rPr>
        <w:t> </w:t>
      </w:r>
      <w:r>
        <w:rPr/>
        <w:t>by</w:t>
      </w:r>
      <w:r>
        <w:rPr>
          <w:spacing w:val="14"/>
        </w:rPr>
        <w:t> </w:t>
      </w:r>
      <w:r>
        <w:rPr/>
        <w:t>the</w:t>
      </w:r>
      <w:r>
        <w:rPr>
          <w:spacing w:val="49"/>
        </w:rPr>
        <w:t> </w:t>
      </w:r>
      <w:r>
        <w:rPr/>
        <w:t>State</w:t>
      </w:r>
      <w:r>
        <w:rPr>
          <w:spacing w:val="3"/>
        </w:rPr>
        <w:t> </w:t>
      </w:r>
      <w:r>
        <w:rPr>
          <w:spacing w:val="-1"/>
        </w:rPr>
        <w:t>Supply</w:t>
      </w:r>
      <w:r>
        <w:rPr>
          <w:spacing w:val="2"/>
        </w:rPr>
        <w:t> </w:t>
      </w:r>
      <w:r>
        <w:rPr>
          <w:spacing w:val="-1"/>
        </w:rPr>
        <w:t>Commission.</w:t>
      </w:r>
      <w:r>
        <w:rPr>
          <w:spacing w:val="60"/>
        </w:rPr>
        <w:t> </w:t>
      </w:r>
      <w:r>
        <w:rPr>
          <w:spacing w:val="-1"/>
        </w:rPr>
        <w:t>Further</w:t>
      </w:r>
      <w:r>
        <w:rPr>
          <w:spacing w:val="4"/>
        </w:rPr>
        <w:t> </w:t>
      </w:r>
      <w:r>
        <w:rPr>
          <w:spacing w:val="-1"/>
        </w:rPr>
        <w:t>advice</w:t>
      </w:r>
      <w:r>
        <w:rPr>
          <w:spacing w:val="6"/>
        </w:rPr>
        <w:t> </w:t>
      </w:r>
      <w:r>
        <w:rPr/>
        <w:t>on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requirements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rFonts w:ascii="Arial"/>
          <w:i/>
          <w:spacing w:val="-1"/>
        </w:rPr>
        <w:t>Buy</w:t>
      </w:r>
      <w:r>
        <w:rPr>
          <w:rFonts w:ascii="Arial"/>
          <w:i/>
          <w:spacing w:val="2"/>
        </w:rPr>
        <w:t> </w:t>
      </w:r>
      <w:r>
        <w:rPr>
          <w:rFonts w:ascii="Arial"/>
          <w:i/>
          <w:spacing w:val="-1"/>
        </w:rPr>
        <w:t>Local</w:t>
      </w:r>
      <w:r>
        <w:rPr>
          <w:rFonts w:ascii="Arial"/>
          <w:i/>
          <w:spacing w:val="4"/>
        </w:rPr>
        <w:t> </w:t>
      </w:r>
      <w:r>
        <w:rPr>
          <w:rFonts w:ascii="Arial"/>
          <w:i/>
          <w:spacing w:val="-1"/>
        </w:rPr>
        <w:t>Policy</w:t>
      </w:r>
      <w:r>
        <w:rPr>
          <w:rFonts w:ascii="Arial"/>
          <w:i/>
          <w:spacing w:val="47"/>
        </w:rPr>
        <w:t> </w:t>
      </w:r>
      <w:r>
        <w:rPr/>
        <w:t>can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obtained from the</w:t>
      </w:r>
      <w:r>
        <w:rPr>
          <w:spacing w:val="1"/>
        </w:rPr>
        <w:t> </w:t>
      </w:r>
      <w:r>
        <w:rPr>
          <w:spacing w:val="-1"/>
        </w:rPr>
        <w:t>State Supply</w:t>
      </w:r>
      <w:r>
        <w:rPr>
          <w:spacing w:val="-2"/>
        </w:rPr>
        <w:t> </w:t>
      </w:r>
      <w:r>
        <w:rPr>
          <w:spacing w:val="-1"/>
        </w:rPr>
        <w:t>Commission </w:t>
      </w:r>
      <w:r>
        <w:rPr/>
        <w:t>on</w:t>
      </w:r>
      <w:r>
        <w:rPr>
          <w:spacing w:val="1"/>
        </w:rPr>
        <w:t> </w:t>
      </w:r>
      <w:r>
        <w:rPr>
          <w:spacing w:val="-1"/>
        </w:rPr>
        <w:t>(08) 6551 1500.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4"/>
          <w:szCs w:val="24"/>
        </w:rPr>
      </w:pPr>
    </w:p>
    <w:p>
      <w:pPr>
        <w:spacing w:line="20" w:lineRule="atLeast"/>
        <w:ind w:left="25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0;height:2" coordorigin="8,8" coordsize="2880,2">
              <v:shape style="position:absolute;left:8;top:8;width:2880;height:2" coordorigin="8,8" coordsize="2880,0" path="m8,8l2888,8e" filled="false" stroked="true" strokeweight=".8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5" w:lineRule="exact" w:before="85"/>
        <w:ind w:left="260" w:right="0" w:firstLine="0"/>
        <w:jc w:val="left"/>
        <w:rPr>
          <w:rFonts w:ascii="Calibri" w:hAnsi="Calibri" w:cs="Calibri" w:eastAsia="Calibri"/>
          <w:sz w:val="20"/>
          <w:szCs w:val="20"/>
        </w:rPr>
      </w:pPr>
      <w:bookmarkStart w:name="_bookmark0" w:id="1"/>
      <w:bookmarkEnd w:id="1"/>
      <w:r>
        <w:rPr/>
      </w:r>
      <w:r>
        <w:rPr>
          <w:rFonts w:ascii="Calibri"/>
          <w:position w:val="7"/>
          <w:sz w:val="13"/>
        </w:rPr>
        <w:t>1</w:t>
      </w:r>
      <w:r>
        <w:rPr>
          <w:rFonts w:ascii="Calibri"/>
          <w:spacing w:val="11"/>
          <w:position w:val="7"/>
          <w:sz w:val="13"/>
        </w:rPr>
        <w:t> </w:t>
      </w:r>
      <w:r>
        <w:rPr>
          <w:rFonts w:ascii="Calibri"/>
          <w:spacing w:val="-1"/>
          <w:sz w:val="20"/>
        </w:rPr>
        <w:t>Refer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to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pacing w:val="-1"/>
          <w:sz w:val="20"/>
        </w:rPr>
        <w:t>pages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pacing w:val="-1"/>
          <w:sz w:val="20"/>
        </w:rPr>
        <w:t>6,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pacing w:val="-1"/>
          <w:sz w:val="20"/>
        </w:rPr>
        <w:t>12,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pacing w:val="-1"/>
          <w:sz w:val="20"/>
        </w:rPr>
        <w:t>25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and</w:t>
      </w:r>
      <w:r>
        <w:rPr>
          <w:rFonts w:ascii="Calibri"/>
          <w:spacing w:val="-1"/>
          <w:sz w:val="20"/>
        </w:rPr>
        <w:t> 29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of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i/>
          <w:spacing w:val="-1"/>
          <w:sz w:val="20"/>
        </w:rPr>
        <w:t>Buy</w:t>
      </w:r>
      <w:r>
        <w:rPr>
          <w:rFonts w:ascii="Calibri"/>
          <w:i/>
          <w:spacing w:val="-4"/>
          <w:sz w:val="20"/>
        </w:rPr>
        <w:t> </w:t>
      </w:r>
      <w:r>
        <w:rPr>
          <w:rFonts w:ascii="Calibri"/>
          <w:i/>
          <w:sz w:val="20"/>
        </w:rPr>
        <w:t>Local</w:t>
      </w:r>
      <w:r>
        <w:rPr>
          <w:rFonts w:ascii="Calibri"/>
          <w:i/>
          <w:spacing w:val="-3"/>
          <w:sz w:val="20"/>
        </w:rPr>
        <w:t> </w:t>
      </w:r>
      <w:r>
        <w:rPr>
          <w:rFonts w:ascii="Calibri"/>
          <w:i/>
          <w:spacing w:val="-1"/>
          <w:sz w:val="20"/>
        </w:rPr>
        <w:t>Policy.</w:t>
      </w:r>
      <w:r>
        <w:rPr>
          <w:rFonts w:ascii="Calibri"/>
          <w:sz w:val="20"/>
        </w:rPr>
      </w:r>
    </w:p>
    <w:p>
      <w:pPr>
        <w:spacing w:line="264" w:lineRule="exact" w:before="0"/>
        <w:ind w:left="260" w:right="0" w:firstLine="0"/>
        <w:jc w:val="left"/>
        <w:rPr>
          <w:rFonts w:ascii="Calibri" w:hAnsi="Calibri" w:cs="Calibri" w:eastAsia="Calibri"/>
          <w:sz w:val="20"/>
          <w:szCs w:val="20"/>
        </w:rPr>
      </w:pPr>
      <w:bookmarkStart w:name="_bookmark1" w:id="2"/>
      <w:bookmarkEnd w:id="2"/>
      <w:r>
        <w:rPr/>
      </w:r>
      <w:r>
        <w:rPr>
          <w:rFonts w:ascii="Calibri"/>
          <w:position w:val="8"/>
          <w:sz w:val="14"/>
        </w:rPr>
        <w:t>2</w:t>
      </w:r>
      <w:r>
        <w:rPr>
          <w:rFonts w:ascii="Calibri"/>
          <w:spacing w:val="13"/>
          <w:position w:val="8"/>
          <w:sz w:val="14"/>
        </w:rPr>
        <w:t> </w:t>
      </w:r>
      <w:r>
        <w:rPr>
          <w:rFonts w:ascii="Calibri"/>
          <w:spacing w:val="-1"/>
          <w:sz w:val="20"/>
        </w:rPr>
        <w:t>Refer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to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the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color w:val="0563C1"/>
          <w:spacing w:val="-5"/>
          <w:sz w:val="20"/>
        </w:rPr>
      </w:r>
      <w:hyperlink r:id="rId5">
        <w:r>
          <w:rPr>
            <w:rFonts w:ascii="Calibri"/>
            <w:color w:val="0563C1"/>
            <w:sz w:val="20"/>
            <w:u w:val="single" w:color="0563C1"/>
          </w:rPr>
          <w:t>WA</w:t>
        </w:r>
        <w:r>
          <w:rPr>
            <w:rFonts w:ascii="Calibri"/>
            <w:color w:val="0563C1"/>
            <w:spacing w:val="-4"/>
            <w:sz w:val="20"/>
            <w:u w:val="single" w:color="0563C1"/>
          </w:rPr>
          <w:t> </w:t>
        </w:r>
        <w:r>
          <w:rPr>
            <w:rFonts w:ascii="Calibri"/>
            <w:color w:val="0563C1"/>
            <w:spacing w:val="-1"/>
            <w:sz w:val="20"/>
            <w:u w:val="single" w:color="0563C1"/>
          </w:rPr>
          <w:t>Industry</w:t>
        </w:r>
        <w:r>
          <w:rPr>
            <w:rFonts w:ascii="Calibri"/>
            <w:color w:val="0563C1"/>
            <w:spacing w:val="-4"/>
            <w:sz w:val="20"/>
            <w:u w:val="single" w:color="0563C1"/>
          </w:rPr>
          <w:t> </w:t>
        </w:r>
        <w:r>
          <w:rPr>
            <w:rFonts w:ascii="Calibri"/>
            <w:color w:val="0563C1"/>
            <w:spacing w:val="-1"/>
            <w:sz w:val="20"/>
            <w:u w:val="single" w:color="0563C1"/>
          </w:rPr>
          <w:t>Link</w:t>
        </w:r>
        <w:r>
          <w:rPr>
            <w:rFonts w:ascii="Calibri"/>
            <w:color w:val="0563C1"/>
            <w:spacing w:val="-4"/>
            <w:sz w:val="20"/>
            <w:u w:val="single" w:color="0563C1"/>
          </w:rPr>
          <w:t> </w:t>
        </w:r>
        <w:r>
          <w:rPr>
            <w:rFonts w:ascii="Calibri"/>
            <w:color w:val="0563C1"/>
            <w:spacing w:val="-4"/>
            <w:sz w:val="20"/>
          </w:rPr>
        </w:r>
      </w:hyperlink>
      <w:r>
        <w:rPr>
          <w:rFonts w:ascii="Calibri"/>
          <w:spacing w:val="-1"/>
          <w:sz w:val="20"/>
        </w:rPr>
        <w:t>portal</w:t>
      </w:r>
      <w:r>
        <w:rPr>
          <w:rFonts w:ascii="Calibri"/>
          <w:i/>
          <w:spacing w:val="-1"/>
          <w:sz w:val="20"/>
        </w:rPr>
        <w:t>.</w:t>
      </w:r>
      <w:r>
        <w:rPr>
          <w:rFonts w:ascii="Calibri"/>
          <w:sz w:val="20"/>
        </w:rPr>
      </w:r>
    </w:p>
    <w:p>
      <w:pPr>
        <w:spacing w:line="243" w:lineRule="auto" w:before="0"/>
        <w:ind w:left="260" w:right="173" w:hanging="1"/>
        <w:jc w:val="left"/>
        <w:rPr>
          <w:rFonts w:ascii="Calibri" w:hAnsi="Calibri" w:cs="Calibri" w:eastAsia="Calibri"/>
          <w:sz w:val="20"/>
          <w:szCs w:val="20"/>
        </w:rPr>
      </w:pPr>
      <w:bookmarkStart w:name="_bookmark2" w:id="3"/>
      <w:bookmarkEnd w:id="3"/>
      <w:r>
        <w:rPr/>
      </w:r>
      <w:r>
        <w:rPr>
          <w:rFonts w:ascii="Calibri"/>
          <w:position w:val="8"/>
          <w:sz w:val="14"/>
        </w:rPr>
        <w:t>3</w:t>
      </w:r>
      <w:r>
        <w:rPr>
          <w:rFonts w:ascii="Calibri"/>
          <w:spacing w:val="13"/>
          <w:position w:val="8"/>
          <w:sz w:val="14"/>
        </w:rPr>
        <w:t> </w:t>
      </w:r>
      <w:r>
        <w:rPr>
          <w:rFonts w:ascii="Calibri"/>
          <w:spacing w:val="-1"/>
          <w:sz w:val="20"/>
        </w:rPr>
        <w:t>Refer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to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pages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pacing w:val="-1"/>
          <w:sz w:val="20"/>
        </w:rPr>
        <w:t>6,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pacing w:val="-1"/>
          <w:sz w:val="20"/>
        </w:rPr>
        <w:t>12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and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pacing w:val="-1"/>
          <w:sz w:val="20"/>
        </w:rPr>
        <w:t>29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pacing w:val="1"/>
          <w:sz w:val="20"/>
        </w:rPr>
        <w:t>of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the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i/>
          <w:spacing w:val="-1"/>
          <w:sz w:val="20"/>
        </w:rPr>
        <w:t>Buy</w:t>
      </w:r>
      <w:r>
        <w:rPr>
          <w:rFonts w:ascii="Calibri"/>
          <w:i/>
          <w:spacing w:val="-3"/>
          <w:sz w:val="20"/>
        </w:rPr>
        <w:t> </w:t>
      </w:r>
      <w:r>
        <w:rPr>
          <w:rFonts w:ascii="Calibri"/>
          <w:i/>
          <w:sz w:val="20"/>
        </w:rPr>
        <w:t>Local</w:t>
      </w:r>
      <w:r>
        <w:rPr>
          <w:rFonts w:ascii="Calibri"/>
          <w:i/>
          <w:spacing w:val="-3"/>
          <w:sz w:val="20"/>
        </w:rPr>
        <w:t> </w:t>
      </w:r>
      <w:r>
        <w:rPr>
          <w:rFonts w:ascii="Calibri"/>
          <w:i/>
          <w:spacing w:val="-1"/>
          <w:sz w:val="20"/>
        </w:rPr>
        <w:t>Policy.</w:t>
      </w:r>
      <w:r>
        <w:rPr>
          <w:rFonts w:ascii="Calibri"/>
          <w:i/>
          <w:spacing w:val="-4"/>
          <w:sz w:val="20"/>
        </w:rPr>
        <w:t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i/>
          <w:spacing w:val="-1"/>
          <w:sz w:val="20"/>
        </w:rPr>
        <w:t>Buy</w:t>
      </w:r>
      <w:r>
        <w:rPr>
          <w:rFonts w:ascii="Calibri"/>
          <w:i/>
          <w:spacing w:val="-2"/>
          <w:sz w:val="20"/>
        </w:rPr>
        <w:t> </w:t>
      </w:r>
      <w:r>
        <w:rPr>
          <w:rFonts w:ascii="Calibri"/>
          <w:i/>
          <w:sz w:val="20"/>
        </w:rPr>
        <w:t>Local</w:t>
      </w:r>
      <w:r>
        <w:rPr>
          <w:rFonts w:ascii="Calibri"/>
          <w:i/>
          <w:spacing w:val="-3"/>
          <w:sz w:val="20"/>
        </w:rPr>
        <w:t> </w:t>
      </w:r>
      <w:r>
        <w:rPr>
          <w:rFonts w:ascii="Calibri"/>
          <w:i/>
          <w:spacing w:val="-1"/>
          <w:sz w:val="20"/>
        </w:rPr>
        <w:t>Policy</w:t>
      </w:r>
      <w:r>
        <w:rPr>
          <w:rFonts w:ascii="Calibri"/>
          <w:i/>
          <w:spacing w:val="-4"/>
          <w:sz w:val="20"/>
        </w:rPr>
        <w:t> </w:t>
      </w:r>
      <w:r>
        <w:rPr>
          <w:rFonts w:ascii="Calibri"/>
          <w:spacing w:val="-1"/>
          <w:sz w:val="20"/>
        </w:rPr>
        <w:t>refers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to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the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Local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pacing w:val="-1"/>
          <w:sz w:val="20"/>
        </w:rPr>
        <w:t>Content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pacing w:val="-1"/>
          <w:sz w:val="20"/>
        </w:rPr>
        <w:t>within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the</w:t>
      </w:r>
      <w:r>
        <w:rPr>
          <w:rFonts w:ascii="Calibri"/>
          <w:spacing w:val="69"/>
          <w:w w:val="99"/>
          <w:sz w:val="20"/>
        </w:rPr>
        <w:t> </w:t>
      </w:r>
      <w:r>
        <w:rPr>
          <w:rFonts w:ascii="Calibri"/>
          <w:spacing w:val="-1"/>
          <w:sz w:val="20"/>
        </w:rPr>
        <w:t>Department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z w:val="20"/>
        </w:rPr>
        <w:t>of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pacing w:val="-1"/>
          <w:sz w:val="20"/>
        </w:rPr>
        <w:t>Industry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and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pacing w:val="-1"/>
          <w:sz w:val="20"/>
        </w:rPr>
        <w:t>Technology,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pacing w:val="-1"/>
          <w:sz w:val="20"/>
        </w:rPr>
        <w:t>which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no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pacing w:val="-1"/>
          <w:sz w:val="20"/>
        </w:rPr>
        <w:t>longer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pacing w:val="-1"/>
          <w:sz w:val="20"/>
        </w:rPr>
        <w:t>exists.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A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number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z w:val="20"/>
        </w:rPr>
        <w:t>of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pacing w:val="-1"/>
          <w:sz w:val="20"/>
        </w:rPr>
        <w:t>its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pacing w:val="-1"/>
          <w:sz w:val="20"/>
        </w:rPr>
        <w:t>functions</w:t>
      </w:r>
      <w:r>
        <w:rPr>
          <w:rFonts w:ascii="Calibri"/>
          <w:spacing w:val="-7"/>
          <w:sz w:val="20"/>
        </w:rPr>
        <w:t> </w:t>
      </w:r>
      <w:r>
        <w:rPr>
          <w:rFonts w:ascii="Calibri"/>
          <w:sz w:val="20"/>
        </w:rPr>
        <w:t>are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pacing w:val="-1"/>
          <w:sz w:val="20"/>
        </w:rPr>
        <w:t>incorporated</w:t>
      </w:r>
      <w:r>
        <w:rPr>
          <w:rFonts w:ascii="Calibri"/>
          <w:spacing w:val="95"/>
          <w:w w:val="99"/>
          <w:sz w:val="20"/>
        </w:rPr>
        <w:t> </w:t>
      </w:r>
      <w:r>
        <w:rPr>
          <w:rFonts w:ascii="Calibri"/>
          <w:spacing w:val="-1"/>
          <w:sz w:val="20"/>
        </w:rPr>
        <w:t>within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z w:val="20"/>
        </w:rPr>
        <w:t>the</w:t>
      </w:r>
      <w:r>
        <w:rPr>
          <w:rFonts w:ascii="Calibri"/>
          <w:spacing w:val="-7"/>
          <w:sz w:val="20"/>
        </w:rPr>
        <w:t> </w:t>
      </w:r>
      <w:r>
        <w:rPr>
          <w:rFonts w:ascii="Calibri"/>
          <w:spacing w:val="-1"/>
          <w:sz w:val="20"/>
        </w:rPr>
        <w:t>Department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z w:val="20"/>
        </w:rPr>
        <w:t>of</w:t>
      </w:r>
      <w:r>
        <w:rPr>
          <w:rFonts w:ascii="Calibri"/>
          <w:spacing w:val="-7"/>
          <w:sz w:val="20"/>
        </w:rPr>
        <w:t> </w:t>
      </w:r>
      <w:r>
        <w:rPr>
          <w:rFonts w:ascii="Calibri"/>
          <w:spacing w:val="-1"/>
          <w:sz w:val="20"/>
        </w:rPr>
        <w:t>Jobs,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pacing w:val="-1"/>
          <w:sz w:val="20"/>
        </w:rPr>
        <w:t>Tourism,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pacing w:val="-1"/>
          <w:sz w:val="20"/>
        </w:rPr>
        <w:t>Science</w:t>
      </w:r>
      <w:r>
        <w:rPr>
          <w:rFonts w:ascii="Calibri"/>
          <w:spacing w:val="-7"/>
          <w:sz w:val="20"/>
        </w:rPr>
        <w:t> </w:t>
      </w:r>
      <w:r>
        <w:rPr>
          <w:rFonts w:ascii="Calibri"/>
          <w:sz w:val="20"/>
        </w:rPr>
        <w:t>and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Innovation.</w:t>
      </w:r>
      <w:r>
        <w:rPr>
          <w:rFonts w:ascii="Calibri"/>
          <w:sz w:val="20"/>
        </w:rPr>
      </w:r>
    </w:p>
    <w:sectPr>
      <w:type w:val="continuous"/>
      <w:pgSz w:w="11910" w:h="16840"/>
      <w:pgMar w:top="1500" w:bottom="280" w:left="11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9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9"/>
      <w:ind w:left="118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38"/>
      <w:ind w:left="118"/>
      <w:outlineLvl w:val="1"/>
    </w:pPr>
    <w:rPr>
      <w:rFonts w:ascii="Arial" w:hAnsi="Arial" w:eastAsia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industrylink.wa.gov.au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CONNOR, Fiona</dc:creator>
  <dc:subject>JTSI mark ups to DoF's Addendum to the BLP October 2018</dc:subject>
  <dc:title>ADDENDUM to the Buy Local Policy October 2018</dc:title>
  <dcterms:created xsi:type="dcterms:W3CDTF">2019-06-18T16:30:22Z</dcterms:created>
  <dcterms:modified xsi:type="dcterms:W3CDTF">2019-06-18T16:30:22Z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LastSaved">
    <vt:filetime>2019-06-18T00:00:00Z</vt:filetime>
  </property>
</Properties>
</file>