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9"/>
      </w:tblGrid>
      <w:tr w:rsidR="008D4711" w:rsidRPr="00DF3C2B" w14:paraId="3612B87F" w14:textId="77777777" w:rsidTr="001F0480">
        <w:tc>
          <w:tcPr>
            <w:tcW w:w="8669" w:type="dxa"/>
            <w:shd w:val="clear" w:color="auto" w:fill="auto"/>
            <w:vAlign w:val="center"/>
          </w:tcPr>
          <w:p w14:paraId="4CBAD1E2" w14:textId="77777777" w:rsidR="008D4711" w:rsidRPr="008D4711" w:rsidRDefault="008D4711" w:rsidP="00CB0895">
            <w:pPr>
              <w:spacing w:before="80" w:after="80" w:line="240" w:lineRule="auto"/>
              <w:jc w:val="center"/>
              <w:rPr>
                <w:b/>
                <w:caps/>
                <w:sz w:val="23"/>
                <w:szCs w:val="23"/>
              </w:rPr>
            </w:pPr>
            <w:r w:rsidRPr="00776BAF">
              <w:rPr>
                <w:b/>
                <w:caps/>
                <w:sz w:val="23"/>
                <w:szCs w:val="23"/>
              </w:rPr>
              <w:t>government office accommodation</w:t>
            </w:r>
            <w:r w:rsidRPr="00776BAF">
              <w:rPr>
                <w:b/>
                <w:caps/>
                <w:sz w:val="23"/>
                <w:szCs w:val="23"/>
              </w:rPr>
              <w:br/>
              <w:t>request form</w:t>
            </w:r>
            <w:r w:rsidR="00776BAF">
              <w:rPr>
                <w:b/>
                <w:caps/>
                <w:sz w:val="23"/>
                <w:szCs w:val="23"/>
              </w:rPr>
              <w:t xml:space="preserve"> GUIDELINES</w:t>
            </w:r>
          </w:p>
        </w:tc>
      </w:tr>
    </w:tbl>
    <w:p w14:paraId="073CC179" w14:textId="77777777" w:rsidR="00F83040" w:rsidRDefault="00F83040">
      <w:pPr>
        <w:spacing w:after="0" w:line="240" w:lineRule="auto"/>
        <w:rPr>
          <w:sz w:val="23"/>
          <w:szCs w:val="23"/>
        </w:rPr>
      </w:pPr>
    </w:p>
    <w:p w14:paraId="40D6F08F" w14:textId="77777777" w:rsidR="001653EF" w:rsidRPr="00071CCF" w:rsidRDefault="008D4711">
      <w:pPr>
        <w:spacing w:after="120" w:line="240" w:lineRule="auto"/>
        <w:jc w:val="both"/>
        <w:rPr>
          <w:rFonts w:cstheme="minorHAnsi"/>
          <w:sz w:val="23"/>
          <w:szCs w:val="23"/>
        </w:rPr>
      </w:pPr>
      <w:r w:rsidRPr="001138F7">
        <w:rPr>
          <w:rFonts w:cstheme="minorHAnsi"/>
          <w:sz w:val="23"/>
          <w:szCs w:val="23"/>
        </w:rPr>
        <w:t>The office accommodation request</w:t>
      </w:r>
      <w:r w:rsidR="007960B6" w:rsidRPr="001138F7">
        <w:rPr>
          <w:rFonts w:cstheme="minorHAnsi"/>
          <w:sz w:val="23"/>
          <w:szCs w:val="23"/>
        </w:rPr>
        <w:t xml:space="preserve"> </w:t>
      </w:r>
      <w:r w:rsidRPr="00BC15B8">
        <w:rPr>
          <w:rFonts w:cstheme="minorHAnsi"/>
          <w:sz w:val="23"/>
          <w:szCs w:val="23"/>
        </w:rPr>
        <w:t>form</w:t>
      </w:r>
      <w:r w:rsidR="00776BAF" w:rsidRPr="00BC15B8">
        <w:rPr>
          <w:rFonts w:cstheme="minorHAnsi"/>
          <w:sz w:val="23"/>
          <w:szCs w:val="23"/>
        </w:rPr>
        <w:t xml:space="preserve"> (request form)</w:t>
      </w:r>
      <w:r w:rsidRPr="00BC15B8">
        <w:rPr>
          <w:rFonts w:cstheme="minorHAnsi"/>
          <w:sz w:val="23"/>
          <w:szCs w:val="23"/>
        </w:rPr>
        <w:t xml:space="preserve"> is used by the Department of Finance </w:t>
      </w:r>
      <w:r w:rsidR="00776BAF" w:rsidRPr="00071CCF">
        <w:rPr>
          <w:rFonts w:cstheme="minorHAnsi"/>
          <w:sz w:val="23"/>
          <w:szCs w:val="23"/>
        </w:rPr>
        <w:t xml:space="preserve">(Finance) </w:t>
      </w:r>
      <w:r w:rsidRPr="00071CCF">
        <w:rPr>
          <w:rFonts w:cstheme="minorHAnsi"/>
          <w:sz w:val="23"/>
          <w:szCs w:val="23"/>
        </w:rPr>
        <w:t xml:space="preserve">to </w:t>
      </w:r>
      <w:r w:rsidR="00BC15B8">
        <w:rPr>
          <w:rFonts w:cstheme="minorHAnsi"/>
          <w:sz w:val="23"/>
          <w:szCs w:val="23"/>
        </w:rPr>
        <w:t>capture and manage government agencies’ office accommodation needs</w:t>
      </w:r>
      <w:r w:rsidRPr="00071CCF">
        <w:rPr>
          <w:rFonts w:cstheme="minorHAnsi"/>
          <w:sz w:val="23"/>
          <w:szCs w:val="23"/>
        </w:rPr>
        <w:t>.</w:t>
      </w:r>
    </w:p>
    <w:p w14:paraId="10D7813B" w14:textId="3759E852" w:rsidR="008D4711" w:rsidRPr="001138F7" w:rsidRDefault="00475D1B" w:rsidP="001F0480">
      <w:pPr>
        <w:spacing w:after="120" w:line="240" w:lineRule="auto"/>
        <w:jc w:val="both"/>
        <w:rPr>
          <w:rFonts w:cstheme="minorHAnsi"/>
        </w:rPr>
      </w:pPr>
      <w:r w:rsidRPr="00071CCF">
        <w:rPr>
          <w:rFonts w:cstheme="minorHAnsi"/>
          <w:sz w:val="23"/>
          <w:szCs w:val="23"/>
        </w:rPr>
        <w:t xml:space="preserve">These guidelines are </w:t>
      </w:r>
      <w:r w:rsidR="00776BAF" w:rsidRPr="00071CCF">
        <w:rPr>
          <w:rFonts w:cstheme="minorHAnsi"/>
          <w:sz w:val="23"/>
          <w:szCs w:val="23"/>
        </w:rPr>
        <w:t xml:space="preserve">designed to </w:t>
      </w:r>
      <w:r w:rsidR="00BC15B8">
        <w:rPr>
          <w:rFonts w:cstheme="minorHAnsi"/>
          <w:sz w:val="23"/>
          <w:szCs w:val="23"/>
        </w:rPr>
        <w:t>help</w:t>
      </w:r>
      <w:r w:rsidRPr="00071CCF">
        <w:rPr>
          <w:rFonts w:cstheme="minorHAnsi"/>
          <w:sz w:val="23"/>
          <w:szCs w:val="23"/>
        </w:rPr>
        <w:t xml:space="preserve"> agency </w:t>
      </w:r>
      <w:r w:rsidR="00BC15B8">
        <w:rPr>
          <w:rFonts w:cstheme="minorHAnsi"/>
          <w:sz w:val="23"/>
          <w:szCs w:val="23"/>
        </w:rPr>
        <w:t xml:space="preserve">staff </w:t>
      </w:r>
      <w:r w:rsidR="00776BAF" w:rsidRPr="00071CCF">
        <w:rPr>
          <w:rFonts w:cstheme="minorHAnsi"/>
          <w:sz w:val="23"/>
          <w:szCs w:val="23"/>
        </w:rPr>
        <w:t>complet</w:t>
      </w:r>
      <w:r w:rsidRPr="00071CCF">
        <w:rPr>
          <w:rFonts w:cstheme="minorHAnsi"/>
          <w:sz w:val="23"/>
          <w:szCs w:val="23"/>
        </w:rPr>
        <w:t xml:space="preserve">e the </w:t>
      </w:r>
      <w:r w:rsidR="00776BAF" w:rsidRPr="00071CCF">
        <w:rPr>
          <w:rFonts w:cstheme="minorHAnsi"/>
          <w:sz w:val="23"/>
          <w:szCs w:val="23"/>
        </w:rPr>
        <w:t xml:space="preserve">request </w:t>
      </w:r>
      <w:r w:rsidRPr="00071CCF">
        <w:rPr>
          <w:rFonts w:cstheme="minorHAnsi"/>
          <w:sz w:val="23"/>
          <w:szCs w:val="23"/>
        </w:rPr>
        <w:t>form</w:t>
      </w:r>
      <w:r w:rsidR="00776BAF" w:rsidRPr="00071CCF">
        <w:rPr>
          <w:rFonts w:cstheme="minorHAnsi"/>
          <w:sz w:val="23"/>
          <w:szCs w:val="23"/>
        </w:rPr>
        <w:t xml:space="preserve"> in accordance with </w:t>
      </w:r>
      <w:r w:rsidRPr="00071CCF">
        <w:rPr>
          <w:rFonts w:cstheme="minorHAnsi"/>
          <w:sz w:val="23"/>
          <w:szCs w:val="23"/>
        </w:rPr>
        <w:t>the</w:t>
      </w:r>
      <w:r w:rsidR="00776BAF" w:rsidRPr="00071CCF">
        <w:rPr>
          <w:rFonts w:cstheme="minorHAnsi"/>
          <w:sz w:val="23"/>
          <w:szCs w:val="23"/>
        </w:rPr>
        <w:t xml:space="preserve"> </w:t>
      </w:r>
      <w:r w:rsidR="008D4711" w:rsidRPr="001F0480">
        <w:rPr>
          <w:rFonts w:cstheme="minorHAnsi"/>
          <w:sz w:val="23"/>
          <w:szCs w:val="23"/>
        </w:rPr>
        <w:t>Government Office Accommodation Policy (policy)</w:t>
      </w:r>
      <w:r w:rsidR="007960B6" w:rsidRPr="001F0480">
        <w:rPr>
          <w:rFonts w:cstheme="minorHAnsi"/>
          <w:sz w:val="23"/>
          <w:szCs w:val="23"/>
        </w:rPr>
        <w:t xml:space="preserve"> and</w:t>
      </w:r>
      <w:r w:rsidR="00776BAF" w:rsidRPr="001F0480">
        <w:rPr>
          <w:rFonts w:cstheme="minorHAnsi"/>
          <w:sz w:val="23"/>
          <w:szCs w:val="23"/>
        </w:rPr>
        <w:t xml:space="preserve"> </w:t>
      </w:r>
      <w:r w:rsidR="00F12BA7">
        <w:rPr>
          <w:rFonts w:cstheme="minorHAnsi"/>
          <w:sz w:val="23"/>
          <w:szCs w:val="23"/>
        </w:rPr>
        <w:t>Standards</w:t>
      </w:r>
      <w:r w:rsidR="00324EC5" w:rsidRPr="00E035E5">
        <w:rPr>
          <w:rFonts w:cstheme="minorHAnsi"/>
          <w:sz w:val="23"/>
          <w:szCs w:val="23"/>
        </w:rPr>
        <w:t xml:space="preserve"> </w:t>
      </w:r>
      <w:r w:rsidR="008D4711" w:rsidRPr="00E035E5">
        <w:rPr>
          <w:rFonts w:cstheme="minorHAnsi"/>
          <w:sz w:val="23"/>
          <w:szCs w:val="23"/>
        </w:rPr>
        <w:t>(</w:t>
      </w:r>
      <w:r w:rsidR="00F12BA7">
        <w:rPr>
          <w:rFonts w:cstheme="minorHAnsi"/>
          <w:sz w:val="23"/>
          <w:szCs w:val="23"/>
        </w:rPr>
        <w:t>standards</w:t>
      </w:r>
      <w:r w:rsidR="008D4711" w:rsidRPr="00E035E5">
        <w:rPr>
          <w:rFonts w:cstheme="minorHAnsi"/>
          <w:sz w:val="23"/>
          <w:szCs w:val="23"/>
        </w:rPr>
        <w:t>)</w:t>
      </w:r>
      <w:r w:rsidR="00776BAF" w:rsidRPr="00E035E5">
        <w:rPr>
          <w:rFonts w:cstheme="minorHAnsi"/>
          <w:sz w:val="23"/>
          <w:szCs w:val="23"/>
        </w:rPr>
        <w:t>.</w:t>
      </w:r>
    </w:p>
    <w:p w14:paraId="368581C3" w14:textId="77777777" w:rsidR="00324EC5" w:rsidRPr="001F0480" w:rsidRDefault="00BC15B8">
      <w:pPr>
        <w:pStyle w:val="Bullett1"/>
        <w:numPr>
          <w:ilvl w:val="0"/>
          <w:numId w:val="0"/>
        </w:numPr>
        <w:ind w:right="0"/>
        <w:rPr>
          <w:rFonts w:asciiTheme="minorHAnsi" w:hAnsiTheme="minorHAnsi" w:cstheme="minorHAnsi"/>
        </w:rPr>
      </w:pPr>
      <w:r>
        <w:rPr>
          <w:rFonts w:asciiTheme="minorHAnsi" w:hAnsiTheme="minorHAnsi" w:cstheme="minorHAnsi"/>
        </w:rPr>
        <w:t>The</w:t>
      </w:r>
      <w:r w:rsidR="00776BAF" w:rsidRPr="001F0480">
        <w:rPr>
          <w:rFonts w:asciiTheme="minorHAnsi" w:hAnsiTheme="minorHAnsi" w:cstheme="minorHAnsi"/>
        </w:rPr>
        <w:t xml:space="preserve"> </w:t>
      </w:r>
      <w:r w:rsidR="00324EC5" w:rsidRPr="001F0480">
        <w:rPr>
          <w:rFonts w:asciiTheme="minorHAnsi" w:hAnsiTheme="minorHAnsi" w:cstheme="minorHAnsi"/>
        </w:rPr>
        <w:t xml:space="preserve">request form </w:t>
      </w:r>
      <w:r w:rsidR="00776BAF" w:rsidRPr="001F0480">
        <w:rPr>
          <w:rFonts w:asciiTheme="minorHAnsi" w:hAnsiTheme="minorHAnsi" w:cstheme="minorHAnsi"/>
        </w:rPr>
        <w:t>must be completed for all new needs, lease extensions and variations</w:t>
      </w:r>
      <w:r w:rsidR="00D85419" w:rsidRPr="001F0480">
        <w:rPr>
          <w:rFonts w:asciiTheme="minorHAnsi" w:hAnsiTheme="minorHAnsi" w:cstheme="minorHAnsi"/>
        </w:rPr>
        <w:t xml:space="preserve"> and other office accommodation requests.</w:t>
      </w:r>
      <w:r w:rsidR="00324EC5" w:rsidRPr="001F0480">
        <w:rPr>
          <w:rFonts w:asciiTheme="minorHAnsi" w:hAnsiTheme="minorHAnsi" w:cstheme="minorHAnsi"/>
        </w:rPr>
        <w:t xml:space="preserve"> </w:t>
      </w:r>
    </w:p>
    <w:p w14:paraId="3ACFDAB3" w14:textId="77777777" w:rsidR="00D85419" w:rsidRPr="001F0480" w:rsidRDefault="00BC15B8">
      <w:pPr>
        <w:pStyle w:val="Bullett1"/>
        <w:numPr>
          <w:ilvl w:val="0"/>
          <w:numId w:val="0"/>
        </w:numPr>
        <w:ind w:right="0"/>
        <w:rPr>
          <w:rFonts w:asciiTheme="minorHAnsi" w:hAnsiTheme="minorHAnsi" w:cstheme="minorHAnsi"/>
        </w:rPr>
      </w:pPr>
      <w:r>
        <w:rPr>
          <w:rFonts w:asciiTheme="minorHAnsi" w:hAnsiTheme="minorHAnsi" w:cstheme="minorHAnsi"/>
        </w:rPr>
        <w:t>To assist the process, Finance should review the request form before it is signed by the agency’s delegated authority. If additional information is required, Finance will contact the agency to ensure the request form can be progressed.</w:t>
      </w:r>
    </w:p>
    <w:p w14:paraId="5305DC18" w14:textId="77777777" w:rsidR="00324EC5" w:rsidRPr="001F0480" w:rsidRDefault="00324EC5" w:rsidP="001F0480">
      <w:pPr>
        <w:pStyle w:val="Bullett1"/>
        <w:numPr>
          <w:ilvl w:val="0"/>
          <w:numId w:val="0"/>
        </w:numPr>
        <w:spacing w:after="0"/>
        <w:rPr>
          <w:rFonts w:asciiTheme="minorHAnsi" w:hAnsiTheme="minorHAnsi" w:cstheme="minorHAnsi"/>
        </w:rPr>
      </w:pPr>
    </w:p>
    <w:p w14:paraId="22D9611C" w14:textId="77777777" w:rsidR="00324EC5" w:rsidRPr="001F0480" w:rsidRDefault="007960B6">
      <w:pPr>
        <w:pStyle w:val="Bullett1"/>
        <w:numPr>
          <w:ilvl w:val="0"/>
          <w:numId w:val="0"/>
        </w:numPr>
        <w:ind w:left="284" w:hanging="284"/>
        <w:jc w:val="center"/>
        <w:rPr>
          <w:rFonts w:asciiTheme="minorHAnsi" w:hAnsiTheme="minorHAnsi" w:cstheme="minorHAnsi"/>
          <w:b/>
        </w:rPr>
      </w:pPr>
      <w:r w:rsidRPr="001F0480">
        <w:rPr>
          <w:rFonts w:asciiTheme="minorHAnsi" w:hAnsiTheme="minorHAnsi" w:cstheme="minorHAnsi"/>
          <w:b/>
        </w:rPr>
        <w:t>INSTRUCTIONS</w:t>
      </w:r>
    </w:p>
    <w:p w14:paraId="086F213A" w14:textId="77777777" w:rsidR="00481F83" w:rsidRPr="001F0480" w:rsidRDefault="00F32B24">
      <w:pPr>
        <w:pStyle w:val="Bullett1"/>
        <w:numPr>
          <w:ilvl w:val="0"/>
          <w:numId w:val="0"/>
        </w:numPr>
        <w:ind w:left="284" w:hanging="284"/>
        <w:jc w:val="center"/>
        <w:rPr>
          <w:rFonts w:asciiTheme="minorHAnsi" w:hAnsiTheme="minorHAnsi" w:cstheme="minorHAnsi"/>
          <w:b/>
          <w:i/>
          <w:color w:val="C00000"/>
        </w:rPr>
      </w:pPr>
      <w:r w:rsidRPr="001F0480">
        <w:rPr>
          <w:rFonts w:asciiTheme="minorHAnsi" w:hAnsiTheme="minorHAnsi" w:cstheme="minorHAnsi"/>
          <w:b/>
          <w:i/>
          <w:color w:val="C00000"/>
          <w:sz w:val="20"/>
          <w:szCs w:val="20"/>
        </w:rPr>
        <w:t>Please complete all sections of the form and the attachment</w:t>
      </w:r>
      <w:r w:rsidR="00DF2702" w:rsidRPr="001F0480">
        <w:rPr>
          <w:rFonts w:asciiTheme="minorHAnsi" w:hAnsiTheme="minorHAnsi" w:cstheme="minorHAnsi"/>
          <w:b/>
          <w:i/>
          <w:color w:val="C00000"/>
          <w:sz w:val="20"/>
          <w:szCs w:val="20"/>
        </w:rPr>
        <w:t>.</w:t>
      </w:r>
    </w:p>
    <w:p w14:paraId="2A5A6E6F" w14:textId="77777777" w:rsidR="001B7F2C" w:rsidRPr="001F0480" w:rsidRDefault="001B7F2C">
      <w:pPr>
        <w:pStyle w:val="Bullett1"/>
        <w:numPr>
          <w:ilvl w:val="0"/>
          <w:numId w:val="0"/>
        </w:numPr>
        <w:ind w:right="0"/>
        <w:rPr>
          <w:rFonts w:asciiTheme="minorHAnsi" w:hAnsiTheme="minorHAnsi" w:cstheme="minorHAnsi"/>
          <w:b/>
        </w:rPr>
      </w:pPr>
      <w:r w:rsidRPr="001F0480">
        <w:rPr>
          <w:rFonts w:asciiTheme="minorHAnsi" w:hAnsiTheme="minorHAnsi" w:cstheme="minorHAnsi"/>
          <w:b/>
        </w:rPr>
        <w:t>Part 2: REQUEST DETAILS</w:t>
      </w:r>
    </w:p>
    <w:p w14:paraId="6A4B7349" w14:textId="77777777" w:rsidR="00DF2702" w:rsidRPr="001F0480" w:rsidRDefault="00DF2702" w:rsidP="001F0480">
      <w:pPr>
        <w:pStyle w:val="Bullett1"/>
        <w:numPr>
          <w:ilvl w:val="0"/>
          <w:numId w:val="38"/>
        </w:numPr>
        <w:ind w:right="0"/>
        <w:rPr>
          <w:rFonts w:asciiTheme="minorHAnsi" w:hAnsiTheme="minorHAnsi" w:cstheme="minorHAnsi"/>
        </w:rPr>
      </w:pPr>
      <w:r w:rsidRPr="001F0480">
        <w:rPr>
          <w:rFonts w:asciiTheme="minorHAnsi" w:hAnsiTheme="minorHAnsi" w:cstheme="minorHAnsi"/>
        </w:rPr>
        <w:t xml:space="preserve">Agency intention </w:t>
      </w:r>
      <w:r w:rsidR="00BC15B8">
        <w:rPr>
          <w:rFonts w:asciiTheme="minorHAnsi" w:hAnsiTheme="minorHAnsi" w:cstheme="minorHAnsi"/>
        </w:rPr>
        <w:t xml:space="preserve">and </w:t>
      </w:r>
      <w:r w:rsidRPr="001F0480">
        <w:rPr>
          <w:rFonts w:asciiTheme="minorHAnsi" w:hAnsiTheme="minorHAnsi" w:cstheme="minorHAnsi"/>
        </w:rPr>
        <w:t xml:space="preserve">rationale </w:t>
      </w:r>
      <w:r w:rsidR="00BC15B8">
        <w:rPr>
          <w:rFonts w:asciiTheme="minorHAnsi" w:hAnsiTheme="minorHAnsi" w:cstheme="minorHAnsi"/>
        </w:rPr>
        <w:t xml:space="preserve">for the </w:t>
      </w:r>
      <w:r w:rsidRPr="001F0480">
        <w:rPr>
          <w:rFonts w:asciiTheme="minorHAnsi" w:hAnsiTheme="minorHAnsi" w:cstheme="minorHAnsi"/>
        </w:rPr>
        <w:t>request</w:t>
      </w:r>
      <w:r w:rsidR="00467EB2" w:rsidRPr="00FD1B64">
        <w:rPr>
          <w:rFonts w:asciiTheme="minorHAnsi" w:hAnsiTheme="minorHAnsi" w:cstheme="minorHAnsi"/>
        </w:rPr>
        <w:t>.</w:t>
      </w:r>
    </w:p>
    <w:p w14:paraId="6B92A4FD" w14:textId="77777777" w:rsidR="00DF2702" w:rsidRPr="001F0480" w:rsidRDefault="00BC15B8" w:rsidP="001F0480">
      <w:pPr>
        <w:pStyle w:val="Bullett1"/>
        <w:numPr>
          <w:ilvl w:val="0"/>
          <w:numId w:val="0"/>
        </w:numPr>
        <w:ind w:left="360" w:right="0"/>
        <w:rPr>
          <w:rFonts w:asciiTheme="minorHAnsi" w:hAnsiTheme="minorHAnsi" w:cstheme="minorHAnsi"/>
        </w:rPr>
      </w:pPr>
      <w:r>
        <w:rPr>
          <w:rFonts w:asciiTheme="minorHAnsi" w:hAnsiTheme="minorHAnsi" w:cstheme="minorHAnsi"/>
        </w:rPr>
        <w:t>Office accommodation is a significant agency and taxpayer expense and this section provide</w:t>
      </w:r>
      <w:r w:rsidR="001F0480">
        <w:rPr>
          <w:rFonts w:asciiTheme="minorHAnsi" w:hAnsiTheme="minorHAnsi" w:cstheme="minorHAnsi"/>
        </w:rPr>
        <w:t>s</w:t>
      </w:r>
      <w:r>
        <w:rPr>
          <w:rFonts w:asciiTheme="minorHAnsi" w:hAnsiTheme="minorHAnsi" w:cstheme="minorHAnsi"/>
        </w:rPr>
        <w:t xml:space="preserve"> justification for this expense. Where appropriate, t</w:t>
      </w:r>
      <w:r w:rsidR="00DF2702" w:rsidRPr="00FD1B64">
        <w:rPr>
          <w:rFonts w:asciiTheme="minorHAnsi" w:hAnsiTheme="minorHAnsi" w:cstheme="minorHAnsi"/>
        </w:rPr>
        <w:t>he</w:t>
      </w:r>
      <w:r>
        <w:rPr>
          <w:rFonts w:asciiTheme="minorHAnsi" w:hAnsiTheme="minorHAnsi" w:cstheme="minorHAnsi"/>
        </w:rPr>
        <w:t xml:space="preserve"> request rationale </w:t>
      </w:r>
      <w:r w:rsidR="00071CCF">
        <w:rPr>
          <w:rFonts w:asciiTheme="minorHAnsi" w:hAnsiTheme="minorHAnsi" w:cstheme="minorHAnsi"/>
        </w:rPr>
        <w:t>may</w:t>
      </w:r>
      <w:r>
        <w:rPr>
          <w:rFonts w:asciiTheme="minorHAnsi" w:hAnsiTheme="minorHAnsi" w:cstheme="minorHAnsi"/>
        </w:rPr>
        <w:t xml:space="preserve"> include consideration of the</w:t>
      </w:r>
      <w:r w:rsidR="00DF2702" w:rsidRPr="00FD1B64">
        <w:rPr>
          <w:rFonts w:asciiTheme="minorHAnsi" w:hAnsiTheme="minorHAnsi" w:cstheme="minorHAnsi"/>
        </w:rPr>
        <w:t xml:space="preserve"> following:</w:t>
      </w:r>
    </w:p>
    <w:p w14:paraId="73D06635" w14:textId="77777777" w:rsidR="00DF2702" w:rsidRPr="00FD1B64" w:rsidRDefault="00DF2702" w:rsidP="001F0480">
      <w:pPr>
        <w:pStyle w:val="Bullett1"/>
        <w:numPr>
          <w:ilvl w:val="0"/>
          <w:numId w:val="39"/>
        </w:numPr>
        <w:spacing w:after="80"/>
        <w:ind w:right="0"/>
        <w:rPr>
          <w:rFonts w:asciiTheme="minorHAnsi" w:hAnsiTheme="minorHAnsi" w:cstheme="minorHAnsi"/>
        </w:rPr>
      </w:pPr>
      <w:r w:rsidRPr="00FD1B64">
        <w:rPr>
          <w:rFonts w:asciiTheme="minorHAnsi" w:hAnsiTheme="minorHAnsi" w:cstheme="minorHAnsi"/>
        </w:rPr>
        <w:t xml:space="preserve">why this office accommodation is required and how </w:t>
      </w:r>
      <w:r w:rsidR="00BC15B8">
        <w:rPr>
          <w:rFonts w:asciiTheme="minorHAnsi" w:hAnsiTheme="minorHAnsi" w:cstheme="minorHAnsi"/>
        </w:rPr>
        <w:t xml:space="preserve">will </w:t>
      </w:r>
      <w:r w:rsidRPr="00FD1B64">
        <w:rPr>
          <w:rFonts w:asciiTheme="minorHAnsi" w:hAnsiTheme="minorHAnsi" w:cstheme="minorHAnsi"/>
        </w:rPr>
        <w:t>it fit with the agency’s functions and service delivery;</w:t>
      </w:r>
    </w:p>
    <w:p w14:paraId="1CEDF977" w14:textId="77777777" w:rsidR="00DF2702" w:rsidRPr="00FD1B64" w:rsidRDefault="00DF2702" w:rsidP="001F0480">
      <w:pPr>
        <w:pStyle w:val="Bullett1"/>
        <w:numPr>
          <w:ilvl w:val="0"/>
          <w:numId w:val="39"/>
        </w:numPr>
        <w:spacing w:after="80"/>
        <w:ind w:right="0"/>
        <w:rPr>
          <w:rFonts w:asciiTheme="minorHAnsi" w:hAnsiTheme="minorHAnsi" w:cstheme="minorHAnsi"/>
        </w:rPr>
      </w:pPr>
      <w:r w:rsidRPr="00FD1B64">
        <w:rPr>
          <w:rFonts w:asciiTheme="minorHAnsi" w:hAnsiTheme="minorHAnsi" w:cstheme="minorHAnsi"/>
        </w:rPr>
        <w:t>why the agency is unable to utilise any of its other office accommodation;</w:t>
      </w:r>
    </w:p>
    <w:p w14:paraId="70880798" w14:textId="77777777" w:rsidR="00DF2702" w:rsidRPr="00FD1B64" w:rsidRDefault="00BC15B8" w:rsidP="001F0480">
      <w:pPr>
        <w:pStyle w:val="Bullett1"/>
        <w:numPr>
          <w:ilvl w:val="0"/>
          <w:numId w:val="39"/>
        </w:numPr>
        <w:spacing w:after="80"/>
        <w:ind w:right="0"/>
        <w:rPr>
          <w:rFonts w:asciiTheme="minorHAnsi" w:hAnsiTheme="minorHAnsi" w:cstheme="minorHAnsi"/>
        </w:rPr>
      </w:pPr>
      <w:r>
        <w:rPr>
          <w:rFonts w:asciiTheme="minorHAnsi" w:hAnsiTheme="minorHAnsi" w:cstheme="minorHAnsi"/>
        </w:rPr>
        <w:t xml:space="preserve">when applicable, why a </w:t>
      </w:r>
      <w:r w:rsidR="00DF2702" w:rsidRPr="00FD1B64">
        <w:rPr>
          <w:rFonts w:asciiTheme="minorHAnsi" w:hAnsiTheme="minorHAnsi" w:cstheme="minorHAnsi"/>
        </w:rPr>
        <w:t xml:space="preserve">specific location </w:t>
      </w:r>
      <w:r>
        <w:rPr>
          <w:rFonts w:asciiTheme="minorHAnsi" w:hAnsiTheme="minorHAnsi" w:cstheme="minorHAnsi"/>
        </w:rPr>
        <w:t>ha</w:t>
      </w:r>
      <w:r w:rsidR="00DF2702" w:rsidRPr="00FD1B64">
        <w:rPr>
          <w:rFonts w:asciiTheme="minorHAnsi" w:hAnsiTheme="minorHAnsi" w:cstheme="minorHAnsi"/>
        </w:rPr>
        <w:t xml:space="preserve">s </w:t>
      </w:r>
      <w:r>
        <w:rPr>
          <w:rFonts w:asciiTheme="minorHAnsi" w:hAnsiTheme="minorHAnsi" w:cstheme="minorHAnsi"/>
        </w:rPr>
        <w:t xml:space="preserve">been </w:t>
      </w:r>
      <w:r w:rsidR="00DF2702" w:rsidRPr="00FD1B64">
        <w:rPr>
          <w:rFonts w:asciiTheme="minorHAnsi" w:hAnsiTheme="minorHAnsi" w:cstheme="minorHAnsi"/>
        </w:rPr>
        <w:t>requested;</w:t>
      </w:r>
    </w:p>
    <w:p w14:paraId="2D98495B" w14:textId="77777777" w:rsidR="00DF2702" w:rsidRPr="00FD1B64" w:rsidRDefault="00DF2702" w:rsidP="001F0480">
      <w:pPr>
        <w:pStyle w:val="Bullett1"/>
        <w:numPr>
          <w:ilvl w:val="0"/>
          <w:numId w:val="39"/>
        </w:numPr>
        <w:spacing w:after="80"/>
        <w:ind w:right="0"/>
        <w:rPr>
          <w:rFonts w:asciiTheme="minorHAnsi" w:hAnsiTheme="minorHAnsi" w:cstheme="minorHAnsi"/>
        </w:rPr>
      </w:pPr>
      <w:r w:rsidRPr="00FD1B64">
        <w:rPr>
          <w:rFonts w:asciiTheme="minorHAnsi" w:hAnsiTheme="minorHAnsi" w:cstheme="minorHAnsi"/>
        </w:rPr>
        <w:t>what effect does this request have on other agency office accommodation; and</w:t>
      </w:r>
    </w:p>
    <w:p w14:paraId="4642FAB4" w14:textId="77777777" w:rsidR="00DF2702" w:rsidRPr="001F0480" w:rsidRDefault="00071CCF" w:rsidP="001F0480">
      <w:pPr>
        <w:pStyle w:val="Bullett1"/>
        <w:numPr>
          <w:ilvl w:val="0"/>
          <w:numId w:val="39"/>
        </w:numPr>
        <w:spacing w:after="0"/>
        <w:ind w:right="0"/>
        <w:rPr>
          <w:rFonts w:asciiTheme="minorHAnsi" w:hAnsiTheme="minorHAnsi" w:cstheme="minorHAnsi"/>
        </w:rPr>
      </w:pPr>
      <w:r>
        <w:rPr>
          <w:rFonts w:asciiTheme="minorHAnsi" w:hAnsiTheme="minorHAnsi" w:cstheme="minorHAnsi"/>
        </w:rPr>
        <w:t xml:space="preserve">what the </w:t>
      </w:r>
      <w:r w:rsidR="00DF2702" w:rsidRPr="00FD1B64">
        <w:rPr>
          <w:rFonts w:asciiTheme="minorHAnsi" w:hAnsiTheme="minorHAnsi" w:cstheme="minorHAnsi"/>
        </w:rPr>
        <w:t xml:space="preserve">impact </w:t>
      </w:r>
      <w:r>
        <w:rPr>
          <w:rFonts w:asciiTheme="minorHAnsi" w:hAnsiTheme="minorHAnsi" w:cstheme="minorHAnsi"/>
        </w:rPr>
        <w:t xml:space="preserve">on agency function or service delivery would be </w:t>
      </w:r>
      <w:r w:rsidR="00DF2702" w:rsidRPr="00FD1B64">
        <w:rPr>
          <w:rFonts w:asciiTheme="minorHAnsi" w:hAnsiTheme="minorHAnsi" w:cstheme="minorHAnsi"/>
        </w:rPr>
        <w:t xml:space="preserve">if the request </w:t>
      </w:r>
      <w:r>
        <w:rPr>
          <w:rFonts w:asciiTheme="minorHAnsi" w:hAnsiTheme="minorHAnsi" w:cstheme="minorHAnsi"/>
        </w:rPr>
        <w:t>was</w:t>
      </w:r>
      <w:r w:rsidR="00DF2702" w:rsidRPr="00FD1B64">
        <w:rPr>
          <w:rFonts w:asciiTheme="minorHAnsi" w:hAnsiTheme="minorHAnsi" w:cstheme="minorHAnsi"/>
        </w:rPr>
        <w:t xml:space="preserve"> not approved.</w:t>
      </w:r>
    </w:p>
    <w:p w14:paraId="1298B2A5" w14:textId="77777777" w:rsidR="00DF2702" w:rsidRPr="001F0480" w:rsidRDefault="00DF2702" w:rsidP="001F0480">
      <w:pPr>
        <w:pStyle w:val="Bullett1"/>
        <w:numPr>
          <w:ilvl w:val="0"/>
          <w:numId w:val="0"/>
        </w:numPr>
        <w:spacing w:after="0"/>
        <w:ind w:right="0"/>
        <w:rPr>
          <w:rFonts w:asciiTheme="minorHAnsi" w:hAnsiTheme="minorHAnsi" w:cstheme="minorHAnsi"/>
          <w:b/>
        </w:rPr>
      </w:pPr>
    </w:p>
    <w:p w14:paraId="070A22F6" w14:textId="77777777" w:rsidR="00DF2702" w:rsidRPr="001F0480" w:rsidRDefault="00071CCF" w:rsidP="001F0480">
      <w:pPr>
        <w:pStyle w:val="Bullett1"/>
        <w:numPr>
          <w:ilvl w:val="0"/>
          <w:numId w:val="38"/>
        </w:numPr>
        <w:ind w:right="0"/>
        <w:rPr>
          <w:rFonts w:asciiTheme="minorHAnsi" w:hAnsiTheme="minorHAnsi" w:cstheme="minorHAnsi"/>
        </w:rPr>
      </w:pPr>
      <w:r>
        <w:rPr>
          <w:rFonts w:asciiTheme="minorHAnsi" w:hAnsiTheme="minorHAnsi" w:cstheme="minorHAnsi"/>
        </w:rPr>
        <w:t xml:space="preserve">Business Units and functions to be located at this site. </w:t>
      </w:r>
    </w:p>
    <w:p w14:paraId="2AEBE1A1" w14:textId="77777777" w:rsidR="00DF2702" w:rsidRPr="001F0480" w:rsidRDefault="00071CCF" w:rsidP="001F0480">
      <w:pPr>
        <w:pStyle w:val="Bullett1"/>
        <w:numPr>
          <w:ilvl w:val="0"/>
          <w:numId w:val="0"/>
        </w:numPr>
        <w:ind w:left="360" w:right="0"/>
        <w:rPr>
          <w:rFonts w:asciiTheme="minorHAnsi" w:hAnsiTheme="minorHAnsi" w:cstheme="minorHAnsi"/>
          <w:b/>
        </w:rPr>
      </w:pPr>
      <w:r>
        <w:rPr>
          <w:rFonts w:asciiTheme="minorHAnsi" w:hAnsiTheme="minorHAnsi" w:cstheme="minorHAnsi"/>
        </w:rPr>
        <w:t xml:space="preserve">Please consider the </w:t>
      </w:r>
      <w:r w:rsidR="00DF2702" w:rsidRPr="00FD1B64">
        <w:rPr>
          <w:rFonts w:asciiTheme="minorHAnsi" w:hAnsiTheme="minorHAnsi" w:cstheme="minorHAnsi"/>
        </w:rPr>
        <w:t xml:space="preserve">following </w:t>
      </w:r>
      <w:r>
        <w:rPr>
          <w:rFonts w:asciiTheme="minorHAnsi" w:hAnsiTheme="minorHAnsi" w:cstheme="minorHAnsi"/>
        </w:rPr>
        <w:t xml:space="preserve">when completing </w:t>
      </w:r>
      <w:r w:rsidR="00DF2702" w:rsidRPr="00FD1B64">
        <w:rPr>
          <w:rFonts w:asciiTheme="minorHAnsi" w:hAnsiTheme="minorHAnsi" w:cstheme="minorHAnsi"/>
        </w:rPr>
        <w:t xml:space="preserve">this section: </w:t>
      </w:r>
    </w:p>
    <w:p w14:paraId="363BA20C" w14:textId="77777777" w:rsidR="00DF2702" w:rsidRPr="00FD1B64" w:rsidRDefault="00DF2702" w:rsidP="001F0480">
      <w:pPr>
        <w:pStyle w:val="Bullett1"/>
        <w:numPr>
          <w:ilvl w:val="0"/>
          <w:numId w:val="39"/>
        </w:numPr>
        <w:spacing w:after="80"/>
        <w:ind w:right="0"/>
        <w:rPr>
          <w:rFonts w:asciiTheme="minorHAnsi" w:hAnsiTheme="minorHAnsi" w:cstheme="minorHAnsi"/>
        </w:rPr>
      </w:pPr>
      <w:r w:rsidRPr="00FD1B64">
        <w:rPr>
          <w:rFonts w:asciiTheme="minorHAnsi" w:hAnsiTheme="minorHAnsi" w:cstheme="minorHAnsi"/>
        </w:rPr>
        <w:t>name of business units which will occupy the space</w:t>
      </w:r>
      <w:r w:rsidR="00C305BF" w:rsidRPr="00FD1B64">
        <w:rPr>
          <w:rFonts w:asciiTheme="minorHAnsi" w:hAnsiTheme="minorHAnsi" w:cstheme="minorHAnsi"/>
        </w:rPr>
        <w:t>;</w:t>
      </w:r>
      <w:r w:rsidR="001F0480">
        <w:rPr>
          <w:rFonts w:asciiTheme="minorHAnsi" w:hAnsiTheme="minorHAnsi" w:cstheme="minorHAnsi"/>
        </w:rPr>
        <w:t xml:space="preserve"> and</w:t>
      </w:r>
    </w:p>
    <w:p w14:paraId="28C487EB" w14:textId="550672A5" w:rsidR="00DF2702" w:rsidRPr="001F0480" w:rsidRDefault="008C7826" w:rsidP="001F0480">
      <w:pPr>
        <w:pStyle w:val="Bullett1"/>
        <w:numPr>
          <w:ilvl w:val="0"/>
          <w:numId w:val="39"/>
        </w:numPr>
        <w:spacing w:after="80"/>
        <w:ind w:right="0"/>
        <w:rPr>
          <w:rFonts w:asciiTheme="minorHAnsi" w:hAnsiTheme="minorHAnsi" w:cstheme="minorHAnsi"/>
        </w:rPr>
      </w:pPr>
      <w:r w:rsidRPr="008102B8">
        <w:rPr>
          <w:rFonts w:asciiTheme="minorHAnsi" w:hAnsiTheme="minorHAnsi" w:cstheme="minorHAnsi"/>
        </w:rPr>
        <w:t>service</w:t>
      </w:r>
      <w:r>
        <w:rPr>
          <w:rFonts w:asciiTheme="minorHAnsi" w:hAnsiTheme="minorHAnsi" w:cstheme="minorHAnsi"/>
        </w:rPr>
        <w:t>/s</w:t>
      </w:r>
      <w:r w:rsidRPr="008102B8">
        <w:rPr>
          <w:rFonts w:asciiTheme="minorHAnsi" w:hAnsiTheme="minorHAnsi" w:cstheme="minorHAnsi"/>
        </w:rPr>
        <w:t xml:space="preserve"> to be provided at the requested premises </w:t>
      </w:r>
      <w:r>
        <w:rPr>
          <w:rFonts w:asciiTheme="minorHAnsi" w:hAnsiTheme="minorHAnsi" w:cstheme="minorHAnsi"/>
        </w:rPr>
        <w:t>and the service recipients, i.e.</w:t>
      </w:r>
      <w:r w:rsidRPr="008102B8">
        <w:rPr>
          <w:rFonts w:asciiTheme="minorHAnsi" w:hAnsiTheme="minorHAnsi" w:cstheme="minorHAnsi"/>
        </w:rPr>
        <w:t xml:space="preserve"> </w:t>
      </w:r>
      <w:r>
        <w:rPr>
          <w:rFonts w:asciiTheme="minorHAnsi" w:hAnsiTheme="minorHAnsi" w:cstheme="minorHAnsi"/>
        </w:rPr>
        <w:t xml:space="preserve">internal to </w:t>
      </w:r>
      <w:r w:rsidRPr="008102B8">
        <w:rPr>
          <w:rFonts w:asciiTheme="minorHAnsi" w:hAnsiTheme="minorHAnsi" w:cstheme="minorHAnsi"/>
        </w:rPr>
        <w:t>the agency, government, Western Australian taxpayers, agency clients, and</w:t>
      </w:r>
      <w:r>
        <w:rPr>
          <w:rFonts w:asciiTheme="minorHAnsi" w:hAnsiTheme="minorHAnsi" w:cstheme="minorHAnsi"/>
        </w:rPr>
        <w:t>/or</w:t>
      </w:r>
      <w:r w:rsidRPr="008102B8">
        <w:rPr>
          <w:rFonts w:asciiTheme="minorHAnsi" w:hAnsiTheme="minorHAnsi" w:cstheme="minorHAnsi"/>
        </w:rPr>
        <w:t xml:space="preserve"> other stakeholders.</w:t>
      </w:r>
    </w:p>
    <w:p w14:paraId="169F08E2" w14:textId="77777777" w:rsidR="00DF2702" w:rsidRPr="00FD1B64" w:rsidRDefault="00DF2702" w:rsidP="001F0480">
      <w:pPr>
        <w:pStyle w:val="Bullett1"/>
        <w:numPr>
          <w:ilvl w:val="0"/>
          <w:numId w:val="0"/>
        </w:numPr>
        <w:spacing w:after="0"/>
        <w:ind w:right="0"/>
        <w:rPr>
          <w:rFonts w:asciiTheme="minorHAnsi" w:hAnsiTheme="minorHAnsi" w:cstheme="minorHAnsi"/>
        </w:rPr>
      </w:pPr>
    </w:p>
    <w:p w14:paraId="6E2476A7" w14:textId="77777777" w:rsidR="00DF2702" w:rsidRPr="00FD1B64" w:rsidRDefault="00467EB2" w:rsidP="001F0480">
      <w:pPr>
        <w:pStyle w:val="Bullett1"/>
        <w:numPr>
          <w:ilvl w:val="0"/>
          <w:numId w:val="38"/>
        </w:numPr>
        <w:ind w:right="0"/>
        <w:rPr>
          <w:rFonts w:asciiTheme="minorHAnsi" w:hAnsiTheme="minorHAnsi" w:cstheme="minorHAnsi"/>
        </w:rPr>
      </w:pPr>
      <w:r w:rsidRPr="001F0480">
        <w:rPr>
          <w:rFonts w:asciiTheme="minorHAnsi" w:hAnsiTheme="minorHAnsi" w:cstheme="minorHAnsi"/>
        </w:rPr>
        <w:t>Details of special operational requirements areas (if applicable).</w:t>
      </w:r>
    </w:p>
    <w:p w14:paraId="07E8D97C" w14:textId="77777777" w:rsidR="00467EB2" w:rsidRPr="00BC15B8" w:rsidRDefault="00467EB2" w:rsidP="00F12BA7">
      <w:pPr>
        <w:pStyle w:val="ListParagraph"/>
        <w:autoSpaceDE w:val="0"/>
        <w:autoSpaceDN w:val="0"/>
        <w:adjustRightInd w:val="0"/>
        <w:spacing w:after="120" w:line="240" w:lineRule="auto"/>
        <w:ind w:left="357"/>
        <w:jc w:val="both"/>
        <w:rPr>
          <w:rFonts w:cstheme="minorHAnsi"/>
          <w:sz w:val="23"/>
          <w:szCs w:val="23"/>
        </w:rPr>
      </w:pPr>
      <w:r w:rsidRPr="001138F7">
        <w:rPr>
          <w:rFonts w:cstheme="minorHAnsi"/>
          <w:sz w:val="23"/>
          <w:szCs w:val="23"/>
        </w:rPr>
        <w:t xml:space="preserve">Special operational requirement (SOR) areas are spaces within a tenancy that accommodate and support agency-specific operational requirement. </w:t>
      </w:r>
      <w:r w:rsidR="00CB0895">
        <w:rPr>
          <w:rFonts w:cstheme="minorHAnsi"/>
          <w:sz w:val="23"/>
          <w:szCs w:val="23"/>
        </w:rPr>
        <w:t xml:space="preserve"> </w:t>
      </w:r>
      <w:r w:rsidRPr="001138F7">
        <w:rPr>
          <w:rFonts w:cstheme="minorHAnsi"/>
          <w:sz w:val="23"/>
          <w:szCs w:val="23"/>
        </w:rPr>
        <w:t>SOR areas include, but are not limited to:</w:t>
      </w:r>
    </w:p>
    <w:p w14:paraId="0AEC246B" w14:textId="4CF9FB71" w:rsidR="00467EB2" w:rsidRPr="0018224A" w:rsidRDefault="00467EB2">
      <w:pPr>
        <w:pStyle w:val="Bullett1"/>
        <w:numPr>
          <w:ilvl w:val="0"/>
          <w:numId w:val="36"/>
        </w:numPr>
        <w:ind w:left="568" w:right="0" w:hanging="284"/>
        <w:rPr>
          <w:rFonts w:asciiTheme="minorHAnsi" w:hAnsiTheme="minorHAnsi" w:cstheme="minorHAnsi"/>
        </w:rPr>
      </w:pPr>
      <w:r w:rsidRPr="0018224A">
        <w:rPr>
          <w:rFonts w:asciiTheme="minorHAnsi" w:hAnsiTheme="minorHAnsi" w:cstheme="minorHAnsi"/>
        </w:rPr>
        <w:t>operational or agency-specific requirement areas (</w:t>
      </w:r>
      <w:r w:rsidR="00213A42">
        <w:rPr>
          <w:rFonts w:asciiTheme="minorHAnsi" w:hAnsiTheme="minorHAnsi" w:cstheme="minorHAnsi"/>
        </w:rPr>
        <w:t>for example,</w:t>
      </w:r>
      <w:r w:rsidR="00471E18" w:rsidRPr="0018224A">
        <w:rPr>
          <w:rFonts w:asciiTheme="minorHAnsi" w:hAnsiTheme="minorHAnsi" w:cstheme="minorHAnsi"/>
        </w:rPr>
        <w:t xml:space="preserve"> </w:t>
      </w:r>
      <w:r w:rsidRPr="0018224A">
        <w:rPr>
          <w:rFonts w:asciiTheme="minorHAnsi" w:hAnsiTheme="minorHAnsi" w:cstheme="minorHAnsi"/>
        </w:rPr>
        <w:t>laboratories, hearing rooms, printing rooms</w:t>
      </w:r>
      <w:r w:rsidR="00471E18" w:rsidRPr="0018224A">
        <w:rPr>
          <w:rFonts w:asciiTheme="minorHAnsi" w:hAnsiTheme="minorHAnsi" w:cstheme="minorHAnsi"/>
        </w:rPr>
        <w:t>)</w:t>
      </w:r>
      <w:r w:rsidR="00AA2059" w:rsidRPr="0018224A">
        <w:rPr>
          <w:rFonts w:asciiTheme="minorHAnsi" w:hAnsiTheme="minorHAnsi" w:cstheme="minorHAnsi"/>
        </w:rPr>
        <w:t>;</w:t>
      </w:r>
    </w:p>
    <w:p w14:paraId="203DE375" w14:textId="30D31A9E" w:rsidR="00467EB2" w:rsidRPr="0018224A" w:rsidRDefault="00467EB2">
      <w:pPr>
        <w:pStyle w:val="Bullett1"/>
        <w:numPr>
          <w:ilvl w:val="0"/>
          <w:numId w:val="36"/>
        </w:numPr>
        <w:ind w:left="568" w:right="0" w:hanging="284"/>
        <w:rPr>
          <w:rFonts w:asciiTheme="minorHAnsi" w:hAnsiTheme="minorHAnsi" w:cstheme="minorHAnsi"/>
        </w:rPr>
      </w:pPr>
      <w:r w:rsidRPr="0018224A">
        <w:rPr>
          <w:rFonts w:asciiTheme="minorHAnsi" w:hAnsiTheme="minorHAnsi" w:cstheme="minorHAnsi"/>
        </w:rPr>
        <w:lastRenderedPageBreak/>
        <w:t>client areas of an operational nature (</w:t>
      </w:r>
      <w:r w:rsidR="00E035E5">
        <w:rPr>
          <w:rFonts w:asciiTheme="minorHAnsi" w:hAnsiTheme="minorHAnsi" w:cstheme="minorHAnsi"/>
        </w:rPr>
        <w:t>for example,</w:t>
      </w:r>
      <w:r w:rsidR="00471E18" w:rsidRPr="0018224A">
        <w:rPr>
          <w:rFonts w:asciiTheme="minorHAnsi" w:hAnsiTheme="minorHAnsi" w:cstheme="minorHAnsi"/>
        </w:rPr>
        <w:t xml:space="preserve"> </w:t>
      </w:r>
      <w:r w:rsidRPr="0018224A">
        <w:rPr>
          <w:rFonts w:asciiTheme="minorHAnsi" w:hAnsiTheme="minorHAnsi" w:cstheme="minorHAnsi"/>
        </w:rPr>
        <w:t>client interview rooms, training rooms to facilitate training programs delivered to external clients, press conference room, public galleries, customer service areas, pub</w:t>
      </w:r>
      <w:r w:rsidR="00AA2059" w:rsidRPr="0018224A">
        <w:rPr>
          <w:rFonts w:asciiTheme="minorHAnsi" w:hAnsiTheme="minorHAnsi" w:cstheme="minorHAnsi"/>
        </w:rPr>
        <w:t>lic reception and waiting areas</w:t>
      </w:r>
      <w:r w:rsidR="00471E18" w:rsidRPr="0018224A">
        <w:rPr>
          <w:rFonts w:asciiTheme="minorHAnsi" w:hAnsiTheme="minorHAnsi" w:cstheme="minorHAnsi"/>
        </w:rPr>
        <w:t>), and/or</w:t>
      </w:r>
    </w:p>
    <w:p w14:paraId="014BB708" w14:textId="1856B008" w:rsidR="00467EB2" w:rsidRPr="0018224A" w:rsidRDefault="00467EB2">
      <w:pPr>
        <w:pStyle w:val="Bullett1"/>
        <w:numPr>
          <w:ilvl w:val="0"/>
          <w:numId w:val="36"/>
        </w:numPr>
        <w:ind w:left="568" w:right="0" w:hanging="284"/>
        <w:rPr>
          <w:rFonts w:asciiTheme="minorHAnsi" w:hAnsiTheme="minorHAnsi" w:cstheme="minorHAnsi"/>
        </w:rPr>
      </w:pPr>
      <w:r w:rsidRPr="0018224A">
        <w:rPr>
          <w:rFonts w:asciiTheme="minorHAnsi" w:hAnsiTheme="minorHAnsi" w:cstheme="minorHAnsi"/>
        </w:rPr>
        <w:t>storage areas for non-</w:t>
      </w:r>
      <w:r w:rsidR="00F12BA7">
        <w:rPr>
          <w:rFonts w:asciiTheme="minorHAnsi" w:hAnsiTheme="minorHAnsi" w:cstheme="minorHAnsi"/>
        </w:rPr>
        <w:t>standards</w:t>
      </w:r>
      <w:r w:rsidRPr="0018224A">
        <w:rPr>
          <w:rFonts w:asciiTheme="minorHAnsi" w:hAnsiTheme="minorHAnsi" w:cstheme="minorHAnsi"/>
        </w:rPr>
        <w:t xml:space="preserve"> office items and long-term onsite storage as required by legislation (</w:t>
      </w:r>
      <w:r w:rsidR="00213A42">
        <w:rPr>
          <w:rFonts w:asciiTheme="minorHAnsi" w:hAnsiTheme="minorHAnsi" w:cstheme="minorHAnsi"/>
        </w:rPr>
        <w:t>for example,</w:t>
      </w:r>
      <w:r w:rsidR="00471E18" w:rsidRPr="0018224A">
        <w:rPr>
          <w:rFonts w:asciiTheme="minorHAnsi" w:hAnsiTheme="minorHAnsi" w:cstheme="minorHAnsi"/>
        </w:rPr>
        <w:t xml:space="preserve"> </w:t>
      </w:r>
      <w:r w:rsidRPr="0018224A">
        <w:rPr>
          <w:rFonts w:asciiTheme="minorHAnsi" w:hAnsiTheme="minorHAnsi" w:cstheme="minorHAnsi"/>
        </w:rPr>
        <w:t>armoury, research equipment, protective clothing, publications for sale)</w:t>
      </w:r>
    </w:p>
    <w:p w14:paraId="50B951DF" w14:textId="77777777" w:rsidR="00AA2059" w:rsidRPr="00751C41" w:rsidRDefault="0083247C" w:rsidP="00751C41">
      <w:pPr>
        <w:pStyle w:val="Bullett1"/>
        <w:numPr>
          <w:ilvl w:val="0"/>
          <w:numId w:val="0"/>
        </w:numPr>
        <w:ind w:right="0"/>
      </w:pPr>
      <w:r w:rsidRPr="00751C41">
        <w:t xml:space="preserve">There are some spaces that are not classified as </w:t>
      </w:r>
      <w:r w:rsidR="00467EB2" w:rsidRPr="00751C41">
        <w:t>SOR includ</w:t>
      </w:r>
      <w:r w:rsidRPr="00751C41">
        <w:t xml:space="preserve">ing, but not limited </w:t>
      </w:r>
      <w:r w:rsidR="001F0480" w:rsidRPr="00751C41">
        <w:t>to, call</w:t>
      </w:r>
      <w:r w:rsidR="00467EB2" w:rsidRPr="00751C41">
        <w:t xml:space="preserve"> centres, staff kitchen/break-out areas, and IT server rooms.  </w:t>
      </w:r>
      <w:r w:rsidRPr="00751C41">
        <w:t xml:space="preserve">Please discuss </w:t>
      </w:r>
      <w:r w:rsidR="00467EB2" w:rsidRPr="00751C41">
        <w:t xml:space="preserve">SOR areas with </w:t>
      </w:r>
      <w:r w:rsidRPr="00751C41">
        <w:t>a</w:t>
      </w:r>
      <w:r w:rsidR="00AA2059" w:rsidRPr="00751C41">
        <w:t xml:space="preserve"> </w:t>
      </w:r>
      <w:r w:rsidR="00467EB2" w:rsidRPr="00751C41">
        <w:t>Finance</w:t>
      </w:r>
      <w:r w:rsidR="00AA2059" w:rsidRPr="00751C41">
        <w:t xml:space="preserve"> representative</w:t>
      </w:r>
      <w:r w:rsidR="00467EB2" w:rsidRPr="00751C41">
        <w:t>.</w:t>
      </w:r>
    </w:p>
    <w:p w14:paraId="7086B90B" w14:textId="767C8049" w:rsidR="00DF2702" w:rsidRPr="00751C41" w:rsidRDefault="0083247C" w:rsidP="00751C41">
      <w:pPr>
        <w:pStyle w:val="Bullett1"/>
        <w:numPr>
          <w:ilvl w:val="0"/>
          <w:numId w:val="0"/>
        </w:numPr>
        <w:ind w:right="0"/>
      </w:pPr>
      <w:r w:rsidRPr="00751C41">
        <w:t>Please l</w:t>
      </w:r>
      <w:r w:rsidR="00467EB2" w:rsidRPr="00751C41">
        <w:t xml:space="preserve">ist SOR areas separately and include the function or nature of use of the space, the </w:t>
      </w:r>
      <w:r w:rsidRPr="00751C41">
        <w:t>pr</w:t>
      </w:r>
      <w:bookmarkStart w:id="0" w:name="_GoBack"/>
      <w:bookmarkEnd w:id="0"/>
      <w:r w:rsidRPr="00751C41">
        <w:t xml:space="preserve">oposed </w:t>
      </w:r>
      <w:r w:rsidR="00467EB2" w:rsidRPr="00751C41">
        <w:t>size in sq</w:t>
      </w:r>
      <w:r w:rsidRPr="00751C41">
        <w:t>uare metres (sqm)</w:t>
      </w:r>
      <w:r w:rsidR="00467EB2" w:rsidRPr="00751C41">
        <w:t>, and the quantity</w:t>
      </w:r>
      <w:r w:rsidR="00923197" w:rsidRPr="00751C41">
        <w:t xml:space="preserve">. For example, </w:t>
      </w:r>
      <w:r w:rsidR="008C7826" w:rsidRPr="00751C41">
        <w:t>two (2)</w:t>
      </w:r>
      <w:r w:rsidR="00467EB2" w:rsidRPr="00751C41">
        <w:t xml:space="preserve"> client interview rooms</w:t>
      </w:r>
      <w:r w:rsidR="00923197" w:rsidRPr="00751C41">
        <w:t xml:space="preserve">, </w:t>
      </w:r>
      <w:r w:rsidR="00467EB2" w:rsidRPr="00751C41">
        <w:t>12 sqm each.</w:t>
      </w:r>
    </w:p>
    <w:p w14:paraId="7B75C8EA" w14:textId="77777777" w:rsidR="0006541A" w:rsidRPr="001F0480" w:rsidRDefault="0006541A" w:rsidP="001F0480">
      <w:pPr>
        <w:pStyle w:val="Bullett1"/>
        <w:numPr>
          <w:ilvl w:val="0"/>
          <w:numId w:val="0"/>
        </w:numPr>
        <w:spacing w:after="0"/>
        <w:ind w:right="0"/>
        <w:rPr>
          <w:rFonts w:asciiTheme="minorHAnsi" w:hAnsiTheme="minorHAnsi" w:cstheme="minorHAnsi"/>
          <w:b/>
        </w:rPr>
      </w:pPr>
    </w:p>
    <w:p w14:paraId="70A9A4D4" w14:textId="77777777" w:rsidR="0000664E" w:rsidRPr="0018224A" w:rsidRDefault="00757BFC">
      <w:pPr>
        <w:pStyle w:val="Bullett1"/>
        <w:numPr>
          <w:ilvl w:val="0"/>
          <w:numId w:val="0"/>
        </w:numPr>
        <w:ind w:right="0"/>
        <w:rPr>
          <w:rFonts w:asciiTheme="minorHAnsi" w:hAnsiTheme="minorHAnsi" w:cstheme="minorHAnsi"/>
          <w:b/>
        </w:rPr>
      </w:pPr>
      <w:r w:rsidRPr="0018224A">
        <w:rPr>
          <w:rFonts w:asciiTheme="minorHAnsi" w:hAnsiTheme="minorHAnsi" w:cstheme="minorHAnsi"/>
          <w:b/>
        </w:rPr>
        <w:t xml:space="preserve">Part </w:t>
      </w:r>
      <w:r w:rsidR="0006541A" w:rsidRPr="0018224A">
        <w:rPr>
          <w:rFonts w:asciiTheme="minorHAnsi" w:hAnsiTheme="minorHAnsi" w:cstheme="minorHAnsi"/>
          <w:b/>
        </w:rPr>
        <w:t>3</w:t>
      </w:r>
      <w:r w:rsidRPr="0018224A">
        <w:rPr>
          <w:rFonts w:asciiTheme="minorHAnsi" w:hAnsiTheme="minorHAnsi" w:cstheme="minorHAnsi"/>
          <w:b/>
        </w:rPr>
        <w:t xml:space="preserve">: </w:t>
      </w:r>
      <w:r w:rsidR="000A1961" w:rsidRPr="0018224A">
        <w:rPr>
          <w:rFonts w:asciiTheme="minorHAnsi" w:hAnsiTheme="minorHAnsi" w:cstheme="minorHAnsi"/>
          <w:b/>
        </w:rPr>
        <w:t>OFFICE ACCOMMODATION REQUEST REPORT</w:t>
      </w:r>
    </w:p>
    <w:p w14:paraId="3725418B" w14:textId="21B917BB" w:rsidR="001F0480" w:rsidRPr="0018224A" w:rsidRDefault="001F0480" w:rsidP="001F0480">
      <w:pPr>
        <w:pStyle w:val="Bullett1"/>
        <w:numPr>
          <w:ilvl w:val="0"/>
          <w:numId w:val="0"/>
        </w:numPr>
        <w:ind w:right="0"/>
      </w:pPr>
      <w:r w:rsidRPr="0018224A">
        <w:t xml:space="preserve">The information in the </w:t>
      </w:r>
      <w:r w:rsidR="00E035E5">
        <w:t>C</w:t>
      </w:r>
      <w:r w:rsidRPr="0018224A">
        <w:t xml:space="preserve">urrent </w:t>
      </w:r>
      <w:r w:rsidR="00E035E5">
        <w:t>P</w:t>
      </w:r>
      <w:r w:rsidRPr="0018224A">
        <w:t>remises column should match the information provided in the most recent 10-Year Strategic Office Accommodation Plan (SOAP).  If the information is different or has changed since the SOAP, please provide an explanation for the difference.</w:t>
      </w:r>
    </w:p>
    <w:p w14:paraId="2B5033F6" w14:textId="64427111" w:rsidR="00AA2059" w:rsidRPr="0018224A" w:rsidRDefault="00AA2059" w:rsidP="001F0480">
      <w:pPr>
        <w:pStyle w:val="Bullett1"/>
        <w:numPr>
          <w:ilvl w:val="0"/>
          <w:numId w:val="0"/>
        </w:numPr>
        <w:ind w:right="0"/>
        <w:rPr>
          <w:rFonts w:asciiTheme="minorHAnsi" w:hAnsiTheme="minorHAnsi" w:cstheme="minorHAnsi"/>
        </w:rPr>
      </w:pPr>
      <w:r w:rsidRPr="0018224A">
        <w:rPr>
          <w:rFonts w:asciiTheme="minorHAnsi" w:hAnsiTheme="minorHAnsi" w:cstheme="minorHAnsi"/>
        </w:rPr>
        <w:t>The Accommodation Requirements column is completed based on what the agency needs to undertake its service delivery</w:t>
      </w:r>
      <w:r w:rsidR="000E2F65">
        <w:rPr>
          <w:rFonts w:asciiTheme="minorHAnsi" w:hAnsiTheme="minorHAnsi" w:cstheme="minorHAnsi"/>
        </w:rPr>
        <w:t xml:space="preserve"> if it were to relocate to a new premises</w:t>
      </w:r>
      <w:r w:rsidRPr="0018224A">
        <w:rPr>
          <w:rFonts w:asciiTheme="minorHAnsi" w:hAnsiTheme="minorHAnsi" w:cstheme="minorHAnsi"/>
        </w:rPr>
        <w:t>.  This information serves</w:t>
      </w:r>
      <w:r w:rsidR="00471E18" w:rsidRPr="0018224A">
        <w:rPr>
          <w:rFonts w:asciiTheme="minorHAnsi" w:hAnsiTheme="minorHAnsi" w:cstheme="minorHAnsi"/>
        </w:rPr>
        <w:t xml:space="preserve"> as</w:t>
      </w:r>
      <w:r w:rsidRPr="0018224A">
        <w:rPr>
          <w:rFonts w:asciiTheme="minorHAnsi" w:hAnsiTheme="minorHAnsi" w:cstheme="minorHAnsi"/>
        </w:rPr>
        <w:t xml:space="preserve"> the starting point for an office accommodation market search. Please note, the requirements relating to</w:t>
      </w:r>
      <w:r w:rsidR="008C7826">
        <w:rPr>
          <w:rFonts w:asciiTheme="minorHAnsi" w:hAnsiTheme="minorHAnsi" w:cstheme="minorHAnsi"/>
        </w:rPr>
        <w:t xml:space="preserve"> net lettable area (</w:t>
      </w:r>
      <w:r w:rsidRPr="0018224A">
        <w:rPr>
          <w:rFonts w:asciiTheme="minorHAnsi" w:hAnsiTheme="minorHAnsi" w:cstheme="minorHAnsi"/>
        </w:rPr>
        <w:t>NLA</w:t>
      </w:r>
      <w:r w:rsidR="008C7826">
        <w:rPr>
          <w:rFonts w:asciiTheme="minorHAnsi" w:hAnsiTheme="minorHAnsi" w:cstheme="minorHAnsi"/>
        </w:rPr>
        <w:t>)</w:t>
      </w:r>
      <w:r w:rsidRPr="0018224A">
        <w:rPr>
          <w:rFonts w:asciiTheme="minorHAnsi" w:hAnsiTheme="minorHAnsi" w:cstheme="minorHAnsi"/>
        </w:rPr>
        <w:t xml:space="preserve">, workpoints (type of workpoint and number of workpoints), and SOR areas must comply with the </w:t>
      </w:r>
      <w:r w:rsidR="000E2F65">
        <w:rPr>
          <w:rFonts w:asciiTheme="minorHAnsi" w:hAnsiTheme="minorHAnsi" w:cstheme="minorHAnsi"/>
        </w:rPr>
        <w:t>s</w:t>
      </w:r>
      <w:r w:rsidR="00F12BA7">
        <w:rPr>
          <w:rFonts w:asciiTheme="minorHAnsi" w:hAnsiTheme="minorHAnsi" w:cstheme="minorHAnsi"/>
        </w:rPr>
        <w:t>tandards</w:t>
      </w:r>
      <w:r w:rsidRPr="0018224A">
        <w:rPr>
          <w:rFonts w:asciiTheme="minorHAnsi" w:hAnsiTheme="minorHAnsi" w:cstheme="minorHAnsi"/>
        </w:rPr>
        <w:t xml:space="preserve">. </w:t>
      </w:r>
    </w:p>
    <w:p w14:paraId="3EE61C44" w14:textId="77777777" w:rsidR="0000664E" w:rsidRPr="001F0480" w:rsidRDefault="00AA2059" w:rsidP="001F0480">
      <w:pPr>
        <w:pStyle w:val="Bullett1"/>
        <w:numPr>
          <w:ilvl w:val="0"/>
          <w:numId w:val="0"/>
        </w:numPr>
        <w:spacing w:after="0"/>
        <w:ind w:right="0"/>
        <w:rPr>
          <w:rFonts w:asciiTheme="minorHAnsi" w:hAnsiTheme="minorHAnsi" w:cstheme="minorHAnsi"/>
          <w:b/>
        </w:rPr>
      </w:pPr>
      <w:r w:rsidRPr="0018224A">
        <w:rPr>
          <w:rFonts w:asciiTheme="minorHAnsi" w:hAnsiTheme="minorHAnsi" w:cstheme="minorHAnsi"/>
        </w:rPr>
        <w:t>The Accommodation Requirements column is to be completed even if the agency is seeking to remain in its current premises.</w:t>
      </w:r>
      <w:r w:rsidRPr="001F0480">
        <w:rPr>
          <w:rFonts w:asciiTheme="minorHAnsi" w:hAnsiTheme="minorHAnsi" w:cstheme="minorHAnsi"/>
        </w:rPr>
        <w:t xml:space="preserve">   </w:t>
      </w:r>
    </w:p>
    <w:p w14:paraId="1CD72383" w14:textId="77777777" w:rsidR="007447A3" w:rsidRDefault="007447A3">
      <w:pPr>
        <w:rPr>
          <w:rFonts w:eastAsia="Times New Roman" w:cstheme="minorHAnsi"/>
          <w:b/>
          <w:bCs/>
          <w:sz w:val="23"/>
          <w:szCs w:val="23"/>
        </w:rPr>
      </w:pPr>
      <w:r>
        <w:rPr>
          <w:rFonts w:cstheme="minorHAnsi"/>
          <w:b/>
        </w:rPr>
        <w:br w:type="page"/>
      </w:r>
    </w:p>
    <w:p w14:paraId="047A2505" w14:textId="66902BE6" w:rsidR="001B7F2C" w:rsidRPr="001F0480" w:rsidRDefault="00AA2059">
      <w:pPr>
        <w:pStyle w:val="Bullett1"/>
        <w:numPr>
          <w:ilvl w:val="0"/>
          <w:numId w:val="0"/>
        </w:numPr>
        <w:ind w:left="284" w:hanging="284"/>
        <w:jc w:val="center"/>
        <w:rPr>
          <w:rFonts w:asciiTheme="minorHAnsi" w:hAnsiTheme="minorHAnsi" w:cstheme="minorHAnsi"/>
          <w:b/>
        </w:rPr>
      </w:pPr>
      <w:r w:rsidRPr="001F0480">
        <w:rPr>
          <w:rFonts w:asciiTheme="minorHAnsi" w:hAnsiTheme="minorHAnsi" w:cstheme="minorHAnsi"/>
          <w:b/>
        </w:rPr>
        <w:lastRenderedPageBreak/>
        <w:t>FREQUENTLY ASKED QUESTIONS</w:t>
      </w:r>
      <w:r w:rsidR="001C53C3">
        <w:rPr>
          <w:rFonts w:asciiTheme="minorHAnsi" w:hAnsiTheme="minorHAnsi" w:cstheme="minorHAnsi"/>
          <w:b/>
        </w:rPr>
        <w:t xml:space="preserve"> (FAQs)</w:t>
      </w:r>
    </w:p>
    <w:p w14:paraId="5CEAEEC8" w14:textId="77777777" w:rsidR="004B4988" w:rsidRPr="001F0480" w:rsidRDefault="004B4988">
      <w:pPr>
        <w:pStyle w:val="Bullett1"/>
        <w:numPr>
          <w:ilvl w:val="0"/>
          <w:numId w:val="0"/>
        </w:numPr>
        <w:rPr>
          <w:rFonts w:asciiTheme="minorHAnsi" w:hAnsiTheme="minorHAnsi" w:cstheme="minorHAnsi"/>
          <w:b/>
          <w:i/>
        </w:rPr>
      </w:pPr>
      <w:r w:rsidRPr="001F0480">
        <w:rPr>
          <w:rFonts w:asciiTheme="minorHAnsi" w:hAnsiTheme="minorHAnsi" w:cstheme="minorHAnsi"/>
          <w:b/>
          <w:i/>
        </w:rPr>
        <w:t>What is the total net lettable area?</w:t>
      </w:r>
    </w:p>
    <w:p w14:paraId="3BD750D0" w14:textId="6D2C19FC" w:rsidR="005D08DE" w:rsidRPr="0018224A" w:rsidRDefault="004B4988" w:rsidP="001F0480">
      <w:pPr>
        <w:pStyle w:val="Bullett1"/>
        <w:numPr>
          <w:ilvl w:val="0"/>
          <w:numId w:val="0"/>
        </w:numPr>
        <w:spacing w:after="0"/>
        <w:rPr>
          <w:rFonts w:asciiTheme="minorHAnsi" w:hAnsiTheme="minorHAnsi" w:cstheme="minorHAnsi"/>
        </w:rPr>
      </w:pPr>
      <w:r w:rsidRPr="0018224A">
        <w:rPr>
          <w:rFonts w:asciiTheme="minorHAnsi" w:hAnsiTheme="minorHAnsi" w:cstheme="minorHAnsi"/>
        </w:rPr>
        <w:t>The total net lettable area (NLA) refers to the sum of all the lettable floor areas</w:t>
      </w:r>
      <w:r w:rsidR="006231F6" w:rsidRPr="0018224A">
        <w:rPr>
          <w:rFonts w:asciiTheme="minorHAnsi" w:hAnsiTheme="minorHAnsi" w:cstheme="minorHAnsi"/>
        </w:rPr>
        <w:t>, in square metres</w:t>
      </w:r>
      <w:r w:rsidR="001C53C3">
        <w:rPr>
          <w:rFonts w:asciiTheme="minorHAnsi" w:hAnsiTheme="minorHAnsi" w:cstheme="minorHAnsi"/>
        </w:rPr>
        <w:t xml:space="preserve"> (sqm)</w:t>
      </w:r>
      <w:r w:rsidR="006231F6" w:rsidRPr="0018224A">
        <w:rPr>
          <w:rFonts w:asciiTheme="minorHAnsi" w:hAnsiTheme="minorHAnsi" w:cstheme="minorHAnsi"/>
        </w:rPr>
        <w:t xml:space="preserve">, </w:t>
      </w:r>
      <w:r w:rsidRPr="0018224A">
        <w:rPr>
          <w:rFonts w:asciiTheme="minorHAnsi" w:hAnsiTheme="minorHAnsi" w:cstheme="minorHAnsi"/>
        </w:rPr>
        <w:t xml:space="preserve">that a tenant occupies in a building.  </w:t>
      </w:r>
      <w:r w:rsidR="006231F6" w:rsidRPr="0018224A">
        <w:rPr>
          <w:rFonts w:asciiTheme="minorHAnsi" w:hAnsiTheme="minorHAnsi" w:cstheme="minorHAnsi"/>
        </w:rPr>
        <w:t xml:space="preserve">The NLA is the base on which rental payments are based.  The NLA </w:t>
      </w:r>
      <w:r w:rsidRPr="0018224A">
        <w:rPr>
          <w:rFonts w:asciiTheme="minorHAnsi" w:hAnsiTheme="minorHAnsi" w:cstheme="minorHAnsi"/>
        </w:rPr>
        <w:t xml:space="preserve">may include shared areas and storage areas separate to the floor space. In </w:t>
      </w:r>
      <w:r w:rsidRPr="0018224A">
        <w:rPr>
          <w:rFonts w:asciiTheme="minorHAnsi" w:hAnsiTheme="minorHAnsi" w:cstheme="minorHAnsi"/>
          <w:b/>
        </w:rPr>
        <w:t>most</w:t>
      </w:r>
      <w:r w:rsidRPr="0018224A">
        <w:rPr>
          <w:rFonts w:asciiTheme="minorHAnsi" w:hAnsiTheme="minorHAnsi" w:cstheme="minorHAnsi"/>
        </w:rPr>
        <w:t xml:space="preserve"> cases it will not include elevators and stairwells, </w:t>
      </w:r>
      <w:r w:rsidR="00471E18" w:rsidRPr="0018224A">
        <w:rPr>
          <w:rFonts w:asciiTheme="minorHAnsi" w:hAnsiTheme="minorHAnsi" w:cstheme="minorHAnsi"/>
        </w:rPr>
        <w:t xml:space="preserve">or </w:t>
      </w:r>
      <w:r w:rsidRPr="0018224A">
        <w:rPr>
          <w:rFonts w:asciiTheme="minorHAnsi" w:hAnsiTheme="minorHAnsi" w:cstheme="minorHAnsi"/>
        </w:rPr>
        <w:t>staff toilets</w:t>
      </w:r>
      <w:r w:rsidR="00951284" w:rsidRPr="0018224A">
        <w:rPr>
          <w:rFonts w:asciiTheme="minorHAnsi" w:hAnsiTheme="minorHAnsi" w:cstheme="minorHAnsi"/>
        </w:rPr>
        <w:t>.</w:t>
      </w:r>
    </w:p>
    <w:p w14:paraId="4E441374" w14:textId="77777777" w:rsidR="004B4988" w:rsidRPr="0018224A" w:rsidRDefault="004B4988" w:rsidP="001F0480">
      <w:pPr>
        <w:pStyle w:val="Bullett1"/>
        <w:numPr>
          <w:ilvl w:val="0"/>
          <w:numId w:val="0"/>
        </w:numPr>
        <w:spacing w:after="0"/>
        <w:rPr>
          <w:rFonts w:asciiTheme="minorHAnsi" w:hAnsiTheme="minorHAnsi" w:cstheme="minorHAnsi"/>
        </w:rPr>
      </w:pPr>
    </w:p>
    <w:p w14:paraId="24AB2574" w14:textId="77777777" w:rsidR="0051634A" w:rsidRPr="0018224A" w:rsidRDefault="00951284">
      <w:pPr>
        <w:pStyle w:val="Bullett1"/>
        <w:numPr>
          <w:ilvl w:val="0"/>
          <w:numId w:val="0"/>
        </w:numPr>
        <w:ind w:right="0"/>
        <w:rPr>
          <w:rFonts w:asciiTheme="minorHAnsi" w:hAnsiTheme="minorHAnsi" w:cstheme="minorHAnsi"/>
          <w:b/>
          <w:i/>
        </w:rPr>
      </w:pPr>
      <w:r w:rsidRPr="0018224A">
        <w:rPr>
          <w:rFonts w:asciiTheme="minorHAnsi" w:hAnsiTheme="minorHAnsi" w:cstheme="minorHAnsi"/>
          <w:b/>
          <w:i/>
        </w:rPr>
        <w:t xml:space="preserve">What </w:t>
      </w:r>
      <w:r w:rsidR="00886BFC" w:rsidRPr="0018224A">
        <w:rPr>
          <w:rFonts w:asciiTheme="minorHAnsi" w:hAnsiTheme="minorHAnsi" w:cstheme="minorHAnsi"/>
          <w:b/>
          <w:i/>
        </w:rPr>
        <w:t xml:space="preserve">should be </w:t>
      </w:r>
      <w:r w:rsidR="00EF532F" w:rsidRPr="0018224A">
        <w:rPr>
          <w:rFonts w:asciiTheme="minorHAnsi" w:hAnsiTheme="minorHAnsi" w:cstheme="minorHAnsi"/>
          <w:b/>
          <w:i/>
        </w:rPr>
        <w:t>include</w:t>
      </w:r>
      <w:r w:rsidR="00886BFC" w:rsidRPr="0018224A">
        <w:rPr>
          <w:rFonts w:asciiTheme="minorHAnsi" w:hAnsiTheme="minorHAnsi" w:cstheme="minorHAnsi"/>
          <w:b/>
          <w:i/>
        </w:rPr>
        <w:t>d</w:t>
      </w:r>
      <w:r w:rsidR="00EF532F" w:rsidRPr="0018224A">
        <w:rPr>
          <w:rFonts w:asciiTheme="minorHAnsi" w:hAnsiTheme="minorHAnsi" w:cstheme="minorHAnsi"/>
          <w:b/>
          <w:i/>
        </w:rPr>
        <w:t xml:space="preserve"> in the </w:t>
      </w:r>
      <w:r w:rsidR="00CD4C85" w:rsidRPr="0018224A">
        <w:rPr>
          <w:rFonts w:asciiTheme="minorHAnsi" w:hAnsiTheme="minorHAnsi" w:cstheme="minorHAnsi"/>
          <w:b/>
          <w:i/>
        </w:rPr>
        <w:t>“</w:t>
      </w:r>
      <w:r w:rsidR="00EF532F" w:rsidRPr="0018224A">
        <w:rPr>
          <w:rFonts w:asciiTheme="minorHAnsi" w:hAnsiTheme="minorHAnsi" w:cstheme="minorHAnsi"/>
          <w:b/>
          <w:i/>
        </w:rPr>
        <w:t>Total special operational requirement area</w:t>
      </w:r>
      <w:r w:rsidR="00CD4C85" w:rsidRPr="0018224A">
        <w:rPr>
          <w:rFonts w:asciiTheme="minorHAnsi" w:hAnsiTheme="minorHAnsi" w:cstheme="minorHAnsi"/>
          <w:b/>
          <w:i/>
        </w:rPr>
        <w:t>”</w:t>
      </w:r>
      <w:r w:rsidR="00EF532F" w:rsidRPr="0018224A">
        <w:rPr>
          <w:rFonts w:asciiTheme="minorHAnsi" w:hAnsiTheme="minorHAnsi" w:cstheme="minorHAnsi"/>
          <w:b/>
          <w:i/>
        </w:rPr>
        <w:t xml:space="preserve"> fields</w:t>
      </w:r>
      <w:r w:rsidR="00D158C2" w:rsidRPr="0018224A">
        <w:rPr>
          <w:rFonts w:asciiTheme="minorHAnsi" w:hAnsiTheme="minorHAnsi" w:cstheme="minorHAnsi"/>
          <w:b/>
          <w:i/>
        </w:rPr>
        <w:t>?</w:t>
      </w:r>
      <w:r w:rsidR="00EF532F" w:rsidRPr="0018224A">
        <w:rPr>
          <w:rFonts w:asciiTheme="minorHAnsi" w:hAnsiTheme="minorHAnsi" w:cstheme="minorHAnsi"/>
          <w:b/>
          <w:i/>
        </w:rPr>
        <w:t xml:space="preserve"> </w:t>
      </w:r>
    </w:p>
    <w:p w14:paraId="54C8A496" w14:textId="5821C1C7" w:rsidR="00F279E6" w:rsidRPr="0018224A" w:rsidRDefault="00EF532F" w:rsidP="001F0480">
      <w:pPr>
        <w:pStyle w:val="Bullett1"/>
        <w:numPr>
          <w:ilvl w:val="0"/>
          <w:numId w:val="0"/>
        </w:numPr>
        <w:spacing w:after="0"/>
        <w:ind w:right="0"/>
        <w:rPr>
          <w:rFonts w:asciiTheme="minorHAnsi" w:hAnsiTheme="minorHAnsi" w:cstheme="minorHAnsi"/>
        </w:rPr>
      </w:pPr>
      <w:r w:rsidRPr="0018224A">
        <w:rPr>
          <w:rFonts w:asciiTheme="minorHAnsi" w:hAnsiTheme="minorHAnsi" w:cstheme="minorHAnsi"/>
        </w:rPr>
        <w:t xml:space="preserve">Enter the total sqm for all the SOR areas in the current premises and the total sqm of SOR areas the agency would require in alternative premises in the Accommodation Requirements column. </w:t>
      </w:r>
      <w:r w:rsidR="00F279E6" w:rsidRPr="0018224A">
        <w:rPr>
          <w:rFonts w:asciiTheme="minorHAnsi" w:hAnsiTheme="minorHAnsi" w:cstheme="minorHAnsi"/>
        </w:rPr>
        <w:t xml:space="preserve">Descriptions and size of each SOR area should be added in </w:t>
      </w:r>
      <w:r w:rsidR="00D91059" w:rsidRPr="0018224A">
        <w:rPr>
          <w:rFonts w:asciiTheme="minorHAnsi" w:hAnsiTheme="minorHAnsi" w:cstheme="minorHAnsi"/>
        </w:rPr>
        <w:t>Part</w:t>
      </w:r>
      <w:r w:rsidR="00F279E6" w:rsidRPr="0018224A">
        <w:rPr>
          <w:rFonts w:asciiTheme="minorHAnsi" w:hAnsiTheme="minorHAnsi" w:cstheme="minorHAnsi"/>
        </w:rPr>
        <w:t xml:space="preserve"> 2 of the</w:t>
      </w:r>
      <w:r w:rsidR="00FD1B64" w:rsidRPr="0018224A">
        <w:rPr>
          <w:rFonts w:asciiTheme="minorHAnsi" w:hAnsiTheme="minorHAnsi" w:cstheme="minorHAnsi"/>
        </w:rPr>
        <w:t xml:space="preserve"> request </w:t>
      </w:r>
      <w:r w:rsidR="00F279E6" w:rsidRPr="0018224A">
        <w:rPr>
          <w:rFonts w:asciiTheme="minorHAnsi" w:hAnsiTheme="minorHAnsi" w:cstheme="minorHAnsi"/>
        </w:rPr>
        <w:t xml:space="preserve">form. </w:t>
      </w:r>
    </w:p>
    <w:p w14:paraId="305EF957" w14:textId="77777777" w:rsidR="005D08DE" w:rsidRPr="0018224A" w:rsidRDefault="005D08DE" w:rsidP="001F0480">
      <w:pPr>
        <w:pStyle w:val="Bullett1"/>
        <w:numPr>
          <w:ilvl w:val="0"/>
          <w:numId w:val="0"/>
        </w:numPr>
        <w:spacing w:after="0"/>
        <w:ind w:right="0"/>
        <w:rPr>
          <w:rFonts w:asciiTheme="minorHAnsi" w:hAnsiTheme="minorHAnsi" w:cstheme="minorHAnsi"/>
        </w:rPr>
      </w:pPr>
    </w:p>
    <w:p w14:paraId="46905932" w14:textId="77777777" w:rsidR="00F279E6" w:rsidRPr="0018224A" w:rsidRDefault="00F279E6">
      <w:pPr>
        <w:pStyle w:val="Bullett1"/>
        <w:numPr>
          <w:ilvl w:val="0"/>
          <w:numId w:val="0"/>
        </w:numPr>
        <w:ind w:right="0"/>
        <w:rPr>
          <w:rFonts w:asciiTheme="minorHAnsi" w:hAnsiTheme="minorHAnsi" w:cstheme="minorHAnsi"/>
          <w:b/>
          <w:i/>
        </w:rPr>
      </w:pPr>
      <w:r w:rsidRPr="0018224A">
        <w:rPr>
          <w:rFonts w:asciiTheme="minorHAnsi" w:hAnsiTheme="minorHAnsi" w:cstheme="minorHAnsi"/>
          <w:b/>
          <w:i/>
        </w:rPr>
        <w:t xml:space="preserve">Who </w:t>
      </w:r>
      <w:r w:rsidR="00CD4C85" w:rsidRPr="0018224A">
        <w:rPr>
          <w:rFonts w:asciiTheme="minorHAnsi" w:hAnsiTheme="minorHAnsi" w:cstheme="minorHAnsi"/>
          <w:b/>
          <w:i/>
        </w:rPr>
        <w:t>should be</w:t>
      </w:r>
      <w:r w:rsidRPr="0018224A">
        <w:rPr>
          <w:rFonts w:asciiTheme="minorHAnsi" w:hAnsiTheme="minorHAnsi" w:cstheme="minorHAnsi"/>
          <w:b/>
          <w:i/>
        </w:rPr>
        <w:t xml:space="preserve"> included in the </w:t>
      </w:r>
      <w:r w:rsidR="00CD4C85" w:rsidRPr="0018224A">
        <w:rPr>
          <w:rFonts w:asciiTheme="minorHAnsi" w:hAnsiTheme="minorHAnsi" w:cstheme="minorHAnsi"/>
          <w:b/>
          <w:i/>
        </w:rPr>
        <w:t>“</w:t>
      </w:r>
      <w:r w:rsidRPr="0018224A">
        <w:rPr>
          <w:rFonts w:asciiTheme="minorHAnsi" w:hAnsiTheme="minorHAnsi" w:cstheme="minorHAnsi"/>
          <w:b/>
          <w:i/>
        </w:rPr>
        <w:t>Total headcount at premises</w:t>
      </w:r>
      <w:r w:rsidR="00CD4C85" w:rsidRPr="0018224A">
        <w:rPr>
          <w:rFonts w:asciiTheme="minorHAnsi" w:hAnsiTheme="minorHAnsi" w:cstheme="minorHAnsi"/>
          <w:b/>
          <w:i/>
        </w:rPr>
        <w:t>”</w:t>
      </w:r>
      <w:r w:rsidRPr="0018224A">
        <w:rPr>
          <w:rFonts w:asciiTheme="minorHAnsi" w:hAnsiTheme="minorHAnsi" w:cstheme="minorHAnsi"/>
          <w:b/>
          <w:i/>
        </w:rPr>
        <w:t xml:space="preserve"> figure</w:t>
      </w:r>
      <w:r w:rsidR="00D158C2" w:rsidRPr="0018224A">
        <w:rPr>
          <w:rFonts w:asciiTheme="minorHAnsi" w:hAnsiTheme="minorHAnsi" w:cstheme="minorHAnsi"/>
          <w:b/>
          <w:i/>
        </w:rPr>
        <w:t>?</w:t>
      </w:r>
    </w:p>
    <w:p w14:paraId="2ABA9DCB" w14:textId="2213E622" w:rsidR="00D158C2" w:rsidRPr="001F0480" w:rsidRDefault="00CD4C85">
      <w:pPr>
        <w:pStyle w:val="Bullett1"/>
        <w:numPr>
          <w:ilvl w:val="0"/>
          <w:numId w:val="0"/>
        </w:numPr>
        <w:ind w:right="0"/>
        <w:rPr>
          <w:rFonts w:asciiTheme="minorHAnsi" w:hAnsiTheme="minorHAnsi" w:cstheme="minorHAnsi"/>
        </w:rPr>
      </w:pPr>
      <w:r w:rsidRPr="0018224A">
        <w:rPr>
          <w:rFonts w:asciiTheme="minorHAnsi" w:hAnsiTheme="minorHAnsi" w:cstheme="minorHAnsi"/>
        </w:rPr>
        <w:t>The Public Sector headcount methodology</w:t>
      </w:r>
      <w:r w:rsidR="00514314" w:rsidRPr="0018224A">
        <w:rPr>
          <w:rFonts w:asciiTheme="minorHAnsi" w:hAnsiTheme="minorHAnsi" w:cstheme="minorHAnsi"/>
        </w:rPr>
        <w:t xml:space="preserve"> can be used to determine</w:t>
      </w:r>
      <w:r w:rsidRPr="0018224A">
        <w:rPr>
          <w:rFonts w:asciiTheme="minorHAnsi" w:hAnsiTheme="minorHAnsi" w:cstheme="minorHAnsi"/>
        </w:rPr>
        <w:t xml:space="preserve"> </w:t>
      </w:r>
      <w:r w:rsidR="00514314" w:rsidRPr="0018224A">
        <w:rPr>
          <w:rFonts w:asciiTheme="minorHAnsi" w:hAnsiTheme="minorHAnsi" w:cstheme="minorHAnsi"/>
        </w:rPr>
        <w:t>the number of people employed by the agency to deliver services from the premises. The figure should also includ</w:t>
      </w:r>
      <w:r w:rsidR="00FC5ABE" w:rsidRPr="0018224A">
        <w:rPr>
          <w:rFonts w:asciiTheme="minorHAnsi" w:hAnsiTheme="minorHAnsi" w:cstheme="minorHAnsi"/>
        </w:rPr>
        <w:t xml:space="preserve">e any non-agency staff or individuals who regularly </w:t>
      </w:r>
      <w:r w:rsidR="00EA538F" w:rsidRPr="0018224A">
        <w:rPr>
          <w:rFonts w:asciiTheme="minorHAnsi" w:hAnsiTheme="minorHAnsi" w:cstheme="minorHAnsi"/>
        </w:rPr>
        <w:t xml:space="preserve">work at </w:t>
      </w:r>
      <w:r w:rsidR="00FC5ABE" w:rsidRPr="0018224A">
        <w:rPr>
          <w:rFonts w:asciiTheme="minorHAnsi" w:hAnsiTheme="minorHAnsi" w:cstheme="minorHAnsi"/>
        </w:rPr>
        <w:t>the premises including, for example</w:t>
      </w:r>
      <w:r w:rsidR="00EA538F" w:rsidRPr="0018224A">
        <w:rPr>
          <w:rFonts w:asciiTheme="minorHAnsi" w:hAnsiTheme="minorHAnsi" w:cstheme="minorHAnsi"/>
        </w:rPr>
        <w:t>,</w:t>
      </w:r>
      <w:r w:rsidR="00FC5ABE" w:rsidRPr="0018224A">
        <w:rPr>
          <w:rFonts w:asciiTheme="minorHAnsi" w:hAnsiTheme="minorHAnsi" w:cstheme="minorHAnsi"/>
        </w:rPr>
        <w:t xml:space="preserve"> </w:t>
      </w:r>
      <w:r w:rsidR="00F279E6" w:rsidRPr="0018224A">
        <w:rPr>
          <w:rFonts w:asciiTheme="minorHAnsi" w:hAnsiTheme="minorHAnsi" w:cstheme="minorHAnsi"/>
        </w:rPr>
        <w:t>employees of other agencies, contractors, interns</w:t>
      </w:r>
      <w:r w:rsidR="00FC5ABE" w:rsidRPr="0018224A">
        <w:rPr>
          <w:rFonts w:asciiTheme="minorHAnsi" w:hAnsiTheme="minorHAnsi" w:cstheme="minorHAnsi"/>
        </w:rPr>
        <w:t xml:space="preserve"> and similar</w:t>
      </w:r>
      <w:r w:rsidR="00F279E6" w:rsidRPr="0018224A">
        <w:rPr>
          <w:rFonts w:asciiTheme="minorHAnsi" w:hAnsiTheme="minorHAnsi" w:cstheme="minorHAnsi"/>
        </w:rPr>
        <w:t xml:space="preserve">.  </w:t>
      </w:r>
      <w:r w:rsidR="00FC5ABE" w:rsidRPr="0018224A">
        <w:rPr>
          <w:rFonts w:asciiTheme="minorHAnsi" w:hAnsiTheme="minorHAnsi" w:cstheme="minorHAnsi"/>
        </w:rPr>
        <w:t>Please</w:t>
      </w:r>
      <w:r w:rsidR="00EA538F" w:rsidRPr="0018224A">
        <w:rPr>
          <w:rFonts w:asciiTheme="minorHAnsi" w:hAnsiTheme="minorHAnsi" w:cstheme="minorHAnsi"/>
        </w:rPr>
        <w:t xml:space="preserve"> provide details </w:t>
      </w:r>
      <w:r w:rsidR="00FC5ABE" w:rsidRPr="0018224A">
        <w:rPr>
          <w:rFonts w:asciiTheme="minorHAnsi" w:hAnsiTheme="minorHAnsi" w:cstheme="minorHAnsi"/>
        </w:rPr>
        <w:t>where</w:t>
      </w:r>
      <w:r w:rsidR="00F279E6" w:rsidRPr="0018224A">
        <w:rPr>
          <w:rFonts w:asciiTheme="minorHAnsi" w:hAnsiTheme="minorHAnsi" w:cstheme="minorHAnsi"/>
        </w:rPr>
        <w:t xml:space="preserve"> the total headcount include</w:t>
      </w:r>
      <w:r w:rsidR="00FC5ABE" w:rsidRPr="0018224A">
        <w:rPr>
          <w:rFonts w:asciiTheme="minorHAnsi" w:hAnsiTheme="minorHAnsi" w:cstheme="minorHAnsi"/>
        </w:rPr>
        <w:t>s</w:t>
      </w:r>
      <w:r w:rsidR="00F279E6" w:rsidRPr="0018224A">
        <w:rPr>
          <w:rFonts w:asciiTheme="minorHAnsi" w:hAnsiTheme="minorHAnsi" w:cstheme="minorHAnsi"/>
        </w:rPr>
        <w:t xml:space="preserve"> non-agency</w:t>
      </w:r>
      <w:r w:rsidR="00F279E6" w:rsidRPr="001F0480">
        <w:rPr>
          <w:rFonts w:asciiTheme="minorHAnsi" w:hAnsiTheme="minorHAnsi" w:cstheme="minorHAnsi"/>
        </w:rPr>
        <w:t xml:space="preserve"> staff</w:t>
      </w:r>
      <w:r w:rsidR="00FC5ABE">
        <w:rPr>
          <w:rFonts w:asciiTheme="minorHAnsi" w:hAnsiTheme="minorHAnsi" w:cstheme="minorHAnsi"/>
        </w:rPr>
        <w:t>, for example</w:t>
      </w:r>
      <w:r w:rsidR="005D08DE">
        <w:rPr>
          <w:rFonts w:asciiTheme="minorHAnsi" w:hAnsiTheme="minorHAnsi" w:cstheme="minorHAnsi"/>
        </w:rPr>
        <w:t>:</w:t>
      </w:r>
      <w:r w:rsidR="00F279E6" w:rsidRPr="001F04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823"/>
        <w:gridCol w:w="4804"/>
      </w:tblGrid>
      <w:tr w:rsidR="00D158C2" w:rsidRPr="00FD1B64" w14:paraId="094ACB76" w14:textId="77777777" w:rsidTr="001F0480">
        <w:tc>
          <w:tcPr>
            <w:tcW w:w="3823" w:type="dxa"/>
            <w:vAlign w:val="center"/>
          </w:tcPr>
          <w:p w14:paraId="54444B4A" w14:textId="77777777" w:rsidR="00D158C2" w:rsidRPr="001F0480" w:rsidRDefault="00D158C2" w:rsidP="001F0480">
            <w:pPr>
              <w:pStyle w:val="Bullett1"/>
              <w:numPr>
                <w:ilvl w:val="0"/>
                <w:numId w:val="0"/>
              </w:numPr>
              <w:spacing w:before="40" w:after="40"/>
              <w:ind w:right="0"/>
              <w:rPr>
                <w:rFonts w:asciiTheme="minorHAnsi" w:hAnsiTheme="minorHAnsi" w:cstheme="minorHAnsi"/>
              </w:rPr>
            </w:pPr>
            <w:r w:rsidRPr="001F0480">
              <w:rPr>
                <w:rFonts w:asciiTheme="minorHAnsi" w:hAnsiTheme="minorHAnsi" w:cstheme="minorHAnsi"/>
              </w:rPr>
              <w:t>Total Headcount at premises</w:t>
            </w:r>
          </w:p>
        </w:tc>
        <w:tc>
          <w:tcPr>
            <w:tcW w:w="4804" w:type="dxa"/>
            <w:vAlign w:val="center"/>
          </w:tcPr>
          <w:p w14:paraId="5B0927DA" w14:textId="77777777" w:rsidR="00D158C2" w:rsidRPr="001F0480" w:rsidRDefault="00D158C2" w:rsidP="001F0480">
            <w:pPr>
              <w:pStyle w:val="Bullett1"/>
              <w:numPr>
                <w:ilvl w:val="0"/>
                <w:numId w:val="0"/>
              </w:numPr>
              <w:spacing w:before="40" w:after="40"/>
              <w:ind w:right="0"/>
              <w:rPr>
                <w:rFonts w:asciiTheme="minorHAnsi" w:hAnsiTheme="minorHAnsi" w:cstheme="minorHAnsi"/>
              </w:rPr>
            </w:pPr>
            <w:r w:rsidRPr="001F0480">
              <w:rPr>
                <w:rFonts w:asciiTheme="minorHAnsi" w:hAnsiTheme="minorHAnsi" w:cstheme="minorHAnsi"/>
              </w:rPr>
              <w:t xml:space="preserve">15 agency staff </w:t>
            </w:r>
            <w:r w:rsidRPr="001C53C3">
              <w:rPr>
                <w:rFonts w:asciiTheme="minorHAnsi" w:hAnsiTheme="minorHAnsi" w:cstheme="minorHAnsi"/>
                <w:b/>
              </w:rPr>
              <w:t>and</w:t>
            </w:r>
            <w:r w:rsidRPr="001F0480">
              <w:rPr>
                <w:rFonts w:asciiTheme="minorHAnsi" w:hAnsiTheme="minorHAnsi" w:cstheme="minorHAnsi"/>
              </w:rPr>
              <w:t xml:space="preserve"> 2 Commonwealth Government employees</w:t>
            </w:r>
          </w:p>
        </w:tc>
      </w:tr>
    </w:tbl>
    <w:p w14:paraId="156C2B9C" w14:textId="77777777" w:rsidR="00D158C2" w:rsidRPr="001F0480" w:rsidRDefault="00D158C2" w:rsidP="001F0480">
      <w:pPr>
        <w:pStyle w:val="Bullett1"/>
        <w:numPr>
          <w:ilvl w:val="0"/>
          <w:numId w:val="0"/>
        </w:numPr>
        <w:spacing w:after="0"/>
        <w:ind w:right="0"/>
        <w:rPr>
          <w:rFonts w:asciiTheme="minorHAnsi" w:hAnsiTheme="minorHAnsi" w:cstheme="minorHAnsi"/>
          <w:b/>
          <w:i/>
        </w:rPr>
      </w:pPr>
    </w:p>
    <w:p w14:paraId="71D1CCEC" w14:textId="77777777" w:rsidR="00B07C46" w:rsidRPr="001F0480" w:rsidRDefault="00FC5ABE">
      <w:pPr>
        <w:pStyle w:val="Bullett1"/>
        <w:numPr>
          <w:ilvl w:val="0"/>
          <w:numId w:val="0"/>
        </w:numPr>
        <w:ind w:right="0"/>
        <w:rPr>
          <w:rFonts w:asciiTheme="minorHAnsi" w:hAnsiTheme="minorHAnsi" w:cstheme="minorHAnsi"/>
          <w:b/>
          <w:i/>
        </w:rPr>
      </w:pPr>
      <w:r>
        <w:rPr>
          <w:rFonts w:asciiTheme="minorHAnsi" w:hAnsiTheme="minorHAnsi" w:cstheme="minorHAnsi"/>
          <w:b/>
          <w:i/>
        </w:rPr>
        <w:t xml:space="preserve">Should </w:t>
      </w:r>
      <w:r w:rsidR="00B07C46" w:rsidRPr="001F0480">
        <w:rPr>
          <w:rFonts w:asciiTheme="minorHAnsi" w:hAnsiTheme="minorHAnsi" w:cstheme="minorHAnsi"/>
          <w:b/>
          <w:i/>
        </w:rPr>
        <w:t xml:space="preserve">the </w:t>
      </w:r>
      <w:r>
        <w:rPr>
          <w:rFonts w:asciiTheme="minorHAnsi" w:hAnsiTheme="minorHAnsi" w:cstheme="minorHAnsi"/>
          <w:b/>
          <w:i/>
        </w:rPr>
        <w:t>“</w:t>
      </w:r>
      <w:r w:rsidR="00B07C46" w:rsidRPr="001F0480">
        <w:rPr>
          <w:rFonts w:asciiTheme="minorHAnsi" w:hAnsiTheme="minorHAnsi" w:cstheme="minorHAnsi"/>
          <w:b/>
          <w:i/>
        </w:rPr>
        <w:t>Total headcount in special operational requirement area</w:t>
      </w:r>
      <w:r>
        <w:rPr>
          <w:rFonts w:asciiTheme="minorHAnsi" w:hAnsiTheme="minorHAnsi" w:cstheme="minorHAnsi"/>
          <w:b/>
          <w:i/>
        </w:rPr>
        <w:t>”</w:t>
      </w:r>
      <w:r w:rsidR="00B07C46" w:rsidRPr="001F0480">
        <w:rPr>
          <w:rFonts w:asciiTheme="minorHAnsi" w:hAnsiTheme="minorHAnsi" w:cstheme="minorHAnsi"/>
          <w:b/>
          <w:i/>
        </w:rPr>
        <w:t xml:space="preserve"> </w:t>
      </w:r>
      <w:r>
        <w:rPr>
          <w:rFonts w:asciiTheme="minorHAnsi" w:hAnsiTheme="minorHAnsi" w:cstheme="minorHAnsi"/>
          <w:b/>
          <w:i/>
        </w:rPr>
        <w:t xml:space="preserve">be </w:t>
      </w:r>
      <w:r w:rsidR="00B07C46" w:rsidRPr="001F0480">
        <w:rPr>
          <w:rFonts w:asciiTheme="minorHAnsi" w:hAnsiTheme="minorHAnsi" w:cstheme="minorHAnsi"/>
          <w:b/>
          <w:i/>
        </w:rPr>
        <w:t xml:space="preserve">included or excluded </w:t>
      </w:r>
      <w:r>
        <w:rPr>
          <w:rFonts w:asciiTheme="minorHAnsi" w:hAnsiTheme="minorHAnsi" w:cstheme="minorHAnsi"/>
          <w:b/>
          <w:i/>
        </w:rPr>
        <w:t>in</w:t>
      </w:r>
      <w:r w:rsidR="00B07C46" w:rsidRPr="001F0480">
        <w:rPr>
          <w:rFonts w:asciiTheme="minorHAnsi" w:hAnsiTheme="minorHAnsi" w:cstheme="minorHAnsi"/>
          <w:b/>
          <w:i/>
        </w:rPr>
        <w:t xml:space="preserve"> the </w:t>
      </w:r>
      <w:r>
        <w:rPr>
          <w:rFonts w:asciiTheme="minorHAnsi" w:hAnsiTheme="minorHAnsi" w:cstheme="minorHAnsi"/>
          <w:b/>
          <w:i/>
        </w:rPr>
        <w:t>“</w:t>
      </w:r>
      <w:r w:rsidR="00B07C46" w:rsidRPr="001F0480">
        <w:rPr>
          <w:rFonts w:asciiTheme="minorHAnsi" w:hAnsiTheme="minorHAnsi" w:cstheme="minorHAnsi"/>
          <w:b/>
          <w:i/>
        </w:rPr>
        <w:t>Total Headcount at premises</w:t>
      </w:r>
      <w:r>
        <w:rPr>
          <w:rFonts w:asciiTheme="minorHAnsi" w:hAnsiTheme="minorHAnsi" w:cstheme="minorHAnsi"/>
          <w:b/>
          <w:i/>
        </w:rPr>
        <w:t>”</w:t>
      </w:r>
      <w:r w:rsidR="00B07C46" w:rsidRPr="001F0480">
        <w:rPr>
          <w:rFonts w:asciiTheme="minorHAnsi" w:hAnsiTheme="minorHAnsi" w:cstheme="minorHAnsi"/>
          <w:b/>
          <w:i/>
        </w:rPr>
        <w:t xml:space="preserve"> number</w:t>
      </w:r>
      <w:r w:rsidR="00D158C2" w:rsidRPr="001F0480">
        <w:rPr>
          <w:rFonts w:asciiTheme="minorHAnsi" w:hAnsiTheme="minorHAnsi" w:cstheme="minorHAnsi"/>
          <w:b/>
          <w:i/>
        </w:rPr>
        <w:t>?</w:t>
      </w:r>
    </w:p>
    <w:p w14:paraId="18AF5DFE" w14:textId="77777777" w:rsidR="005D08DE" w:rsidRPr="001F0480" w:rsidRDefault="00B07C46" w:rsidP="00EA538F">
      <w:pPr>
        <w:pStyle w:val="Bullett1"/>
        <w:numPr>
          <w:ilvl w:val="0"/>
          <w:numId w:val="0"/>
        </w:numPr>
        <w:ind w:right="0"/>
        <w:rPr>
          <w:rFonts w:asciiTheme="minorHAnsi" w:hAnsiTheme="minorHAnsi" w:cstheme="minorHAnsi"/>
        </w:rPr>
      </w:pPr>
      <w:r w:rsidRPr="00EA538F">
        <w:t xml:space="preserve">The </w:t>
      </w:r>
      <w:r w:rsidR="00021453">
        <w:t>“</w:t>
      </w:r>
      <w:r w:rsidRPr="00EA538F">
        <w:t>Total headcount number</w:t>
      </w:r>
      <w:r w:rsidR="00021453">
        <w:t>”</w:t>
      </w:r>
      <w:r w:rsidRPr="00EA538F">
        <w:t xml:space="preserve"> includes staff who work in SOR areas. Please note, only include a figure in this field if there is a workpoint in the SOR area</w:t>
      </w:r>
      <w:r w:rsidR="00021453">
        <w:t xml:space="preserve"> and there are staff who only work in the SOR area</w:t>
      </w:r>
      <w:r w:rsidRPr="00EA538F">
        <w:t xml:space="preserve">.  A person working part of a day in an SOR area such as an interview room (not a workpoint) is not included in the </w:t>
      </w:r>
      <w:r w:rsidR="00021453">
        <w:t>“</w:t>
      </w:r>
      <w:r w:rsidRPr="00EA538F">
        <w:t>Total headcount in an SOR area</w:t>
      </w:r>
      <w:r w:rsidR="00021453">
        <w:t>”</w:t>
      </w:r>
      <w:r w:rsidRPr="00EA538F">
        <w:t xml:space="preserve"> number. </w:t>
      </w:r>
    </w:p>
    <w:p w14:paraId="1AB58E40" w14:textId="77777777" w:rsidR="00B07C46" w:rsidRPr="001F0480" w:rsidRDefault="00B07C46">
      <w:pPr>
        <w:pStyle w:val="Bullett1"/>
        <w:numPr>
          <w:ilvl w:val="0"/>
          <w:numId w:val="0"/>
        </w:numPr>
        <w:ind w:right="0"/>
        <w:rPr>
          <w:rFonts w:asciiTheme="minorHAnsi" w:hAnsiTheme="minorHAnsi" w:cstheme="minorHAnsi"/>
          <w:b/>
          <w:i/>
        </w:rPr>
      </w:pPr>
      <w:r w:rsidRPr="001F0480">
        <w:rPr>
          <w:rFonts w:asciiTheme="minorHAnsi" w:hAnsiTheme="minorHAnsi" w:cstheme="minorHAnsi"/>
          <w:b/>
          <w:i/>
        </w:rPr>
        <w:t>What is a workpoint</w:t>
      </w:r>
      <w:r w:rsidR="00D158C2" w:rsidRPr="001F0480">
        <w:rPr>
          <w:rFonts w:asciiTheme="minorHAnsi" w:hAnsiTheme="minorHAnsi" w:cstheme="minorHAnsi"/>
          <w:b/>
          <w:i/>
        </w:rPr>
        <w:t>?</w:t>
      </w:r>
    </w:p>
    <w:p w14:paraId="421EF0D6" w14:textId="59D1C094" w:rsidR="00A34FB6" w:rsidRDefault="00A34FB6" w:rsidP="001F0480">
      <w:pPr>
        <w:pStyle w:val="Bullett1"/>
        <w:numPr>
          <w:ilvl w:val="0"/>
          <w:numId w:val="0"/>
        </w:numPr>
        <w:spacing w:after="0"/>
        <w:ind w:right="0"/>
        <w:rPr>
          <w:rFonts w:asciiTheme="minorHAnsi" w:hAnsiTheme="minorHAnsi" w:cstheme="minorHAnsi"/>
        </w:rPr>
      </w:pPr>
      <w:r w:rsidRPr="0018224A">
        <w:rPr>
          <w:rFonts w:asciiTheme="minorHAnsi" w:hAnsiTheme="minorHAnsi" w:cstheme="minorHAnsi"/>
        </w:rPr>
        <w:t xml:space="preserve">The </w:t>
      </w:r>
      <w:r w:rsidR="000E2F65">
        <w:rPr>
          <w:rFonts w:asciiTheme="minorHAnsi" w:hAnsiTheme="minorHAnsi" w:cstheme="minorHAnsi"/>
        </w:rPr>
        <w:t>s</w:t>
      </w:r>
      <w:r w:rsidR="00F12BA7">
        <w:rPr>
          <w:rFonts w:asciiTheme="minorHAnsi" w:hAnsiTheme="minorHAnsi" w:cstheme="minorHAnsi"/>
        </w:rPr>
        <w:t>tandards</w:t>
      </w:r>
      <w:r w:rsidRPr="0018224A">
        <w:rPr>
          <w:rFonts w:asciiTheme="minorHAnsi" w:hAnsiTheme="minorHAnsi" w:cstheme="minorHAnsi"/>
        </w:rPr>
        <w:t xml:space="preserve"> define a workpoint as including “a desk in open plan or an enclosed office or section of a counter or reception at which it would be reasonable to expect one person to carry out ongoing office work</w:t>
      </w:r>
      <w:r w:rsidR="00471E18" w:rsidRPr="0018224A">
        <w:rPr>
          <w:rFonts w:asciiTheme="minorHAnsi" w:hAnsiTheme="minorHAnsi" w:cstheme="minorHAnsi"/>
        </w:rPr>
        <w:t>”</w:t>
      </w:r>
      <w:r w:rsidRPr="0018224A">
        <w:rPr>
          <w:rFonts w:asciiTheme="minorHAnsi" w:hAnsiTheme="minorHAnsi" w:cstheme="minorHAnsi"/>
        </w:rPr>
        <w:t>.</w:t>
      </w:r>
      <w:r w:rsidR="00A762A6" w:rsidRPr="0018224A">
        <w:rPr>
          <w:rFonts w:asciiTheme="minorHAnsi" w:hAnsiTheme="minorHAnsi" w:cstheme="minorHAnsi"/>
        </w:rPr>
        <w:t xml:space="preserve"> Please note, hot desks</w:t>
      </w:r>
      <w:r w:rsidR="00D158C2" w:rsidRPr="0018224A">
        <w:rPr>
          <w:rFonts w:asciiTheme="minorHAnsi" w:hAnsiTheme="minorHAnsi" w:cstheme="minorHAnsi"/>
        </w:rPr>
        <w:t xml:space="preserve"> and quiet rooms</w:t>
      </w:r>
      <w:r w:rsidR="00A762A6" w:rsidRPr="0018224A">
        <w:rPr>
          <w:rFonts w:asciiTheme="minorHAnsi" w:hAnsiTheme="minorHAnsi" w:cstheme="minorHAnsi"/>
        </w:rPr>
        <w:t xml:space="preserve"> are </w:t>
      </w:r>
      <w:r w:rsidR="00D158C2" w:rsidRPr="0018224A">
        <w:rPr>
          <w:rFonts w:asciiTheme="minorHAnsi" w:hAnsiTheme="minorHAnsi" w:cstheme="minorHAnsi"/>
        </w:rPr>
        <w:t>counted as workpoints.</w:t>
      </w:r>
      <w:r w:rsidR="001F06CB" w:rsidRPr="0018224A">
        <w:rPr>
          <w:rFonts w:asciiTheme="minorHAnsi" w:hAnsiTheme="minorHAnsi" w:cstheme="minorHAnsi"/>
        </w:rPr>
        <w:t xml:space="preserve"> All workpoints are included in the </w:t>
      </w:r>
      <w:r w:rsidR="00021453" w:rsidRPr="0018224A">
        <w:rPr>
          <w:rFonts w:asciiTheme="minorHAnsi" w:hAnsiTheme="minorHAnsi" w:cstheme="minorHAnsi"/>
        </w:rPr>
        <w:t>“</w:t>
      </w:r>
      <w:r w:rsidR="001F06CB" w:rsidRPr="0018224A">
        <w:rPr>
          <w:rFonts w:asciiTheme="minorHAnsi" w:hAnsiTheme="minorHAnsi" w:cstheme="minorHAnsi"/>
        </w:rPr>
        <w:t>Total workpoints at premises</w:t>
      </w:r>
      <w:r w:rsidR="00021453" w:rsidRPr="0018224A">
        <w:rPr>
          <w:rFonts w:asciiTheme="minorHAnsi" w:hAnsiTheme="minorHAnsi" w:cstheme="minorHAnsi"/>
        </w:rPr>
        <w:t>”</w:t>
      </w:r>
      <w:r w:rsidR="001F06CB" w:rsidRPr="0018224A">
        <w:rPr>
          <w:rFonts w:asciiTheme="minorHAnsi" w:hAnsiTheme="minorHAnsi" w:cstheme="minorHAnsi"/>
        </w:rPr>
        <w:t xml:space="preserve"> field.</w:t>
      </w:r>
      <w:r w:rsidR="001F06CB" w:rsidRPr="001F0480">
        <w:rPr>
          <w:rFonts w:asciiTheme="minorHAnsi" w:hAnsiTheme="minorHAnsi" w:cstheme="minorHAnsi"/>
        </w:rPr>
        <w:t xml:space="preserve"> </w:t>
      </w:r>
    </w:p>
    <w:p w14:paraId="380A1570" w14:textId="77777777" w:rsidR="005D08DE" w:rsidRPr="001F0480" w:rsidRDefault="005D08DE" w:rsidP="001F0480">
      <w:pPr>
        <w:pStyle w:val="Bullett1"/>
        <w:numPr>
          <w:ilvl w:val="0"/>
          <w:numId w:val="0"/>
        </w:numPr>
        <w:spacing w:after="0"/>
        <w:ind w:right="0"/>
        <w:rPr>
          <w:rFonts w:asciiTheme="minorHAnsi" w:hAnsiTheme="minorHAnsi" w:cstheme="minorHAnsi"/>
        </w:rPr>
      </w:pPr>
    </w:p>
    <w:p w14:paraId="75E53F67" w14:textId="77777777" w:rsidR="00B07C46" w:rsidRPr="001F0480" w:rsidRDefault="00A762A6" w:rsidP="001F0480">
      <w:pPr>
        <w:pStyle w:val="Bullett1"/>
        <w:keepNext/>
        <w:keepLines/>
        <w:numPr>
          <w:ilvl w:val="0"/>
          <w:numId w:val="0"/>
        </w:numPr>
        <w:ind w:right="0"/>
        <w:rPr>
          <w:rFonts w:asciiTheme="minorHAnsi" w:hAnsiTheme="minorHAnsi" w:cstheme="minorHAnsi"/>
          <w:b/>
          <w:i/>
        </w:rPr>
      </w:pPr>
      <w:r w:rsidRPr="001F0480">
        <w:rPr>
          <w:rFonts w:asciiTheme="minorHAnsi" w:hAnsiTheme="minorHAnsi" w:cstheme="minorHAnsi"/>
          <w:b/>
          <w:i/>
        </w:rPr>
        <w:lastRenderedPageBreak/>
        <w:t>What is an enclosed workpoint and how are they counted</w:t>
      </w:r>
      <w:r w:rsidR="00D158C2" w:rsidRPr="001F0480">
        <w:rPr>
          <w:rFonts w:asciiTheme="minorHAnsi" w:hAnsiTheme="minorHAnsi" w:cstheme="minorHAnsi"/>
          <w:b/>
          <w:i/>
        </w:rPr>
        <w:t>?</w:t>
      </w:r>
      <w:r w:rsidRPr="001F0480">
        <w:rPr>
          <w:rFonts w:asciiTheme="minorHAnsi" w:hAnsiTheme="minorHAnsi" w:cstheme="minorHAnsi"/>
          <w:b/>
          <w:i/>
        </w:rPr>
        <w:t xml:space="preserve"> </w:t>
      </w:r>
    </w:p>
    <w:p w14:paraId="76BE4AD3" w14:textId="77777777" w:rsidR="00A762A6" w:rsidRPr="0018224A" w:rsidRDefault="00A762A6" w:rsidP="001F0480">
      <w:pPr>
        <w:pStyle w:val="Bullett1"/>
        <w:keepNext/>
        <w:keepLines/>
        <w:numPr>
          <w:ilvl w:val="0"/>
          <w:numId w:val="0"/>
        </w:numPr>
        <w:ind w:right="0"/>
        <w:rPr>
          <w:rFonts w:asciiTheme="minorHAnsi" w:hAnsiTheme="minorHAnsi" w:cstheme="minorHAnsi"/>
        </w:rPr>
      </w:pPr>
      <w:r w:rsidRPr="001F0480">
        <w:rPr>
          <w:rFonts w:asciiTheme="minorHAnsi" w:hAnsiTheme="minorHAnsi" w:cstheme="minorHAnsi"/>
        </w:rPr>
        <w:t xml:space="preserve">An enclosed workpoint (as per the above description) is </w:t>
      </w:r>
      <w:r w:rsidR="00021453">
        <w:rPr>
          <w:rFonts w:asciiTheme="minorHAnsi" w:hAnsiTheme="minorHAnsi" w:cstheme="minorHAnsi"/>
        </w:rPr>
        <w:t xml:space="preserve">a workpoint </w:t>
      </w:r>
      <w:r w:rsidRPr="001F0480">
        <w:rPr>
          <w:rFonts w:asciiTheme="minorHAnsi" w:hAnsiTheme="minorHAnsi" w:cstheme="minorHAnsi"/>
        </w:rPr>
        <w:t xml:space="preserve">that </w:t>
      </w:r>
      <w:r w:rsidR="00693871" w:rsidRPr="001F0480">
        <w:rPr>
          <w:rFonts w:asciiTheme="minorHAnsi" w:hAnsiTheme="minorHAnsi" w:cstheme="minorHAnsi"/>
        </w:rPr>
        <w:t>is in</w:t>
      </w:r>
      <w:r w:rsidRPr="001F0480">
        <w:rPr>
          <w:rFonts w:asciiTheme="minorHAnsi" w:hAnsiTheme="minorHAnsi" w:cstheme="minorHAnsi"/>
        </w:rPr>
        <w:t xml:space="preserve"> an enclosed </w:t>
      </w:r>
      <w:r w:rsidR="00021453">
        <w:rPr>
          <w:rFonts w:asciiTheme="minorHAnsi" w:hAnsiTheme="minorHAnsi" w:cstheme="minorHAnsi"/>
        </w:rPr>
        <w:t>area</w:t>
      </w:r>
      <w:r w:rsidRPr="001F0480">
        <w:rPr>
          <w:rFonts w:asciiTheme="minorHAnsi" w:hAnsiTheme="minorHAnsi" w:cstheme="minorHAnsi"/>
        </w:rPr>
        <w:t xml:space="preserve">.  Please note, the enclosed workpoint count is a count of the workpoints, not the offices. However, </w:t>
      </w:r>
      <w:r w:rsidR="00B85145">
        <w:rPr>
          <w:rFonts w:asciiTheme="minorHAnsi" w:hAnsiTheme="minorHAnsi" w:cstheme="minorHAnsi"/>
        </w:rPr>
        <w:t>i</w:t>
      </w:r>
      <w:r w:rsidRPr="001F0480">
        <w:rPr>
          <w:rFonts w:asciiTheme="minorHAnsi" w:hAnsiTheme="minorHAnsi" w:cstheme="minorHAnsi"/>
        </w:rPr>
        <w:t xml:space="preserve">f the enclosed office has three or more workpoints these </w:t>
      </w:r>
      <w:r w:rsidR="00021453">
        <w:rPr>
          <w:rFonts w:asciiTheme="minorHAnsi" w:hAnsiTheme="minorHAnsi" w:cstheme="minorHAnsi"/>
        </w:rPr>
        <w:t xml:space="preserve">should be treated </w:t>
      </w:r>
      <w:r w:rsidRPr="001F0480">
        <w:rPr>
          <w:rFonts w:asciiTheme="minorHAnsi" w:hAnsiTheme="minorHAnsi" w:cstheme="minorHAnsi"/>
        </w:rPr>
        <w:t>as open plan workpoints</w:t>
      </w:r>
      <w:r w:rsidR="00021453">
        <w:rPr>
          <w:rFonts w:asciiTheme="minorHAnsi" w:hAnsiTheme="minorHAnsi" w:cstheme="minorHAnsi"/>
        </w:rPr>
        <w:t xml:space="preserve"> and not included in the </w:t>
      </w:r>
      <w:r w:rsidR="00021453" w:rsidRPr="0018224A">
        <w:rPr>
          <w:rFonts w:asciiTheme="minorHAnsi" w:hAnsiTheme="minorHAnsi" w:cstheme="minorHAnsi"/>
        </w:rPr>
        <w:t>“enclosed workpoint” count</w:t>
      </w:r>
      <w:r w:rsidRPr="0018224A">
        <w:rPr>
          <w:rFonts w:asciiTheme="minorHAnsi" w:hAnsiTheme="minorHAnsi" w:cstheme="minorHAnsi"/>
        </w:rPr>
        <w:t xml:space="preserve">.   </w:t>
      </w:r>
      <w:r w:rsidR="00D158C2" w:rsidRPr="0018224A">
        <w:rPr>
          <w:rFonts w:asciiTheme="minorHAnsi" w:hAnsiTheme="minorHAnsi" w:cstheme="minorHAnsi"/>
        </w:rPr>
        <w:t>When recording the number of enclosed workpoints please note the split between allocated workpoints and quiet rooms</w:t>
      </w:r>
      <w:r w:rsidR="005D08DE" w:rsidRPr="0018224A">
        <w:rPr>
          <w:rFonts w:asciiTheme="minorHAnsi" w:hAnsiTheme="minorHAnsi" w:cstheme="minorHAnsi"/>
        </w:rPr>
        <w:t>, for example:</w:t>
      </w:r>
    </w:p>
    <w:tbl>
      <w:tblPr>
        <w:tblStyle w:val="TableGrid"/>
        <w:tblW w:w="0" w:type="auto"/>
        <w:tblLook w:val="04A0" w:firstRow="1" w:lastRow="0" w:firstColumn="1" w:lastColumn="0" w:noHBand="0" w:noVBand="1"/>
      </w:tblPr>
      <w:tblGrid>
        <w:gridCol w:w="3823"/>
        <w:gridCol w:w="4804"/>
      </w:tblGrid>
      <w:tr w:rsidR="00D158C2" w:rsidRPr="0018224A" w14:paraId="7CC6C573" w14:textId="77777777" w:rsidTr="00D158C2">
        <w:tc>
          <w:tcPr>
            <w:tcW w:w="3823" w:type="dxa"/>
          </w:tcPr>
          <w:p w14:paraId="7D497CF4" w14:textId="77777777" w:rsidR="00D158C2" w:rsidRPr="0018224A" w:rsidRDefault="00D158C2" w:rsidP="001F0480">
            <w:pPr>
              <w:pStyle w:val="Bullett1"/>
              <w:numPr>
                <w:ilvl w:val="0"/>
                <w:numId w:val="0"/>
              </w:numPr>
              <w:spacing w:before="40" w:after="40"/>
              <w:ind w:right="0"/>
              <w:rPr>
                <w:rFonts w:asciiTheme="minorHAnsi" w:hAnsiTheme="minorHAnsi" w:cstheme="minorHAnsi"/>
              </w:rPr>
            </w:pPr>
            <w:r w:rsidRPr="0018224A">
              <w:rPr>
                <w:rFonts w:asciiTheme="minorHAnsi" w:hAnsiTheme="minorHAnsi" w:cstheme="minorHAnsi"/>
              </w:rPr>
              <w:t>Number of workpoints in enclosed workspaces</w:t>
            </w:r>
          </w:p>
        </w:tc>
        <w:tc>
          <w:tcPr>
            <w:tcW w:w="4804" w:type="dxa"/>
          </w:tcPr>
          <w:p w14:paraId="722323A0" w14:textId="51A44839" w:rsidR="00D158C2" w:rsidRDefault="00D158C2" w:rsidP="001F0480">
            <w:pPr>
              <w:pStyle w:val="Bullett1"/>
              <w:numPr>
                <w:ilvl w:val="0"/>
                <w:numId w:val="0"/>
              </w:numPr>
              <w:spacing w:before="40" w:after="40"/>
              <w:ind w:right="0"/>
              <w:rPr>
                <w:rFonts w:asciiTheme="minorHAnsi" w:hAnsiTheme="minorHAnsi" w:cstheme="minorHAnsi"/>
              </w:rPr>
            </w:pPr>
            <w:r w:rsidRPr="0018224A">
              <w:rPr>
                <w:rFonts w:asciiTheme="minorHAnsi" w:hAnsiTheme="minorHAnsi" w:cstheme="minorHAnsi"/>
              </w:rPr>
              <w:t>3</w:t>
            </w:r>
            <w:r w:rsidR="00021453" w:rsidRPr="0018224A">
              <w:rPr>
                <w:rFonts w:asciiTheme="minorHAnsi" w:hAnsiTheme="minorHAnsi" w:cstheme="minorHAnsi"/>
              </w:rPr>
              <w:t xml:space="preserve"> </w:t>
            </w:r>
            <w:r w:rsidR="00FE68D7" w:rsidRPr="0018224A">
              <w:rPr>
                <w:rFonts w:asciiTheme="minorHAnsi" w:hAnsiTheme="minorHAnsi" w:cstheme="minorHAnsi"/>
              </w:rPr>
              <w:t>(1 office</w:t>
            </w:r>
            <w:r w:rsidR="001C53C3">
              <w:rPr>
                <w:rFonts w:asciiTheme="minorHAnsi" w:hAnsiTheme="minorHAnsi" w:cstheme="minorHAnsi"/>
              </w:rPr>
              <w:t xml:space="preserve"> workpoint </w:t>
            </w:r>
            <w:r w:rsidR="001C53C3" w:rsidRPr="001C53C3">
              <w:rPr>
                <w:rFonts w:asciiTheme="minorHAnsi" w:hAnsiTheme="minorHAnsi" w:cstheme="minorHAnsi"/>
                <w:b/>
              </w:rPr>
              <w:t>and</w:t>
            </w:r>
            <w:r w:rsidR="001C53C3">
              <w:rPr>
                <w:rFonts w:asciiTheme="minorHAnsi" w:hAnsiTheme="minorHAnsi" w:cstheme="minorHAnsi"/>
              </w:rPr>
              <w:t xml:space="preserve"> </w:t>
            </w:r>
            <w:r w:rsidRPr="0018224A">
              <w:rPr>
                <w:rFonts w:asciiTheme="minorHAnsi" w:hAnsiTheme="minorHAnsi" w:cstheme="minorHAnsi"/>
              </w:rPr>
              <w:t>2 quiet rooms</w:t>
            </w:r>
            <w:r w:rsidR="00FE68D7" w:rsidRPr="0018224A">
              <w:rPr>
                <w:rFonts w:asciiTheme="minorHAnsi" w:hAnsiTheme="minorHAnsi" w:cstheme="minorHAnsi"/>
              </w:rPr>
              <w:t>)</w:t>
            </w:r>
            <w:r w:rsidR="001C53C3">
              <w:rPr>
                <w:rFonts w:asciiTheme="minorHAnsi" w:hAnsiTheme="minorHAnsi" w:cstheme="minorHAnsi"/>
              </w:rPr>
              <w:t xml:space="preserve"> </w:t>
            </w:r>
          </w:p>
          <w:p w14:paraId="074BAA09" w14:textId="75F0EC98" w:rsidR="001C53C3" w:rsidRPr="0018224A" w:rsidRDefault="001C53C3" w:rsidP="001F0480">
            <w:pPr>
              <w:pStyle w:val="Bullett1"/>
              <w:numPr>
                <w:ilvl w:val="0"/>
                <w:numId w:val="0"/>
              </w:numPr>
              <w:spacing w:before="40" w:after="40"/>
              <w:ind w:right="0"/>
              <w:rPr>
                <w:rFonts w:asciiTheme="minorHAnsi" w:hAnsiTheme="minorHAnsi" w:cstheme="minorHAnsi"/>
              </w:rPr>
            </w:pPr>
          </w:p>
        </w:tc>
      </w:tr>
    </w:tbl>
    <w:p w14:paraId="7091D718" w14:textId="77777777" w:rsidR="00D158C2" w:rsidRPr="0018224A" w:rsidRDefault="00D158C2" w:rsidP="001F0480">
      <w:pPr>
        <w:pStyle w:val="Bullett1"/>
        <w:numPr>
          <w:ilvl w:val="0"/>
          <w:numId w:val="0"/>
        </w:numPr>
        <w:spacing w:after="0"/>
        <w:ind w:right="0"/>
        <w:rPr>
          <w:rFonts w:asciiTheme="minorHAnsi" w:hAnsiTheme="minorHAnsi" w:cstheme="minorHAnsi"/>
        </w:rPr>
      </w:pPr>
    </w:p>
    <w:p w14:paraId="25F5998C" w14:textId="02C335FA" w:rsidR="00A762A6" w:rsidRPr="0018224A" w:rsidRDefault="001F06CB">
      <w:pPr>
        <w:pStyle w:val="Bullett1"/>
        <w:numPr>
          <w:ilvl w:val="0"/>
          <w:numId w:val="0"/>
        </w:numPr>
        <w:ind w:right="0"/>
        <w:rPr>
          <w:rFonts w:asciiTheme="minorHAnsi" w:hAnsiTheme="minorHAnsi" w:cstheme="minorHAnsi"/>
          <w:b/>
          <w:i/>
        </w:rPr>
      </w:pPr>
      <w:r w:rsidRPr="0018224A">
        <w:rPr>
          <w:rFonts w:asciiTheme="minorHAnsi" w:hAnsiTheme="minorHAnsi" w:cstheme="minorHAnsi"/>
          <w:b/>
          <w:i/>
        </w:rPr>
        <w:t xml:space="preserve">Which staff </w:t>
      </w:r>
      <w:r w:rsidR="00021453" w:rsidRPr="0018224A">
        <w:rPr>
          <w:rFonts w:asciiTheme="minorHAnsi" w:hAnsiTheme="minorHAnsi" w:cstheme="minorHAnsi"/>
          <w:b/>
          <w:i/>
        </w:rPr>
        <w:t xml:space="preserve">are entitled to an enclosed </w:t>
      </w:r>
      <w:r w:rsidRPr="0018224A">
        <w:rPr>
          <w:rFonts w:asciiTheme="minorHAnsi" w:hAnsiTheme="minorHAnsi" w:cstheme="minorHAnsi"/>
          <w:b/>
          <w:i/>
        </w:rPr>
        <w:t>office</w:t>
      </w:r>
      <w:r w:rsidR="00021453" w:rsidRPr="0018224A">
        <w:rPr>
          <w:rFonts w:asciiTheme="minorHAnsi" w:hAnsiTheme="minorHAnsi" w:cstheme="minorHAnsi"/>
          <w:b/>
          <w:i/>
        </w:rPr>
        <w:t xml:space="preserve"> under the </w:t>
      </w:r>
      <w:r w:rsidR="00F12BA7">
        <w:rPr>
          <w:rFonts w:asciiTheme="minorHAnsi" w:hAnsiTheme="minorHAnsi" w:cstheme="minorHAnsi"/>
          <w:b/>
          <w:i/>
        </w:rPr>
        <w:t>standards</w:t>
      </w:r>
      <w:r w:rsidR="005D08DE" w:rsidRPr="0018224A">
        <w:rPr>
          <w:rFonts w:asciiTheme="minorHAnsi" w:hAnsiTheme="minorHAnsi" w:cstheme="minorHAnsi"/>
          <w:b/>
          <w:i/>
        </w:rPr>
        <w:t>?</w:t>
      </w:r>
    </w:p>
    <w:p w14:paraId="5A106401" w14:textId="77777777" w:rsidR="000B75E6" w:rsidRPr="0018224A" w:rsidRDefault="001F06CB">
      <w:pPr>
        <w:pStyle w:val="Bullett1"/>
        <w:numPr>
          <w:ilvl w:val="0"/>
          <w:numId w:val="0"/>
        </w:numPr>
        <w:ind w:right="0"/>
        <w:rPr>
          <w:rFonts w:asciiTheme="minorHAnsi" w:hAnsiTheme="minorHAnsi" w:cstheme="minorHAnsi"/>
        </w:rPr>
      </w:pPr>
      <w:r w:rsidRPr="0018224A">
        <w:rPr>
          <w:rFonts w:asciiTheme="minorHAnsi" w:hAnsiTheme="minorHAnsi" w:cstheme="minorHAnsi"/>
        </w:rPr>
        <w:t xml:space="preserve">Enclosed offices are rarely needed for employees to meet service delivery outcomes and </w:t>
      </w:r>
      <w:r w:rsidR="00021453" w:rsidRPr="0018224A">
        <w:rPr>
          <w:rFonts w:asciiTheme="minorHAnsi" w:hAnsiTheme="minorHAnsi" w:cstheme="minorHAnsi"/>
        </w:rPr>
        <w:t xml:space="preserve">generally do not provide </w:t>
      </w:r>
      <w:r w:rsidRPr="0018224A">
        <w:rPr>
          <w:rFonts w:asciiTheme="minorHAnsi" w:hAnsiTheme="minorHAnsi" w:cstheme="minorHAnsi"/>
        </w:rPr>
        <w:t xml:space="preserve">value-for-money for agencies.  Enclosed offices </w:t>
      </w:r>
      <w:r w:rsidR="00021453" w:rsidRPr="0018224A">
        <w:rPr>
          <w:rFonts w:asciiTheme="minorHAnsi" w:hAnsiTheme="minorHAnsi" w:cstheme="minorHAnsi"/>
        </w:rPr>
        <w:t>take up</w:t>
      </w:r>
      <w:r w:rsidRPr="0018224A">
        <w:rPr>
          <w:rFonts w:asciiTheme="minorHAnsi" w:hAnsiTheme="minorHAnsi" w:cstheme="minorHAnsi"/>
        </w:rPr>
        <w:t xml:space="preserve"> space that </w:t>
      </w:r>
      <w:r w:rsidR="00021453" w:rsidRPr="0018224A">
        <w:rPr>
          <w:rFonts w:asciiTheme="minorHAnsi" w:hAnsiTheme="minorHAnsi" w:cstheme="minorHAnsi"/>
        </w:rPr>
        <w:t>could</w:t>
      </w:r>
      <w:r w:rsidRPr="0018224A">
        <w:rPr>
          <w:rFonts w:asciiTheme="minorHAnsi" w:hAnsiTheme="minorHAnsi" w:cstheme="minorHAnsi"/>
        </w:rPr>
        <w:t xml:space="preserve"> be better used by providing extra support space and facilities for all staff (</w:t>
      </w:r>
      <w:r w:rsidR="00471E18" w:rsidRPr="0018224A">
        <w:rPr>
          <w:rFonts w:asciiTheme="minorHAnsi" w:hAnsiTheme="minorHAnsi" w:cstheme="minorHAnsi"/>
        </w:rPr>
        <w:t xml:space="preserve">such as </w:t>
      </w:r>
      <w:r w:rsidRPr="0018224A">
        <w:rPr>
          <w:rFonts w:asciiTheme="minorHAnsi" w:hAnsiTheme="minorHAnsi" w:cstheme="minorHAnsi"/>
        </w:rPr>
        <w:t xml:space="preserve">extra meeting rooms, quiet rooms, </w:t>
      </w:r>
      <w:r w:rsidR="000B75E6" w:rsidRPr="0018224A">
        <w:rPr>
          <w:rFonts w:asciiTheme="minorHAnsi" w:hAnsiTheme="minorHAnsi" w:cstheme="minorHAnsi"/>
        </w:rPr>
        <w:t>additional breakout areas).</w:t>
      </w:r>
    </w:p>
    <w:p w14:paraId="41D95387" w14:textId="24313D7B" w:rsidR="001F06CB" w:rsidRPr="0018224A" w:rsidRDefault="001F06CB" w:rsidP="001F0480">
      <w:pPr>
        <w:pStyle w:val="Bullett1"/>
        <w:numPr>
          <w:ilvl w:val="0"/>
          <w:numId w:val="0"/>
        </w:numPr>
        <w:spacing w:after="0"/>
        <w:ind w:right="0"/>
        <w:rPr>
          <w:rFonts w:asciiTheme="minorHAnsi" w:hAnsiTheme="minorHAnsi" w:cstheme="minorHAnsi"/>
        </w:rPr>
      </w:pPr>
      <w:r w:rsidRPr="0018224A">
        <w:rPr>
          <w:rFonts w:asciiTheme="minorHAnsi" w:hAnsiTheme="minorHAnsi" w:cstheme="minorHAnsi"/>
          <w:i/>
        </w:rPr>
        <w:t xml:space="preserve">Office Accommodation </w:t>
      </w:r>
      <w:r w:rsidR="00F12BA7">
        <w:rPr>
          <w:rFonts w:asciiTheme="minorHAnsi" w:hAnsiTheme="minorHAnsi" w:cstheme="minorHAnsi"/>
          <w:i/>
        </w:rPr>
        <w:t>Standards</w:t>
      </w:r>
      <w:r w:rsidRPr="0018224A">
        <w:rPr>
          <w:rFonts w:asciiTheme="minorHAnsi" w:hAnsiTheme="minorHAnsi" w:cstheme="minorHAnsi"/>
          <w:i/>
        </w:rPr>
        <w:t xml:space="preserve"> 3.4</w:t>
      </w:r>
      <w:r w:rsidR="000B75E6" w:rsidRPr="0018224A">
        <w:rPr>
          <w:rFonts w:asciiTheme="minorHAnsi" w:hAnsiTheme="minorHAnsi" w:cstheme="minorHAnsi"/>
          <w:i/>
        </w:rPr>
        <w:t>:</w:t>
      </w:r>
      <w:r w:rsidRPr="0018224A">
        <w:rPr>
          <w:rFonts w:asciiTheme="minorHAnsi" w:hAnsiTheme="minorHAnsi" w:cstheme="minorHAnsi"/>
          <w:i/>
        </w:rPr>
        <w:t xml:space="preserve"> enclosed workspaces</w:t>
      </w:r>
      <w:r w:rsidRPr="0018224A">
        <w:rPr>
          <w:rFonts w:asciiTheme="minorHAnsi" w:hAnsiTheme="minorHAnsi" w:cstheme="minorHAnsi"/>
        </w:rPr>
        <w:t xml:space="preserve"> </w:t>
      </w:r>
      <w:r w:rsidR="000B75E6" w:rsidRPr="0018224A">
        <w:rPr>
          <w:rFonts w:asciiTheme="minorHAnsi" w:hAnsiTheme="minorHAnsi" w:cstheme="minorHAnsi"/>
        </w:rPr>
        <w:t xml:space="preserve">outlines </w:t>
      </w:r>
      <w:r w:rsidR="00021453" w:rsidRPr="0018224A">
        <w:rPr>
          <w:rFonts w:asciiTheme="minorHAnsi" w:hAnsiTheme="minorHAnsi" w:cstheme="minorHAnsi"/>
        </w:rPr>
        <w:t>which officers may be entitled to an enclosed office.</w:t>
      </w:r>
      <w:r w:rsidR="000B75E6" w:rsidRPr="0018224A">
        <w:rPr>
          <w:rFonts w:asciiTheme="minorHAnsi" w:hAnsiTheme="minorHAnsi" w:cstheme="minorHAnsi"/>
        </w:rPr>
        <w:t xml:space="preserve"> </w:t>
      </w:r>
      <w:r w:rsidR="00021453" w:rsidRPr="0018224A">
        <w:rPr>
          <w:rFonts w:asciiTheme="minorHAnsi" w:hAnsiTheme="minorHAnsi" w:cstheme="minorHAnsi"/>
        </w:rPr>
        <w:t>A</w:t>
      </w:r>
      <w:r w:rsidR="000B75E6" w:rsidRPr="0018224A">
        <w:rPr>
          <w:rFonts w:asciiTheme="minorHAnsi" w:hAnsiTheme="minorHAnsi" w:cstheme="minorHAnsi"/>
        </w:rPr>
        <w:t>fter consider</w:t>
      </w:r>
      <w:r w:rsidR="00021453" w:rsidRPr="0018224A">
        <w:rPr>
          <w:rFonts w:asciiTheme="minorHAnsi" w:hAnsiTheme="minorHAnsi" w:cstheme="minorHAnsi"/>
        </w:rPr>
        <w:t xml:space="preserve">ation of </w:t>
      </w:r>
      <w:r w:rsidR="000E2F65">
        <w:rPr>
          <w:rFonts w:asciiTheme="minorHAnsi" w:hAnsiTheme="minorHAnsi" w:cstheme="minorHAnsi"/>
        </w:rPr>
        <w:t>s</w:t>
      </w:r>
      <w:r w:rsidR="00F12BA7">
        <w:rPr>
          <w:rFonts w:asciiTheme="minorHAnsi" w:hAnsiTheme="minorHAnsi" w:cstheme="minorHAnsi"/>
        </w:rPr>
        <w:t>tandard</w:t>
      </w:r>
      <w:r w:rsidR="000B75E6" w:rsidRPr="0018224A">
        <w:rPr>
          <w:rFonts w:asciiTheme="minorHAnsi" w:hAnsiTheme="minorHAnsi" w:cstheme="minorHAnsi"/>
        </w:rPr>
        <w:t xml:space="preserve"> 3.4, </w:t>
      </w:r>
      <w:r w:rsidR="00021453" w:rsidRPr="0018224A">
        <w:rPr>
          <w:rFonts w:asciiTheme="minorHAnsi" w:hAnsiTheme="minorHAnsi" w:cstheme="minorHAnsi"/>
        </w:rPr>
        <w:t xml:space="preserve">if </w:t>
      </w:r>
      <w:r w:rsidR="000B75E6" w:rsidRPr="0018224A">
        <w:rPr>
          <w:rFonts w:asciiTheme="minorHAnsi" w:hAnsiTheme="minorHAnsi" w:cstheme="minorHAnsi"/>
        </w:rPr>
        <w:t>an</w:t>
      </w:r>
      <w:r w:rsidR="000B75E6" w:rsidRPr="001F0480">
        <w:rPr>
          <w:rFonts w:asciiTheme="minorHAnsi" w:hAnsiTheme="minorHAnsi" w:cstheme="minorHAnsi"/>
        </w:rPr>
        <w:t xml:space="preserve"> enclosed office (with one </w:t>
      </w:r>
      <w:r w:rsidR="000B75E6" w:rsidRPr="000E2F65">
        <w:rPr>
          <w:rFonts w:asciiTheme="minorHAnsi" w:hAnsiTheme="minorHAnsi" w:cstheme="minorHAnsi"/>
          <w:b/>
        </w:rPr>
        <w:t>or</w:t>
      </w:r>
      <w:r w:rsidR="000B75E6" w:rsidRPr="001F0480">
        <w:rPr>
          <w:rFonts w:asciiTheme="minorHAnsi" w:hAnsiTheme="minorHAnsi" w:cstheme="minorHAnsi"/>
        </w:rPr>
        <w:t xml:space="preserve"> two workpoints) </w:t>
      </w:r>
      <w:r w:rsidR="00021453">
        <w:rPr>
          <w:rFonts w:asciiTheme="minorHAnsi" w:hAnsiTheme="minorHAnsi" w:cstheme="minorHAnsi"/>
        </w:rPr>
        <w:t xml:space="preserve">is requested, please provide </w:t>
      </w:r>
      <w:r w:rsidR="000B75E6" w:rsidRPr="001F0480">
        <w:rPr>
          <w:rFonts w:asciiTheme="minorHAnsi" w:hAnsiTheme="minorHAnsi" w:cstheme="minorHAnsi"/>
        </w:rPr>
        <w:t xml:space="preserve">additional </w:t>
      </w:r>
      <w:r w:rsidR="000B75E6" w:rsidRPr="0018224A">
        <w:rPr>
          <w:rFonts w:asciiTheme="minorHAnsi" w:hAnsiTheme="minorHAnsi" w:cstheme="minorHAnsi"/>
        </w:rPr>
        <w:t>information</w:t>
      </w:r>
      <w:r w:rsidR="00021453" w:rsidRPr="0018224A">
        <w:rPr>
          <w:rFonts w:asciiTheme="minorHAnsi" w:hAnsiTheme="minorHAnsi" w:cstheme="minorHAnsi"/>
        </w:rPr>
        <w:t xml:space="preserve"> supporting the request. This information should</w:t>
      </w:r>
      <w:r w:rsidR="000B75E6" w:rsidRPr="0018224A">
        <w:rPr>
          <w:rFonts w:asciiTheme="minorHAnsi" w:hAnsiTheme="minorHAnsi" w:cstheme="minorHAnsi"/>
        </w:rPr>
        <w:t xml:space="preserve"> address the criteria in </w:t>
      </w:r>
      <w:r w:rsidR="00F12BA7">
        <w:rPr>
          <w:rFonts w:asciiTheme="minorHAnsi" w:hAnsiTheme="minorHAnsi" w:cstheme="minorHAnsi"/>
        </w:rPr>
        <w:t>standard</w:t>
      </w:r>
      <w:r w:rsidR="000B75E6" w:rsidRPr="0018224A">
        <w:rPr>
          <w:rFonts w:asciiTheme="minorHAnsi" w:hAnsiTheme="minorHAnsi" w:cstheme="minorHAnsi"/>
        </w:rPr>
        <w:t xml:space="preserve"> 3</w:t>
      </w:r>
      <w:r w:rsidR="00021453" w:rsidRPr="0018224A">
        <w:rPr>
          <w:rFonts w:asciiTheme="minorHAnsi" w:hAnsiTheme="minorHAnsi" w:cstheme="minorHAnsi"/>
        </w:rPr>
        <w:t>.</w:t>
      </w:r>
      <w:r w:rsidR="000B75E6" w:rsidRPr="0018224A">
        <w:rPr>
          <w:rFonts w:asciiTheme="minorHAnsi" w:hAnsiTheme="minorHAnsi" w:cstheme="minorHAnsi"/>
        </w:rPr>
        <w:t>4</w:t>
      </w:r>
      <w:r w:rsidR="000E2F65">
        <w:rPr>
          <w:rFonts w:asciiTheme="minorHAnsi" w:hAnsiTheme="minorHAnsi" w:cstheme="minorHAnsi"/>
        </w:rPr>
        <w:t>.</w:t>
      </w:r>
      <w:r w:rsidR="000B75E6" w:rsidRPr="0018224A">
        <w:rPr>
          <w:rFonts w:asciiTheme="minorHAnsi" w:hAnsiTheme="minorHAnsi" w:cstheme="minorHAnsi"/>
        </w:rPr>
        <w:t xml:space="preserve"> </w:t>
      </w:r>
    </w:p>
    <w:p w14:paraId="496641BA" w14:textId="77777777" w:rsidR="005D08DE" w:rsidRPr="0018224A" w:rsidRDefault="005D08DE" w:rsidP="001F0480">
      <w:pPr>
        <w:pStyle w:val="Bullett1"/>
        <w:numPr>
          <w:ilvl w:val="0"/>
          <w:numId w:val="0"/>
        </w:numPr>
        <w:spacing w:after="0"/>
        <w:ind w:right="0"/>
        <w:rPr>
          <w:rFonts w:asciiTheme="minorHAnsi" w:hAnsiTheme="minorHAnsi" w:cstheme="minorHAnsi"/>
        </w:rPr>
      </w:pPr>
    </w:p>
    <w:p w14:paraId="72F454AF" w14:textId="77777777" w:rsidR="001F06CB" w:rsidRPr="0018224A" w:rsidRDefault="001F06CB">
      <w:pPr>
        <w:pStyle w:val="Bullett1"/>
        <w:numPr>
          <w:ilvl w:val="0"/>
          <w:numId w:val="0"/>
        </w:numPr>
        <w:ind w:right="0"/>
        <w:rPr>
          <w:rFonts w:asciiTheme="minorHAnsi" w:hAnsiTheme="minorHAnsi" w:cstheme="minorHAnsi"/>
          <w:b/>
          <w:i/>
        </w:rPr>
      </w:pPr>
      <w:r w:rsidRPr="0018224A">
        <w:rPr>
          <w:rFonts w:asciiTheme="minorHAnsi" w:hAnsiTheme="minorHAnsi" w:cstheme="minorHAnsi"/>
          <w:b/>
          <w:i/>
        </w:rPr>
        <w:t>What is a quiet room?</w:t>
      </w:r>
    </w:p>
    <w:p w14:paraId="2261AECB" w14:textId="52CDC542" w:rsidR="00A762A6" w:rsidRPr="001F0480" w:rsidRDefault="00A762A6" w:rsidP="001F0480">
      <w:pPr>
        <w:pStyle w:val="Bullett1"/>
        <w:numPr>
          <w:ilvl w:val="0"/>
          <w:numId w:val="0"/>
        </w:numPr>
        <w:spacing w:after="0"/>
        <w:ind w:right="0"/>
        <w:rPr>
          <w:rFonts w:asciiTheme="minorHAnsi" w:hAnsiTheme="minorHAnsi" w:cstheme="minorHAnsi"/>
          <w:sz w:val="20"/>
          <w:szCs w:val="20"/>
        </w:rPr>
      </w:pPr>
      <w:r w:rsidRPr="0018224A">
        <w:rPr>
          <w:rFonts w:asciiTheme="minorHAnsi" w:hAnsiTheme="minorHAnsi" w:cstheme="minorHAnsi"/>
        </w:rPr>
        <w:t>For office accommodation purposes a quiet room is a</w:t>
      </w:r>
      <w:r w:rsidR="00021453" w:rsidRPr="0018224A">
        <w:rPr>
          <w:rFonts w:asciiTheme="minorHAnsi" w:hAnsiTheme="minorHAnsi" w:cstheme="minorHAnsi"/>
        </w:rPr>
        <w:t xml:space="preserve"> workpoint (as defined above) in a</w:t>
      </w:r>
      <w:r w:rsidRPr="0018224A">
        <w:rPr>
          <w:rFonts w:asciiTheme="minorHAnsi" w:hAnsiTheme="minorHAnsi" w:cstheme="minorHAnsi"/>
        </w:rPr>
        <w:t xml:space="preserve">n enclosed space </w:t>
      </w:r>
      <w:r w:rsidR="001F06CB" w:rsidRPr="0018224A">
        <w:rPr>
          <w:rFonts w:asciiTheme="minorHAnsi" w:hAnsiTheme="minorHAnsi" w:cstheme="minorHAnsi"/>
        </w:rPr>
        <w:t>that i</w:t>
      </w:r>
      <w:r w:rsidRPr="0018224A">
        <w:rPr>
          <w:rFonts w:asciiTheme="minorHAnsi" w:hAnsiTheme="minorHAnsi" w:cstheme="minorHAnsi"/>
        </w:rPr>
        <w:t>s not allocated to a</w:t>
      </w:r>
      <w:r w:rsidR="00021453" w:rsidRPr="0018224A">
        <w:rPr>
          <w:rFonts w:asciiTheme="minorHAnsi" w:hAnsiTheme="minorHAnsi" w:cstheme="minorHAnsi"/>
        </w:rPr>
        <w:t xml:space="preserve"> specific </w:t>
      </w:r>
      <w:r w:rsidRPr="0018224A">
        <w:rPr>
          <w:rFonts w:asciiTheme="minorHAnsi" w:hAnsiTheme="minorHAnsi" w:cstheme="minorHAnsi"/>
        </w:rPr>
        <w:t>employee</w:t>
      </w:r>
      <w:r w:rsidR="00021453" w:rsidRPr="0018224A">
        <w:rPr>
          <w:rFonts w:asciiTheme="minorHAnsi" w:hAnsiTheme="minorHAnsi" w:cstheme="minorHAnsi"/>
        </w:rPr>
        <w:t>;</w:t>
      </w:r>
      <w:r w:rsidR="001F06CB" w:rsidRPr="0018224A">
        <w:rPr>
          <w:rFonts w:asciiTheme="minorHAnsi" w:hAnsiTheme="minorHAnsi" w:cstheme="minorHAnsi"/>
        </w:rPr>
        <w:t xml:space="preserve"> </w:t>
      </w:r>
      <w:r w:rsidRPr="0018224A">
        <w:rPr>
          <w:rFonts w:asciiTheme="minorHAnsi" w:hAnsiTheme="minorHAnsi" w:cstheme="minorHAnsi"/>
        </w:rPr>
        <w:t xml:space="preserve">this would make it an </w:t>
      </w:r>
      <w:r w:rsidR="00021453" w:rsidRPr="0018224A">
        <w:rPr>
          <w:rFonts w:asciiTheme="minorHAnsi" w:hAnsiTheme="minorHAnsi" w:cstheme="minorHAnsi"/>
        </w:rPr>
        <w:t xml:space="preserve">enclosed </w:t>
      </w:r>
      <w:r w:rsidRPr="0018224A">
        <w:rPr>
          <w:rFonts w:asciiTheme="minorHAnsi" w:hAnsiTheme="minorHAnsi" w:cstheme="minorHAnsi"/>
        </w:rPr>
        <w:t xml:space="preserve">office. Quiet rooms are </w:t>
      </w:r>
      <w:r w:rsidR="00021453" w:rsidRPr="0018224A">
        <w:rPr>
          <w:rFonts w:asciiTheme="minorHAnsi" w:hAnsiTheme="minorHAnsi" w:cstheme="minorHAnsi"/>
        </w:rPr>
        <w:t xml:space="preserve">designed as </w:t>
      </w:r>
      <w:r w:rsidR="00D158C2" w:rsidRPr="0018224A">
        <w:rPr>
          <w:rFonts w:asciiTheme="minorHAnsi" w:hAnsiTheme="minorHAnsi" w:cstheme="minorHAnsi"/>
        </w:rPr>
        <w:t>support space</w:t>
      </w:r>
      <w:r w:rsidR="00471E18" w:rsidRPr="0018224A">
        <w:rPr>
          <w:rFonts w:asciiTheme="minorHAnsi" w:hAnsiTheme="minorHAnsi" w:cstheme="minorHAnsi"/>
        </w:rPr>
        <w:t>s</w:t>
      </w:r>
      <w:r w:rsidR="00D158C2" w:rsidRPr="0018224A">
        <w:rPr>
          <w:rFonts w:asciiTheme="minorHAnsi" w:hAnsiTheme="minorHAnsi" w:cstheme="minorHAnsi"/>
        </w:rPr>
        <w:t xml:space="preserve"> </w:t>
      </w:r>
      <w:r w:rsidR="00021453" w:rsidRPr="0018224A">
        <w:rPr>
          <w:rFonts w:asciiTheme="minorHAnsi" w:hAnsiTheme="minorHAnsi" w:cstheme="minorHAnsi"/>
        </w:rPr>
        <w:t xml:space="preserve">that </w:t>
      </w:r>
      <w:r w:rsidR="00471E18" w:rsidRPr="0018224A">
        <w:rPr>
          <w:rFonts w:asciiTheme="minorHAnsi" w:hAnsiTheme="minorHAnsi" w:cstheme="minorHAnsi"/>
        </w:rPr>
        <w:t>are</w:t>
      </w:r>
      <w:r w:rsidR="00021453" w:rsidRPr="0018224A">
        <w:rPr>
          <w:rFonts w:asciiTheme="minorHAnsi" w:hAnsiTheme="minorHAnsi" w:cstheme="minorHAnsi"/>
        </w:rPr>
        <w:t xml:space="preserve"> </w:t>
      </w:r>
      <w:r w:rsidRPr="0018224A">
        <w:rPr>
          <w:rFonts w:asciiTheme="minorHAnsi" w:hAnsiTheme="minorHAnsi" w:cstheme="minorHAnsi"/>
        </w:rPr>
        <w:t xml:space="preserve">available to all staff who need </w:t>
      </w:r>
      <w:r w:rsidR="00021453" w:rsidRPr="0018224A">
        <w:rPr>
          <w:rFonts w:asciiTheme="minorHAnsi" w:hAnsiTheme="minorHAnsi" w:cstheme="minorHAnsi"/>
        </w:rPr>
        <w:t xml:space="preserve">an area to work without disruption to perform </w:t>
      </w:r>
      <w:r w:rsidR="00D158C2" w:rsidRPr="0018224A">
        <w:rPr>
          <w:rFonts w:asciiTheme="minorHAnsi" w:hAnsiTheme="minorHAnsi" w:cstheme="minorHAnsi"/>
        </w:rPr>
        <w:t xml:space="preserve">confidential </w:t>
      </w:r>
      <w:r w:rsidR="00021453" w:rsidRPr="0018224A">
        <w:rPr>
          <w:rFonts w:asciiTheme="minorHAnsi" w:hAnsiTheme="minorHAnsi" w:cstheme="minorHAnsi"/>
        </w:rPr>
        <w:t>or limited duration tasks that require a high level of focus.</w:t>
      </w:r>
      <w:r w:rsidR="00D158C2" w:rsidRPr="001F0480">
        <w:rPr>
          <w:rFonts w:asciiTheme="minorHAnsi" w:hAnsiTheme="minorHAnsi" w:cstheme="minorHAnsi"/>
        </w:rPr>
        <w:t xml:space="preserve"> </w:t>
      </w:r>
      <w:r w:rsidR="001F06CB" w:rsidRPr="001F0480">
        <w:rPr>
          <w:rFonts w:asciiTheme="minorHAnsi" w:hAnsiTheme="minorHAnsi" w:cstheme="minorHAnsi"/>
        </w:rPr>
        <w:t xml:space="preserve"> </w:t>
      </w:r>
    </w:p>
    <w:p w14:paraId="187B66E8" w14:textId="77777777" w:rsidR="00D46767" w:rsidRDefault="00D46767" w:rsidP="001F0480">
      <w:pPr>
        <w:pStyle w:val="Bullett1"/>
        <w:numPr>
          <w:ilvl w:val="0"/>
          <w:numId w:val="0"/>
        </w:numPr>
        <w:spacing w:after="0"/>
        <w:ind w:left="284" w:right="0" w:hanging="284"/>
        <w:rPr>
          <w:rFonts w:asciiTheme="minorHAnsi" w:hAnsiTheme="minorHAnsi" w:cstheme="minorHAnsi"/>
          <w:sz w:val="20"/>
          <w:szCs w:val="20"/>
        </w:rPr>
      </w:pPr>
    </w:p>
    <w:p w14:paraId="51279EDB" w14:textId="77777777" w:rsidR="00FD1B64" w:rsidRPr="001F0480" w:rsidRDefault="00FD1B64" w:rsidP="001F0480">
      <w:pPr>
        <w:pStyle w:val="Bullett1"/>
        <w:numPr>
          <w:ilvl w:val="0"/>
          <w:numId w:val="0"/>
        </w:numPr>
        <w:spacing w:after="0"/>
        <w:ind w:left="284" w:right="0" w:hanging="284"/>
        <w:rPr>
          <w:rFonts w:asciiTheme="minorHAnsi" w:hAnsiTheme="minorHAnsi" w:cstheme="minorHAnsi"/>
          <w:sz w:val="20"/>
          <w:szCs w:val="20"/>
        </w:rPr>
      </w:pPr>
    </w:p>
    <w:p w14:paraId="780629D2" w14:textId="77777777" w:rsidR="00D46767" w:rsidRPr="001F0480" w:rsidRDefault="00D46767" w:rsidP="001F0480">
      <w:pPr>
        <w:pStyle w:val="Bullett1"/>
        <w:numPr>
          <w:ilvl w:val="0"/>
          <w:numId w:val="0"/>
        </w:numPr>
        <w:spacing w:after="0"/>
        <w:ind w:left="284" w:right="0" w:hanging="284"/>
        <w:rPr>
          <w:rFonts w:asciiTheme="minorHAnsi" w:hAnsiTheme="minorHAnsi" w:cstheme="minorHAnsi"/>
          <w:sz w:val="20"/>
          <w:szCs w:val="20"/>
        </w:rPr>
      </w:pPr>
    </w:p>
    <w:p w14:paraId="1F7F5D92" w14:textId="77777777" w:rsidR="00D46767" w:rsidRPr="001F0480" w:rsidRDefault="00250FD7" w:rsidP="001F0480">
      <w:pPr>
        <w:pStyle w:val="Bullett1"/>
        <w:numPr>
          <w:ilvl w:val="0"/>
          <w:numId w:val="0"/>
        </w:numPr>
        <w:spacing w:after="0"/>
        <w:ind w:right="0"/>
        <w:rPr>
          <w:sz w:val="20"/>
          <w:szCs w:val="20"/>
        </w:rPr>
      </w:pPr>
      <w:r w:rsidRPr="001F0480">
        <w:rPr>
          <w:sz w:val="20"/>
          <w:szCs w:val="20"/>
        </w:rPr>
        <w:t>Building Management and Works</w:t>
      </w:r>
    </w:p>
    <w:p w14:paraId="74355C50" w14:textId="77777777" w:rsidR="00250FD7" w:rsidRPr="001F0480" w:rsidRDefault="00250FD7" w:rsidP="001F0480">
      <w:pPr>
        <w:pStyle w:val="Bullett1"/>
        <w:numPr>
          <w:ilvl w:val="0"/>
          <w:numId w:val="0"/>
        </w:numPr>
        <w:spacing w:after="0"/>
        <w:ind w:right="0"/>
        <w:rPr>
          <w:sz w:val="20"/>
          <w:szCs w:val="20"/>
        </w:rPr>
      </w:pPr>
      <w:r w:rsidRPr="001F0480">
        <w:rPr>
          <w:sz w:val="20"/>
          <w:szCs w:val="20"/>
        </w:rPr>
        <w:t>Department of Finance</w:t>
      </w:r>
    </w:p>
    <w:p w14:paraId="3E2364B2" w14:textId="5AFBD350" w:rsidR="00250FD7" w:rsidRPr="001F0480" w:rsidRDefault="00C7105A" w:rsidP="001F0480">
      <w:pPr>
        <w:pStyle w:val="Bullett1"/>
        <w:numPr>
          <w:ilvl w:val="0"/>
          <w:numId w:val="0"/>
        </w:numPr>
        <w:spacing w:after="0"/>
        <w:ind w:right="0"/>
        <w:rPr>
          <w:sz w:val="20"/>
          <w:szCs w:val="20"/>
        </w:rPr>
      </w:pPr>
      <w:r>
        <w:rPr>
          <w:sz w:val="20"/>
          <w:szCs w:val="20"/>
        </w:rPr>
        <w:t>April</w:t>
      </w:r>
      <w:r w:rsidR="00250FD7" w:rsidRPr="001F0480">
        <w:rPr>
          <w:sz w:val="20"/>
          <w:szCs w:val="20"/>
        </w:rPr>
        <w:t xml:space="preserve"> 2019</w:t>
      </w:r>
    </w:p>
    <w:sectPr w:rsidR="00250FD7" w:rsidRPr="001F0480" w:rsidSect="00EA538F">
      <w:headerReference w:type="default" r:id="rId8"/>
      <w:headerReference w:type="first" r:id="rId9"/>
      <w:footerReference w:type="first" r:id="rId10"/>
      <w:pgSz w:w="11906" w:h="16838" w:code="9"/>
      <w:pgMar w:top="1987" w:right="1642" w:bottom="850" w:left="1627" w:header="85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3D3E" w14:textId="77777777" w:rsidR="00196DF2" w:rsidRDefault="00196DF2" w:rsidP="00147670">
      <w:r>
        <w:separator/>
      </w:r>
    </w:p>
  </w:endnote>
  <w:endnote w:type="continuationSeparator" w:id="0">
    <w:p w14:paraId="4E4A9834" w14:textId="77777777" w:rsidR="00196DF2" w:rsidRDefault="00196DF2" w:rsidP="0014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D4B33" w14:textId="77777777" w:rsidR="00D2285E" w:rsidRPr="00A0207C" w:rsidRDefault="00D2285E" w:rsidP="00522D34">
    <w:pPr>
      <w:spacing w:after="0"/>
      <w:ind w:right="-1566"/>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D8F9" w14:textId="77777777" w:rsidR="00196DF2" w:rsidRDefault="00196DF2" w:rsidP="00147670">
      <w:r>
        <w:separator/>
      </w:r>
    </w:p>
  </w:footnote>
  <w:footnote w:type="continuationSeparator" w:id="0">
    <w:p w14:paraId="617792CA" w14:textId="77777777" w:rsidR="00196DF2" w:rsidRDefault="00196DF2" w:rsidP="0014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416324849"/>
      <w:docPartObj>
        <w:docPartGallery w:val="Page Numbers (Top of Page)"/>
        <w:docPartUnique/>
      </w:docPartObj>
    </w:sdtPr>
    <w:sdtEndPr>
      <w:rPr>
        <w:noProof/>
      </w:rPr>
    </w:sdtEndPr>
    <w:sdtContent>
      <w:p w14:paraId="4A4AE8D4" w14:textId="77777777" w:rsidR="005C2633" w:rsidRPr="00E86D54" w:rsidRDefault="005C2633" w:rsidP="00DB154F">
        <w:pPr>
          <w:pStyle w:val="Header"/>
          <w:spacing w:line="240" w:lineRule="auto"/>
          <w:jc w:val="center"/>
          <w:rPr>
            <w:sz w:val="23"/>
            <w:szCs w:val="23"/>
          </w:rPr>
        </w:pPr>
      </w:p>
      <w:p w14:paraId="36D2EA87" w14:textId="77777777" w:rsidR="005C2633" w:rsidRPr="00E86D54" w:rsidRDefault="005C2633" w:rsidP="00DB154F">
        <w:pPr>
          <w:pStyle w:val="Header"/>
          <w:spacing w:line="240" w:lineRule="auto"/>
          <w:jc w:val="center"/>
          <w:rPr>
            <w:sz w:val="23"/>
            <w:szCs w:val="23"/>
          </w:rPr>
        </w:pPr>
      </w:p>
      <w:p w14:paraId="547C0AE4" w14:textId="314917BE" w:rsidR="005C2633" w:rsidRPr="00E86D54" w:rsidRDefault="005C2633" w:rsidP="00DB154F">
        <w:pPr>
          <w:pStyle w:val="Header"/>
          <w:spacing w:line="240" w:lineRule="auto"/>
          <w:jc w:val="center"/>
          <w:rPr>
            <w:rFonts w:cstheme="minorHAnsi"/>
            <w:noProof/>
            <w:sz w:val="23"/>
            <w:szCs w:val="23"/>
          </w:rPr>
        </w:pPr>
        <w:r w:rsidRPr="00E86D54">
          <w:rPr>
            <w:rFonts w:cstheme="minorHAnsi"/>
            <w:sz w:val="23"/>
            <w:szCs w:val="23"/>
          </w:rPr>
          <w:t>―</w:t>
        </w:r>
        <w:r w:rsidRPr="00E86D54">
          <w:rPr>
            <w:sz w:val="23"/>
            <w:szCs w:val="23"/>
          </w:rPr>
          <w:t xml:space="preserve"> </w:t>
        </w:r>
        <w:r w:rsidRPr="00E86D54">
          <w:rPr>
            <w:sz w:val="23"/>
            <w:szCs w:val="23"/>
          </w:rPr>
          <w:fldChar w:fldCharType="begin"/>
        </w:r>
        <w:r w:rsidRPr="00E86D54">
          <w:rPr>
            <w:sz w:val="23"/>
            <w:szCs w:val="23"/>
          </w:rPr>
          <w:instrText xml:space="preserve"> PAGE   \* MERGEFORMAT </w:instrText>
        </w:r>
        <w:r w:rsidRPr="00E86D54">
          <w:rPr>
            <w:sz w:val="23"/>
            <w:szCs w:val="23"/>
          </w:rPr>
          <w:fldChar w:fldCharType="separate"/>
        </w:r>
        <w:r w:rsidR="00751C41">
          <w:rPr>
            <w:noProof/>
            <w:sz w:val="23"/>
            <w:szCs w:val="23"/>
          </w:rPr>
          <w:t>4</w:t>
        </w:r>
        <w:r w:rsidRPr="00E86D54">
          <w:rPr>
            <w:noProof/>
            <w:sz w:val="23"/>
            <w:szCs w:val="23"/>
          </w:rPr>
          <w:fldChar w:fldCharType="end"/>
        </w:r>
        <w:r w:rsidRPr="00E86D54">
          <w:rPr>
            <w:noProof/>
            <w:sz w:val="23"/>
            <w:szCs w:val="23"/>
          </w:rPr>
          <w:t xml:space="preserve"> </w:t>
        </w:r>
        <w:r w:rsidRPr="00E86D54">
          <w:rPr>
            <w:rFonts w:cstheme="minorHAnsi"/>
            <w:noProof/>
            <w:sz w:val="23"/>
            <w:szCs w:val="23"/>
          </w:rPr>
          <w:t>―</w:t>
        </w:r>
      </w:p>
      <w:p w14:paraId="35BAC277" w14:textId="77777777" w:rsidR="005C2633" w:rsidRPr="00E86D54" w:rsidRDefault="00196DF2" w:rsidP="00DB154F">
        <w:pPr>
          <w:pStyle w:val="Header"/>
          <w:spacing w:line="240" w:lineRule="auto"/>
          <w:jc w:val="center"/>
          <w:rPr>
            <w:sz w:val="23"/>
            <w:szCs w:val="23"/>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1D92" w14:textId="77777777" w:rsidR="00D2285E" w:rsidRDefault="00C01AF4" w:rsidP="00E53338">
    <w:pPr>
      <w:pStyle w:val="Header"/>
      <w:tabs>
        <w:tab w:val="clear" w:pos="4513"/>
        <w:tab w:val="clear" w:pos="9026"/>
      </w:tabs>
    </w:pPr>
    <w:r>
      <w:rPr>
        <w:noProof/>
        <w:lang w:eastAsia="en-AU"/>
      </w:rPr>
      <w:drawing>
        <wp:anchor distT="0" distB="0" distL="114300" distR="114300" simplePos="0" relativeHeight="251658240" behindDoc="1" locked="0" layoutInCell="1" allowOverlap="1" wp14:anchorId="5BE638E7" wp14:editId="2A21E4F7">
          <wp:simplePos x="0" y="0"/>
          <wp:positionH relativeFrom="column">
            <wp:posOffset>-487045</wp:posOffset>
          </wp:positionH>
          <wp:positionV relativeFrom="paragraph">
            <wp:posOffset>-200025</wp:posOffset>
          </wp:positionV>
          <wp:extent cx="2858686" cy="504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 of Finance Logo 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686"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26BC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C3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AA37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247E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F47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4D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AC5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84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2A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C0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CD48BA"/>
    <w:multiLevelType w:val="hybridMultilevel"/>
    <w:tmpl w:val="98905F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B3128E"/>
    <w:multiLevelType w:val="hybridMultilevel"/>
    <w:tmpl w:val="1C8C9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4E6151"/>
    <w:multiLevelType w:val="hybridMultilevel"/>
    <w:tmpl w:val="2FC86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3032FC"/>
    <w:multiLevelType w:val="hybridMultilevel"/>
    <w:tmpl w:val="2ADED0A0"/>
    <w:lvl w:ilvl="0" w:tplc="259406CC">
      <w:start w:val="1"/>
      <w:numFmt w:val="bullet"/>
      <w:pStyle w:val="Bullet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5179B2"/>
    <w:multiLevelType w:val="hybridMultilevel"/>
    <w:tmpl w:val="CD222782"/>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133088"/>
    <w:multiLevelType w:val="hybridMultilevel"/>
    <w:tmpl w:val="17545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5A569A"/>
    <w:multiLevelType w:val="hybridMultilevel"/>
    <w:tmpl w:val="2DE0573C"/>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123348"/>
    <w:multiLevelType w:val="hybridMultilevel"/>
    <w:tmpl w:val="1F52DE36"/>
    <w:lvl w:ilvl="0" w:tplc="0C625882">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CF1C10"/>
    <w:multiLevelType w:val="hybridMultilevel"/>
    <w:tmpl w:val="A95A8FC2"/>
    <w:lvl w:ilvl="0" w:tplc="4BFA4E4C">
      <w:start w:val="1"/>
      <w:numFmt w:val="bullet"/>
      <w:lvlText w:val=""/>
      <w:lvlJc w:val="left"/>
      <w:pPr>
        <w:ind w:left="360" w:hanging="360"/>
      </w:pPr>
      <w:rPr>
        <w:rFonts w:ascii="Symbol" w:hAnsi="Symbol" w:hint="default"/>
      </w:rPr>
    </w:lvl>
    <w:lvl w:ilvl="1" w:tplc="8EE45D00">
      <w:start w:val="1"/>
      <w:numFmt w:val="bullet"/>
      <w:pStyle w:val="Bullett2"/>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6DD3050"/>
    <w:multiLevelType w:val="hybridMultilevel"/>
    <w:tmpl w:val="1BDAD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2427F6"/>
    <w:multiLevelType w:val="hybridMultilevel"/>
    <w:tmpl w:val="9410A1AA"/>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D7FEB"/>
    <w:multiLevelType w:val="hybridMultilevel"/>
    <w:tmpl w:val="803E3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75119F"/>
    <w:multiLevelType w:val="hybridMultilevel"/>
    <w:tmpl w:val="6E6EC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01540A"/>
    <w:multiLevelType w:val="hybridMultilevel"/>
    <w:tmpl w:val="80A22F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90B0C"/>
    <w:multiLevelType w:val="hybridMultilevel"/>
    <w:tmpl w:val="09BAA98A"/>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9E616D"/>
    <w:multiLevelType w:val="hybridMultilevel"/>
    <w:tmpl w:val="A1A48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694280"/>
    <w:multiLevelType w:val="hybridMultilevel"/>
    <w:tmpl w:val="F85C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AF6977"/>
    <w:multiLevelType w:val="hybridMultilevel"/>
    <w:tmpl w:val="71CAD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27398"/>
    <w:multiLevelType w:val="hybridMultilevel"/>
    <w:tmpl w:val="A288D916"/>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6153CC"/>
    <w:multiLevelType w:val="hybridMultilevel"/>
    <w:tmpl w:val="F2CC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64640"/>
    <w:multiLevelType w:val="hybridMultilevel"/>
    <w:tmpl w:val="9D6EFF34"/>
    <w:lvl w:ilvl="0" w:tplc="5F92E3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1F47F2"/>
    <w:multiLevelType w:val="hybridMultilevel"/>
    <w:tmpl w:val="8372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926FEF"/>
    <w:multiLevelType w:val="hybridMultilevel"/>
    <w:tmpl w:val="D18E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2557E"/>
    <w:multiLevelType w:val="hybridMultilevel"/>
    <w:tmpl w:val="37A2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3C44A8"/>
    <w:multiLevelType w:val="hybridMultilevel"/>
    <w:tmpl w:val="22F2F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D11A4F"/>
    <w:multiLevelType w:val="hybridMultilevel"/>
    <w:tmpl w:val="1362D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D644A4"/>
    <w:multiLevelType w:val="hybridMultilevel"/>
    <w:tmpl w:val="023E7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5"/>
  </w:num>
  <w:num w:numId="15">
    <w:abstractNumId w:val="20"/>
  </w:num>
  <w:num w:numId="16">
    <w:abstractNumId w:val="17"/>
  </w:num>
  <w:num w:numId="17">
    <w:abstractNumId w:val="33"/>
  </w:num>
  <w:num w:numId="18">
    <w:abstractNumId w:val="31"/>
  </w:num>
  <w:num w:numId="19">
    <w:abstractNumId w:val="32"/>
  </w:num>
  <w:num w:numId="20">
    <w:abstractNumId w:val="27"/>
  </w:num>
  <w:num w:numId="21">
    <w:abstractNumId w:val="37"/>
  </w:num>
  <w:num w:numId="22">
    <w:abstractNumId w:val="36"/>
  </w:num>
  <w:num w:numId="23">
    <w:abstractNumId w:val="34"/>
  </w:num>
  <w:num w:numId="24">
    <w:abstractNumId w:val="22"/>
  </w:num>
  <w:num w:numId="25">
    <w:abstractNumId w:val="18"/>
  </w:num>
  <w:num w:numId="26">
    <w:abstractNumId w:val="28"/>
  </w:num>
  <w:num w:numId="27">
    <w:abstractNumId w:val="38"/>
  </w:num>
  <w:num w:numId="28">
    <w:abstractNumId w:val="25"/>
  </w:num>
  <w:num w:numId="29">
    <w:abstractNumId w:val="11"/>
  </w:num>
  <w:num w:numId="30">
    <w:abstractNumId w:val="24"/>
  </w:num>
  <w:num w:numId="31">
    <w:abstractNumId w:val="30"/>
  </w:num>
  <w:num w:numId="32">
    <w:abstractNumId w:val="23"/>
  </w:num>
  <w:num w:numId="33">
    <w:abstractNumId w:val="12"/>
  </w:num>
  <w:num w:numId="34">
    <w:abstractNumId w:val="35"/>
  </w:num>
  <w:num w:numId="35">
    <w:abstractNumId w:val="29"/>
  </w:num>
  <w:num w:numId="36">
    <w:abstractNumId w:val="26"/>
  </w:num>
  <w:num w:numId="37">
    <w:abstractNumId w:val="16"/>
  </w:num>
  <w:num w:numId="38">
    <w:abstractNumId w:val="13"/>
  </w:num>
  <w:num w:numId="39">
    <w:abstractNumId w:val="19"/>
  </w:num>
  <w:num w:numId="40">
    <w:abstractNumId w:val="15"/>
  </w:num>
  <w:num w:numId="41">
    <w:abstractNumId w:val="15"/>
  </w:num>
  <w:num w:numId="42">
    <w:abstractNumId w:val="1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62"/>
    <w:rsid w:val="00004A93"/>
    <w:rsid w:val="00004DAC"/>
    <w:rsid w:val="0000664E"/>
    <w:rsid w:val="0001762A"/>
    <w:rsid w:val="00021453"/>
    <w:rsid w:val="000308B7"/>
    <w:rsid w:val="000365A1"/>
    <w:rsid w:val="000402A0"/>
    <w:rsid w:val="000410D0"/>
    <w:rsid w:val="0006541A"/>
    <w:rsid w:val="00071CCF"/>
    <w:rsid w:val="00087B66"/>
    <w:rsid w:val="00094FF2"/>
    <w:rsid w:val="000A1961"/>
    <w:rsid w:val="000B151A"/>
    <w:rsid w:val="000B4299"/>
    <w:rsid w:val="000B4D24"/>
    <w:rsid w:val="000B75E6"/>
    <w:rsid w:val="000C30F8"/>
    <w:rsid w:val="000D2246"/>
    <w:rsid w:val="000E138B"/>
    <w:rsid w:val="000E2F65"/>
    <w:rsid w:val="000F7765"/>
    <w:rsid w:val="00107F10"/>
    <w:rsid w:val="00111DF7"/>
    <w:rsid w:val="001138F7"/>
    <w:rsid w:val="00114360"/>
    <w:rsid w:val="00125DAA"/>
    <w:rsid w:val="00127930"/>
    <w:rsid w:val="00134FD8"/>
    <w:rsid w:val="001364E3"/>
    <w:rsid w:val="00140444"/>
    <w:rsid w:val="00147670"/>
    <w:rsid w:val="00157376"/>
    <w:rsid w:val="00157CB0"/>
    <w:rsid w:val="001653EF"/>
    <w:rsid w:val="001723AE"/>
    <w:rsid w:val="0018224A"/>
    <w:rsid w:val="00196DF2"/>
    <w:rsid w:val="001A6C73"/>
    <w:rsid w:val="001B7F2C"/>
    <w:rsid w:val="001C53C3"/>
    <w:rsid w:val="001E7764"/>
    <w:rsid w:val="001F0480"/>
    <w:rsid w:val="001F06CB"/>
    <w:rsid w:val="00213A42"/>
    <w:rsid w:val="00233C74"/>
    <w:rsid w:val="00241D28"/>
    <w:rsid w:val="00250B13"/>
    <w:rsid w:val="00250FD7"/>
    <w:rsid w:val="00254929"/>
    <w:rsid w:val="002831CE"/>
    <w:rsid w:val="00297195"/>
    <w:rsid w:val="002B3FA2"/>
    <w:rsid w:val="002C09F6"/>
    <w:rsid w:val="002C2554"/>
    <w:rsid w:val="002E2537"/>
    <w:rsid w:val="00310303"/>
    <w:rsid w:val="003218C0"/>
    <w:rsid w:val="00322437"/>
    <w:rsid w:val="00324EC5"/>
    <w:rsid w:val="00325663"/>
    <w:rsid w:val="00336CED"/>
    <w:rsid w:val="003416B0"/>
    <w:rsid w:val="003430CE"/>
    <w:rsid w:val="0034462B"/>
    <w:rsid w:val="00360564"/>
    <w:rsid w:val="00360765"/>
    <w:rsid w:val="00360ACA"/>
    <w:rsid w:val="003B266A"/>
    <w:rsid w:val="003C0593"/>
    <w:rsid w:val="003D16FE"/>
    <w:rsid w:val="003D56AB"/>
    <w:rsid w:val="003E4262"/>
    <w:rsid w:val="003F0C11"/>
    <w:rsid w:val="00413B0B"/>
    <w:rsid w:val="00432BE4"/>
    <w:rsid w:val="00453B34"/>
    <w:rsid w:val="0045405A"/>
    <w:rsid w:val="00467EB2"/>
    <w:rsid w:val="00471E18"/>
    <w:rsid w:val="00474F05"/>
    <w:rsid w:val="00475D1B"/>
    <w:rsid w:val="00481F83"/>
    <w:rsid w:val="00484916"/>
    <w:rsid w:val="00492BC0"/>
    <w:rsid w:val="004B4988"/>
    <w:rsid w:val="004D5B50"/>
    <w:rsid w:val="004F5C48"/>
    <w:rsid w:val="00514314"/>
    <w:rsid w:val="00514E30"/>
    <w:rsid w:val="0051634A"/>
    <w:rsid w:val="0052295F"/>
    <w:rsid w:val="00522D34"/>
    <w:rsid w:val="00540D3D"/>
    <w:rsid w:val="005677DF"/>
    <w:rsid w:val="0057004A"/>
    <w:rsid w:val="0058436C"/>
    <w:rsid w:val="00595FC1"/>
    <w:rsid w:val="005A68C9"/>
    <w:rsid w:val="005C2633"/>
    <w:rsid w:val="005D08DE"/>
    <w:rsid w:val="005E6DC4"/>
    <w:rsid w:val="005F2288"/>
    <w:rsid w:val="00603427"/>
    <w:rsid w:val="006231F6"/>
    <w:rsid w:val="00631F3E"/>
    <w:rsid w:val="006334CC"/>
    <w:rsid w:val="0064510B"/>
    <w:rsid w:val="00657213"/>
    <w:rsid w:val="00692332"/>
    <w:rsid w:val="00693871"/>
    <w:rsid w:val="006C2A7F"/>
    <w:rsid w:val="006E36DF"/>
    <w:rsid w:val="006E445A"/>
    <w:rsid w:val="006F60C0"/>
    <w:rsid w:val="00710B48"/>
    <w:rsid w:val="00717802"/>
    <w:rsid w:val="007256D2"/>
    <w:rsid w:val="00730830"/>
    <w:rsid w:val="007447A3"/>
    <w:rsid w:val="00750F17"/>
    <w:rsid w:val="00751C41"/>
    <w:rsid w:val="00757BFC"/>
    <w:rsid w:val="00765AC2"/>
    <w:rsid w:val="007751C2"/>
    <w:rsid w:val="00776BAF"/>
    <w:rsid w:val="00784012"/>
    <w:rsid w:val="007960B6"/>
    <w:rsid w:val="007B6725"/>
    <w:rsid w:val="007C66F3"/>
    <w:rsid w:val="007D098D"/>
    <w:rsid w:val="007E4472"/>
    <w:rsid w:val="007E4C6E"/>
    <w:rsid w:val="007F22E2"/>
    <w:rsid w:val="007F3058"/>
    <w:rsid w:val="008029D4"/>
    <w:rsid w:val="00803DB9"/>
    <w:rsid w:val="00805D7A"/>
    <w:rsid w:val="008111FC"/>
    <w:rsid w:val="00816450"/>
    <w:rsid w:val="00830B18"/>
    <w:rsid w:val="0083247C"/>
    <w:rsid w:val="00886BFC"/>
    <w:rsid w:val="008B48F4"/>
    <w:rsid w:val="008C0E7D"/>
    <w:rsid w:val="008C6F42"/>
    <w:rsid w:val="008C7826"/>
    <w:rsid w:val="008D0DE0"/>
    <w:rsid w:val="008D33F4"/>
    <w:rsid w:val="008D4711"/>
    <w:rsid w:val="008F45EE"/>
    <w:rsid w:val="00923197"/>
    <w:rsid w:val="00951284"/>
    <w:rsid w:val="009571B1"/>
    <w:rsid w:val="0098007D"/>
    <w:rsid w:val="00981D48"/>
    <w:rsid w:val="00986343"/>
    <w:rsid w:val="009970F8"/>
    <w:rsid w:val="009B12D0"/>
    <w:rsid w:val="009B7BBE"/>
    <w:rsid w:val="009D23A6"/>
    <w:rsid w:val="009E43BF"/>
    <w:rsid w:val="009F0F3C"/>
    <w:rsid w:val="009F27BE"/>
    <w:rsid w:val="00A0723D"/>
    <w:rsid w:val="00A141A0"/>
    <w:rsid w:val="00A216CD"/>
    <w:rsid w:val="00A31730"/>
    <w:rsid w:val="00A34FB6"/>
    <w:rsid w:val="00A35DBF"/>
    <w:rsid w:val="00A44CCE"/>
    <w:rsid w:val="00A45C03"/>
    <w:rsid w:val="00A646D2"/>
    <w:rsid w:val="00A6607D"/>
    <w:rsid w:val="00A67041"/>
    <w:rsid w:val="00A74647"/>
    <w:rsid w:val="00A762A6"/>
    <w:rsid w:val="00A76727"/>
    <w:rsid w:val="00A832D6"/>
    <w:rsid w:val="00AA2059"/>
    <w:rsid w:val="00AA55EA"/>
    <w:rsid w:val="00AD401E"/>
    <w:rsid w:val="00AE2E71"/>
    <w:rsid w:val="00B06CD8"/>
    <w:rsid w:val="00B07C46"/>
    <w:rsid w:val="00B331D9"/>
    <w:rsid w:val="00B573C7"/>
    <w:rsid w:val="00B70BBA"/>
    <w:rsid w:val="00B76BCC"/>
    <w:rsid w:val="00B85145"/>
    <w:rsid w:val="00B965A4"/>
    <w:rsid w:val="00BA33BE"/>
    <w:rsid w:val="00BB33B1"/>
    <w:rsid w:val="00BC15B8"/>
    <w:rsid w:val="00BD5B6A"/>
    <w:rsid w:val="00BE3D46"/>
    <w:rsid w:val="00BE599C"/>
    <w:rsid w:val="00C01AF4"/>
    <w:rsid w:val="00C042D8"/>
    <w:rsid w:val="00C0647F"/>
    <w:rsid w:val="00C11D3F"/>
    <w:rsid w:val="00C242B5"/>
    <w:rsid w:val="00C305BF"/>
    <w:rsid w:val="00C31F8C"/>
    <w:rsid w:val="00C32B7E"/>
    <w:rsid w:val="00C41C8E"/>
    <w:rsid w:val="00C43533"/>
    <w:rsid w:val="00C47103"/>
    <w:rsid w:val="00C7105A"/>
    <w:rsid w:val="00C719C6"/>
    <w:rsid w:val="00C75EE5"/>
    <w:rsid w:val="00C76BD7"/>
    <w:rsid w:val="00C84186"/>
    <w:rsid w:val="00C901CA"/>
    <w:rsid w:val="00CA7207"/>
    <w:rsid w:val="00CB0895"/>
    <w:rsid w:val="00CB2E32"/>
    <w:rsid w:val="00CC74BB"/>
    <w:rsid w:val="00CD22F4"/>
    <w:rsid w:val="00CD4C85"/>
    <w:rsid w:val="00CE036A"/>
    <w:rsid w:val="00CF65B2"/>
    <w:rsid w:val="00D06134"/>
    <w:rsid w:val="00D158C2"/>
    <w:rsid w:val="00D2285E"/>
    <w:rsid w:val="00D26DD4"/>
    <w:rsid w:val="00D43900"/>
    <w:rsid w:val="00D46767"/>
    <w:rsid w:val="00D5312F"/>
    <w:rsid w:val="00D663E1"/>
    <w:rsid w:val="00D84AFA"/>
    <w:rsid w:val="00D85419"/>
    <w:rsid w:val="00D87E06"/>
    <w:rsid w:val="00D90A62"/>
    <w:rsid w:val="00D91059"/>
    <w:rsid w:val="00DA63DA"/>
    <w:rsid w:val="00DB154F"/>
    <w:rsid w:val="00DC6738"/>
    <w:rsid w:val="00DD0210"/>
    <w:rsid w:val="00DE0214"/>
    <w:rsid w:val="00DF2702"/>
    <w:rsid w:val="00E035E5"/>
    <w:rsid w:val="00E27C13"/>
    <w:rsid w:val="00E53338"/>
    <w:rsid w:val="00E7348A"/>
    <w:rsid w:val="00E7540F"/>
    <w:rsid w:val="00E764AB"/>
    <w:rsid w:val="00E779BF"/>
    <w:rsid w:val="00E81814"/>
    <w:rsid w:val="00E82DAF"/>
    <w:rsid w:val="00E86D54"/>
    <w:rsid w:val="00E87941"/>
    <w:rsid w:val="00E958F7"/>
    <w:rsid w:val="00E95935"/>
    <w:rsid w:val="00EA4DC2"/>
    <w:rsid w:val="00EA538F"/>
    <w:rsid w:val="00EC06EE"/>
    <w:rsid w:val="00EC21BA"/>
    <w:rsid w:val="00ED25DD"/>
    <w:rsid w:val="00EE14DC"/>
    <w:rsid w:val="00EE4C12"/>
    <w:rsid w:val="00EF532F"/>
    <w:rsid w:val="00F12BA7"/>
    <w:rsid w:val="00F2421A"/>
    <w:rsid w:val="00F2677C"/>
    <w:rsid w:val="00F279E6"/>
    <w:rsid w:val="00F32B24"/>
    <w:rsid w:val="00F432A6"/>
    <w:rsid w:val="00F515E5"/>
    <w:rsid w:val="00F83040"/>
    <w:rsid w:val="00F835CC"/>
    <w:rsid w:val="00FC5ABE"/>
    <w:rsid w:val="00FD1B64"/>
    <w:rsid w:val="00FD272B"/>
    <w:rsid w:val="00FD27BC"/>
    <w:rsid w:val="00FD5BCF"/>
    <w:rsid w:val="00FE68D7"/>
    <w:rsid w:val="00FF1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5DFA"/>
  <w15:docId w15:val="{E8230236-52E3-4D9F-ADF8-DDED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670"/>
    <w:rPr>
      <w:sz w:val="24"/>
      <w:szCs w:val="24"/>
    </w:rPr>
  </w:style>
  <w:style w:type="paragraph" w:styleId="Heading1">
    <w:name w:val="heading 1"/>
    <w:basedOn w:val="Subtitle"/>
    <w:next w:val="Normal"/>
    <w:link w:val="Heading1Char"/>
    <w:uiPriority w:val="9"/>
    <w:qFormat/>
    <w:rsid w:val="00147670"/>
    <w:pPr>
      <w:jc w:val="left"/>
      <w:outlineLvl w:val="0"/>
    </w:pPr>
    <w:rPr>
      <w:color w:val="475B29"/>
      <w:sz w:val="32"/>
      <w:szCs w:val="32"/>
    </w:rPr>
  </w:style>
  <w:style w:type="paragraph" w:styleId="Heading2">
    <w:name w:val="heading 2"/>
    <w:basedOn w:val="Normal"/>
    <w:next w:val="Normal"/>
    <w:link w:val="Heading2Char"/>
    <w:uiPriority w:val="9"/>
    <w:unhideWhenUsed/>
    <w:qFormat/>
    <w:rsid w:val="00147670"/>
    <w:pPr>
      <w:outlineLvl w:val="1"/>
    </w:pPr>
    <w:rPr>
      <w:b/>
      <w:color w:val="5D883C"/>
      <w:sz w:val="28"/>
      <w:szCs w:val="28"/>
    </w:rPr>
  </w:style>
  <w:style w:type="paragraph" w:styleId="Heading3">
    <w:name w:val="heading 3"/>
    <w:basedOn w:val="Normal"/>
    <w:next w:val="Normal"/>
    <w:link w:val="Heading3Char"/>
    <w:uiPriority w:val="9"/>
    <w:unhideWhenUsed/>
    <w:qFormat/>
    <w:rsid w:val="00147670"/>
    <w:pPr>
      <w:outlineLvl w:val="2"/>
    </w:pPr>
    <w:rPr>
      <w:b/>
      <w:color w:val="5E3C67"/>
      <w:sz w:val="28"/>
    </w:rPr>
  </w:style>
  <w:style w:type="paragraph" w:styleId="Heading4">
    <w:name w:val="heading 4"/>
    <w:basedOn w:val="Normal"/>
    <w:next w:val="Normal"/>
    <w:link w:val="Heading4Char"/>
    <w:uiPriority w:val="9"/>
    <w:semiHidden/>
    <w:unhideWhenUsed/>
    <w:qFormat/>
    <w:rsid w:val="00336CE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6CE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36CE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6CED"/>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36CE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link w:val="ListParagraphChar"/>
    <w:uiPriority w:val="34"/>
    <w:qFormat/>
    <w:rsid w:val="005A68C9"/>
    <w:pPr>
      <w:ind w:left="720"/>
      <w:contextualSpacing/>
    </w:pPr>
  </w:style>
  <w:style w:type="character" w:styleId="SubtleEmphasis">
    <w:name w:val="Subtle Emphasis"/>
    <w:uiPriority w:val="19"/>
    <w:qFormat/>
    <w:rsid w:val="00147670"/>
    <w:rPr>
      <w:color w:val="6F2671"/>
    </w:rPr>
  </w:style>
  <w:style w:type="character" w:styleId="SubtleReference">
    <w:name w:val="Subtle Reference"/>
    <w:basedOn w:val="DefaultParagraphFont"/>
    <w:uiPriority w:val="31"/>
    <w:qFormat/>
    <w:rsid w:val="00336CED"/>
    <w:rPr>
      <w:caps w:val="0"/>
      <w:smallCaps/>
      <w:color w:val="831A9D" w:themeColor="text1" w:themeTint="BF"/>
      <w:spacing w:val="0"/>
      <w:u w:val="single" w:color="BF44DF" w:themeColor="text1" w:themeTint="80"/>
    </w:rPr>
  </w:style>
  <w:style w:type="paragraph" w:styleId="Title">
    <w:name w:val="Title"/>
    <w:basedOn w:val="Heading1"/>
    <w:next w:val="Normal"/>
    <w:link w:val="TitleChar"/>
    <w:uiPriority w:val="10"/>
    <w:qFormat/>
    <w:rsid w:val="00147670"/>
    <w:rPr>
      <w:b/>
      <w:color w:val="360B41"/>
    </w:rPr>
  </w:style>
  <w:style w:type="character" w:customStyle="1" w:styleId="TitleChar">
    <w:name w:val="Title Char"/>
    <w:basedOn w:val="DefaultParagraphFont"/>
    <w:link w:val="Title"/>
    <w:uiPriority w:val="10"/>
    <w:rsid w:val="00147670"/>
    <w:rPr>
      <w:b/>
      <w:color w:val="360B41"/>
      <w:sz w:val="32"/>
      <w:szCs w:val="32"/>
    </w:rPr>
  </w:style>
  <w:style w:type="character" w:customStyle="1" w:styleId="Heading1Char">
    <w:name w:val="Heading 1 Char"/>
    <w:basedOn w:val="DefaultParagraphFont"/>
    <w:link w:val="Heading1"/>
    <w:uiPriority w:val="9"/>
    <w:rsid w:val="00147670"/>
    <w:rPr>
      <w:color w:val="475B29"/>
      <w:sz w:val="32"/>
      <w:szCs w:val="32"/>
    </w:rPr>
  </w:style>
  <w:style w:type="character" w:customStyle="1" w:styleId="Heading2Char">
    <w:name w:val="Heading 2 Char"/>
    <w:basedOn w:val="DefaultParagraphFont"/>
    <w:link w:val="Heading2"/>
    <w:uiPriority w:val="9"/>
    <w:rsid w:val="00147670"/>
    <w:rPr>
      <w:b/>
      <w:color w:val="5D883C"/>
      <w:sz w:val="28"/>
      <w:szCs w:val="28"/>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336CED"/>
    <w:pPr>
      <w:numPr>
        <w:ilvl w:val="1"/>
      </w:numPr>
      <w:jc w:val="center"/>
    </w:pPr>
    <w:rPr>
      <w:color w:val="4E6A5D" w:themeColor="text2"/>
      <w:sz w:val="28"/>
      <w:szCs w:val="28"/>
    </w:rPr>
  </w:style>
  <w:style w:type="character" w:customStyle="1" w:styleId="SubtitleChar">
    <w:name w:val="Subtitle Char"/>
    <w:basedOn w:val="DefaultParagraphFont"/>
    <w:link w:val="Subtitle"/>
    <w:uiPriority w:val="11"/>
    <w:rsid w:val="00336CED"/>
    <w:rPr>
      <w:color w:val="4E6A5D" w:themeColor="text2"/>
      <w:sz w:val="28"/>
      <w:szCs w:val="28"/>
    </w:rPr>
  </w:style>
  <w:style w:type="character" w:styleId="IntenseReference">
    <w:name w:val="Intense Reference"/>
    <w:basedOn w:val="DefaultParagraphFont"/>
    <w:uiPriority w:val="32"/>
    <w:qFormat/>
    <w:rsid w:val="00336CED"/>
    <w:rPr>
      <w:b/>
      <w:bCs/>
      <w:caps w:val="0"/>
      <w:smallCaps/>
      <w:color w:val="auto"/>
      <w:spacing w:val="0"/>
      <w:u w:val="single"/>
    </w:rPr>
  </w:style>
  <w:style w:type="paragraph" w:styleId="NormalWeb">
    <w:name w:val="Normal (Web)"/>
    <w:basedOn w:val="Normal"/>
    <w:uiPriority w:val="99"/>
    <w:semiHidden/>
    <w:unhideWhenUsed/>
    <w:rsid w:val="000402A0"/>
    <w:rPr>
      <w:rFonts w:cs="Times New Roman"/>
      <w:sz w:val="23"/>
    </w:rPr>
  </w:style>
  <w:style w:type="character" w:customStyle="1" w:styleId="Heading5Char">
    <w:name w:val="Heading 5 Char"/>
    <w:basedOn w:val="DefaultParagraphFont"/>
    <w:link w:val="Heading5"/>
    <w:uiPriority w:val="9"/>
    <w:semiHidden/>
    <w:rsid w:val="00336CE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36CED"/>
    <w:rPr>
      <w:rFonts w:asciiTheme="majorHAnsi" w:eastAsiaTheme="majorEastAsia" w:hAnsiTheme="majorHAnsi" w:cstheme="majorBidi"/>
      <w:i/>
      <w:iCs/>
      <w:sz w:val="26"/>
      <w:szCs w:val="26"/>
    </w:rPr>
  </w:style>
  <w:style w:type="character" w:customStyle="1" w:styleId="Heading3Char">
    <w:name w:val="Heading 3 Char"/>
    <w:basedOn w:val="DefaultParagraphFont"/>
    <w:link w:val="Heading3"/>
    <w:uiPriority w:val="9"/>
    <w:rsid w:val="00147670"/>
    <w:rPr>
      <w:b/>
      <w:color w:val="5E3C67"/>
      <w:sz w:val="28"/>
      <w:szCs w:val="24"/>
    </w:rPr>
  </w:style>
  <w:style w:type="character" w:styleId="BookTitle">
    <w:name w:val="Book Title"/>
    <w:basedOn w:val="DefaultParagraphFont"/>
    <w:uiPriority w:val="33"/>
    <w:qFormat/>
    <w:rsid w:val="00336CED"/>
    <w:rPr>
      <w:b/>
      <w:bCs/>
      <w:caps w:val="0"/>
      <w:smallCaps/>
      <w:spacing w:val="0"/>
    </w:rPr>
  </w:style>
  <w:style w:type="character" w:customStyle="1" w:styleId="Heading4Char">
    <w:name w:val="Heading 4 Char"/>
    <w:basedOn w:val="DefaultParagraphFont"/>
    <w:link w:val="Heading4"/>
    <w:uiPriority w:val="9"/>
    <w:semiHidden/>
    <w:rsid w:val="00336CED"/>
    <w:rPr>
      <w:rFonts w:asciiTheme="majorHAnsi" w:eastAsiaTheme="majorEastAsia" w:hAnsiTheme="majorHAnsi" w:cstheme="majorBidi"/>
      <w:i/>
      <w:iCs/>
      <w:sz w:val="30"/>
      <w:szCs w:val="30"/>
    </w:rPr>
  </w:style>
  <w:style w:type="character" w:customStyle="1" w:styleId="Heading7Char">
    <w:name w:val="Heading 7 Char"/>
    <w:basedOn w:val="DefaultParagraphFont"/>
    <w:link w:val="Heading7"/>
    <w:uiPriority w:val="9"/>
    <w:semiHidden/>
    <w:rsid w:val="00336CE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uiPriority w:val="59"/>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sz w:val="23"/>
      <w:szCs w:val="23"/>
    </w:rPr>
  </w:style>
  <w:style w:type="table" w:styleId="LightShading-Accent1">
    <w:name w:val="Light Shading Accent 1"/>
    <w:basedOn w:val="TableNormal"/>
    <w:uiPriority w:val="60"/>
    <w:rsid w:val="00DA63DA"/>
    <w:pPr>
      <w:spacing w:after="0" w:line="240" w:lineRule="auto"/>
    </w:pPr>
    <w:rPr>
      <w:color w:val="3A4F45" w:themeColor="accent1" w:themeShade="BF"/>
    </w:rPr>
    <w:tblPr>
      <w:tblStyleRowBandSize w:val="1"/>
      <w:tblStyleColBandSize w:val="1"/>
      <w:tblBorders>
        <w:top w:val="single" w:sz="8" w:space="0" w:color="4E6A5D" w:themeColor="accent1"/>
        <w:bottom w:val="single" w:sz="8" w:space="0" w:color="4E6A5D" w:themeColor="accent1"/>
      </w:tblBorders>
    </w:tblPr>
    <w:tblStylePr w:type="firstRow">
      <w:pPr>
        <w:spacing w:before="0" w:after="0" w:line="240" w:lineRule="auto"/>
      </w:pPr>
      <w:rPr>
        <w:b/>
        <w:bCs/>
      </w:rPr>
      <w:tblPr/>
      <w:tcPr>
        <w:tcBorders>
          <w:top w:val="single" w:sz="8" w:space="0" w:color="4E6A5D" w:themeColor="accent1"/>
          <w:left w:val="nil"/>
          <w:bottom w:val="single" w:sz="8" w:space="0" w:color="4E6A5D" w:themeColor="accent1"/>
          <w:right w:val="nil"/>
          <w:insideH w:val="nil"/>
          <w:insideV w:val="nil"/>
        </w:tcBorders>
      </w:tcPr>
    </w:tblStylePr>
    <w:tblStylePr w:type="lastRow">
      <w:pPr>
        <w:spacing w:before="0" w:after="0" w:line="240" w:lineRule="auto"/>
      </w:pPr>
      <w:rPr>
        <w:b/>
        <w:bCs/>
      </w:rPr>
      <w:tblPr/>
      <w:tcPr>
        <w:tcBorders>
          <w:top w:val="single" w:sz="8" w:space="0" w:color="4E6A5D" w:themeColor="accent1"/>
          <w:left w:val="nil"/>
          <w:bottom w:val="single" w:sz="8" w:space="0" w:color="4E6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D7" w:themeFill="accent1" w:themeFillTint="3F"/>
      </w:tcPr>
    </w:tblStylePr>
    <w:tblStylePr w:type="band1Horz">
      <w:tblPr/>
      <w:tcPr>
        <w:tcBorders>
          <w:left w:val="nil"/>
          <w:right w:val="nil"/>
          <w:insideH w:val="nil"/>
          <w:insideV w:val="nil"/>
        </w:tcBorders>
        <w:shd w:val="clear" w:color="auto" w:fill="D0DCD7" w:themeFill="accent1" w:themeFillTint="3F"/>
      </w:tcPr>
    </w:tblStylePr>
  </w:style>
  <w:style w:type="character" w:styleId="Strong">
    <w:name w:val="Strong"/>
    <w:basedOn w:val="SubtleEmphasis"/>
    <w:uiPriority w:val="22"/>
    <w:qFormat/>
    <w:rsid w:val="00147670"/>
    <w:rPr>
      <w:b/>
      <w:color w:val="000000"/>
    </w:rPr>
  </w:style>
  <w:style w:type="character" w:styleId="Emphasis">
    <w:name w:val="Emphasis"/>
    <w:basedOn w:val="SubtleEmphasis"/>
    <w:uiPriority w:val="20"/>
    <w:qFormat/>
    <w:rsid w:val="00147670"/>
    <w:rPr>
      <w:color w:val="475B29"/>
    </w:rPr>
  </w:style>
  <w:style w:type="paragraph" w:styleId="NoSpacing">
    <w:name w:val="No Spacing"/>
    <w:uiPriority w:val="1"/>
    <w:qFormat/>
    <w:rsid w:val="00336CED"/>
    <w:pPr>
      <w:spacing w:after="0" w:line="240" w:lineRule="auto"/>
    </w:pPr>
  </w:style>
  <w:style w:type="paragraph" w:styleId="Quote">
    <w:name w:val="Quote"/>
    <w:basedOn w:val="Normal"/>
    <w:next w:val="Normal"/>
    <w:link w:val="QuoteChar"/>
    <w:uiPriority w:val="29"/>
    <w:qFormat/>
    <w:rsid w:val="00336CED"/>
    <w:pPr>
      <w:spacing w:before="160"/>
      <w:ind w:left="720" w:right="720"/>
      <w:jc w:val="center"/>
    </w:pPr>
    <w:rPr>
      <w:i/>
      <w:iCs/>
      <w:color w:val="818D29" w:themeColor="accent3" w:themeShade="BF"/>
    </w:rPr>
  </w:style>
  <w:style w:type="character" w:customStyle="1" w:styleId="QuoteChar">
    <w:name w:val="Quote Char"/>
    <w:basedOn w:val="DefaultParagraphFont"/>
    <w:link w:val="Quote"/>
    <w:uiPriority w:val="29"/>
    <w:rsid w:val="00336CED"/>
    <w:rPr>
      <w:i/>
      <w:iCs/>
      <w:color w:val="818D29" w:themeColor="accent3" w:themeShade="BF"/>
      <w:sz w:val="24"/>
      <w:szCs w:val="24"/>
    </w:rPr>
  </w:style>
  <w:style w:type="paragraph" w:styleId="IntenseQuote">
    <w:name w:val="Intense Quote"/>
    <w:basedOn w:val="Normal"/>
    <w:next w:val="Normal"/>
    <w:link w:val="IntenseQuoteChar"/>
    <w:uiPriority w:val="30"/>
    <w:qFormat/>
    <w:rsid w:val="00336CED"/>
    <w:pPr>
      <w:spacing w:before="160" w:line="276" w:lineRule="auto"/>
      <w:ind w:left="936" w:right="936"/>
      <w:jc w:val="center"/>
    </w:pPr>
    <w:rPr>
      <w:rFonts w:asciiTheme="majorHAnsi" w:eastAsiaTheme="majorEastAsia" w:hAnsiTheme="majorHAnsi" w:cstheme="majorBidi"/>
      <w:caps/>
      <w:color w:val="3A4F45" w:themeColor="accent1" w:themeShade="BF"/>
      <w:sz w:val="28"/>
      <w:szCs w:val="28"/>
    </w:rPr>
  </w:style>
  <w:style w:type="character" w:customStyle="1" w:styleId="IntenseQuoteChar">
    <w:name w:val="Intense Quote Char"/>
    <w:basedOn w:val="DefaultParagraphFont"/>
    <w:link w:val="IntenseQuote"/>
    <w:uiPriority w:val="30"/>
    <w:rsid w:val="00336CED"/>
    <w:rPr>
      <w:rFonts w:asciiTheme="majorHAnsi" w:eastAsiaTheme="majorEastAsia" w:hAnsiTheme="majorHAnsi" w:cstheme="majorBidi"/>
      <w:caps/>
      <w:color w:val="3A4F45" w:themeColor="accent1" w:themeShade="BF"/>
      <w:sz w:val="28"/>
      <w:szCs w:val="28"/>
    </w:rPr>
  </w:style>
  <w:style w:type="character" w:styleId="IntenseEmphasis">
    <w:name w:val="Intense Emphasis"/>
    <w:basedOn w:val="DefaultParagraphFont"/>
    <w:uiPriority w:val="21"/>
    <w:qFormat/>
    <w:rsid w:val="00336CED"/>
    <w:rPr>
      <w:b/>
      <w:bCs/>
      <w:i/>
      <w:iCs/>
      <w:color w:val="auto"/>
    </w:rPr>
  </w:style>
  <w:style w:type="paragraph" w:styleId="TOCHeading">
    <w:name w:val="TOC Heading"/>
    <w:basedOn w:val="Heading1"/>
    <w:next w:val="Normal"/>
    <w:uiPriority w:val="39"/>
    <w:semiHidden/>
    <w:unhideWhenUsed/>
    <w:qFormat/>
    <w:rsid w:val="00336CED"/>
    <w:pPr>
      <w:outlineLvl w:val="9"/>
    </w:pPr>
  </w:style>
  <w:style w:type="paragraph" w:customStyle="1" w:styleId="BNHeading">
    <w:name w:val="BN Heading"/>
    <w:basedOn w:val="Normal"/>
    <w:link w:val="BNHeadingChar"/>
    <w:qFormat/>
    <w:rsid w:val="001653EF"/>
    <w:pPr>
      <w:spacing w:after="120" w:line="240" w:lineRule="auto"/>
    </w:pPr>
    <w:rPr>
      <w:b/>
      <w:sz w:val="23"/>
      <w:szCs w:val="23"/>
    </w:rPr>
  </w:style>
  <w:style w:type="paragraph" w:customStyle="1" w:styleId="Position">
    <w:name w:val="Position"/>
    <w:basedOn w:val="Normal"/>
    <w:link w:val="PositionChar"/>
    <w:qFormat/>
    <w:rsid w:val="00B76BCC"/>
    <w:pPr>
      <w:spacing w:after="0"/>
    </w:pPr>
    <w:rPr>
      <w:b/>
      <w:sz w:val="23"/>
      <w:szCs w:val="23"/>
    </w:rPr>
  </w:style>
  <w:style w:type="character" w:customStyle="1" w:styleId="BNHeadingChar">
    <w:name w:val="BN Heading Char"/>
    <w:basedOn w:val="DefaultParagraphFont"/>
    <w:link w:val="BNHeading"/>
    <w:rsid w:val="001653EF"/>
    <w:rPr>
      <w:b/>
      <w:sz w:val="23"/>
      <w:szCs w:val="23"/>
    </w:rPr>
  </w:style>
  <w:style w:type="paragraph" w:customStyle="1" w:styleId="Bullett1">
    <w:name w:val="Bullett 1"/>
    <w:basedOn w:val="ListParagraph"/>
    <w:link w:val="Bullett1Char"/>
    <w:qFormat/>
    <w:rsid w:val="00B76BCC"/>
    <w:pPr>
      <w:numPr>
        <w:numId w:val="14"/>
      </w:numPr>
      <w:spacing w:after="120" w:line="240" w:lineRule="auto"/>
      <w:ind w:right="-43"/>
      <w:contextualSpacing w:val="0"/>
      <w:jc w:val="both"/>
    </w:pPr>
    <w:rPr>
      <w:rFonts w:ascii="Arial" w:eastAsia="Times New Roman" w:hAnsi="Arial" w:cs="Arial"/>
      <w:bCs/>
      <w:sz w:val="23"/>
      <w:szCs w:val="23"/>
    </w:rPr>
  </w:style>
  <w:style w:type="character" w:customStyle="1" w:styleId="PositionChar">
    <w:name w:val="Position Char"/>
    <w:basedOn w:val="DefaultParagraphFont"/>
    <w:link w:val="Position"/>
    <w:rsid w:val="00B76BCC"/>
    <w:rPr>
      <w:b/>
      <w:sz w:val="23"/>
      <w:szCs w:val="23"/>
    </w:rPr>
  </w:style>
  <w:style w:type="paragraph" w:customStyle="1" w:styleId="Bullett2">
    <w:name w:val="Bullett 2"/>
    <w:basedOn w:val="Bullett1"/>
    <w:link w:val="Bullett2Char"/>
    <w:qFormat/>
    <w:rsid w:val="00E81814"/>
    <w:pPr>
      <w:numPr>
        <w:ilvl w:val="1"/>
        <w:numId w:val="15"/>
      </w:numPr>
      <w:ind w:left="851" w:hanging="425"/>
    </w:pPr>
  </w:style>
  <w:style w:type="character" w:customStyle="1" w:styleId="ListParagraphChar">
    <w:name w:val="List Paragraph Char"/>
    <w:basedOn w:val="DefaultParagraphFont"/>
    <w:link w:val="ListParagraph"/>
    <w:uiPriority w:val="34"/>
    <w:rsid w:val="00E81814"/>
    <w:rPr>
      <w:sz w:val="24"/>
      <w:szCs w:val="24"/>
    </w:rPr>
  </w:style>
  <w:style w:type="character" w:customStyle="1" w:styleId="Bullett1Char">
    <w:name w:val="Bullett 1 Char"/>
    <w:basedOn w:val="ListParagraphChar"/>
    <w:link w:val="Bullett1"/>
    <w:rsid w:val="00B76BCC"/>
    <w:rPr>
      <w:rFonts w:ascii="Arial" w:eastAsia="Times New Roman" w:hAnsi="Arial" w:cs="Arial"/>
      <w:bCs/>
      <w:sz w:val="23"/>
      <w:szCs w:val="23"/>
    </w:rPr>
  </w:style>
  <w:style w:type="paragraph" w:customStyle="1" w:styleId="0ParagraphSpace">
    <w:name w:val="0 Paragraph Space"/>
    <w:basedOn w:val="Normal"/>
    <w:link w:val="0ParagraphSpaceChar"/>
    <w:qFormat/>
    <w:rsid w:val="001653EF"/>
    <w:pPr>
      <w:spacing w:after="0" w:line="240" w:lineRule="auto"/>
    </w:pPr>
    <w:rPr>
      <w:sz w:val="23"/>
      <w:szCs w:val="23"/>
    </w:rPr>
  </w:style>
  <w:style w:type="character" w:customStyle="1" w:styleId="Bullett2Char">
    <w:name w:val="Bullett 2 Char"/>
    <w:basedOn w:val="Bullett1Char"/>
    <w:link w:val="Bullett2"/>
    <w:rsid w:val="00E81814"/>
    <w:rPr>
      <w:rFonts w:ascii="Arial" w:eastAsia="Times New Roman" w:hAnsi="Arial" w:cs="Arial"/>
      <w:bCs/>
      <w:sz w:val="23"/>
      <w:szCs w:val="23"/>
    </w:rPr>
  </w:style>
  <w:style w:type="character" w:customStyle="1" w:styleId="0ParagraphSpaceChar">
    <w:name w:val="0 Paragraph Space Char"/>
    <w:basedOn w:val="Bullett1Char"/>
    <w:link w:val="0ParagraphSpace"/>
    <w:rsid w:val="001653EF"/>
    <w:rPr>
      <w:rFonts w:ascii="Arial" w:eastAsia="Times New Roman" w:hAnsi="Arial" w:cs="Arial"/>
      <w:bCs w:val="0"/>
      <w:sz w:val="23"/>
      <w:szCs w:val="23"/>
    </w:rPr>
  </w:style>
  <w:style w:type="character" w:styleId="CommentReference">
    <w:name w:val="annotation reference"/>
    <w:basedOn w:val="DefaultParagraphFont"/>
    <w:uiPriority w:val="99"/>
    <w:semiHidden/>
    <w:unhideWhenUsed/>
    <w:rsid w:val="00750F17"/>
    <w:rPr>
      <w:sz w:val="16"/>
      <w:szCs w:val="16"/>
    </w:rPr>
  </w:style>
  <w:style w:type="paragraph" w:styleId="CommentText">
    <w:name w:val="annotation text"/>
    <w:basedOn w:val="Normal"/>
    <w:link w:val="CommentTextChar"/>
    <w:uiPriority w:val="99"/>
    <w:semiHidden/>
    <w:unhideWhenUsed/>
    <w:rsid w:val="00750F17"/>
    <w:pPr>
      <w:spacing w:line="240" w:lineRule="auto"/>
    </w:pPr>
    <w:rPr>
      <w:sz w:val="20"/>
      <w:szCs w:val="20"/>
    </w:rPr>
  </w:style>
  <w:style w:type="character" w:customStyle="1" w:styleId="CommentTextChar">
    <w:name w:val="Comment Text Char"/>
    <w:basedOn w:val="DefaultParagraphFont"/>
    <w:link w:val="CommentText"/>
    <w:uiPriority w:val="99"/>
    <w:semiHidden/>
    <w:rsid w:val="00750F17"/>
    <w:rPr>
      <w:sz w:val="20"/>
      <w:szCs w:val="20"/>
    </w:rPr>
  </w:style>
  <w:style w:type="paragraph" w:styleId="CommentSubject">
    <w:name w:val="annotation subject"/>
    <w:basedOn w:val="CommentText"/>
    <w:next w:val="CommentText"/>
    <w:link w:val="CommentSubjectChar"/>
    <w:uiPriority w:val="99"/>
    <w:semiHidden/>
    <w:unhideWhenUsed/>
    <w:rsid w:val="00750F17"/>
    <w:rPr>
      <w:b/>
      <w:bCs/>
    </w:rPr>
  </w:style>
  <w:style w:type="character" w:customStyle="1" w:styleId="CommentSubjectChar">
    <w:name w:val="Comment Subject Char"/>
    <w:basedOn w:val="CommentTextChar"/>
    <w:link w:val="CommentSubject"/>
    <w:uiPriority w:val="99"/>
    <w:semiHidden/>
    <w:rsid w:val="00750F17"/>
    <w:rPr>
      <w:b/>
      <w:bCs/>
      <w:sz w:val="20"/>
      <w:szCs w:val="20"/>
    </w:rPr>
  </w:style>
  <w:style w:type="paragraph" w:styleId="Revision">
    <w:name w:val="Revision"/>
    <w:hidden/>
    <w:uiPriority w:val="99"/>
    <w:semiHidden/>
    <w:rsid w:val="00071CC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97114">
      <w:bodyDiv w:val="1"/>
      <w:marLeft w:val="0"/>
      <w:marRight w:val="0"/>
      <w:marTop w:val="0"/>
      <w:marBottom w:val="0"/>
      <w:divBdr>
        <w:top w:val="none" w:sz="0" w:space="0" w:color="auto"/>
        <w:left w:val="none" w:sz="0" w:space="0" w:color="auto"/>
        <w:bottom w:val="none" w:sz="0" w:space="0" w:color="auto"/>
        <w:right w:val="none" w:sz="0" w:space="0" w:color="auto"/>
      </w:divBdr>
    </w:div>
    <w:div w:id="18689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a:themeElements>
    <a:clrScheme name="Custom 3">
      <a:dk1>
        <a:srgbClr val="360B41"/>
      </a:dk1>
      <a:lt1>
        <a:sysClr val="window" lastClr="FFFFFF"/>
      </a:lt1>
      <a:dk2>
        <a:srgbClr val="4E6A5D"/>
      </a:dk2>
      <a:lt2>
        <a:srgbClr val="DFE5AF"/>
      </a:lt2>
      <a:accent1>
        <a:srgbClr val="4E6A5D"/>
      </a:accent1>
      <a:accent2>
        <a:srgbClr val="360B41"/>
      </a:accent2>
      <a:accent3>
        <a:srgbClr val="AEBD37"/>
      </a:accent3>
      <a:accent4>
        <a:srgbClr val="7DA063"/>
      </a:accent4>
      <a:accent5>
        <a:srgbClr val="BECFB1"/>
      </a:accent5>
      <a:accent6>
        <a:srgbClr val="5D883C"/>
      </a:accent6>
      <a:hlink>
        <a:srgbClr val="0000FF"/>
      </a:hlink>
      <a:folHlink>
        <a:srgbClr val="6F2671"/>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DFA7-8963-4F39-A3F1-AC1227F0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Swannell, Rachel</dc:creator>
  <cp:lastModifiedBy>Dennis, Troy</cp:lastModifiedBy>
  <cp:revision>9</cp:revision>
  <cp:lastPrinted>2018-02-08T00:24:00Z</cp:lastPrinted>
  <dcterms:created xsi:type="dcterms:W3CDTF">2019-04-03T01:30:00Z</dcterms:created>
  <dcterms:modified xsi:type="dcterms:W3CDTF">2019-04-11T06:10:00Z</dcterms:modified>
</cp:coreProperties>
</file>