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912" w:rsidRPr="008C07D8" w:rsidRDefault="00BA1912" w:rsidP="00B453E3">
      <w:pPr>
        <w:pBdr>
          <w:bottom w:val="single" w:sz="4" w:space="1" w:color="auto"/>
        </w:pBdr>
        <w:spacing w:before="2880" w:after="0"/>
        <w:jc w:val="center"/>
        <w:rPr>
          <w:rFonts w:eastAsia="Times New Roman" w:cs="Times New Roman"/>
          <w:sz w:val="78"/>
          <w:szCs w:val="78"/>
        </w:rPr>
      </w:pPr>
      <w:r w:rsidRPr="008C07D8">
        <w:rPr>
          <w:rFonts w:eastAsia="Times New Roman" w:cs="Times New Roman"/>
          <w:sz w:val="78"/>
          <w:szCs w:val="78"/>
        </w:rPr>
        <w:t xml:space="preserve">Summary of </w:t>
      </w:r>
      <w:r w:rsidR="00B453E3">
        <w:rPr>
          <w:rFonts w:eastAsia="Times New Roman" w:cs="Times New Roman"/>
          <w:sz w:val="78"/>
          <w:szCs w:val="78"/>
        </w:rPr>
        <w:t xml:space="preserve">State      Supply Commission    policy amendments          </w:t>
      </w:r>
      <w:r w:rsidR="000E7E17">
        <w:rPr>
          <w:rFonts w:eastAsia="Times New Roman" w:cs="Times New Roman"/>
          <w:sz w:val="78"/>
          <w:szCs w:val="78"/>
        </w:rPr>
        <w:t>March 2020</w:t>
      </w:r>
    </w:p>
    <w:p w:rsidR="00BA1912" w:rsidRPr="005E2FA8" w:rsidRDefault="00BA1912" w:rsidP="008C07D8">
      <w:pPr>
        <w:pStyle w:val="Subtitle"/>
        <w:spacing w:before="480"/>
        <w:jc w:val="center"/>
        <w:rPr>
          <w:rFonts w:eastAsia="Times New Roman" w:cs="Times New Roman"/>
          <w:spacing w:val="0"/>
          <w:szCs w:val="28"/>
        </w:rPr>
      </w:pPr>
      <w:r w:rsidRPr="005E2FA8">
        <w:rPr>
          <w:rFonts w:eastAsia="Times New Roman" w:cs="Times New Roman"/>
          <w:spacing w:val="0"/>
          <w:szCs w:val="28"/>
        </w:rPr>
        <w:t xml:space="preserve">Identifies the relevant changes made to each </w:t>
      </w:r>
      <w:r w:rsidR="000E7E17">
        <w:rPr>
          <w:rFonts w:eastAsia="Times New Roman" w:cs="Times New Roman"/>
          <w:spacing w:val="0"/>
          <w:szCs w:val="28"/>
        </w:rPr>
        <w:t>policy</w:t>
      </w:r>
      <w:r w:rsidRPr="005E2FA8">
        <w:rPr>
          <w:rFonts w:eastAsia="Times New Roman" w:cs="Times New Roman"/>
          <w:spacing w:val="0"/>
          <w:szCs w:val="28"/>
        </w:rPr>
        <w:t>.</w:t>
      </w:r>
    </w:p>
    <w:p w:rsidR="000E7E17" w:rsidRDefault="000E7E17" w:rsidP="000E7E17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7785"/>
        </w:tabs>
        <w:spacing w:before="5880"/>
        <w:rPr>
          <w:rFonts w:eastAsia="Times New Roman" w:cs="Times New Roman"/>
          <w:spacing w:val="0"/>
          <w:sz w:val="22"/>
          <w:szCs w:val="22"/>
        </w:rPr>
      </w:pPr>
      <w:r>
        <w:rPr>
          <w:rFonts w:eastAsia="Times New Roman" w:cs="Times New Roman"/>
          <w:spacing w:val="0"/>
          <w:sz w:val="22"/>
          <w:szCs w:val="22"/>
        </w:rPr>
        <w:tab/>
      </w:r>
      <w:r>
        <w:rPr>
          <w:rFonts w:eastAsia="Times New Roman" w:cs="Times New Roman"/>
          <w:spacing w:val="0"/>
          <w:sz w:val="22"/>
          <w:szCs w:val="22"/>
        </w:rPr>
        <w:tab/>
      </w:r>
      <w:r>
        <w:rPr>
          <w:rFonts w:eastAsia="Times New Roman" w:cs="Times New Roman"/>
          <w:spacing w:val="0"/>
          <w:sz w:val="22"/>
          <w:szCs w:val="22"/>
        </w:rPr>
        <w:tab/>
      </w:r>
      <w:r>
        <w:rPr>
          <w:rFonts w:eastAsia="Times New Roman" w:cs="Times New Roman"/>
          <w:spacing w:val="0"/>
          <w:sz w:val="22"/>
          <w:szCs w:val="22"/>
        </w:rPr>
        <w:tab/>
      </w:r>
      <w:r>
        <w:rPr>
          <w:rFonts w:eastAsia="Times New Roman" w:cs="Times New Roman"/>
          <w:spacing w:val="0"/>
          <w:sz w:val="22"/>
          <w:szCs w:val="22"/>
        </w:rPr>
        <w:tab/>
      </w:r>
      <w:r>
        <w:rPr>
          <w:rFonts w:eastAsia="Times New Roman" w:cs="Times New Roman"/>
          <w:spacing w:val="0"/>
          <w:sz w:val="22"/>
          <w:szCs w:val="22"/>
        </w:rPr>
        <w:tab/>
      </w:r>
      <w:r>
        <w:rPr>
          <w:rFonts w:eastAsia="Times New Roman" w:cs="Times New Roman"/>
          <w:spacing w:val="0"/>
          <w:sz w:val="22"/>
          <w:szCs w:val="22"/>
        </w:rPr>
        <w:tab/>
      </w:r>
      <w:r>
        <w:rPr>
          <w:rFonts w:eastAsia="Times New Roman" w:cs="Times New Roman"/>
          <w:spacing w:val="0"/>
          <w:sz w:val="22"/>
          <w:szCs w:val="22"/>
        </w:rPr>
        <w:tab/>
      </w:r>
    </w:p>
    <w:p w:rsidR="00F76412" w:rsidRDefault="00F76412" w:rsidP="000E7E17">
      <w:pPr>
        <w:tabs>
          <w:tab w:val="center" w:pos="4513"/>
          <w:tab w:val="left" w:pos="7785"/>
        </w:tabs>
      </w:pPr>
    </w:p>
    <w:p w:rsidR="00F76412" w:rsidRDefault="00F76412" w:rsidP="000E7E17">
      <w:pPr>
        <w:tabs>
          <w:tab w:val="center" w:pos="4513"/>
          <w:tab w:val="left" w:pos="7785"/>
        </w:tabs>
      </w:pPr>
    </w:p>
    <w:p w:rsidR="00F76412" w:rsidRDefault="00F76412" w:rsidP="00BA1912">
      <w:pPr>
        <w:rPr>
          <w:b/>
        </w:rPr>
      </w:pPr>
    </w:p>
    <w:p w:rsidR="00F76412" w:rsidRPr="00F76412" w:rsidRDefault="00F76412" w:rsidP="00F76412">
      <w:pPr>
        <w:rPr>
          <w:b/>
        </w:rPr>
      </w:pPr>
      <w:r w:rsidRPr="00F76412">
        <w:rPr>
          <w:b/>
        </w:rPr>
        <w:t xml:space="preserve">Common Use Arrangements </w:t>
      </w:r>
      <w:r w:rsidR="001A564F">
        <w:rPr>
          <w:b/>
        </w:rPr>
        <w:t xml:space="preserve">(CUA) </w:t>
      </w:r>
      <w:r w:rsidRPr="00F76412">
        <w:rPr>
          <w:b/>
        </w:rPr>
        <w:t xml:space="preserve">policy </w:t>
      </w:r>
    </w:p>
    <w:p w:rsidR="001A564F" w:rsidRDefault="001A564F" w:rsidP="001A564F">
      <w:r w:rsidRPr="009614D5">
        <w:t>The CUA policy has been amended to redefine the definition of a Buyer’s Guide to reflect that there may be a document or online content that prescribes the buying rules for a CUA and that the document or online con</w:t>
      </w:r>
      <w:r>
        <w:t>t</w:t>
      </w:r>
      <w:r w:rsidRPr="009614D5">
        <w:t>ent will now be accessible on wa.gov.au.</w:t>
      </w:r>
    </w:p>
    <w:p w:rsidR="00F76412" w:rsidRPr="009614D5" w:rsidRDefault="001A564F" w:rsidP="00BA1912">
      <w:r>
        <w:t>This reflects the Department of Finance’s recent transition of</w:t>
      </w:r>
      <w:r w:rsidR="00F76412" w:rsidRPr="009614D5">
        <w:t xml:space="preserve"> its website information to wa.gov.au including </w:t>
      </w:r>
      <w:r>
        <w:t>the Contracts WA website that previously hosted</w:t>
      </w:r>
      <w:r w:rsidR="00F76412" w:rsidRPr="009614D5">
        <w:t xml:space="preserve"> CUAs. As part of this transition Buyers Guides have been converted to online content rather than being within a document.</w:t>
      </w:r>
    </w:p>
    <w:p w:rsidR="009614D5" w:rsidRDefault="009614D5" w:rsidP="00BA1912"/>
    <w:p w:rsidR="009614D5" w:rsidRPr="009614D5" w:rsidRDefault="009614D5" w:rsidP="00BA1912">
      <w:pPr>
        <w:rPr>
          <w:b/>
        </w:rPr>
      </w:pPr>
      <w:r w:rsidRPr="009614D5">
        <w:rPr>
          <w:b/>
        </w:rPr>
        <w:t xml:space="preserve">Open and Effective Competition policy </w:t>
      </w:r>
    </w:p>
    <w:p w:rsidR="009614D5" w:rsidRDefault="009614D5" w:rsidP="00BA1912">
      <w:r>
        <w:t xml:space="preserve">The Open and Effective Competition policy has been amended to reflect the recent changes to the Government’s Market-led Proposal (MLP) policy.  Recent revisions to the MLP policy mean that the MLP policy is no longer premised on exclusive negotiations and introduces a competitive process via the First Mover Advantage procurement pathway.  </w:t>
      </w:r>
      <w:r w:rsidR="00BC112E">
        <w:t xml:space="preserve">The MLP policy can be accessed </w:t>
      </w:r>
      <w:hyperlink r:id="rId8" w:history="1">
        <w:r w:rsidR="00BC112E" w:rsidRPr="001D4628">
          <w:rPr>
            <w:rStyle w:val="Hyperlink"/>
            <w:rFonts w:cs="Arial"/>
            <w:sz w:val="24"/>
          </w:rPr>
          <w:t>here</w:t>
        </w:r>
      </w:hyperlink>
      <w:r w:rsidR="00BC112E" w:rsidRPr="001D4628">
        <w:t>.</w:t>
      </w:r>
    </w:p>
    <w:p w:rsidR="009614D5" w:rsidRDefault="009614D5" w:rsidP="00BA1912">
      <w:r>
        <w:t>Consequently revision to the SSC’s Open and Effective Competition policy were necessary to support the fairness and equity of the competitive procurement process</w:t>
      </w:r>
      <w:r w:rsidR="007A79EF">
        <w:t xml:space="preserve"> via the First Mover Advantage procurement pathway</w:t>
      </w:r>
      <w:r>
        <w:t xml:space="preserve"> and </w:t>
      </w:r>
      <w:r w:rsidR="00BC112E">
        <w:t xml:space="preserve">ensure </w:t>
      </w:r>
      <w:r>
        <w:t xml:space="preserve">appropriate probity and rigour when the agency is conducting this process. </w:t>
      </w:r>
    </w:p>
    <w:p w:rsidR="001D030A" w:rsidRDefault="001D030A" w:rsidP="001D030A">
      <w:r>
        <w:t>The Open and Effective Competition policy has been amended so agencies are only released from the majority of its requirements when a decision is made to exclusively negotiate pursuant to the MLP policy and not when the First Mover Advantage procurement pathway is enacted.</w:t>
      </w:r>
    </w:p>
    <w:p w:rsidR="007F7561" w:rsidRDefault="00BC112E" w:rsidP="001D030A">
      <w:r>
        <w:t>In addition, t</w:t>
      </w:r>
      <w:r w:rsidR="007F7561">
        <w:t>he footnote containing the URL for the Free Trade Agreement (FTA) Guidelines and covered procurement thresholds under the FTA’s has also been updated</w:t>
      </w:r>
      <w:r w:rsidR="007A79EF">
        <w:t xml:space="preserve"> to reflect the Department of Finance’s website transition to wa.gov.au</w:t>
      </w:r>
      <w:r w:rsidR="00357FA4">
        <w:t>.</w:t>
      </w:r>
    </w:p>
    <w:p w:rsidR="001A564F" w:rsidRDefault="001A564F" w:rsidP="001D030A"/>
    <w:p w:rsidR="001A564F" w:rsidRDefault="001A564F" w:rsidP="001D030A">
      <w:pPr>
        <w:rPr>
          <w:b/>
        </w:rPr>
      </w:pPr>
      <w:r w:rsidRPr="001A564F">
        <w:rPr>
          <w:b/>
        </w:rPr>
        <w:t>Procurement Planning, Evaluation Reports and Contract Management policy</w:t>
      </w:r>
    </w:p>
    <w:p w:rsidR="001A564F" w:rsidRDefault="001A564F" w:rsidP="001D030A">
      <w:r w:rsidRPr="001A564F">
        <w:t>This policy has been amended to reflect that an evaluation report is not required if an agency is procuring pursuant to the Market-led Proposal (MLP) policy</w:t>
      </w:r>
      <w:r>
        <w:t xml:space="preserve"> and a decision has been made to exclusively negotiate with a supplier.</w:t>
      </w:r>
    </w:p>
    <w:p w:rsidR="001A564F" w:rsidRPr="001A564F" w:rsidRDefault="001A564F" w:rsidP="001D030A">
      <w:r>
        <w:t>The effect of this amendment is that an agency must develop an evaluation report, even when</w:t>
      </w:r>
      <w:r w:rsidR="007A79EF">
        <w:t xml:space="preserve"> undertaking a</w:t>
      </w:r>
      <w:r>
        <w:t xml:space="preserve"> First Mover Advantage procurement process </w:t>
      </w:r>
      <w:r w:rsidR="007A79EF">
        <w:t>pursuant to the</w:t>
      </w:r>
      <w:r>
        <w:t xml:space="preserve"> MLP policy, if the procurement is valued at $5 million </w:t>
      </w:r>
      <w:r w:rsidR="007A79EF">
        <w:t xml:space="preserve">(GST inclusive) </w:t>
      </w:r>
      <w:r>
        <w:t xml:space="preserve">or greater. There is no requirement to submit the evaluation report to the State Tender Review Committee given MLP governance.  </w:t>
      </w:r>
    </w:p>
    <w:p w:rsidR="00F76412" w:rsidRDefault="00F76412" w:rsidP="00BA1912"/>
    <w:p w:rsidR="00BC112E" w:rsidRDefault="00BC112E" w:rsidP="00BA1912"/>
    <w:p w:rsidR="00BC112E" w:rsidRDefault="00BC112E" w:rsidP="00BA1912"/>
    <w:p w:rsidR="00BC112E" w:rsidRDefault="00BC112E" w:rsidP="00BA1912"/>
    <w:p w:rsidR="00BC112E" w:rsidRDefault="00BC112E" w:rsidP="00BA1912"/>
    <w:p w:rsidR="00BC112E" w:rsidRPr="009614D5" w:rsidRDefault="00BC112E" w:rsidP="00BA1912"/>
    <w:p w:rsidR="000E7E17" w:rsidRDefault="00F76412" w:rsidP="00BA1912">
      <w:pPr>
        <w:rPr>
          <w:b/>
        </w:rPr>
      </w:pPr>
      <w:r w:rsidRPr="00F76412">
        <w:rPr>
          <w:b/>
        </w:rPr>
        <w:t>Sustainable Procurement policy amendments</w:t>
      </w:r>
    </w:p>
    <w:p w:rsidR="00F76412" w:rsidRPr="00F76412" w:rsidRDefault="003C5BD5" w:rsidP="00F76412">
      <w:pPr>
        <w:spacing w:after="0"/>
        <w:rPr>
          <w:szCs w:val="24"/>
        </w:rPr>
      </w:pPr>
      <w:r>
        <w:rPr>
          <w:szCs w:val="24"/>
        </w:rPr>
        <w:t>T</w:t>
      </w:r>
      <w:r w:rsidR="00F76412" w:rsidRPr="00F76412">
        <w:rPr>
          <w:szCs w:val="24"/>
        </w:rPr>
        <w:t xml:space="preserve">he Sustainable Procurement policy </w:t>
      </w:r>
      <w:r>
        <w:rPr>
          <w:szCs w:val="24"/>
        </w:rPr>
        <w:t>has been amended</w:t>
      </w:r>
      <w:r w:rsidR="00F76412" w:rsidRPr="00F76412">
        <w:rPr>
          <w:szCs w:val="24"/>
        </w:rPr>
        <w:t xml:space="preserve"> to ensure alignment with the </w:t>
      </w:r>
      <w:hyperlink r:id="rId9" w:history="1">
        <w:r w:rsidR="00F76412" w:rsidRPr="001D4628">
          <w:rPr>
            <w:rStyle w:val="Hyperlink"/>
            <w:rFonts w:cs="Arial"/>
            <w:sz w:val="24"/>
            <w:szCs w:val="24"/>
          </w:rPr>
          <w:t>Waste Avoidance and Resource Recovery Strategy 2030</w:t>
        </w:r>
      </w:hyperlink>
      <w:r w:rsidR="00F76412" w:rsidRPr="00F76412">
        <w:rPr>
          <w:szCs w:val="24"/>
        </w:rPr>
        <w:t xml:space="preserve"> and the most recent standard published by the International Organisation for Standardisation ISO 20400:2017 Sustainable Procurement. </w:t>
      </w:r>
    </w:p>
    <w:p w:rsidR="00F76412" w:rsidRDefault="00F76412" w:rsidP="00F76412">
      <w:pPr>
        <w:rPr>
          <w:b/>
        </w:rPr>
      </w:pPr>
    </w:p>
    <w:p w:rsidR="00F76412" w:rsidRDefault="00F76412" w:rsidP="00F76412">
      <w:r>
        <w:t>The policy is amended to include:</w:t>
      </w:r>
    </w:p>
    <w:p w:rsidR="00F76412" w:rsidRDefault="009614D5" w:rsidP="00F76412">
      <w:pPr>
        <w:pStyle w:val="ListParagraph"/>
        <w:numPr>
          <w:ilvl w:val="0"/>
          <w:numId w:val="30"/>
        </w:numPr>
      </w:pPr>
      <w:r>
        <w:t>g</w:t>
      </w:r>
      <w:r w:rsidR="00F76412">
        <w:t>reater context on government’s role in developing and implementing policies and practices that will contribute to sustainability outcomes through procurement;</w:t>
      </w:r>
    </w:p>
    <w:p w:rsidR="00F76412" w:rsidRDefault="00F76412" w:rsidP="00F76412">
      <w:pPr>
        <w:pStyle w:val="ListParagraph"/>
        <w:numPr>
          <w:ilvl w:val="0"/>
          <w:numId w:val="30"/>
        </w:numPr>
      </w:pPr>
      <w:r>
        <w:t>addition</w:t>
      </w:r>
      <w:r w:rsidR="009614D5">
        <w:t xml:space="preserve">al content </w:t>
      </w:r>
      <w:r w:rsidR="003C5BD5">
        <w:t>which clearly outlines</w:t>
      </w:r>
      <w:r w:rsidR="009614D5">
        <w:t xml:space="preserve"> the </w:t>
      </w:r>
      <w:r>
        <w:t>obj</w:t>
      </w:r>
      <w:r w:rsidR="009440CC">
        <w:t>ectives and requirements of the Sustainable Procurement policy</w:t>
      </w:r>
      <w:r w:rsidR="009614D5">
        <w:t>;</w:t>
      </w:r>
    </w:p>
    <w:p w:rsidR="00F76412" w:rsidRDefault="00F76412" w:rsidP="00F76412">
      <w:pPr>
        <w:pStyle w:val="ListParagraph"/>
        <w:numPr>
          <w:ilvl w:val="0"/>
          <w:numId w:val="30"/>
        </w:numPr>
      </w:pPr>
      <w:r>
        <w:t xml:space="preserve">greater detail </w:t>
      </w:r>
      <w:r w:rsidR="00BC112E">
        <w:t>of strategies to enable incorporation of</w:t>
      </w:r>
      <w:r>
        <w:t xml:space="preserve"> </w:t>
      </w:r>
      <w:r w:rsidR="00BC112E">
        <w:t>sustainability principles in procurements</w:t>
      </w:r>
      <w:r w:rsidR="009614D5">
        <w:t xml:space="preserve">; </w:t>
      </w:r>
    </w:p>
    <w:p w:rsidR="00F76412" w:rsidRDefault="003C5BD5" w:rsidP="00F76412">
      <w:pPr>
        <w:pStyle w:val="ListParagraph"/>
        <w:numPr>
          <w:ilvl w:val="0"/>
          <w:numId w:val="30"/>
        </w:numPr>
      </w:pPr>
      <w:r>
        <w:t xml:space="preserve">a </w:t>
      </w:r>
      <w:r w:rsidR="00F76412">
        <w:t>reference to the updated Sustainable Procurement Guidelines</w:t>
      </w:r>
      <w:r w:rsidR="001D4628">
        <w:t>.</w:t>
      </w:r>
    </w:p>
    <w:p w:rsidR="007F7561" w:rsidRDefault="007F7561" w:rsidP="007F7561"/>
    <w:p w:rsidR="007F7561" w:rsidRDefault="007F7561" w:rsidP="007F7561">
      <w:pPr>
        <w:rPr>
          <w:b/>
        </w:rPr>
      </w:pPr>
      <w:r w:rsidRPr="007F7561">
        <w:rPr>
          <w:b/>
        </w:rPr>
        <w:t xml:space="preserve">Glossary of Terms </w:t>
      </w:r>
    </w:p>
    <w:p w:rsidR="007F7561" w:rsidRPr="003C5BD5" w:rsidRDefault="003C5BD5" w:rsidP="007F7561">
      <w:r w:rsidRPr="003C5BD5">
        <w:t>The Glossary of Terms has been updated as follows:</w:t>
      </w:r>
    </w:p>
    <w:p w:rsidR="003C5BD5" w:rsidRPr="003C5BD5" w:rsidRDefault="003C5BD5" w:rsidP="003C5BD5">
      <w:pPr>
        <w:pStyle w:val="ListParagraph"/>
        <w:numPr>
          <w:ilvl w:val="0"/>
          <w:numId w:val="32"/>
        </w:numPr>
      </w:pPr>
      <w:r w:rsidRPr="003C5BD5">
        <w:t xml:space="preserve">the URL contained in the </w:t>
      </w:r>
      <w:r>
        <w:t>“</w:t>
      </w:r>
      <w:r w:rsidRPr="003C5BD5">
        <w:t>Covered procurement</w:t>
      </w:r>
      <w:r>
        <w:t>”</w:t>
      </w:r>
      <w:r w:rsidRPr="003C5BD5">
        <w:t xml:space="preserve"> definition has been amended;</w:t>
      </w:r>
    </w:p>
    <w:p w:rsidR="006F3C45" w:rsidRDefault="001E51D5" w:rsidP="006F3C45">
      <w:pPr>
        <w:pStyle w:val="ListParagraph"/>
        <w:numPr>
          <w:ilvl w:val="0"/>
          <w:numId w:val="32"/>
        </w:numPr>
      </w:pPr>
      <w:r>
        <w:t xml:space="preserve">the definition of Buyers Guide has been updated to reflect </w:t>
      </w:r>
      <w:r w:rsidR="006F3C45" w:rsidRPr="009614D5">
        <w:t>to reflect that there may be a document or online content that prescribes the buying rules for a CUA and that the document or online con</w:t>
      </w:r>
      <w:r w:rsidR="006F3C45">
        <w:t>t</w:t>
      </w:r>
      <w:r w:rsidR="006F3C45" w:rsidRPr="009614D5">
        <w:t>ent will now be accessible on wa.gov.au.</w:t>
      </w:r>
    </w:p>
    <w:p w:rsidR="003C5BD5" w:rsidRDefault="003C5BD5" w:rsidP="006F3C45">
      <w:pPr>
        <w:pStyle w:val="ListParagraph"/>
      </w:pPr>
    </w:p>
    <w:p w:rsidR="0009583C" w:rsidRPr="003C5BD5" w:rsidRDefault="0009583C" w:rsidP="0009583C">
      <w:r>
        <w:t xml:space="preserve">All State Supply Commission policies and Glossary of Terms can be found </w:t>
      </w:r>
      <w:hyperlink r:id="rId10" w:history="1">
        <w:r w:rsidRPr="0009583C">
          <w:rPr>
            <w:rStyle w:val="Hyperlink"/>
            <w:rFonts w:cs="Arial"/>
            <w:sz w:val="24"/>
          </w:rPr>
          <w:t>here</w:t>
        </w:r>
      </w:hyperlink>
      <w:r>
        <w:t xml:space="preserve">. </w:t>
      </w:r>
    </w:p>
    <w:sectPr w:rsidR="0009583C" w:rsidRPr="003C5BD5" w:rsidSect="00423183">
      <w:headerReference w:type="default" r:id="rId11"/>
      <w:footerReference w:type="default" r:id="rId12"/>
      <w:pgSz w:w="11906" w:h="16838" w:code="9"/>
      <w:pgMar w:top="1134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E3C" w:rsidRDefault="00F21E3C" w:rsidP="003F6190">
      <w:pPr>
        <w:spacing w:after="0"/>
      </w:pPr>
      <w:r>
        <w:separator/>
      </w:r>
    </w:p>
  </w:endnote>
  <w:endnote w:type="continuationSeparator" w:id="0">
    <w:p w:rsidR="00F21E3C" w:rsidRDefault="00F21E3C" w:rsidP="003F61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715393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90332" w:rsidRDefault="00F9033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60C0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E3C" w:rsidRDefault="00F21E3C" w:rsidP="003F6190">
      <w:pPr>
        <w:spacing w:after="0"/>
      </w:pPr>
      <w:r>
        <w:separator/>
      </w:r>
    </w:p>
  </w:footnote>
  <w:footnote w:type="continuationSeparator" w:id="0">
    <w:p w:rsidR="00F21E3C" w:rsidRDefault="00F21E3C" w:rsidP="003F61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332" w:rsidRPr="00AB2997" w:rsidRDefault="00F90332" w:rsidP="00AB2997">
    <w:pPr>
      <w:pStyle w:val="Header"/>
      <w:rPr>
        <w:rStyle w:val="Strong"/>
        <w:b w:val="0"/>
        <w:b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B5E62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EA147C"/>
    <w:multiLevelType w:val="hybridMultilevel"/>
    <w:tmpl w:val="1ACC8BC6"/>
    <w:lvl w:ilvl="0" w:tplc="8E6682E4">
      <w:start w:val="28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43412"/>
    <w:multiLevelType w:val="hybridMultilevel"/>
    <w:tmpl w:val="A4F007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A84988"/>
    <w:multiLevelType w:val="multilevel"/>
    <w:tmpl w:val="5C24259A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Times New Roman" w:hint="default"/>
      </w:rPr>
    </w:lvl>
    <w:lvl w:ilvl="2">
      <w:start w:val="1"/>
      <w:numFmt w:val="upperLetter"/>
      <w:lvlText w:val="(%3)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156E4439"/>
    <w:multiLevelType w:val="hybridMultilevel"/>
    <w:tmpl w:val="13F05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25637"/>
    <w:multiLevelType w:val="hybridMultilevel"/>
    <w:tmpl w:val="A6C8D06C"/>
    <w:lvl w:ilvl="0" w:tplc="16A05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5C24E0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0000FF"/>
      </w:rPr>
    </w:lvl>
    <w:lvl w:ilvl="2" w:tplc="0409001B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4436FB"/>
    <w:multiLevelType w:val="hybridMultilevel"/>
    <w:tmpl w:val="11740E42"/>
    <w:lvl w:ilvl="0" w:tplc="EC58857C">
      <w:start w:val="1"/>
      <w:numFmt w:val="upperLetter"/>
      <w:lvlText w:val="(%1)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657C01"/>
    <w:multiLevelType w:val="hybridMultilevel"/>
    <w:tmpl w:val="7F2C30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30392"/>
    <w:multiLevelType w:val="multilevel"/>
    <w:tmpl w:val="E95860FE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upperLetter"/>
      <w:lvlText w:val="(%3)"/>
      <w:lvlJc w:val="left"/>
      <w:pPr>
        <w:tabs>
          <w:tab w:val="num" w:pos="1247"/>
        </w:tabs>
        <w:ind w:left="1247" w:hanging="52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2A5E0B6F"/>
    <w:multiLevelType w:val="hybridMultilevel"/>
    <w:tmpl w:val="44886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9065A"/>
    <w:multiLevelType w:val="hybridMultilevel"/>
    <w:tmpl w:val="9A7619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8344F9"/>
    <w:multiLevelType w:val="hybridMultilevel"/>
    <w:tmpl w:val="B22CCF50"/>
    <w:lvl w:ilvl="0" w:tplc="EC58857C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 w:hint="default"/>
      </w:rPr>
    </w:lvl>
    <w:lvl w:ilvl="1" w:tplc="B55C24E0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i w:val="0"/>
        <w:color w:val="0000FF"/>
      </w:rPr>
    </w:lvl>
    <w:lvl w:ilvl="2" w:tplc="EC58857C">
      <w:start w:val="1"/>
      <w:numFmt w:val="upperLetter"/>
      <w:lvlText w:val="(%3)"/>
      <w:lvlJc w:val="left"/>
      <w:pPr>
        <w:tabs>
          <w:tab w:val="num" w:pos="2525"/>
        </w:tabs>
        <w:ind w:left="2525" w:hanging="180"/>
      </w:pPr>
      <w:rPr>
        <w:rFonts w:ascii="Arial" w:eastAsia="Times New Roman" w:hAnsi="Arial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1280532"/>
    <w:multiLevelType w:val="hybridMultilevel"/>
    <w:tmpl w:val="EFE02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F492B"/>
    <w:multiLevelType w:val="hybridMultilevel"/>
    <w:tmpl w:val="68E6D7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16B8F"/>
    <w:multiLevelType w:val="hybridMultilevel"/>
    <w:tmpl w:val="A03E04BC"/>
    <w:lvl w:ilvl="0" w:tplc="91109592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E15D2C"/>
    <w:multiLevelType w:val="multilevel"/>
    <w:tmpl w:val="E95860FE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upperLetter"/>
      <w:lvlText w:val="(%3)"/>
      <w:lvlJc w:val="left"/>
      <w:pPr>
        <w:tabs>
          <w:tab w:val="num" w:pos="1247"/>
        </w:tabs>
        <w:ind w:left="1247" w:hanging="52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47526243"/>
    <w:multiLevelType w:val="hybridMultilevel"/>
    <w:tmpl w:val="BB80D7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6B0ABB"/>
    <w:multiLevelType w:val="hybridMultilevel"/>
    <w:tmpl w:val="E24645D2"/>
    <w:lvl w:ilvl="0" w:tplc="E7322AB8">
      <w:start w:val="1"/>
      <w:numFmt w:val="lowerLetter"/>
      <w:pStyle w:val="BodyTextbullet"/>
      <w:lvlText w:val="%1)."/>
      <w:lvlJc w:val="left"/>
      <w:pPr>
        <w:tabs>
          <w:tab w:val="num" w:pos="1440"/>
        </w:tabs>
        <w:ind w:left="1440" w:hanging="538"/>
      </w:pPr>
      <w:rPr>
        <w:rFonts w:hint="default"/>
        <w:i w:val="0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3244"/>
        </w:tabs>
        <w:ind w:left="3244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4144"/>
        </w:tabs>
        <w:ind w:left="4144" w:hanging="360"/>
      </w:pPr>
    </w:lvl>
    <w:lvl w:ilvl="3" w:tplc="0409000F">
      <w:start w:val="1"/>
      <w:numFmt w:val="decimal"/>
      <w:lvlText w:val="%4."/>
      <w:lvlJc w:val="left"/>
      <w:pPr>
        <w:tabs>
          <w:tab w:val="num" w:pos="4684"/>
        </w:tabs>
        <w:ind w:left="468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4"/>
        </w:tabs>
        <w:ind w:left="54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4"/>
        </w:tabs>
        <w:ind w:left="61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4"/>
        </w:tabs>
        <w:ind w:left="68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4"/>
        </w:tabs>
        <w:ind w:left="75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4"/>
        </w:tabs>
        <w:ind w:left="8284" w:hanging="180"/>
      </w:pPr>
    </w:lvl>
  </w:abstractNum>
  <w:abstractNum w:abstractNumId="18" w15:restartNumberingAfterBreak="0">
    <w:nsid w:val="494F25B0"/>
    <w:multiLevelType w:val="hybridMultilevel"/>
    <w:tmpl w:val="FA701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36551"/>
    <w:multiLevelType w:val="hybridMultilevel"/>
    <w:tmpl w:val="3C68F4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90391"/>
    <w:multiLevelType w:val="hybridMultilevel"/>
    <w:tmpl w:val="1144D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72B5D"/>
    <w:multiLevelType w:val="hybridMultilevel"/>
    <w:tmpl w:val="92B6B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73FF1"/>
    <w:multiLevelType w:val="hybridMultilevel"/>
    <w:tmpl w:val="28F45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F41379"/>
    <w:multiLevelType w:val="hybridMultilevel"/>
    <w:tmpl w:val="57AAABF4"/>
    <w:lvl w:ilvl="0" w:tplc="3386ECBA">
      <w:start w:val="1"/>
      <w:numFmt w:val="bullet"/>
      <w:pStyle w:val="Hintsandtips"/>
      <w:lvlText w:val="L"/>
      <w:lvlJc w:val="left"/>
      <w:pPr>
        <w:ind w:left="5062" w:hanging="360"/>
      </w:pPr>
      <w:rPr>
        <w:rFonts w:ascii="Webdings" w:hAnsi="Webdings" w:hint="default"/>
        <w:sz w:val="44"/>
      </w:rPr>
    </w:lvl>
    <w:lvl w:ilvl="1" w:tplc="0C0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24" w15:restartNumberingAfterBreak="0">
    <w:nsid w:val="65F5321B"/>
    <w:multiLevelType w:val="hybridMultilevel"/>
    <w:tmpl w:val="C0D8C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B22F2"/>
    <w:multiLevelType w:val="hybridMultilevel"/>
    <w:tmpl w:val="CEB21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6E5161"/>
    <w:multiLevelType w:val="hybridMultilevel"/>
    <w:tmpl w:val="8C5C4EDA"/>
    <w:lvl w:ilvl="0" w:tplc="27927BCE">
      <w:start w:val="1"/>
      <w:numFmt w:val="lowerLetter"/>
      <w:lvlText w:val="(%1)"/>
      <w:lvlJc w:val="left"/>
      <w:pPr>
        <w:ind w:left="1262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982" w:hanging="360"/>
      </w:pPr>
    </w:lvl>
    <w:lvl w:ilvl="2" w:tplc="0C09001B" w:tentative="1">
      <w:start w:val="1"/>
      <w:numFmt w:val="lowerRoman"/>
      <w:lvlText w:val="%3."/>
      <w:lvlJc w:val="right"/>
      <w:pPr>
        <w:ind w:left="2702" w:hanging="180"/>
      </w:pPr>
    </w:lvl>
    <w:lvl w:ilvl="3" w:tplc="0C09000F" w:tentative="1">
      <w:start w:val="1"/>
      <w:numFmt w:val="decimal"/>
      <w:lvlText w:val="%4."/>
      <w:lvlJc w:val="left"/>
      <w:pPr>
        <w:ind w:left="3422" w:hanging="360"/>
      </w:pPr>
    </w:lvl>
    <w:lvl w:ilvl="4" w:tplc="0C090019" w:tentative="1">
      <w:start w:val="1"/>
      <w:numFmt w:val="lowerLetter"/>
      <w:lvlText w:val="%5."/>
      <w:lvlJc w:val="left"/>
      <w:pPr>
        <w:ind w:left="4142" w:hanging="360"/>
      </w:pPr>
    </w:lvl>
    <w:lvl w:ilvl="5" w:tplc="0C09001B" w:tentative="1">
      <w:start w:val="1"/>
      <w:numFmt w:val="lowerRoman"/>
      <w:lvlText w:val="%6."/>
      <w:lvlJc w:val="right"/>
      <w:pPr>
        <w:ind w:left="4862" w:hanging="180"/>
      </w:pPr>
    </w:lvl>
    <w:lvl w:ilvl="6" w:tplc="0C09000F" w:tentative="1">
      <w:start w:val="1"/>
      <w:numFmt w:val="decimal"/>
      <w:lvlText w:val="%7."/>
      <w:lvlJc w:val="left"/>
      <w:pPr>
        <w:ind w:left="5582" w:hanging="360"/>
      </w:pPr>
    </w:lvl>
    <w:lvl w:ilvl="7" w:tplc="0C090019" w:tentative="1">
      <w:start w:val="1"/>
      <w:numFmt w:val="lowerLetter"/>
      <w:lvlText w:val="%8."/>
      <w:lvlJc w:val="left"/>
      <w:pPr>
        <w:ind w:left="6302" w:hanging="360"/>
      </w:pPr>
    </w:lvl>
    <w:lvl w:ilvl="8" w:tplc="0C0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27" w15:restartNumberingAfterBreak="0">
    <w:nsid w:val="6AF44DE7"/>
    <w:multiLevelType w:val="hybridMultilevel"/>
    <w:tmpl w:val="B12A1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03EAF"/>
    <w:multiLevelType w:val="multilevel"/>
    <w:tmpl w:val="E95860FE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upperLetter"/>
      <w:lvlText w:val="(%3)"/>
      <w:lvlJc w:val="left"/>
      <w:pPr>
        <w:tabs>
          <w:tab w:val="num" w:pos="1247"/>
        </w:tabs>
        <w:ind w:left="1247" w:hanging="52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7019437D"/>
    <w:multiLevelType w:val="hybridMultilevel"/>
    <w:tmpl w:val="1054A6D8"/>
    <w:lvl w:ilvl="0" w:tplc="88F234AC">
      <w:start w:val="2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042B87"/>
    <w:multiLevelType w:val="hybridMultilevel"/>
    <w:tmpl w:val="3D80A8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337FAD"/>
    <w:multiLevelType w:val="hybridMultilevel"/>
    <w:tmpl w:val="C742CB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22"/>
  </w:num>
  <w:num w:numId="4">
    <w:abstractNumId w:val="14"/>
  </w:num>
  <w:num w:numId="5">
    <w:abstractNumId w:val="17"/>
  </w:num>
  <w:num w:numId="6">
    <w:abstractNumId w:val="0"/>
  </w:num>
  <w:num w:numId="7">
    <w:abstractNumId w:val="5"/>
  </w:num>
  <w:num w:numId="8">
    <w:abstractNumId w:val="1"/>
  </w:num>
  <w:num w:numId="9">
    <w:abstractNumId w:val="26"/>
  </w:num>
  <w:num w:numId="10">
    <w:abstractNumId w:val="23"/>
  </w:num>
  <w:num w:numId="11">
    <w:abstractNumId w:val="10"/>
  </w:num>
  <w:num w:numId="12">
    <w:abstractNumId w:val="11"/>
  </w:num>
  <w:num w:numId="13">
    <w:abstractNumId w:val="6"/>
  </w:num>
  <w:num w:numId="14">
    <w:abstractNumId w:val="8"/>
  </w:num>
  <w:num w:numId="15">
    <w:abstractNumId w:val="30"/>
  </w:num>
  <w:num w:numId="16">
    <w:abstractNumId w:val="3"/>
  </w:num>
  <w:num w:numId="17">
    <w:abstractNumId w:val="2"/>
  </w:num>
  <w:num w:numId="18">
    <w:abstractNumId w:val="29"/>
  </w:num>
  <w:num w:numId="19">
    <w:abstractNumId w:val="28"/>
  </w:num>
  <w:num w:numId="20">
    <w:abstractNumId w:val="16"/>
  </w:num>
  <w:num w:numId="21">
    <w:abstractNumId w:val="15"/>
  </w:num>
  <w:num w:numId="22">
    <w:abstractNumId w:val="18"/>
  </w:num>
  <w:num w:numId="23">
    <w:abstractNumId w:val="12"/>
  </w:num>
  <w:num w:numId="24">
    <w:abstractNumId w:val="24"/>
  </w:num>
  <w:num w:numId="25">
    <w:abstractNumId w:val="21"/>
  </w:num>
  <w:num w:numId="26">
    <w:abstractNumId w:val="27"/>
  </w:num>
  <w:num w:numId="27">
    <w:abstractNumId w:val="19"/>
  </w:num>
  <w:num w:numId="28">
    <w:abstractNumId w:val="31"/>
  </w:num>
  <w:num w:numId="29">
    <w:abstractNumId w:val="13"/>
  </w:num>
  <w:num w:numId="30">
    <w:abstractNumId w:val="20"/>
  </w:num>
  <w:num w:numId="31">
    <w:abstractNumId w:val="4"/>
  </w:num>
  <w:num w:numId="32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12"/>
    <w:rsid w:val="00000F9B"/>
    <w:rsid w:val="00020406"/>
    <w:rsid w:val="000229AA"/>
    <w:rsid w:val="00023222"/>
    <w:rsid w:val="00025220"/>
    <w:rsid w:val="000618E3"/>
    <w:rsid w:val="000728BA"/>
    <w:rsid w:val="00083750"/>
    <w:rsid w:val="00083814"/>
    <w:rsid w:val="00095426"/>
    <w:rsid w:val="0009583C"/>
    <w:rsid w:val="000B2113"/>
    <w:rsid w:val="000C6BA9"/>
    <w:rsid w:val="000D3A87"/>
    <w:rsid w:val="000E7E17"/>
    <w:rsid w:val="000F38DD"/>
    <w:rsid w:val="0010570B"/>
    <w:rsid w:val="00114A68"/>
    <w:rsid w:val="00116405"/>
    <w:rsid w:val="00121BBA"/>
    <w:rsid w:val="00143F6D"/>
    <w:rsid w:val="00144D64"/>
    <w:rsid w:val="00147385"/>
    <w:rsid w:val="001473E2"/>
    <w:rsid w:val="00166525"/>
    <w:rsid w:val="0017489A"/>
    <w:rsid w:val="001762ED"/>
    <w:rsid w:val="001875D3"/>
    <w:rsid w:val="001939D5"/>
    <w:rsid w:val="001A564F"/>
    <w:rsid w:val="001B7E4C"/>
    <w:rsid w:val="001C1703"/>
    <w:rsid w:val="001C1DD5"/>
    <w:rsid w:val="001C7F9A"/>
    <w:rsid w:val="001D030A"/>
    <w:rsid w:val="001D23FA"/>
    <w:rsid w:val="001D4628"/>
    <w:rsid w:val="001E51D5"/>
    <w:rsid w:val="00204296"/>
    <w:rsid w:val="00211373"/>
    <w:rsid w:val="002221E7"/>
    <w:rsid w:val="002230EC"/>
    <w:rsid w:val="00244D78"/>
    <w:rsid w:val="002477BE"/>
    <w:rsid w:val="00263021"/>
    <w:rsid w:val="0027513D"/>
    <w:rsid w:val="002757A9"/>
    <w:rsid w:val="00292EBC"/>
    <w:rsid w:val="002947F2"/>
    <w:rsid w:val="0029615D"/>
    <w:rsid w:val="002A48ED"/>
    <w:rsid w:val="002A5253"/>
    <w:rsid w:val="002B2D43"/>
    <w:rsid w:val="002C5EEF"/>
    <w:rsid w:val="002F3F3B"/>
    <w:rsid w:val="00323B58"/>
    <w:rsid w:val="00343828"/>
    <w:rsid w:val="00343D61"/>
    <w:rsid w:val="00346186"/>
    <w:rsid w:val="00354B23"/>
    <w:rsid w:val="00356433"/>
    <w:rsid w:val="00357FA4"/>
    <w:rsid w:val="0036122E"/>
    <w:rsid w:val="00365B2F"/>
    <w:rsid w:val="00382182"/>
    <w:rsid w:val="003A44EC"/>
    <w:rsid w:val="003A75C7"/>
    <w:rsid w:val="003B6385"/>
    <w:rsid w:val="003C5BD5"/>
    <w:rsid w:val="003E51C9"/>
    <w:rsid w:val="003F2A4F"/>
    <w:rsid w:val="003F6190"/>
    <w:rsid w:val="003F7F55"/>
    <w:rsid w:val="00423183"/>
    <w:rsid w:val="00426C75"/>
    <w:rsid w:val="004323EB"/>
    <w:rsid w:val="00432AAE"/>
    <w:rsid w:val="00435F73"/>
    <w:rsid w:val="00464855"/>
    <w:rsid w:val="00464AFB"/>
    <w:rsid w:val="00482020"/>
    <w:rsid w:val="004A1A9F"/>
    <w:rsid w:val="004A74CC"/>
    <w:rsid w:val="004B0BED"/>
    <w:rsid w:val="004B6DE2"/>
    <w:rsid w:val="004C1618"/>
    <w:rsid w:val="004C37D7"/>
    <w:rsid w:val="004C688A"/>
    <w:rsid w:val="004E594F"/>
    <w:rsid w:val="004F032D"/>
    <w:rsid w:val="004F4C59"/>
    <w:rsid w:val="0051262E"/>
    <w:rsid w:val="005127C5"/>
    <w:rsid w:val="00515F9B"/>
    <w:rsid w:val="005203C9"/>
    <w:rsid w:val="005275AB"/>
    <w:rsid w:val="005343F9"/>
    <w:rsid w:val="00547966"/>
    <w:rsid w:val="00557260"/>
    <w:rsid w:val="005805C9"/>
    <w:rsid w:val="00582DAB"/>
    <w:rsid w:val="005C4CDA"/>
    <w:rsid w:val="005C58E6"/>
    <w:rsid w:val="005E2FA8"/>
    <w:rsid w:val="005E4BCB"/>
    <w:rsid w:val="005E5668"/>
    <w:rsid w:val="006010F8"/>
    <w:rsid w:val="006176F9"/>
    <w:rsid w:val="00627503"/>
    <w:rsid w:val="00631A01"/>
    <w:rsid w:val="006320D1"/>
    <w:rsid w:val="00642742"/>
    <w:rsid w:val="00675CE2"/>
    <w:rsid w:val="00681C57"/>
    <w:rsid w:val="00683C83"/>
    <w:rsid w:val="00696CA4"/>
    <w:rsid w:val="006B5210"/>
    <w:rsid w:val="006C2CB2"/>
    <w:rsid w:val="006C2F92"/>
    <w:rsid w:val="006C672F"/>
    <w:rsid w:val="006D0FF7"/>
    <w:rsid w:val="006D2ACE"/>
    <w:rsid w:val="006F32C3"/>
    <w:rsid w:val="006F32E0"/>
    <w:rsid w:val="006F3C45"/>
    <w:rsid w:val="00725286"/>
    <w:rsid w:val="007304F9"/>
    <w:rsid w:val="007360C0"/>
    <w:rsid w:val="007420F0"/>
    <w:rsid w:val="00774484"/>
    <w:rsid w:val="00780629"/>
    <w:rsid w:val="007838FB"/>
    <w:rsid w:val="00785B5A"/>
    <w:rsid w:val="00787EE0"/>
    <w:rsid w:val="00790D5E"/>
    <w:rsid w:val="007A13C3"/>
    <w:rsid w:val="007A7648"/>
    <w:rsid w:val="007A79EF"/>
    <w:rsid w:val="007A7F6A"/>
    <w:rsid w:val="007B76C2"/>
    <w:rsid w:val="007D0B60"/>
    <w:rsid w:val="007E4136"/>
    <w:rsid w:val="007F3B7A"/>
    <w:rsid w:val="007F7561"/>
    <w:rsid w:val="00803D19"/>
    <w:rsid w:val="00832B1B"/>
    <w:rsid w:val="00835D23"/>
    <w:rsid w:val="00847FB5"/>
    <w:rsid w:val="0086094D"/>
    <w:rsid w:val="008647A8"/>
    <w:rsid w:val="008651CF"/>
    <w:rsid w:val="00873521"/>
    <w:rsid w:val="0089781B"/>
    <w:rsid w:val="008A1AC5"/>
    <w:rsid w:val="008A1B10"/>
    <w:rsid w:val="008B5486"/>
    <w:rsid w:val="008C07D8"/>
    <w:rsid w:val="008D2CB2"/>
    <w:rsid w:val="008E22A0"/>
    <w:rsid w:val="008F5687"/>
    <w:rsid w:val="00912282"/>
    <w:rsid w:val="009133BC"/>
    <w:rsid w:val="00935702"/>
    <w:rsid w:val="009439FD"/>
    <w:rsid w:val="009440CC"/>
    <w:rsid w:val="00945AD5"/>
    <w:rsid w:val="009614D5"/>
    <w:rsid w:val="00973D6C"/>
    <w:rsid w:val="0098537F"/>
    <w:rsid w:val="00995203"/>
    <w:rsid w:val="009A47A4"/>
    <w:rsid w:val="009B4BD1"/>
    <w:rsid w:val="009D20C0"/>
    <w:rsid w:val="009D39B4"/>
    <w:rsid w:val="009E494A"/>
    <w:rsid w:val="009F143C"/>
    <w:rsid w:val="009F30ED"/>
    <w:rsid w:val="009F7AD9"/>
    <w:rsid w:val="00A001EA"/>
    <w:rsid w:val="00A00B2E"/>
    <w:rsid w:val="00A04F5E"/>
    <w:rsid w:val="00A13EE1"/>
    <w:rsid w:val="00A33B8A"/>
    <w:rsid w:val="00A61733"/>
    <w:rsid w:val="00A77655"/>
    <w:rsid w:val="00A83E83"/>
    <w:rsid w:val="00A919F0"/>
    <w:rsid w:val="00AA0D23"/>
    <w:rsid w:val="00AB2997"/>
    <w:rsid w:val="00AC1BDF"/>
    <w:rsid w:val="00AC5FEB"/>
    <w:rsid w:val="00B00CB2"/>
    <w:rsid w:val="00B13A9A"/>
    <w:rsid w:val="00B247EE"/>
    <w:rsid w:val="00B32029"/>
    <w:rsid w:val="00B41A3C"/>
    <w:rsid w:val="00B453E3"/>
    <w:rsid w:val="00B5048F"/>
    <w:rsid w:val="00B5382C"/>
    <w:rsid w:val="00B572DD"/>
    <w:rsid w:val="00B77011"/>
    <w:rsid w:val="00B7758F"/>
    <w:rsid w:val="00B811AE"/>
    <w:rsid w:val="00B81E25"/>
    <w:rsid w:val="00B90591"/>
    <w:rsid w:val="00B932B1"/>
    <w:rsid w:val="00B956FA"/>
    <w:rsid w:val="00B97C10"/>
    <w:rsid w:val="00BA1912"/>
    <w:rsid w:val="00BA3789"/>
    <w:rsid w:val="00BC112E"/>
    <w:rsid w:val="00BE1193"/>
    <w:rsid w:val="00BF0E32"/>
    <w:rsid w:val="00C0017D"/>
    <w:rsid w:val="00C051DD"/>
    <w:rsid w:val="00C12703"/>
    <w:rsid w:val="00C2600F"/>
    <w:rsid w:val="00C3393E"/>
    <w:rsid w:val="00C4544E"/>
    <w:rsid w:val="00C67788"/>
    <w:rsid w:val="00C72C92"/>
    <w:rsid w:val="00C759F1"/>
    <w:rsid w:val="00C935A4"/>
    <w:rsid w:val="00C96709"/>
    <w:rsid w:val="00CB2D7D"/>
    <w:rsid w:val="00CB2FC8"/>
    <w:rsid w:val="00CD3A0F"/>
    <w:rsid w:val="00CD7BCA"/>
    <w:rsid w:val="00CE2E1B"/>
    <w:rsid w:val="00CF50C8"/>
    <w:rsid w:val="00CF50C9"/>
    <w:rsid w:val="00CF6942"/>
    <w:rsid w:val="00D107DC"/>
    <w:rsid w:val="00D21046"/>
    <w:rsid w:val="00D2558B"/>
    <w:rsid w:val="00D30467"/>
    <w:rsid w:val="00D61428"/>
    <w:rsid w:val="00D635C3"/>
    <w:rsid w:val="00D6501B"/>
    <w:rsid w:val="00DA6177"/>
    <w:rsid w:val="00DA69C4"/>
    <w:rsid w:val="00DB4E7D"/>
    <w:rsid w:val="00DB7321"/>
    <w:rsid w:val="00DC01A7"/>
    <w:rsid w:val="00DC1B45"/>
    <w:rsid w:val="00DC2513"/>
    <w:rsid w:val="00DC67AF"/>
    <w:rsid w:val="00DC6CD4"/>
    <w:rsid w:val="00DE3A84"/>
    <w:rsid w:val="00DE7F3B"/>
    <w:rsid w:val="00E00EE4"/>
    <w:rsid w:val="00E03C00"/>
    <w:rsid w:val="00E05368"/>
    <w:rsid w:val="00E12D07"/>
    <w:rsid w:val="00E24800"/>
    <w:rsid w:val="00E2671E"/>
    <w:rsid w:val="00E31551"/>
    <w:rsid w:val="00E33220"/>
    <w:rsid w:val="00E5399C"/>
    <w:rsid w:val="00E62D7B"/>
    <w:rsid w:val="00E7662D"/>
    <w:rsid w:val="00E76EC5"/>
    <w:rsid w:val="00E779C6"/>
    <w:rsid w:val="00EA2A72"/>
    <w:rsid w:val="00EB0A45"/>
    <w:rsid w:val="00F0137A"/>
    <w:rsid w:val="00F0191B"/>
    <w:rsid w:val="00F12731"/>
    <w:rsid w:val="00F21E3C"/>
    <w:rsid w:val="00F22835"/>
    <w:rsid w:val="00F47E4C"/>
    <w:rsid w:val="00F52658"/>
    <w:rsid w:val="00F55B82"/>
    <w:rsid w:val="00F56EC7"/>
    <w:rsid w:val="00F76412"/>
    <w:rsid w:val="00F83813"/>
    <w:rsid w:val="00F90332"/>
    <w:rsid w:val="00F91BB2"/>
    <w:rsid w:val="00F930CB"/>
    <w:rsid w:val="00FD3C86"/>
    <w:rsid w:val="00FE74DE"/>
    <w:rsid w:val="00FE7E2D"/>
    <w:rsid w:val="00FF0F61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6D980A-5E4C-4D91-A0A5-A10A3204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3"/>
        <w:szCs w:val="23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658"/>
    <w:pPr>
      <w:spacing w:after="12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19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19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BA1912"/>
    <w:pPr>
      <w:spacing w:after="600" w:line="276" w:lineRule="auto"/>
    </w:pPr>
    <w:rPr>
      <w:rFonts w:eastAsiaTheme="majorEastAsia" w:cstheme="majorBidi"/>
      <w:i/>
      <w:iCs/>
      <w:spacing w:val="13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A1912"/>
    <w:rPr>
      <w:rFonts w:eastAsiaTheme="majorEastAsia" w:cstheme="majorBidi"/>
      <w:i/>
      <w:iCs/>
      <w:spacing w:val="13"/>
      <w:sz w:val="28"/>
      <w:szCs w:val="24"/>
    </w:rPr>
  </w:style>
  <w:style w:type="character" w:styleId="Hyperlink">
    <w:name w:val="Hyperlink"/>
    <w:basedOn w:val="DefaultParagraphFont"/>
    <w:uiPriority w:val="99"/>
    <w:rsid w:val="00BA1912"/>
    <w:rPr>
      <w:rFonts w:ascii="Arial" w:hAnsi="Arial" w:cs="Times New Roman"/>
      <w:color w:val="701471"/>
      <w:sz w:val="2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A19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A1912"/>
    <w:pPr>
      <w:keepNext w:val="0"/>
      <w:keepLines w:val="0"/>
      <w:spacing w:before="0" w:after="360"/>
      <w:jc w:val="center"/>
      <w:outlineLvl w:val="9"/>
    </w:pPr>
    <w:rPr>
      <w:rFonts w:ascii="Arial" w:hAnsi="Arial"/>
      <w:b/>
      <w:bCs/>
      <w:color w:val="auto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47E4C"/>
    <w:pPr>
      <w:tabs>
        <w:tab w:val="right" w:leader="dot" w:pos="9016"/>
      </w:tabs>
      <w:spacing w:before="120" w:line="276" w:lineRule="auto"/>
    </w:pPr>
    <w:rPr>
      <w:rFonts w:asciiTheme="minorHAnsi" w:eastAsia="Times New Roman" w:hAnsiTheme="minorHAnsi" w:cstheme="minorHAnsi"/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BA1912"/>
    <w:pPr>
      <w:spacing w:after="0" w:line="276" w:lineRule="auto"/>
      <w:ind w:left="220"/>
    </w:pPr>
    <w:rPr>
      <w:rFonts w:asciiTheme="minorHAnsi" w:eastAsiaTheme="minorEastAsia" w:hAnsiTheme="minorHAnsi" w:cstheme="minorHAnsi"/>
      <w:smallCap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19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nhideWhenUsed/>
    <w:rsid w:val="003F619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3F6190"/>
  </w:style>
  <w:style w:type="paragraph" w:styleId="Footer">
    <w:name w:val="footer"/>
    <w:basedOn w:val="Normal"/>
    <w:link w:val="FooterChar"/>
    <w:uiPriority w:val="99"/>
    <w:unhideWhenUsed/>
    <w:rsid w:val="003F619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F6190"/>
  </w:style>
  <w:style w:type="character" w:customStyle="1" w:styleId="Instruction">
    <w:name w:val="Instruction"/>
    <w:rsid w:val="007D0B60"/>
    <w:rPr>
      <w:i/>
      <w:color w:val="FF0000"/>
    </w:rPr>
  </w:style>
  <w:style w:type="paragraph" w:styleId="BodyText">
    <w:name w:val="Body Text"/>
    <w:aliases w:val="body text,Body Text 1,Body,Heading 1 text,BodyText,heading3,Body Text - Level 2,bt,Body Text Char1 Char Char,Body Text Char1 Char"/>
    <w:basedOn w:val="Normal"/>
    <w:link w:val="BodyTextChar"/>
    <w:uiPriority w:val="1"/>
    <w:qFormat/>
    <w:rsid w:val="007D0B60"/>
    <w:pPr>
      <w:spacing w:before="80"/>
      <w:ind w:left="902"/>
      <w:jc w:val="both"/>
    </w:pPr>
    <w:rPr>
      <w:rFonts w:eastAsia="Times New Roman" w:cs="Times New Roman"/>
      <w:szCs w:val="24"/>
      <w:lang w:val="x-none"/>
    </w:rPr>
  </w:style>
  <w:style w:type="character" w:customStyle="1" w:styleId="BodyTextChar">
    <w:name w:val="Body Text Char"/>
    <w:aliases w:val="body text Char,Body Text 1 Char,Body Char,Heading 1 text Char,BodyText Char,heading3 Char,Body Text - Level 2 Char,bt Char,Body Text Char1 Char Char Char,Body Text Char1 Char Char1"/>
    <w:basedOn w:val="DefaultParagraphFont"/>
    <w:link w:val="BodyText"/>
    <w:uiPriority w:val="1"/>
    <w:rsid w:val="007D0B60"/>
    <w:rPr>
      <w:rFonts w:eastAsia="Times New Roman" w:cs="Times New Roman"/>
      <w:sz w:val="24"/>
      <w:szCs w:val="24"/>
      <w:lang w:val="x-none"/>
    </w:rPr>
  </w:style>
  <w:style w:type="character" w:styleId="CommentReference">
    <w:name w:val="annotation reference"/>
    <w:basedOn w:val="DefaultParagraphFont"/>
    <w:uiPriority w:val="99"/>
    <w:unhideWhenUsed/>
    <w:rsid w:val="007D0B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0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0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B6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B60"/>
    <w:rPr>
      <w:rFonts w:ascii="Segoe UI" w:hAnsi="Segoe UI" w:cs="Segoe UI"/>
      <w:sz w:val="18"/>
      <w:szCs w:val="18"/>
    </w:rPr>
  </w:style>
  <w:style w:type="character" w:styleId="Strong">
    <w:name w:val="Strong"/>
    <w:qFormat/>
    <w:rsid w:val="001B7E4C"/>
    <w:rPr>
      <w:b/>
      <w:bCs/>
    </w:rPr>
  </w:style>
  <w:style w:type="paragraph" w:customStyle="1" w:styleId="TableText">
    <w:name w:val="Table Text"/>
    <w:basedOn w:val="BodyText"/>
    <w:link w:val="TableTextChar"/>
    <w:uiPriority w:val="99"/>
    <w:rsid w:val="001B7E4C"/>
    <w:pPr>
      <w:spacing w:before="40" w:after="80"/>
      <w:ind w:left="0"/>
      <w:jc w:val="left"/>
    </w:pPr>
    <w:rPr>
      <w:sz w:val="20"/>
    </w:rPr>
  </w:style>
  <w:style w:type="character" w:customStyle="1" w:styleId="Optional">
    <w:name w:val="Optional"/>
    <w:rsid w:val="001B7E4C"/>
    <w:rPr>
      <w:color w:val="0000FF"/>
    </w:rPr>
  </w:style>
  <w:style w:type="character" w:customStyle="1" w:styleId="TableTextChar">
    <w:name w:val="Table Text Char"/>
    <w:link w:val="TableText"/>
    <w:uiPriority w:val="99"/>
    <w:locked/>
    <w:rsid w:val="001B7E4C"/>
    <w:rPr>
      <w:rFonts w:eastAsia="Times New Roman" w:cs="Times New Roman"/>
      <w:sz w:val="20"/>
      <w:szCs w:val="24"/>
      <w:lang w:val="x-none"/>
    </w:rPr>
  </w:style>
  <w:style w:type="paragraph" w:customStyle="1" w:styleId="BodyTextbullet">
    <w:name w:val="Body Text (bullet)"/>
    <w:basedOn w:val="BodyText"/>
    <w:rsid w:val="0027513D"/>
    <w:pPr>
      <w:numPr>
        <w:numId w:val="5"/>
      </w:numPr>
    </w:pPr>
  </w:style>
  <w:style w:type="paragraph" w:customStyle="1" w:styleId="Respondent">
    <w:name w:val="Respondent"/>
    <w:basedOn w:val="BodyText"/>
    <w:rsid w:val="0091228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</w:pPr>
  </w:style>
  <w:style w:type="paragraph" w:customStyle="1" w:styleId="NormTextIndent">
    <w:name w:val="Norm Text Indent"/>
    <w:basedOn w:val="Normal"/>
    <w:rsid w:val="0086094D"/>
    <w:pPr>
      <w:spacing w:before="80"/>
      <w:ind w:left="360"/>
      <w:jc w:val="both"/>
    </w:pPr>
    <w:rPr>
      <w:rFonts w:eastAsia="Times New Roman" w:cs="Times New Roman"/>
      <w:szCs w:val="24"/>
      <w:lang w:val="x-none"/>
    </w:rPr>
  </w:style>
  <w:style w:type="character" w:customStyle="1" w:styleId="OptionalBold">
    <w:name w:val="Optional (Bold)"/>
    <w:rsid w:val="0086094D"/>
    <w:rPr>
      <w:b/>
      <w:color w:val="0000FF"/>
    </w:rPr>
  </w:style>
  <w:style w:type="character" w:customStyle="1" w:styleId="Instructionbold">
    <w:name w:val="Instruction (bold)"/>
    <w:rsid w:val="0086094D"/>
    <w:rPr>
      <w:b/>
      <w:i/>
      <w:color w:val="FF0000"/>
    </w:rPr>
  </w:style>
  <w:style w:type="paragraph" w:customStyle="1" w:styleId="NormTextIndentbullet">
    <w:name w:val="Norm Text Indent (bullet)"/>
    <w:basedOn w:val="Normal"/>
    <w:rsid w:val="0086094D"/>
    <w:pPr>
      <w:tabs>
        <w:tab w:val="left" w:pos="900"/>
      </w:tabs>
      <w:spacing w:before="80"/>
      <w:ind w:left="900" w:hanging="540"/>
      <w:jc w:val="both"/>
    </w:pPr>
    <w:rPr>
      <w:rFonts w:eastAsia="Times New Roman" w:cs="Times New Roman"/>
      <w:szCs w:val="24"/>
      <w:lang w:val="x-none"/>
    </w:rPr>
  </w:style>
  <w:style w:type="paragraph" w:styleId="ListParagraph">
    <w:name w:val="List Paragraph"/>
    <w:basedOn w:val="Normal"/>
    <w:link w:val="ListParagraphChar"/>
    <w:uiPriority w:val="34"/>
    <w:qFormat/>
    <w:rsid w:val="00121BBA"/>
    <w:pPr>
      <w:spacing w:after="0"/>
      <w:ind w:left="720"/>
    </w:pPr>
    <w:rPr>
      <w:rFonts w:eastAsia="Times New Roman" w:cs="Times New Roman"/>
      <w:szCs w:val="24"/>
    </w:rPr>
  </w:style>
  <w:style w:type="paragraph" w:customStyle="1" w:styleId="Headline">
    <w:name w:val="Headline"/>
    <w:basedOn w:val="BodyText"/>
    <w:next w:val="BodyText"/>
    <w:rsid w:val="0086094D"/>
    <w:pPr>
      <w:spacing w:before="480"/>
    </w:pPr>
    <w:rPr>
      <w:b/>
      <w:sz w:val="36"/>
    </w:rPr>
  </w:style>
  <w:style w:type="paragraph" w:customStyle="1" w:styleId="Part">
    <w:name w:val="Part"/>
    <w:basedOn w:val="BodyText"/>
    <w:next w:val="Heading1"/>
    <w:rsid w:val="0086094D"/>
    <w:pPr>
      <w:keepNext/>
      <w:keepLines/>
      <w:ind w:left="0"/>
    </w:pPr>
    <w:rPr>
      <w:b/>
      <w:bCs/>
      <w:spacing w:val="4"/>
      <w:sz w:val="36"/>
    </w:rPr>
  </w:style>
  <w:style w:type="paragraph" w:customStyle="1" w:styleId="BodyText0after">
    <w:name w:val="Body Text (0 after)"/>
    <w:basedOn w:val="BodyText"/>
    <w:rsid w:val="0086094D"/>
    <w:pPr>
      <w:spacing w:after="0"/>
    </w:pPr>
  </w:style>
  <w:style w:type="paragraph" w:styleId="ListNumber">
    <w:name w:val="List Number"/>
    <w:aliases w:val="Blue  Numbered a"/>
    <w:basedOn w:val="Normal"/>
    <w:rsid w:val="00A00B2E"/>
    <w:pPr>
      <w:numPr>
        <w:numId w:val="6"/>
      </w:numPr>
      <w:tabs>
        <w:tab w:val="clear" w:pos="360"/>
        <w:tab w:val="num" w:pos="1134"/>
      </w:tabs>
      <w:ind w:left="1134" w:hanging="567"/>
      <w:jc w:val="both"/>
    </w:pPr>
    <w:rPr>
      <w:rFonts w:eastAsia="Times New Roman" w:cs="Times New Roman"/>
      <w:color w:val="0000FF"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AB2997"/>
    <w:pPr>
      <w:spacing w:after="100"/>
      <w:ind w:left="460"/>
    </w:pPr>
  </w:style>
  <w:style w:type="paragraph" w:customStyle="1" w:styleId="InstructionOR">
    <w:name w:val="Instruction (OR)"/>
    <w:basedOn w:val="BodyText"/>
    <w:next w:val="BodyText"/>
    <w:rsid w:val="00426C75"/>
    <w:pPr>
      <w:jc w:val="center"/>
    </w:pPr>
    <w:rPr>
      <w:b/>
      <w:color w:val="FF0000"/>
    </w:rPr>
  </w:style>
  <w:style w:type="paragraph" w:customStyle="1" w:styleId="Hintsandtips">
    <w:name w:val="Hints and tips"/>
    <w:basedOn w:val="Normal"/>
    <w:qFormat/>
    <w:rsid w:val="00A919F0"/>
    <w:pPr>
      <w:numPr>
        <w:numId w:val="10"/>
      </w:numPr>
      <w:spacing w:before="120" w:line="300" w:lineRule="auto"/>
      <w:ind w:left="623" w:right="113" w:hanging="510"/>
      <w:jc w:val="both"/>
    </w:pPr>
    <w:rPr>
      <w:szCs w:val="40"/>
    </w:rPr>
  </w:style>
  <w:style w:type="character" w:customStyle="1" w:styleId="Item">
    <w:name w:val="Item"/>
    <w:rsid w:val="00D107DC"/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21BBA"/>
    <w:rPr>
      <w:rFonts w:eastAsia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F7AD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E7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.gov.au/government/publications/market-led-proposals-polic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wa.gov.au/government/document-collections/state-supply-commission-polic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asteauthority.wa.gov.au/images/resources/files/2019/10/Strategic_Direction_-_Waste_Avoidance_and_Resource_Recovery_Strategy_2030_Action_Plan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A36CD-4AD1-440B-8B34-A5F9E1B1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Abbott</dc:creator>
  <cp:keywords/>
  <dc:description/>
  <cp:lastModifiedBy>Gray, Victoria</cp:lastModifiedBy>
  <cp:revision>1</cp:revision>
  <dcterms:created xsi:type="dcterms:W3CDTF">2020-03-16T05:20:00Z</dcterms:created>
  <dcterms:modified xsi:type="dcterms:W3CDTF">2020-03-16T05:20:00Z</dcterms:modified>
</cp:coreProperties>
</file>