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sz w:val="20"/>
        </w:rPr>
      </w:pPr>
      <w:r>
        <w:rPr>
          <w:rFonts w:ascii="Times New Roman"/>
          <w:sz w:val="20"/>
        </w:rPr>
        <w:drawing>
          <wp:inline distT="0" distB="0" distL="0" distR="0">
            <wp:extent cx="6538356" cy="75542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538356" cy="755427"/>
                    </a:xfrm>
                    <a:prstGeom prst="rect">
                      <a:avLst/>
                    </a:prstGeom>
                  </pic:spPr>
                </pic:pic>
              </a:graphicData>
            </a:graphic>
          </wp:inline>
        </w:drawing>
      </w:r>
      <w:r>
        <w:rPr>
          <w:rFonts w:ascii="Times New Roman"/>
          <w:sz w:val="20"/>
        </w:rPr>
      </w:r>
    </w:p>
    <w:p>
      <w:pPr>
        <w:pStyle w:val="BodyText"/>
        <w:spacing w:before="2"/>
        <w:rPr>
          <w:rFonts w:ascii="Times New Roman"/>
          <w:sz w:val="11"/>
        </w:rPr>
      </w:pPr>
    </w:p>
    <w:p>
      <w:pPr>
        <w:spacing w:before="44"/>
        <w:ind w:left="1639" w:right="1512" w:firstLine="0"/>
        <w:jc w:val="center"/>
        <w:rPr>
          <w:b/>
          <w:sz w:val="28"/>
        </w:rPr>
      </w:pPr>
      <w:r>
        <w:rPr>
          <w:b/>
          <w:sz w:val="28"/>
        </w:rPr>
        <w:t>Western Australian Public Sector Workforce Report (June 2011)</w:t>
      </w:r>
    </w:p>
    <w:p>
      <w:pPr>
        <w:pStyle w:val="BodyText"/>
        <w:spacing w:before="118"/>
        <w:ind w:left="597" w:right="464"/>
        <w:jc w:val="both"/>
      </w:pPr>
      <w:r>
        <w:rPr/>
        <w:t>In 2007/08, the Department of the Premier and Cabinet (DPC) introduced a new information system to improve workforce reporting on the Western Australian public sector.</w:t>
      </w:r>
      <w:r>
        <w:rPr>
          <w:vertAlign w:val="superscript"/>
        </w:rPr>
        <w:t>1</w:t>
      </w:r>
      <w:r>
        <w:rPr>
          <w:vertAlign w:val="baseline"/>
        </w:rPr>
        <w:t> This process is referred to as the </w:t>
      </w:r>
      <w:r>
        <w:rPr>
          <w:i/>
          <w:vertAlign w:val="baseline"/>
        </w:rPr>
        <w:t>Human Resource Minimum Obligatory Information Requirements </w:t>
      </w:r>
      <w:r>
        <w:rPr>
          <w:vertAlign w:val="baseline"/>
        </w:rPr>
        <w:t>(HRMOIR). The Public Sector Commission (PSC) was created in November 2008 and is continuing this</w:t>
      </w:r>
      <w:r>
        <w:rPr>
          <w:spacing w:val="-17"/>
          <w:vertAlign w:val="baseline"/>
        </w:rPr>
        <w:t> </w:t>
      </w:r>
      <w:r>
        <w:rPr>
          <w:vertAlign w:val="baseline"/>
        </w:rPr>
        <w:t>process.</w:t>
      </w:r>
    </w:p>
    <w:p>
      <w:pPr>
        <w:pStyle w:val="BodyText"/>
        <w:spacing w:before="121"/>
        <w:ind w:left="597"/>
        <w:jc w:val="both"/>
      </w:pPr>
      <w:r>
        <w:rPr/>
        <w:t>This report provides information, as at 30 June 2011, on:</w:t>
      </w:r>
    </w:p>
    <w:p>
      <w:pPr>
        <w:pStyle w:val="ListParagraph"/>
        <w:numPr>
          <w:ilvl w:val="0"/>
          <w:numId w:val="1"/>
        </w:numPr>
        <w:tabs>
          <w:tab w:pos="1318" w:val="left" w:leader="none"/>
        </w:tabs>
        <w:spacing w:line="276" w:lineRule="exact" w:before="106" w:after="0"/>
        <w:ind w:left="1317" w:right="0" w:hanging="361"/>
        <w:jc w:val="both"/>
        <w:rPr>
          <w:sz w:val="22"/>
        </w:rPr>
      </w:pPr>
      <w:r>
        <w:rPr>
          <w:sz w:val="22"/>
        </w:rPr>
        <w:t>Headcount</w:t>
      </w:r>
      <w:r>
        <w:rPr>
          <w:position w:val="10"/>
          <w:sz w:val="13"/>
        </w:rPr>
        <w:t>2 </w:t>
      </w:r>
      <w:r>
        <w:rPr>
          <w:sz w:val="22"/>
        </w:rPr>
        <w:t>- the number of employees in WA public sector</w:t>
      </w:r>
      <w:r>
        <w:rPr>
          <w:spacing w:val="-21"/>
          <w:sz w:val="22"/>
        </w:rPr>
        <w:t> </w:t>
      </w:r>
      <w:r>
        <w:rPr>
          <w:sz w:val="22"/>
        </w:rPr>
        <w:t>agencies;</w:t>
      </w:r>
    </w:p>
    <w:p>
      <w:pPr>
        <w:pStyle w:val="ListParagraph"/>
        <w:numPr>
          <w:ilvl w:val="0"/>
          <w:numId w:val="1"/>
        </w:numPr>
        <w:tabs>
          <w:tab w:pos="1318" w:val="left" w:leader="none"/>
        </w:tabs>
        <w:spacing w:line="276" w:lineRule="exact" w:before="0" w:after="0"/>
        <w:ind w:left="1317" w:right="0" w:hanging="361"/>
        <w:jc w:val="both"/>
        <w:rPr>
          <w:sz w:val="22"/>
        </w:rPr>
      </w:pPr>
      <w:r>
        <w:rPr>
          <w:sz w:val="22"/>
        </w:rPr>
        <w:t>Paid FTE</w:t>
      </w:r>
      <w:r>
        <w:rPr>
          <w:position w:val="10"/>
          <w:sz w:val="13"/>
        </w:rPr>
        <w:t>3 </w:t>
      </w:r>
      <w:r>
        <w:rPr>
          <w:sz w:val="22"/>
        </w:rPr>
        <w:t>- full time equivalent (FTE) employees in WA public sector agencies;</w:t>
      </w:r>
      <w:r>
        <w:rPr>
          <w:spacing w:val="-25"/>
          <w:sz w:val="22"/>
        </w:rPr>
        <w:t> </w:t>
      </w:r>
      <w:r>
        <w:rPr>
          <w:sz w:val="22"/>
        </w:rPr>
        <w:t>and</w:t>
      </w:r>
    </w:p>
    <w:p>
      <w:pPr>
        <w:pStyle w:val="ListParagraph"/>
        <w:numPr>
          <w:ilvl w:val="0"/>
          <w:numId w:val="1"/>
        </w:numPr>
        <w:tabs>
          <w:tab w:pos="1318" w:val="left" w:leader="none"/>
        </w:tabs>
        <w:spacing w:line="240" w:lineRule="auto" w:before="1" w:after="0"/>
        <w:ind w:left="1317" w:right="464" w:hanging="360"/>
        <w:jc w:val="both"/>
        <w:rPr>
          <w:sz w:val="22"/>
        </w:rPr>
      </w:pPr>
      <w:r>
        <w:rPr>
          <w:sz w:val="22"/>
        </w:rPr>
        <w:t>Average Paid FTE</w:t>
      </w:r>
      <w:r>
        <w:rPr>
          <w:sz w:val="22"/>
          <w:vertAlign w:val="superscript"/>
        </w:rPr>
        <w:t>4</w:t>
      </w:r>
      <w:r>
        <w:rPr>
          <w:sz w:val="22"/>
          <w:vertAlign w:val="baseline"/>
        </w:rPr>
        <w:t> - Seasonally adjusted average full time equivalent (FTE) employees in WA  public sector</w:t>
      </w:r>
      <w:r>
        <w:rPr>
          <w:spacing w:val="-1"/>
          <w:sz w:val="22"/>
          <w:vertAlign w:val="baseline"/>
        </w:rPr>
        <w:t> </w:t>
      </w:r>
      <w:r>
        <w:rPr>
          <w:sz w:val="22"/>
          <w:vertAlign w:val="baseline"/>
        </w:rPr>
        <w:t>agencies.</w:t>
      </w:r>
    </w:p>
    <w:p>
      <w:pPr>
        <w:pStyle w:val="BodyText"/>
        <w:spacing w:before="118"/>
        <w:ind w:left="597" w:right="463"/>
        <w:jc w:val="both"/>
      </w:pPr>
      <w:r>
        <w:rPr/>
        <w:t>In accordance with the Premier’s Economic  Statement  in  February  2009  and the  Cabinet  decision of 27 July 2009, an FTE ceiling has been applied to public sector agencies. PSC is assisting the Department of Treasury and Finance (DTF) with the monitoring and reporting against this requirement. This Workforce Report categorises agencies that are required to meet the FTE ceiling, and those not required to do so. Note, there are five agencies that are required to comply with an FTE ceiling that do not report HRMOIR data to PSC (refer Table</w:t>
      </w:r>
      <w:r>
        <w:rPr>
          <w:spacing w:val="-2"/>
        </w:rPr>
        <w:t> </w:t>
      </w:r>
      <w:r>
        <w:rPr/>
        <w:t>2).</w:t>
      </w:r>
    </w:p>
    <w:p>
      <w:pPr>
        <w:pStyle w:val="BodyText"/>
        <w:spacing w:before="122"/>
        <w:ind w:left="597" w:right="467"/>
        <w:jc w:val="both"/>
      </w:pPr>
      <w:r>
        <w:rPr/>
        <w:t>Since the September 2010 quarter, DTF’s methodology used to calculate agencies’ FTE ceilings has been aligned to PSC’s FTE methodology. However, direct comparisons between the FTE ceiling and ‘Average Paid FTE’, should still be done with care.</w:t>
      </w:r>
    </w:p>
    <w:p>
      <w:pPr>
        <w:spacing w:line="240" w:lineRule="auto" w:before="9"/>
        <w:rPr>
          <w:sz w:val="31"/>
        </w:rPr>
      </w:pPr>
    </w:p>
    <w:p>
      <w:pPr>
        <w:pStyle w:val="BodyText"/>
        <w:spacing w:after="3"/>
        <w:ind w:left="597"/>
        <w:jc w:val="both"/>
      </w:pPr>
      <w:r>
        <w:rPr>
          <w:color w:val="933634"/>
        </w:rPr>
        <w:t>Table 1: Agencies Subject to a 2010/11 FTE Ceiling</w:t>
      </w: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7"/>
        <w:gridCol w:w="1596"/>
        <w:gridCol w:w="1295"/>
        <w:gridCol w:w="1126"/>
      </w:tblGrid>
      <w:tr>
        <w:trPr>
          <w:trHeight w:val="488" w:hRule="atLeast"/>
        </w:trPr>
        <w:tc>
          <w:tcPr>
            <w:tcW w:w="5607" w:type="dxa"/>
            <w:tcBorders>
              <w:top w:val="single" w:sz="8" w:space="0" w:color="4F81BC"/>
              <w:bottom w:val="single" w:sz="8" w:space="0" w:color="4F81BC"/>
            </w:tcBorders>
          </w:tcPr>
          <w:p>
            <w:pPr>
              <w:pStyle w:val="TableParagraph"/>
              <w:spacing w:before="0"/>
              <w:jc w:val="left"/>
              <w:rPr>
                <w:rFonts w:ascii="Times New Roman"/>
                <w:sz w:val="20"/>
              </w:rPr>
            </w:pPr>
          </w:p>
        </w:tc>
        <w:tc>
          <w:tcPr>
            <w:tcW w:w="1596" w:type="dxa"/>
            <w:tcBorders>
              <w:top w:val="single" w:sz="8" w:space="0" w:color="4F81BC"/>
              <w:bottom w:val="single" w:sz="8" w:space="0" w:color="4F81BC"/>
            </w:tcBorders>
          </w:tcPr>
          <w:p>
            <w:pPr>
              <w:pStyle w:val="TableParagraph"/>
              <w:spacing w:line="243" w:lineRule="exact" w:before="1"/>
              <w:ind w:left="444"/>
              <w:jc w:val="left"/>
              <w:rPr>
                <w:b/>
                <w:sz w:val="20"/>
              </w:rPr>
            </w:pPr>
            <w:r>
              <w:rPr>
                <w:b/>
                <w:sz w:val="20"/>
              </w:rPr>
              <w:t>Headcount</w:t>
            </w:r>
          </w:p>
          <w:p>
            <w:pPr>
              <w:pStyle w:val="TableParagraph"/>
              <w:spacing w:line="224" w:lineRule="exact" w:before="0"/>
              <w:ind w:left="557"/>
              <w:jc w:val="left"/>
              <w:rPr>
                <w:b/>
                <w:sz w:val="20"/>
              </w:rPr>
            </w:pPr>
            <w:r>
              <w:rPr>
                <w:b/>
                <w:sz w:val="20"/>
              </w:rPr>
              <w:t>Jun</w:t>
            </w:r>
            <w:r>
              <w:rPr>
                <w:b/>
                <w:spacing w:val="-7"/>
                <w:sz w:val="20"/>
              </w:rPr>
              <w:t> </w:t>
            </w:r>
            <w:r>
              <w:rPr>
                <w:b/>
                <w:sz w:val="20"/>
              </w:rPr>
              <w:t>2011</w:t>
            </w:r>
            <w:r>
              <w:rPr>
                <w:b/>
                <w:sz w:val="20"/>
                <w:vertAlign w:val="superscript"/>
              </w:rPr>
              <w:t>2</w:t>
            </w:r>
          </w:p>
        </w:tc>
        <w:tc>
          <w:tcPr>
            <w:tcW w:w="1295" w:type="dxa"/>
            <w:tcBorders>
              <w:top w:val="single" w:sz="8" w:space="0" w:color="4F81BC"/>
              <w:bottom w:val="single" w:sz="8" w:space="0" w:color="4F81BC"/>
            </w:tcBorders>
          </w:tcPr>
          <w:p>
            <w:pPr>
              <w:pStyle w:val="TableParagraph"/>
              <w:spacing w:line="243" w:lineRule="exact" w:before="1"/>
              <w:ind w:left="341"/>
              <w:jc w:val="left"/>
              <w:rPr>
                <w:b/>
                <w:sz w:val="20"/>
              </w:rPr>
            </w:pPr>
            <w:r>
              <w:rPr>
                <w:b/>
                <w:sz w:val="20"/>
              </w:rPr>
              <w:t>Paid</w:t>
            </w:r>
            <w:r>
              <w:rPr>
                <w:b/>
                <w:spacing w:val="-5"/>
                <w:sz w:val="20"/>
              </w:rPr>
              <w:t> </w:t>
            </w:r>
            <w:r>
              <w:rPr>
                <w:b/>
                <w:sz w:val="20"/>
              </w:rPr>
              <w:t>FTE</w:t>
            </w:r>
          </w:p>
          <w:p>
            <w:pPr>
              <w:pStyle w:val="TableParagraph"/>
              <w:spacing w:line="224" w:lineRule="exact" w:before="0"/>
              <w:ind w:left="238"/>
              <w:jc w:val="left"/>
              <w:rPr>
                <w:b/>
                <w:sz w:val="20"/>
              </w:rPr>
            </w:pPr>
            <w:r>
              <w:rPr>
                <w:b/>
                <w:sz w:val="20"/>
              </w:rPr>
              <w:t>Jun</w:t>
            </w:r>
            <w:r>
              <w:rPr>
                <w:b/>
                <w:spacing w:val="-8"/>
                <w:sz w:val="20"/>
              </w:rPr>
              <w:t> </w:t>
            </w:r>
            <w:r>
              <w:rPr>
                <w:b/>
                <w:sz w:val="20"/>
              </w:rPr>
              <w:t>2011</w:t>
            </w:r>
            <w:r>
              <w:rPr>
                <w:b/>
                <w:sz w:val="20"/>
                <w:vertAlign w:val="superscript"/>
              </w:rPr>
              <w:t>3</w:t>
            </w:r>
          </w:p>
        </w:tc>
        <w:tc>
          <w:tcPr>
            <w:tcW w:w="1126" w:type="dxa"/>
            <w:tcBorders>
              <w:top w:val="single" w:sz="8" w:space="0" w:color="4F81BC"/>
              <w:bottom w:val="single" w:sz="8" w:space="0" w:color="4F81BC"/>
            </w:tcBorders>
          </w:tcPr>
          <w:p>
            <w:pPr>
              <w:pStyle w:val="TableParagraph"/>
              <w:spacing w:line="243" w:lineRule="exact" w:before="1"/>
              <w:ind w:left="338"/>
              <w:jc w:val="left"/>
              <w:rPr>
                <w:b/>
                <w:sz w:val="20"/>
              </w:rPr>
            </w:pPr>
            <w:r>
              <w:rPr>
                <w:b/>
                <w:sz w:val="20"/>
              </w:rPr>
              <w:t>Average</w:t>
            </w:r>
          </w:p>
          <w:p>
            <w:pPr>
              <w:pStyle w:val="TableParagraph"/>
              <w:spacing w:line="224" w:lineRule="exact" w:before="0"/>
              <w:ind w:left="256"/>
              <w:jc w:val="left"/>
              <w:rPr>
                <w:b/>
                <w:sz w:val="20"/>
              </w:rPr>
            </w:pPr>
            <w:r>
              <w:rPr>
                <w:b/>
                <w:sz w:val="20"/>
              </w:rPr>
              <w:t>Paid</w:t>
            </w:r>
            <w:r>
              <w:rPr>
                <w:b/>
                <w:spacing w:val="-6"/>
                <w:sz w:val="20"/>
              </w:rPr>
              <w:t> </w:t>
            </w:r>
            <w:r>
              <w:rPr>
                <w:b/>
                <w:sz w:val="20"/>
              </w:rPr>
              <w:t>FTE</w:t>
            </w:r>
            <w:r>
              <w:rPr>
                <w:b/>
                <w:sz w:val="20"/>
                <w:vertAlign w:val="superscript"/>
              </w:rPr>
              <w:t>4</w:t>
            </w:r>
          </w:p>
        </w:tc>
      </w:tr>
      <w:tr>
        <w:trPr>
          <w:trHeight w:val="299" w:hRule="atLeast"/>
        </w:trPr>
        <w:tc>
          <w:tcPr>
            <w:tcW w:w="5607" w:type="dxa"/>
            <w:tcBorders>
              <w:top w:val="single" w:sz="8" w:space="0" w:color="4F81BC"/>
            </w:tcBorders>
            <w:shd w:val="clear" w:color="auto" w:fill="D2DFED"/>
          </w:tcPr>
          <w:p>
            <w:pPr>
              <w:pStyle w:val="TableParagraph"/>
              <w:spacing w:before="27"/>
              <w:ind w:left="122"/>
              <w:jc w:val="left"/>
              <w:rPr>
                <w:b/>
                <w:sz w:val="20"/>
              </w:rPr>
            </w:pPr>
            <w:r>
              <w:rPr>
                <w:b/>
                <w:sz w:val="20"/>
              </w:rPr>
              <w:t>Department of Education</w:t>
            </w:r>
          </w:p>
        </w:tc>
        <w:tc>
          <w:tcPr>
            <w:tcW w:w="1596" w:type="dxa"/>
            <w:tcBorders>
              <w:top w:val="single" w:sz="8" w:space="0" w:color="4F81BC"/>
            </w:tcBorders>
            <w:shd w:val="clear" w:color="auto" w:fill="D2DFED"/>
          </w:tcPr>
          <w:p>
            <w:pPr>
              <w:pStyle w:val="TableParagraph"/>
              <w:spacing w:line="266" w:lineRule="exact" w:before="13"/>
              <w:ind w:right="238"/>
              <w:rPr>
                <w:sz w:val="22"/>
              </w:rPr>
            </w:pPr>
            <w:r>
              <w:rPr>
                <w:sz w:val="22"/>
              </w:rPr>
              <w:t>50,943</w:t>
            </w:r>
          </w:p>
        </w:tc>
        <w:tc>
          <w:tcPr>
            <w:tcW w:w="1295" w:type="dxa"/>
            <w:tcBorders>
              <w:top w:val="single" w:sz="8" w:space="0" w:color="4F81BC"/>
            </w:tcBorders>
            <w:shd w:val="clear" w:color="auto" w:fill="D2DFED"/>
          </w:tcPr>
          <w:p>
            <w:pPr>
              <w:pStyle w:val="TableParagraph"/>
              <w:spacing w:line="266" w:lineRule="exact" w:before="13"/>
              <w:ind w:right="256"/>
              <w:rPr>
                <w:sz w:val="22"/>
              </w:rPr>
            </w:pPr>
            <w:r>
              <w:rPr>
                <w:sz w:val="22"/>
              </w:rPr>
              <w:t>33,646</w:t>
            </w:r>
          </w:p>
        </w:tc>
        <w:tc>
          <w:tcPr>
            <w:tcW w:w="1126" w:type="dxa"/>
            <w:tcBorders>
              <w:top w:val="single" w:sz="8" w:space="0" w:color="4F81BC"/>
            </w:tcBorders>
            <w:shd w:val="clear" w:color="auto" w:fill="D2DFED"/>
          </w:tcPr>
          <w:p>
            <w:pPr>
              <w:pStyle w:val="TableParagraph"/>
              <w:spacing w:line="266" w:lineRule="exact" w:before="13"/>
              <w:ind w:right="105"/>
              <w:rPr>
                <w:sz w:val="22"/>
              </w:rPr>
            </w:pPr>
            <w:r>
              <w:rPr>
                <w:sz w:val="22"/>
              </w:rPr>
              <w:t>33,647</w:t>
            </w:r>
          </w:p>
        </w:tc>
      </w:tr>
      <w:tr>
        <w:trPr>
          <w:trHeight w:val="299" w:hRule="atLeast"/>
        </w:trPr>
        <w:tc>
          <w:tcPr>
            <w:tcW w:w="5607" w:type="dxa"/>
          </w:tcPr>
          <w:p>
            <w:pPr>
              <w:pStyle w:val="TableParagraph"/>
              <w:spacing w:before="28"/>
              <w:ind w:left="122"/>
              <w:jc w:val="left"/>
              <w:rPr>
                <w:b/>
                <w:sz w:val="20"/>
              </w:rPr>
            </w:pPr>
            <w:r>
              <w:rPr>
                <w:b/>
                <w:sz w:val="20"/>
              </w:rPr>
              <w:t>Department of Health</w:t>
            </w:r>
          </w:p>
        </w:tc>
        <w:tc>
          <w:tcPr>
            <w:tcW w:w="1596" w:type="dxa"/>
          </w:tcPr>
          <w:p>
            <w:pPr>
              <w:pStyle w:val="TableParagraph"/>
              <w:spacing w:line="266" w:lineRule="exact" w:before="13"/>
              <w:ind w:right="238"/>
              <w:rPr>
                <w:sz w:val="22"/>
              </w:rPr>
            </w:pPr>
            <w:r>
              <w:rPr>
                <w:sz w:val="22"/>
              </w:rPr>
              <w:t>41,933</w:t>
            </w:r>
          </w:p>
        </w:tc>
        <w:tc>
          <w:tcPr>
            <w:tcW w:w="1295" w:type="dxa"/>
          </w:tcPr>
          <w:p>
            <w:pPr>
              <w:pStyle w:val="TableParagraph"/>
              <w:spacing w:line="266" w:lineRule="exact" w:before="13"/>
              <w:ind w:right="256"/>
              <w:rPr>
                <w:sz w:val="22"/>
              </w:rPr>
            </w:pPr>
            <w:r>
              <w:rPr>
                <w:sz w:val="22"/>
              </w:rPr>
              <w:t>32,885</w:t>
            </w:r>
          </w:p>
        </w:tc>
        <w:tc>
          <w:tcPr>
            <w:tcW w:w="1126" w:type="dxa"/>
          </w:tcPr>
          <w:p>
            <w:pPr>
              <w:pStyle w:val="TableParagraph"/>
              <w:spacing w:line="266" w:lineRule="exact" w:before="13"/>
              <w:ind w:right="105"/>
              <w:rPr>
                <w:sz w:val="22"/>
              </w:rPr>
            </w:pPr>
            <w:r>
              <w:rPr>
                <w:sz w:val="22"/>
              </w:rPr>
              <w:t>32,125</w:t>
            </w:r>
          </w:p>
        </w:tc>
      </w:tr>
      <w:tr>
        <w:trPr>
          <w:trHeight w:val="300" w:hRule="atLeast"/>
        </w:trPr>
        <w:tc>
          <w:tcPr>
            <w:tcW w:w="5607" w:type="dxa"/>
            <w:shd w:val="clear" w:color="auto" w:fill="D2DFED"/>
          </w:tcPr>
          <w:p>
            <w:pPr>
              <w:pStyle w:val="TableParagraph"/>
              <w:spacing w:before="28"/>
              <w:ind w:left="122"/>
              <w:jc w:val="left"/>
              <w:rPr>
                <w:b/>
                <w:sz w:val="20"/>
              </w:rPr>
            </w:pPr>
            <w:r>
              <w:rPr>
                <w:b/>
                <w:sz w:val="20"/>
              </w:rPr>
              <w:t>Police Service (Western Australia Police) and Police Force</w:t>
            </w:r>
          </w:p>
        </w:tc>
        <w:tc>
          <w:tcPr>
            <w:tcW w:w="1596" w:type="dxa"/>
            <w:shd w:val="clear" w:color="auto" w:fill="D2DFED"/>
          </w:tcPr>
          <w:p>
            <w:pPr>
              <w:pStyle w:val="TableParagraph"/>
              <w:spacing w:line="266" w:lineRule="exact" w:before="13"/>
              <w:ind w:right="238"/>
              <w:rPr>
                <w:sz w:val="22"/>
              </w:rPr>
            </w:pPr>
            <w:r>
              <w:rPr>
                <w:sz w:val="22"/>
              </w:rPr>
              <w:t>8,551</w:t>
            </w:r>
          </w:p>
        </w:tc>
        <w:tc>
          <w:tcPr>
            <w:tcW w:w="1295" w:type="dxa"/>
            <w:shd w:val="clear" w:color="auto" w:fill="D2DFED"/>
          </w:tcPr>
          <w:p>
            <w:pPr>
              <w:pStyle w:val="TableParagraph"/>
              <w:spacing w:line="266" w:lineRule="exact" w:before="13"/>
              <w:ind w:right="256"/>
              <w:rPr>
                <w:sz w:val="22"/>
              </w:rPr>
            </w:pPr>
            <w:r>
              <w:rPr>
                <w:sz w:val="22"/>
              </w:rPr>
              <w:t>7,656</w:t>
            </w:r>
          </w:p>
        </w:tc>
        <w:tc>
          <w:tcPr>
            <w:tcW w:w="1126" w:type="dxa"/>
            <w:shd w:val="clear" w:color="auto" w:fill="D2DFED"/>
          </w:tcPr>
          <w:p>
            <w:pPr>
              <w:pStyle w:val="TableParagraph"/>
              <w:spacing w:line="266" w:lineRule="exact" w:before="13"/>
              <w:ind w:right="105"/>
              <w:rPr>
                <w:sz w:val="22"/>
              </w:rPr>
            </w:pPr>
            <w:r>
              <w:rPr>
                <w:sz w:val="22"/>
              </w:rPr>
              <w:t>7,551</w:t>
            </w:r>
          </w:p>
        </w:tc>
      </w:tr>
      <w:tr>
        <w:trPr>
          <w:trHeight w:val="299" w:hRule="atLeast"/>
        </w:trPr>
        <w:tc>
          <w:tcPr>
            <w:tcW w:w="5607" w:type="dxa"/>
          </w:tcPr>
          <w:p>
            <w:pPr>
              <w:pStyle w:val="TableParagraph"/>
              <w:spacing w:before="28"/>
              <w:ind w:left="122"/>
              <w:jc w:val="left"/>
              <w:rPr>
                <w:b/>
                <w:sz w:val="20"/>
              </w:rPr>
            </w:pPr>
            <w:r>
              <w:rPr>
                <w:b/>
                <w:sz w:val="20"/>
              </w:rPr>
              <w:t>Department of Corrective Services</w:t>
            </w:r>
          </w:p>
        </w:tc>
        <w:tc>
          <w:tcPr>
            <w:tcW w:w="1596" w:type="dxa"/>
          </w:tcPr>
          <w:p>
            <w:pPr>
              <w:pStyle w:val="TableParagraph"/>
              <w:spacing w:line="266" w:lineRule="exact" w:before="13"/>
              <w:ind w:right="238"/>
              <w:rPr>
                <w:sz w:val="22"/>
              </w:rPr>
            </w:pPr>
            <w:r>
              <w:rPr>
                <w:sz w:val="22"/>
              </w:rPr>
              <w:t>4,550</w:t>
            </w:r>
          </w:p>
        </w:tc>
        <w:tc>
          <w:tcPr>
            <w:tcW w:w="1295" w:type="dxa"/>
          </w:tcPr>
          <w:p>
            <w:pPr>
              <w:pStyle w:val="TableParagraph"/>
              <w:spacing w:line="266" w:lineRule="exact" w:before="13"/>
              <w:ind w:right="256"/>
              <w:rPr>
                <w:sz w:val="22"/>
              </w:rPr>
            </w:pPr>
            <w:r>
              <w:rPr>
                <w:sz w:val="22"/>
              </w:rPr>
              <w:t>4,168</w:t>
            </w:r>
          </w:p>
        </w:tc>
        <w:tc>
          <w:tcPr>
            <w:tcW w:w="1126" w:type="dxa"/>
          </w:tcPr>
          <w:p>
            <w:pPr>
              <w:pStyle w:val="TableParagraph"/>
              <w:spacing w:line="266" w:lineRule="exact" w:before="13"/>
              <w:ind w:right="105"/>
              <w:rPr>
                <w:sz w:val="22"/>
              </w:rPr>
            </w:pPr>
            <w:r>
              <w:rPr>
                <w:sz w:val="22"/>
              </w:rPr>
              <w:t>4,179</w:t>
            </w:r>
          </w:p>
        </w:tc>
      </w:tr>
      <w:tr>
        <w:trPr>
          <w:trHeight w:val="300" w:hRule="atLeast"/>
        </w:trPr>
        <w:tc>
          <w:tcPr>
            <w:tcW w:w="5607" w:type="dxa"/>
            <w:shd w:val="clear" w:color="auto" w:fill="D2DFED"/>
          </w:tcPr>
          <w:p>
            <w:pPr>
              <w:pStyle w:val="TableParagraph"/>
              <w:spacing w:before="28"/>
              <w:ind w:left="122"/>
              <w:jc w:val="left"/>
              <w:rPr>
                <w:b/>
                <w:sz w:val="20"/>
              </w:rPr>
            </w:pPr>
            <w:r>
              <w:rPr>
                <w:b/>
                <w:sz w:val="20"/>
              </w:rPr>
              <w:t>Department for Child Protection</w:t>
            </w:r>
          </w:p>
        </w:tc>
        <w:tc>
          <w:tcPr>
            <w:tcW w:w="1596" w:type="dxa"/>
            <w:shd w:val="clear" w:color="auto" w:fill="D2DFED"/>
          </w:tcPr>
          <w:p>
            <w:pPr>
              <w:pStyle w:val="TableParagraph"/>
              <w:spacing w:line="266" w:lineRule="exact" w:before="13"/>
              <w:ind w:right="238"/>
              <w:rPr>
                <w:sz w:val="22"/>
              </w:rPr>
            </w:pPr>
            <w:r>
              <w:rPr>
                <w:sz w:val="22"/>
              </w:rPr>
              <w:t>2,422</w:t>
            </w:r>
          </w:p>
        </w:tc>
        <w:tc>
          <w:tcPr>
            <w:tcW w:w="1295" w:type="dxa"/>
            <w:shd w:val="clear" w:color="auto" w:fill="D2DFED"/>
          </w:tcPr>
          <w:p>
            <w:pPr>
              <w:pStyle w:val="TableParagraph"/>
              <w:spacing w:line="266" w:lineRule="exact" w:before="13"/>
              <w:ind w:right="256"/>
              <w:rPr>
                <w:sz w:val="22"/>
              </w:rPr>
            </w:pPr>
            <w:r>
              <w:rPr>
                <w:sz w:val="22"/>
              </w:rPr>
              <w:t>2,105</w:t>
            </w:r>
          </w:p>
        </w:tc>
        <w:tc>
          <w:tcPr>
            <w:tcW w:w="1126" w:type="dxa"/>
            <w:shd w:val="clear" w:color="auto" w:fill="D2DFED"/>
          </w:tcPr>
          <w:p>
            <w:pPr>
              <w:pStyle w:val="TableParagraph"/>
              <w:spacing w:line="266" w:lineRule="exact" w:before="13"/>
              <w:ind w:right="105"/>
              <w:rPr>
                <w:sz w:val="22"/>
              </w:rPr>
            </w:pPr>
            <w:r>
              <w:rPr>
                <w:sz w:val="22"/>
              </w:rPr>
              <w:t>2,078</w:t>
            </w:r>
          </w:p>
        </w:tc>
      </w:tr>
      <w:tr>
        <w:trPr>
          <w:trHeight w:val="299" w:hRule="atLeast"/>
        </w:trPr>
        <w:tc>
          <w:tcPr>
            <w:tcW w:w="5607" w:type="dxa"/>
          </w:tcPr>
          <w:p>
            <w:pPr>
              <w:pStyle w:val="TableParagraph"/>
              <w:spacing w:before="28"/>
              <w:ind w:left="122"/>
              <w:jc w:val="left"/>
              <w:rPr>
                <w:b/>
                <w:sz w:val="20"/>
              </w:rPr>
            </w:pPr>
            <w:r>
              <w:rPr>
                <w:b/>
                <w:sz w:val="20"/>
              </w:rPr>
              <w:t>Department of Environment and Conservation</w:t>
            </w:r>
          </w:p>
        </w:tc>
        <w:tc>
          <w:tcPr>
            <w:tcW w:w="1596" w:type="dxa"/>
          </w:tcPr>
          <w:p>
            <w:pPr>
              <w:pStyle w:val="TableParagraph"/>
              <w:spacing w:line="266" w:lineRule="exact" w:before="13"/>
              <w:ind w:right="238"/>
              <w:rPr>
                <w:sz w:val="22"/>
              </w:rPr>
            </w:pPr>
            <w:r>
              <w:rPr>
                <w:sz w:val="22"/>
              </w:rPr>
              <w:t>2,265</w:t>
            </w:r>
          </w:p>
        </w:tc>
        <w:tc>
          <w:tcPr>
            <w:tcW w:w="1295" w:type="dxa"/>
          </w:tcPr>
          <w:p>
            <w:pPr>
              <w:pStyle w:val="TableParagraph"/>
              <w:spacing w:line="266" w:lineRule="exact" w:before="13"/>
              <w:ind w:right="256"/>
              <w:rPr>
                <w:sz w:val="22"/>
              </w:rPr>
            </w:pPr>
            <w:r>
              <w:rPr>
                <w:sz w:val="22"/>
              </w:rPr>
              <w:t>1,912</w:t>
            </w:r>
          </w:p>
        </w:tc>
        <w:tc>
          <w:tcPr>
            <w:tcW w:w="1126" w:type="dxa"/>
          </w:tcPr>
          <w:p>
            <w:pPr>
              <w:pStyle w:val="TableParagraph"/>
              <w:spacing w:line="266" w:lineRule="exact" w:before="13"/>
              <w:ind w:right="105"/>
              <w:rPr>
                <w:sz w:val="22"/>
              </w:rPr>
            </w:pPr>
            <w:r>
              <w:rPr>
                <w:sz w:val="22"/>
              </w:rPr>
              <w:t>1,910</w:t>
            </w:r>
          </w:p>
        </w:tc>
      </w:tr>
      <w:tr>
        <w:trPr>
          <w:trHeight w:val="300" w:hRule="atLeast"/>
        </w:trPr>
        <w:tc>
          <w:tcPr>
            <w:tcW w:w="5607" w:type="dxa"/>
            <w:shd w:val="clear" w:color="auto" w:fill="D2DFED"/>
          </w:tcPr>
          <w:p>
            <w:pPr>
              <w:pStyle w:val="TableParagraph"/>
              <w:spacing w:before="28"/>
              <w:ind w:left="122"/>
              <w:jc w:val="left"/>
              <w:rPr>
                <w:b/>
                <w:sz w:val="20"/>
              </w:rPr>
            </w:pPr>
            <w:r>
              <w:rPr>
                <w:b/>
                <w:sz w:val="20"/>
              </w:rPr>
              <w:t>Disability Services Commission</w:t>
            </w:r>
          </w:p>
        </w:tc>
        <w:tc>
          <w:tcPr>
            <w:tcW w:w="1596" w:type="dxa"/>
            <w:shd w:val="clear" w:color="auto" w:fill="D2DFED"/>
          </w:tcPr>
          <w:p>
            <w:pPr>
              <w:pStyle w:val="TableParagraph"/>
              <w:spacing w:line="266" w:lineRule="exact" w:before="13"/>
              <w:ind w:right="238"/>
              <w:rPr>
                <w:sz w:val="22"/>
              </w:rPr>
            </w:pPr>
            <w:r>
              <w:rPr>
                <w:sz w:val="22"/>
              </w:rPr>
              <w:t>1,953</w:t>
            </w:r>
          </w:p>
        </w:tc>
        <w:tc>
          <w:tcPr>
            <w:tcW w:w="1295" w:type="dxa"/>
            <w:shd w:val="clear" w:color="auto" w:fill="D2DFED"/>
          </w:tcPr>
          <w:p>
            <w:pPr>
              <w:pStyle w:val="TableParagraph"/>
              <w:spacing w:line="266" w:lineRule="exact" w:before="13"/>
              <w:ind w:right="256"/>
              <w:rPr>
                <w:sz w:val="22"/>
              </w:rPr>
            </w:pPr>
            <w:r>
              <w:rPr>
                <w:sz w:val="22"/>
              </w:rPr>
              <w:t>1,641</w:t>
            </w:r>
          </w:p>
        </w:tc>
        <w:tc>
          <w:tcPr>
            <w:tcW w:w="1126" w:type="dxa"/>
            <w:shd w:val="clear" w:color="auto" w:fill="D2DFED"/>
          </w:tcPr>
          <w:p>
            <w:pPr>
              <w:pStyle w:val="TableParagraph"/>
              <w:spacing w:line="266" w:lineRule="exact" w:before="13"/>
              <w:ind w:right="105"/>
              <w:rPr>
                <w:sz w:val="22"/>
              </w:rPr>
            </w:pPr>
            <w:r>
              <w:rPr>
                <w:sz w:val="22"/>
              </w:rPr>
              <w:t>1,653</w:t>
            </w:r>
          </w:p>
        </w:tc>
      </w:tr>
      <w:tr>
        <w:trPr>
          <w:trHeight w:val="299" w:hRule="atLeast"/>
        </w:trPr>
        <w:tc>
          <w:tcPr>
            <w:tcW w:w="5607" w:type="dxa"/>
          </w:tcPr>
          <w:p>
            <w:pPr>
              <w:pStyle w:val="TableParagraph"/>
              <w:spacing w:before="28"/>
              <w:ind w:left="122"/>
              <w:jc w:val="left"/>
              <w:rPr>
                <w:b/>
                <w:sz w:val="20"/>
              </w:rPr>
            </w:pPr>
            <w:r>
              <w:rPr>
                <w:b/>
                <w:sz w:val="20"/>
              </w:rPr>
              <w:t>Department of Treasury and Finance</w:t>
            </w:r>
          </w:p>
        </w:tc>
        <w:tc>
          <w:tcPr>
            <w:tcW w:w="1596" w:type="dxa"/>
          </w:tcPr>
          <w:p>
            <w:pPr>
              <w:pStyle w:val="TableParagraph"/>
              <w:spacing w:line="266" w:lineRule="exact" w:before="13"/>
              <w:ind w:right="238"/>
              <w:rPr>
                <w:sz w:val="22"/>
              </w:rPr>
            </w:pPr>
            <w:r>
              <w:rPr>
                <w:sz w:val="22"/>
              </w:rPr>
              <w:t>1,835</w:t>
            </w:r>
          </w:p>
        </w:tc>
        <w:tc>
          <w:tcPr>
            <w:tcW w:w="1295" w:type="dxa"/>
          </w:tcPr>
          <w:p>
            <w:pPr>
              <w:pStyle w:val="TableParagraph"/>
              <w:spacing w:line="266" w:lineRule="exact" w:before="13"/>
              <w:ind w:right="256"/>
              <w:rPr>
                <w:sz w:val="22"/>
              </w:rPr>
            </w:pPr>
            <w:r>
              <w:rPr>
                <w:sz w:val="22"/>
              </w:rPr>
              <w:t>1,686</w:t>
            </w:r>
          </w:p>
        </w:tc>
        <w:tc>
          <w:tcPr>
            <w:tcW w:w="1126" w:type="dxa"/>
          </w:tcPr>
          <w:p>
            <w:pPr>
              <w:pStyle w:val="TableParagraph"/>
              <w:spacing w:line="266" w:lineRule="exact" w:before="13"/>
              <w:ind w:right="105"/>
              <w:rPr>
                <w:sz w:val="22"/>
              </w:rPr>
            </w:pPr>
            <w:r>
              <w:rPr>
                <w:sz w:val="22"/>
              </w:rPr>
              <w:t>1,691</w:t>
            </w:r>
          </w:p>
        </w:tc>
      </w:tr>
      <w:tr>
        <w:trPr>
          <w:trHeight w:val="300" w:hRule="atLeast"/>
        </w:trPr>
        <w:tc>
          <w:tcPr>
            <w:tcW w:w="5607" w:type="dxa"/>
            <w:shd w:val="clear" w:color="auto" w:fill="D2DFED"/>
          </w:tcPr>
          <w:p>
            <w:pPr>
              <w:pStyle w:val="TableParagraph"/>
              <w:spacing w:before="28"/>
              <w:ind w:left="122"/>
              <w:jc w:val="left"/>
              <w:rPr>
                <w:b/>
                <w:sz w:val="20"/>
              </w:rPr>
            </w:pPr>
            <w:r>
              <w:rPr>
                <w:b/>
                <w:sz w:val="20"/>
              </w:rPr>
              <w:t>Department of the Attorney General</w:t>
            </w:r>
          </w:p>
        </w:tc>
        <w:tc>
          <w:tcPr>
            <w:tcW w:w="1596" w:type="dxa"/>
            <w:shd w:val="clear" w:color="auto" w:fill="D2DFED"/>
          </w:tcPr>
          <w:p>
            <w:pPr>
              <w:pStyle w:val="TableParagraph"/>
              <w:spacing w:line="266" w:lineRule="exact" w:before="13"/>
              <w:ind w:right="238"/>
              <w:rPr>
                <w:sz w:val="22"/>
              </w:rPr>
            </w:pPr>
            <w:r>
              <w:rPr>
                <w:sz w:val="22"/>
              </w:rPr>
              <w:t>1,694</w:t>
            </w:r>
          </w:p>
        </w:tc>
        <w:tc>
          <w:tcPr>
            <w:tcW w:w="1295" w:type="dxa"/>
            <w:shd w:val="clear" w:color="auto" w:fill="D2DFED"/>
          </w:tcPr>
          <w:p>
            <w:pPr>
              <w:pStyle w:val="TableParagraph"/>
              <w:spacing w:line="266" w:lineRule="exact" w:before="13"/>
              <w:ind w:right="256"/>
              <w:rPr>
                <w:sz w:val="22"/>
              </w:rPr>
            </w:pPr>
            <w:r>
              <w:rPr>
                <w:sz w:val="22"/>
              </w:rPr>
              <w:t>1,511</w:t>
            </w:r>
          </w:p>
        </w:tc>
        <w:tc>
          <w:tcPr>
            <w:tcW w:w="1126" w:type="dxa"/>
            <w:shd w:val="clear" w:color="auto" w:fill="D2DFED"/>
          </w:tcPr>
          <w:p>
            <w:pPr>
              <w:pStyle w:val="TableParagraph"/>
              <w:spacing w:line="266" w:lineRule="exact" w:before="13"/>
              <w:ind w:right="105"/>
              <w:rPr>
                <w:sz w:val="22"/>
              </w:rPr>
            </w:pPr>
            <w:r>
              <w:rPr>
                <w:sz w:val="22"/>
              </w:rPr>
              <w:t>1,529</w:t>
            </w:r>
          </w:p>
        </w:tc>
      </w:tr>
      <w:tr>
        <w:trPr>
          <w:trHeight w:val="300" w:hRule="atLeast"/>
        </w:trPr>
        <w:tc>
          <w:tcPr>
            <w:tcW w:w="5607" w:type="dxa"/>
          </w:tcPr>
          <w:p>
            <w:pPr>
              <w:pStyle w:val="TableParagraph"/>
              <w:spacing w:before="28"/>
              <w:ind w:left="122"/>
              <w:jc w:val="left"/>
              <w:rPr>
                <w:b/>
                <w:sz w:val="20"/>
              </w:rPr>
            </w:pPr>
            <w:r>
              <w:rPr>
                <w:b/>
                <w:sz w:val="20"/>
              </w:rPr>
              <w:t>Polytechnic West</w:t>
            </w:r>
          </w:p>
        </w:tc>
        <w:tc>
          <w:tcPr>
            <w:tcW w:w="1596" w:type="dxa"/>
          </w:tcPr>
          <w:p>
            <w:pPr>
              <w:pStyle w:val="TableParagraph"/>
              <w:spacing w:line="266" w:lineRule="exact" w:before="14"/>
              <w:ind w:right="238"/>
              <w:rPr>
                <w:sz w:val="22"/>
              </w:rPr>
            </w:pPr>
            <w:r>
              <w:rPr>
                <w:sz w:val="22"/>
              </w:rPr>
              <w:t>1,554</w:t>
            </w:r>
          </w:p>
        </w:tc>
        <w:tc>
          <w:tcPr>
            <w:tcW w:w="1295" w:type="dxa"/>
          </w:tcPr>
          <w:p>
            <w:pPr>
              <w:pStyle w:val="TableParagraph"/>
              <w:spacing w:line="266" w:lineRule="exact" w:before="14"/>
              <w:ind w:right="256"/>
              <w:rPr>
                <w:sz w:val="22"/>
              </w:rPr>
            </w:pPr>
            <w:r>
              <w:rPr>
                <w:sz w:val="22"/>
              </w:rPr>
              <w:t>1,181</w:t>
            </w:r>
          </w:p>
        </w:tc>
        <w:tc>
          <w:tcPr>
            <w:tcW w:w="1126" w:type="dxa"/>
          </w:tcPr>
          <w:p>
            <w:pPr>
              <w:pStyle w:val="TableParagraph"/>
              <w:spacing w:line="266" w:lineRule="exact" w:before="14"/>
              <w:ind w:right="105"/>
              <w:rPr>
                <w:sz w:val="22"/>
              </w:rPr>
            </w:pPr>
            <w:r>
              <w:rPr>
                <w:sz w:val="22"/>
              </w:rPr>
              <w:t>1,116</w:t>
            </w:r>
          </w:p>
        </w:tc>
      </w:tr>
      <w:tr>
        <w:trPr>
          <w:trHeight w:val="302" w:hRule="atLeast"/>
        </w:trPr>
        <w:tc>
          <w:tcPr>
            <w:tcW w:w="5607" w:type="dxa"/>
            <w:tcBorders>
              <w:bottom w:val="single" w:sz="8" w:space="0" w:color="4F81BC"/>
            </w:tcBorders>
            <w:shd w:val="clear" w:color="auto" w:fill="D2DFED"/>
          </w:tcPr>
          <w:p>
            <w:pPr>
              <w:pStyle w:val="TableParagraph"/>
              <w:spacing w:before="28"/>
              <w:ind w:left="122"/>
              <w:jc w:val="left"/>
              <w:rPr>
                <w:b/>
                <w:sz w:val="20"/>
              </w:rPr>
            </w:pPr>
            <w:r>
              <w:rPr>
                <w:b/>
                <w:sz w:val="20"/>
              </w:rPr>
              <w:t>Department of Transport</w:t>
            </w:r>
          </w:p>
        </w:tc>
        <w:tc>
          <w:tcPr>
            <w:tcW w:w="1596" w:type="dxa"/>
            <w:tcBorders>
              <w:bottom w:val="single" w:sz="8" w:space="0" w:color="4F81BC"/>
            </w:tcBorders>
            <w:shd w:val="clear" w:color="auto" w:fill="D2DFED"/>
          </w:tcPr>
          <w:p>
            <w:pPr>
              <w:pStyle w:val="TableParagraph"/>
              <w:spacing w:line="268" w:lineRule="exact" w:before="13"/>
              <w:ind w:right="238"/>
              <w:rPr>
                <w:sz w:val="22"/>
              </w:rPr>
            </w:pPr>
            <w:r>
              <w:rPr>
                <w:sz w:val="22"/>
              </w:rPr>
              <w:t>1,439</w:t>
            </w:r>
          </w:p>
        </w:tc>
        <w:tc>
          <w:tcPr>
            <w:tcW w:w="1295" w:type="dxa"/>
            <w:tcBorders>
              <w:bottom w:val="single" w:sz="8" w:space="0" w:color="4F81BC"/>
            </w:tcBorders>
            <w:shd w:val="clear" w:color="auto" w:fill="D2DFED"/>
          </w:tcPr>
          <w:p>
            <w:pPr>
              <w:pStyle w:val="TableParagraph"/>
              <w:spacing w:line="268" w:lineRule="exact" w:before="13"/>
              <w:ind w:right="256"/>
              <w:rPr>
                <w:sz w:val="22"/>
              </w:rPr>
            </w:pPr>
            <w:r>
              <w:rPr>
                <w:sz w:val="22"/>
              </w:rPr>
              <w:t>1,304</w:t>
            </w:r>
          </w:p>
        </w:tc>
        <w:tc>
          <w:tcPr>
            <w:tcW w:w="1126" w:type="dxa"/>
            <w:tcBorders>
              <w:bottom w:val="single" w:sz="8" w:space="0" w:color="4F81BC"/>
            </w:tcBorders>
            <w:shd w:val="clear" w:color="auto" w:fill="D2DFED"/>
          </w:tcPr>
          <w:p>
            <w:pPr>
              <w:pStyle w:val="TableParagraph"/>
              <w:spacing w:line="268" w:lineRule="exact" w:before="13"/>
              <w:ind w:right="105"/>
              <w:rPr>
                <w:sz w:val="22"/>
              </w:rPr>
            </w:pPr>
            <w:r>
              <w:rPr>
                <w:sz w:val="22"/>
              </w:rPr>
              <w:t>1,255</w:t>
            </w:r>
          </w:p>
        </w:tc>
      </w:tr>
    </w:tbl>
    <w:p>
      <w:pPr>
        <w:spacing w:line="240" w:lineRule="auto" w:before="2"/>
        <w:rPr>
          <w:sz w:val="21"/>
        </w:rPr>
      </w:pPr>
      <w:r>
        <w:rPr/>
        <w:pict>
          <v:shape style="position:absolute;margin-left:63.863998pt;margin-top:15.17998pt;width:144.050pt;height:.1pt;mso-position-horizontal-relative:page;mso-position-vertical-relative:paragraph;z-index:-251658240;mso-wrap-distance-left:0;mso-wrap-distance-right:0" coordorigin="1277,304" coordsize="2881,0" path="m1277,304l4158,304e" filled="false" stroked="true" strokeweight=".60004pt" strokecolor="#000000">
            <v:path arrowok="t"/>
            <v:stroke dashstyle="solid"/>
            <w10:wrap type="topAndBottom"/>
          </v:shape>
        </w:pict>
      </w:r>
    </w:p>
    <w:p>
      <w:pPr>
        <w:spacing w:before="46"/>
        <w:ind w:left="597" w:right="472" w:firstLine="0"/>
        <w:jc w:val="both"/>
        <w:rPr>
          <w:sz w:val="18"/>
        </w:rPr>
      </w:pPr>
      <w:r>
        <w:rPr>
          <w:rFonts w:ascii="Arial" w:hAnsi="Arial"/>
          <w:position w:val="10"/>
          <w:sz w:val="13"/>
        </w:rPr>
        <w:t>1 </w:t>
      </w:r>
      <w:r>
        <w:rPr>
          <w:sz w:val="18"/>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 reports.</w:t>
      </w:r>
    </w:p>
    <w:p>
      <w:pPr>
        <w:spacing w:line="219" w:lineRule="exact" w:before="0"/>
        <w:ind w:left="597" w:right="0" w:firstLine="0"/>
        <w:jc w:val="both"/>
        <w:rPr>
          <w:sz w:val="18"/>
        </w:rPr>
      </w:pPr>
      <w:r>
        <w:rPr>
          <w:position w:val="9"/>
          <w:sz w:val="12"/>
        </w:rPr>
        <w:t>2 </w:t>
      </w:r>
      <w:r>
        <w:rPr>
          <w:sz w:val="18"/>
        </w:rPr>
        <w:t>‘Headcount’ is a snapshot of employees as at the pay day on, or prior to, 30 June 2011 and includes all permanent, fixed term</w:t>
      </w:r>
    </w:p>
    <w:p>
      <w:pPr>
        <w:spacing w:line="203" w:lineRule="exact" w:before="1"/>
        <w:ind w:left="597" w:right="0" w:firstLine="0"/>
        <w:jc w:val="both"/>
        <w:rPr>
          <w:sz w:val="18"/>
        </w:rPr>
      </w:pPr>
      <w:r>
        <w:rPr>
          <w:sz w:val="18"/>
        </w:rPr>
        <w:t>and paid casual employees during that pay period.</w:t>
      </w:r>
    </w:p>
    <w:p>
      <w:pPr>
        <w:spacing w:line="235" w:lineRule="exact" w:before="0"/>
        <w:ind w:left="597" w:right="0" w:firstLine="0"/>
        <w:jc w:val="left"/>
        <w:rPr>
          <w:sz w:val="18"/>
        </w:rPr>
      </w:pPr>
      <w:r>
        <w:rPr>
          <w:position w:val="9"/>
          <w:sz w:val="12"/>
        </w:rPr>
        <w:t>3 </w:t>
      </w:r>
      <w:r>
        <w:rPr>
          <w:sz w:val="18"/>
        </w:rPr>
        <w:t>‘Paid FTE’ is a snapshot of employees who were paid during the last pay period ending on, or prior to, 30 June 2011. This</w:t>
      </w:r>
    </w:p>
    <w:p>
      <w:pPr>
        <w:spacing w:before="2"/>
        <w:ind w:left="597" w:right="465" w:firstLine="0"/>
        <w:jc w:val="both"/>
        <w:rPr>
          <w:sz w:val="18"/>
        </w:rPr>
      </w:pPr>
      <w:r>
        <w:rPr>
          <w:sz w:val="18"/>
        </w:rPr>
        <w:t>methodology may differ from those used by public sector agencies in their own operational workforce management process. As the quality of agency data is continuously being reviewed, some adjustments in FTE figures may occur.</w:t>
      </w:r>
    </w:p>
    <w:p>
      <w:pPr>
        <w:spacing w:line="219" w:lineRule="exact" w:before="0"/>
        <w:ind w:left="597" w:right="0" w:firstLine="0"/>
        <w:jc w:val="both"/>
        <w:rPr>
          <w:sz w:val="18"/>
        </w:rPr>
      </w:pPr>
      <w:r>
        <w:rPr>
          <w:position w:val="9"/>
          <w:sz w:val="12"/>
        </w:rPr>
        <w:t>4 </w:t>
      </w:r>
      <w:r>
        <w:rPr>
          <w:sz w:val="18"/>
        </w:rPr>
        <w:t>‘Average Paid FTE’ data aims to address seasonal fluctuations that occur in some agencies from one quarter to the next, and is</w:t>
      </w:r>
    </w:p>
    <w:p>
      <w:pPr>
        <w:spacing w:line="219" w:lineRule="exact" w:before="0"/>
        <w:ind w:left="597" w:right="0" w:firstLine="0"/>
        <w:jc w:val="both"/>
        <w:rPr>
          <w:sz w:val="18"/>
        </w:rPr>
      </w:pPr>
      <w:r>
        <w:rPr>
          <w:sz w:val="18"/>
        </w:rPr>
        <w:t>the averaged ‘Paid FTE’ of the sum of the current (June 2011) quarter and the preceding three quarters.</w:t>
      </w:r>
    </w:p>
    <w:p>
      <w:pPr>
        <w:spacing w:after="0" w:line="219" w:lineRule="exact"/>
        <w:jc w:val="both"/>
        <w:rPr>
          <w:sz w:val="18"/>
        </w:rPr>
        <w:sectPr>
          <w:footerReference w:type="default" r:id="rId5"/>
          <w:type w:val="continuous"/>
          <w:pgSz w:w="11910" w:h="16850"/>
          <w:pgMar w:footer="373" w:top="780" w:bottom="560" w:left="680" w:right="660"/>
          <w:pgNumType w:start="1"/>
        </w:sect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77"/>
        <w:gridCol w:w="1327"/>
        <w:gridCol w:w="1296"/>
        <w:gridCol w:w="1127"/>
      </w:tblGrid>
      <w:tr>
        <w:trPr>
          <w:trHeight w:val="488" w:hRule="atLeast"/>
        </w:trPr>
        <w:tc>
          <w:tcPr>
            <w:tcW w:w="5877" w:type="dxa"/>
            <w:tcBorders>
              <w:top w:val="single" w:sz="8" w:space="0" w:color="4F81BC"/>
              <w:bottom w:val="single" w:sz="8" w:space="0" w:color="4F81BC"/>
            </w:tcBorders>
          </w:tcPr>
          <w:p>
            <w:pPr>
              <w:pStyle w:val="TableParagraph"/>
              <w:spacing w:before="0"/>
              <w:jc w:val="left"/>
              <w:rPr>
                <w:rFonts w:ascii="Times New Roman"/>
                <w:sz w:val="20"/>
              </w:rPr>
            </w:pPr>
          </w:p>
        </w:tc>
        <w:tc>
          <w:tcPr>
            <w:tcW w:w="1327" w:type="dxa"/>
            <w:tcBorders>
              <w:top w:val="single" w:sz="8" w:space="0" w:color="4F81BC"/>
              <w:bottom w:val="single" w:sz="8" w:space="0" w:color="4F81BC"/>
            </w:tcBorders>
          </w:tcPr>
          <w:p>
            <w:pPr>
              <w:pStyle w:val="TableParagraph"/>
              <w:spacing w:line="240" w:lineRule="atLeast" w:before="1"/>
              <w:ind w:left="287" w:right="29" w:hanging="113"/>
              <w:jc w:val="left"/>
              <w:rPr>
                <w:b/>
                <w:sz w:val="20"/>
              </w:rPr>
            </w:pPr>
            <w:r>
              <w:rPr>
                <w:b/>
                <w:w w:val="95"/>
                <w:sz w:val="20"/>
              </w:rPr>
              <w:t>Headcount </w:t>
            </w:r>
            <w:r>
              <w:rPr>
                <w:b/>
                <w:sz w:val="20"/>
              </w:rPr>
              <w:t>Jun 2011</w:t>
            </w:r>
            <w:r>
              <w:rPr>
                <w:b/>
                <w:sz w:val="20"/>
                <w:vertAlign w:val="superscript"/>
              </w:rPr>
              <w:t>2</w:t>
            </w:r>
          </w:p>
        </w:tc>
        <w:tc>
          <w:tcPr>
            <w:tcW w:w="1296" w:type="dxa"/>
            <w:tcBorders>
              <w:top w:val="single" w:sz="8" w:space="0" w:color="4F81BC"/>
              <w:bottom w:val="single" w:sz="8" w:space="0" w:color="4F81BC"/>
            </w:tcBorders>
          </w:tcPr>
          <w:p>
            <w:pPr>
              <w:pStyle w:val="TableParagraph"/>
              <w:spacing w:line="240" w:lineRule="atLeast" w:before="1"/>
              <w:ind w:left="237" w:right="240" w:firstLine="103"/>
              <w:jc w:val="left"/>
              <w:rPr>
                <w:b/>
                <w:sz w:val="20"/>
              </w:rPr>
            </w:pPr>
            <w:r>
              <w:rPr>
                <w:b/>
                <w:sz w:val="20"/>
              </w:rPr>
              <w:t>Paid FTE Jun 2011</w:t>
            </w:r>
            <w:r>
              <w:rPr>
                <w:b/>
                <w:sz w:val="20"/>
                <w:vertAlign w:val="superscript"/>
              </w:rPr>
              <w:t>3</w:t>
            </w:r>
          </w:p>
        </w:tc>
        <w:tc>
          <w:tcPr>
            <w:tcW w:w="1127" w:type="dxa"/>
            <w:tcBorders>
              <w:top w:val="single" w:sz="8" w:space="0" w:color="4F81BC"/>
              <w:bottom w:val="single" w:sz="8" w:space="0" w:color="4F81BC"/>
            </w:tcBorders>
          </w:tcPr>
          <w:p>
            <w:pPr>
              <w:pStyle w:val="TableParagraph"/>
              <w:spacing w:line="240" w:lineRule="atLeast" w:before="1"/>
              <w:ind w:left="254" w:right="91"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877" w:type="dxa"/>
            <w:tcBorders>
              <w:top w:val="single" w:sz="8" w:space="0" w:color="4F81BC"/>
            </w:tcBorders>
          </w:tcPr>
          <w:p>
            <w:pPr>
              <w:pStyle w:val="TableParagraph"/>
              <w:spacing w:before="27"/>
              <w:ind w:left="122"/>
              <w:jc w:val="left"/>
              <w:rPr>
                <w:b/>
                <w:sz w:val="20"/>
              </w:rPr>
            </w:pPr>
            <w:r>
              <w:rPr>
                <w:b/>
                <w:sz w:val="20"/>
              </w:rPr>
              <w:t>Fire and Emergency Services Authority of Western Australia</w:t>
            </w:r>
          </w:p>
        </w:tc>
        <w:tc>
          <w:tcPr>
            <w:tcW w:w="1327" w:type="dxa"/>
            <w:tcBorders>
              <w:top w:val="single" w:sz="8" w:space="0" w:color="4F81BC"/>
            </w:tcBorders>
          </w:tcPr>
          <w:p>
            <w:pPr>
              <w:pStyle w:val="TableParagraph"/>
              <w:spacing w:before="13"/>
              <w:ind w:right="239"/>
              <w:rPr>
                <w:sz w:val="22"/>
              </w:rPr>
            </w:pPr>
            <w:r>
              <w:rPr>
                <w:sz w:val="22"/>
              </w:rPr>
              <w:t>1,411</w:t>
            </w:r>
          </w:p>
        </w:tc>
        <w:tc>
          <w:tcPr>
            <w:tcW w:w="1296" w:type="dxa"/>
            <w:tcBorders>
              <w:top w:val="single" w:sz="8" w:space="0" w:color="4F81BC"/>
            </w:tcBorders>
          </w:tcPr>
          <w:p>
            <w:pPr>
              <w:pStyle w:val="TableParagraph"/>
              <w:spacing w:before="13"/>
              <w:ind w:right="258"/>
              <w:rPr>
                <w:sz w:val="22"/>
              </w:rPr>
            </w:pPr>
            <w:r>
              <w:rPr>
                <w:sz w:val="22"/>
              </w:rPr>
              <w:t>1,343</w:t>
            </w:r>
          </w:p>
        </w:tc>
        <w:tc>
          <w:tcPr>
            <w:tcW w:w="1127" w:type="dxa"/>
            <w:tcBorders>
              <w:top w:val="single" w:sz="8" w:space="0" w:color="4F81BC"/>
            </w:tcBorders>
          </w:tcPr>
          <w:p>
            <w:pPr>
              <w:pStyle w:val="TableParagraph"/>
              <w:spacing w:before="13"/>
              <w:ind w:right="108"/>
              <w:rPr>
                <w:sz w:val="22"/>
              </w:rPr>
            </w:pPr>
            <w:r>
              <w:rPr>
                <w:sz w:val="22"/>
              </w:rPr>
              <w:t>1,339</w:t>
            </w:r>
          </w:p>
        </w:tc>
      </w:tr>
      <w:tr>
        <w:trPr>
          <w:trHeight w:val="300" w:hRule="atLeast"/>
        </w:trPr>
        <w:tc>
          <w:tcPr>
            <w:tcW w:w="5877" w:type="dxa"/>
            <w:shd w:val="clear" w:color="auto" w:fill="D2DFED"/>
          </w:tcPr>
          <w:p>
            <w:pPr>
              <w:pStyle w:val="TableParagraph"/>
              <w:spacing w:before="25"/>
              <w:ind w:left="122"/>
              <w:jc w:val="left"/>
              <w:rPr>
                <w:b/>
                <w:sz w:val="20"/>
              </w:rPr>
            </w:pPr>
            <w:r>
              <w:rPr>
                <w:b/>
                <w:sz w:val="20"/>
              </w:rPr>
              <w:t>Central Institute of Technology</w:t>
            </w:r>
          </w:p>
        </w:tc>
        <w:tc>
          <w:tcPr>
            <w:tcW w:w="1327" w:type="dxa"/>
            <w:shd w:val="clear" w:color="auto" w:fill="D2DFED"/>
          </w:tcPr>
          <w:p>
            <w:pPr>
              <w:pStyle w:val="TableParagraph"/>
              <w:ind w:right="239"/>
              <w:rPr>
                <w:sz w:val="22"/>
              </w:rPr>
            </w:pPr>
            <w:r>
              <w:rPr>
                <w:sz w:val="22"/>
              </w:rPr>
              <w:t>1,372</w:t>
            </w:r>
          </w:p>
        </w:tc>
        <w:tc>
          <w:tcPr>
            <w:tcW w:w="1296" w:type="dxa"/>
            <w:shd w:val="clear" w:color="auto" w:fill="D2DFED"/>
          </w:tcPr>
          <w:p>
            <w:pPr>
              <w:pStyle w:val="TableParagraph"/>
              <w:ind w:right="258"/>
              <w:rPr>
                <w:sz w:val="22"/>
              </w:rPr>
            </w:pPr>
            <w:r>
              <w:rPr>
                <w:sz w:val="22"/>
              </w:rPr>
              <w:t>1,000</w:t>
            </w:r>
          </w:p>
        </w:tc>
        <w:tc>
          <w:tcPr>
            <w:tcW w:w="1127" w:type="dxa"/>
            <w:shd w:val="clear" w:color="auto" w:fill="D2DFED"/>
          </w:tcPr>
          <w:p>
            <w:pPr>
              <w:pStyle w:val="TableParagraph"/>
              <w:ind w:right="108"/>
              <w:rPr>
                <w:sz w:val="22"/>
              </w:rPr>
            </w:pPr>
            <w:r>
              <w:rPr>
                <w:sz w:val="22"/>
              </w:rPr>
              <w:t>951</w:t>
            </w:r>
          </w:p>
        </w:tc>
      </w:tr>
      <w:tr>
        <w:trPr>
          <w:trHeight w:val="300" w:hRule="atLeast"/>
        </w:trPr>
        <w:tc>
          <w:tcPr>
            <w:tcW w:w="5877" w:type="dxa"/>
          </w:tcPr>
          <w:p>
            <w:pPr>
              <w:pStyle w:val="TableParagraph"/>
              <w:spacing w:before="25"/>
              <w:ind w:left="122"/>
              <w:jc w:val="left"/>
              <w:rPr>
                <w:b/>
                <w:sz w:val="20"/>
              </w:rPr>
            </w:pPr>
            <w:r>
              <w:rPr>
                <w:b/>
                <w:sz w:val="20"/>
              </w:rPr>
              <w:t>Department of Agriculture and Food</w:t>
            </w:r>
          </w:p>
        </w:tc>
        <w:tc>
          <w:tcPr>
            <w:tcW w:w="1327" w:type="dxa"/>
          </w:tcPr>
          <w:p>
            <w:pPr>
              <w:pStyle w:val="TableParagraph"/>
              <w:ind w:right="239"/>
              <w:rPr>
                <w:sz w:val="22"/>
              </w:rPr>
            </w:pPr>
            <w:r>
              <w:rPr>
                <w:sz w:val="22"/>
              </w:rPr>
              <w:t>1,328</w:t>
            </w:r>
          </w:p>
        </w:tc>
        <w:tc>
          <w:tcPr>
            <w:tcW w:w="1296" w:type="dxa"/>
          </w:tcPr>
          <w:p>
            <w:pPr>
              <w:pStyle w:val="TableParagraph"/>
              <w:ind w:right="258"/>
              <w:rPr>
                <w:sz w:val="22"/>
              </w:rPr>
            </w:pPr>
            <w:r>
              <w:rPr>
                <w:sz w:val="22"/>
              </w:rPr>
              <w:t>1,191</w:t>
            </w:r>
          </w:p>
        </w:tc>
        <w:tc>
          <w:tcPr>
            <w:tcW w:w="1127" w:type="dxa"/>
          </w:tcPr>
          <w:p>
            <w:pPr>
              <w:pStyle w:val="TableParagraph"/>
              <w:ind w:right="108"/>
              <w:rPr>
                <w:sz w:val="22"/>
              </w:rPr>
            </w:pPr>
            <w:r>
              <w:rPr>
                <w:sz w:val="22"/>
              </w:rPr>
              <w:t>1,192</w:t>
            </w:r>
          </w:p>
        </w:tc>
      </w:tr>
      <w:tr>
        <w:trPr>
          <w:trHeight w:val="300" w:hRule="atLeast"/>
        </w:trPr>
        <w:tc>
          <w:tcPr>
            <w:tcW w:w="5877" w:type="dxa"/>
            <w:shd w:val="clear" w:color="auto" w:fill="D2DFED"/>
          </w:tcPr>
          <w:p>
            <w:pPr>
              <w:pStyle w:val="TableParagraph"/>
              <w:spacing w:before="25"/>
              <w:ind w:left="122"/>
              <w:jc w:val="left"/>
              <w:rPr>
                <w:b/>
                <w:sz w:val="20"/>
              </w:rPr>
            </w:pPr>
            <w:r>
              <w:rPr>
                <w:b/>
                <w:sz w:val="20"/>
              </w:rPr>
              <w:t>Commissioner of Main Roads</w:t>
            </w:r>
          </w:p>
        </w:tc>
        <w:tc>
          <w:tcPr>
            <w:tcW w:w="1327" w:type="dxa"/>
            <w:shd w:val="clear" w:color="auto" w:fill="D2DFED"/>
          </w:tcPr>
          <w:p>
            <w:pPr>
              <w:pStyle w:val="TableParagraph"/>
              <w:ind w:right="239"/>
              <w:rPr>
                <w:sz w:val="22"/>
              </w:rPr>
            </w:pPr>
            <w:r>
              <w:rPr>
                <w:sz w:val="22"/>
              </w:rPr>
              <w:t>1,087</w:t>
            </w:r>
          </w:p>
        </w:tc>
        <w:tc>
          <w:tcPr>
            <w:tcW w:w="1296" w:type="dxa"/>
            <w:shd w:val="clear" w:color="auto" w:fill="D2DFED"/>
          </w:tcPr>
          <w:p>
            <w:pPr>
              <w:pStyle w:val="TableParagraph"/>
              <w:ind w:right="258"/>
              <w:rPr>
                <w:sz w:val="22"/>
              </w:rPr>
            </w:pPr>
            <w:r>
              <w:rPr>
                <w:sz w:val="22"/>
              </w:rPr>
              <w:t>1,009</w:t>
            </w:r>
          </w:p>
        </w:tc>
        <w:tc>
          <w:tcPr>
            <w:tcW w:w="1127" w:type="dxa"/>
            <w:shd w:val="clear" w:color="auto" w:fill="D2DFED"/>
          </w:tcPr>
          <w:p>
            <w:pPr>
              <w:pStyle w:val="TableParagraph"/>
              <w:ind w:right="108"/>
              <w:rPr>
                <w:sz w:val="22"/>
              </w:rPr>
            </w:pPr>
            <w:r>
              <w:rPr>
                <w:sz w:val="22"/>
              </w:rPr>
              <w:t>1,020</w:t>
            </w:r>
          </w:p>
        </w:tc>
      </w:tr>
      <w:tr>
        <w:trPr>
          <w:trHeight w:val="300" w:hRule="atLeast"/>
        </w:trPr>
        <w:tc>
          <w:tcPr>
            <w:tcW w:w="5877" w:type="dxa"/>
          </w:tcPr>
          <w:p>
            <w:pPr>
              <w:pStyle w:val="TableParagraph"/>
              <w:spacing w:before="25"/>
              <w:ind w:left="122"/>
              <w:jc w:val="left"/>
              <w:rPr>
                <w:b/>
                <w:sz w:val="20"/>
              </w:rPr>
            </w:pPr>
            <w:r>
              <w:rPr>
                <w:b/>
                <w:sz w:val="20"/>
              </w:rPr>
              <w:t>Department of Commerce</w:t>
            </w:r>
          </w:p>
        </w:tc>
        <w:tc>
          <w:tcPr>
            <w:tcW w:w="1327" w:type="dxa"/>
          </w:tcPr>
          <w:p>
            <w:pPr>
              <w:pStyle w:val="TableParagraph"/>
              <w:ind w:right="239"/>
              <w:rPr>
                <w:sz w:val="22"/>
              </w:rPr>
            </w:pPr>
            <w:r>
              <w:rPr>
                <w:sz w:val="22"/>
              </w:rPr>
              <w:t>1,001</w:t>
            </w:r>
          </w:p>
        </w:tc>
        <w:tc>
          <w:tcPr>
            <w:tcW w:w="1296" w:type="dxa"/>
          </w:tcPr>
          <w:p>
            <w:pPr>
              <w:pStyle w:val="TableParagraph"/>
              <w:ind w:right="258"/>
              <w:rPr>
                <w:sz w:val="22"/>
              </w:rPr>
            </w:pPr>
            <w:r>
              <w:rPr>
                <w:sz w:val="22"/>
              </w:rPr>
              <w:t>882</w:t>
            </w:r>
          </w:p>
        </w:tc>
        <w:tc>
          <w:tcPr>
            <w:tcW w:w="1127" w:type="dxa"/>
          </w:tcPr>
          <w:p>
            <w:pPr>
              <w:pStyle w:val="TableParagraph"/>
              <w:ind w:right="108"/>
              <w:rPr>
                <w:sz w:val="22"/>
              </w:rPr>
            </w:pPr>
            <w:r>
              <w:rPr>
                <w:sz w:val="22"/>
              </w:rPr>
              <w:t>910</w:t>
            </w:r>
          </w:p>
        </w:tc>
      </w:tr>
      <w:tr>
        <w:trPr>
          <w:trHeight w:val="300" w:hRule="atLeast"/>
        </w:trPr>
        <w:tc>
          <w:tcPr>
            <w:tcW w:w="5877" w:type="dxa"/>
            <w:shd w:val="clear" w:color="auto" w:fill="D2DFED"/>
          </w:tcPr>
          <w:p>
            <w:pPr>
              <w:pStyle w:val="TableParagraph"/>
              <w:spacing w:before="25"/>
              <w:ind w:left="122"/>
              <w:jc w:val="left"/>
              <w:rPr>
                <w:b/>
                <w:sz w:val="20"/>
              </w:rPr>
            </w:pPr>
            <w:r>
              <w:rPr>
                <w:b/>
                <w:sz w:val="20"/>
              </w:rPr>
              <w:t>Western Australian Land Information Authority (Landgate)</w:t>
            </w:r>
          </w:p>
        </w:tc>
        <w:tc>
          <w:tcPr>
            <w:tcW w:w="1327" w:type="dxa"/>
            <w:shd w:val="clear" w:color="auto" w:fill="D2DFED"/>
          </w:tcPr>
          <w:p>
            <w:pPr>
              <w:pStyle w:val="TableParagraph"/>
              <w:ind w:right="239"/>
              <w:rPr>
                <w:sz w:val="22"/>
              </w:rPr>
            </w:pPr>
            <w:r>
              <w:rPr>
                <w:sz w:val="22"/>
              </w:rPr>
              <w:t>920</w:t>
            </w:r>
          </w:p>
        </w:tc>
        <w:tc>
          <w:tcPr>
            <w:tcW w:w="1296" w:type="dxa"/>
            <w:shd w:val="clear" w:color="auto" w:fill="D2DFED"/>
          </w:tcPr>
          <w:p>
            <w:pPr>
              <w:pStyle w:val="TableParagraph"/>
              <w:ind w:right="258"/>
              <w:rPr>
                <w:sz w:val="22"/>
              </w:rPr>
            </w:pPr>
            <w:r>
              <w:rPr>
                <w:sz w:val="22"/>
              </w:rPr>
              <w:t>842</w:t>
            </w:r>
          </w:p>
        </w:tc>
        <w:tc>
          <w:tcPr>
            <w:tcW w:w="1127" w:type="dxa"/>
            <w:shd w:val="clear" w:color="auto" w:fill="D2DFED"/>
          </w:tcPr>
          <w:p>
            <w:pPr>
              <w:pStyle w:val="TableParagraph"/>
              <w:ind w:right="108"/>
              <w:rPr>
                <w:sz w:val="22"/>
              </w:rPr>
            </w:pPr>
            <w:r>
              <w:rPr>
                <w:sz w:val="22"/>
              </w:rPr>
              <w:t>849</w:t>
            </w:r>
          </w:p>
        </w:tc>
      </w:tr>
      <w:tr>
        <w:trPr>
          <w:trHeight w:val="300" w:hRule="atLeast"/>
        </w:trPr>
        <w:tc>
          <w:tcPr>
            <w:tcW w:w="5877" w:type="dxa"/>
          </w:tcPr>
          <w:p>
            <w:pPr>
              <w:pStyle w:val="TableParagraph"/>
              <w:spacing w:before="25"/>
              <w:ind w:left="122"/>
              <w:jc w:val="left"/>
              <w:rPr>
                <w:b/>
                <w:sz w:val="20"/>
              </w:rPr>
            </w:pPr>
            <w:r>
              <w:rPr>
                <w:b/>
                <w:sz w:val="20"/>
              </w:rPr>
              <w:t>Challenger Institute of Technology</w:t>
            </w:r>
          </w:p>
        </w:tc>
        <w:tc>
          <w:tcPr>
            <w:tcW w:w="1327" w:type="dxa"/>
          </w:tcPr>
          <w:p>
            <w:pPr>
              <w:pStyle w:val="TableParagraph"/>
              <w:ind w:right="239"/>
              <w:rPr>
                <w:sz w:val="22"/>
              </w:rPr>
            </w:pPr>
            <w:r>
              <w:rPr>
                <w:sz w:val="22"/>
              </w:rPr>
              <w:t>863</w:t>
            </w:r>
          </w:p>
        </w:tc>
        <w:tc>
          <w:tcPr>
            <w:tcW w:w="1296" w:type="dxa"/>
          </w:tcPr>
          <w:p>
            <w:pPr>
              <w:pStyle w:val="TableParagraph"/>
              <w:ind w:right="258"/>
              <w:rPr>
                <w:sz w:val="22"/>
              </w:rPr>
            </w:pPr>
            <w:r>
              <w:rPr>
                <w:sz w:val="22"/>
              </w:rPr>
              <w:t>631</w:t>
            </w:r>
          </w:p>
        </w:tc>
        <w:tc>
          <w:tcPr>
            <w:tcW w:w="1127" w:type="dxa"/>
          </w:tcPr>
          <w:p>
            <w:pPr>
              <w:pStyle w:val="TableParagraph"/>
              <w:ind w:right="108"/>
              <w:rPr>
                <w:sz w:val="22"/>
              </w:rPr>
            </w:pPr>
            <w:r>
              <w:rPr>
                <w:sz w:val="22"/>
              </w:rPr>
              <w:t>623</w:t>
            </w:r>
          </w:p>
        </w:tc>
      </w:tr>
      <w:tr>
        <w:trPr>
          <w:trHeight w:val="300" w:hRule="atLeast"/>
        </w:trPr>
        <w:tc>
          <w:tcPr>
            <w:tcW w:w="5877" w:type="dxa"/>
            <w:shd w:val="clear" w:color="auto" w:fill="D2DFED"/>
          </w:tcPr>
          <w:p>
            <w:pPr>
              <w:pStyle w:val="TableParagraph"/>
              <w:spacing w:before="25"/>
              <w:ind w:left="122"/>
              <w:jc w:val="left"/>
              <w:rPr>
                <w:b/>
                <w:sz w:val="20"/>
              </w:rPr>
            </w:pPr>
            <w:r>
              <w:rPr>
                <w:b/>
                <w:sz w:val="20"/>
              </w:rPr>
              <w:t>Department of the Premier and Cabinet</w:t>
            </w:r>
          </w:p>
        </w:tc>
        <w:tc>
          <w:tcPr>
            <w:tcW w:w="1327" w:type="dxa"/>
            <w:shd w:val="clear" w:color="auto" w:fill="D2DFED"/>
          </w:tcPr>
          <w:p>
            <w:pPr>
              <w:pStyle w:val="TableParagraph"/>
              <w:ind w:right="239"/>
              <w:rPr>
                <w:sz w:val="22"/>
              </w:rPr>
            </w:pPr>
            <w:r>
              <w:rPr>
                <w:sz w:val="22"/>
              </w:rPr>
              <w:t>914</w:t>
            </w:r>
          </w:p>
        </w:tc>
        <w:tc>
          <w:tcPr>
            <w:tcW w:w="1296" w:type="dxa"/>
            <w:shd w:val="clear" w:color="auto" w:fill="D2DFED"/>
          </w:tcPr>
          <w:p>
            <w:pPr>
              <w:pStyle w:val="TableParagraph"/>
              <w:ind w:right="258"/>
              <w:rPr>
                <w:sz w:val="22"/>
              </w:rPr>
            </w:pPr>
            <w:r>
              <w:rPr>
                <w:sz w:val="22"/>
              </w:rPr>
              <w:t>688</w:t>
            </w:r>
          </w:p>
        </w:tc>
        <w:tc>
          <w:tcPr>
            <w:tcW w:w="1127" w:type="dxa"/>
            <w:shd w:val="clear" w:color="auto" w:fill="D2DFED"/>
          </w:tcPr>
          <w:p>
            <w:pPr>
              <w:pStyle w:val="TableParagraph"/>
              <w:ind w:right="108"/>
              <w:rPr>
                <w:sz w:val="22"/>
              </w:rPr>
            </w:pPr>
            <w:r>
              <w:rPr>
                <w:sz w:val="22"/>
              </w:rPr>
              <w:t>645</w:t>
            </w:r>
          </w:p>
        </w:tc>
      </w:tr>
      <w:tr>
        <w:trPr>
          <w:trHeight w:val="300" w:hRule="atLeast"/>
        </w:trPr>
        <w:tc>
          <w:tcPr>
            <w:tcW w:w="5877" w:type="dxa"/>
          </w:tcPr>
          <w:p>
            <w:pPr>
              <w:pStyle w:val="TableParagraph"/>
              <w:spacing w:before="25"/>
              <w:ind w:left="122"/>
              <w:jc w:val="left"/>
              <w:rPr>
                <w:b/>
                <w:sz w:val="20"/>
              </w:rPr>
            </w:pPr>
            <w:r>
              <w:rPr>
                <w:b/>
                <w:sz w:val="20"/>
              </w:rPr>
              <w:t>Department of Mines and Petroleum</w:t>
            </w:r>
          </w:p>
        </w:tc>
        <w:tc>
          <w:tcPr>
            <w:tcW w:w="1327" w:type="dxa"/>
          </w:tcPr>
          <w:p>
            <w:pPr>
              <w:pStyle w:val="TableParagraph"/>
              <w:ind w:right="239"/>
              <w:rPr>
                <w:sz w:val="22"/>
              </w:rPr>
            </w:pPr>
            <w:r>
              <w:rPr>
                <w:sz w:val="22"/>
              </w:rPr>
              <w:t>796</w:t>
            </w:r>
          </w:p>
        </w:tc>
        <w:tc>
          <w:tcPr>
            <w:tcW w:w="1296" w:type="dxa"/>
          </w:tcPr>
          <w:p>
            <w:pPr>
              <w:pStyle w:val="TableParagraph"/>
              <w:ind w:right="258"/>
              <w:rPr>
                <w:sz w:val="22"/>
              </w:rPr>
            </w:pPr>
            <w:r>
              <w:rPr>
                <w:sz w:val="22"/>
              </w:rPr>
              <w:t>746</w:t>
            </w:r>
          </w:p>
        </w:tc>
        <w:tc>
          <w:tcPr>
            <w:tcW w:w="1127" w:type="dxa"/>
          </w:tcPr>
          <w:p>
            <w:pPr>
              <w:pStyle w:val="TableParagraph"/>
              <w:ind w:right="108"/>
              <w:rPr>
                <w:sz w:val="22"/>
              </w:rPr>
            </w:pPr>
            <w:r>
              <w:rPr>
                <w:sz w:val="22"/>
              </w:rPr>
              <w:t>743</w:t>
            </w:r>
          </w:p>
        </w:tc>
      </w:tr>
      <w:tr>
        <w:trPr>
          <w:trHeight w:val="300" w:hRule="atLeast"/>
        </w:trPr>
        <w:tc>
          <w:tcPr>
            <w:tcW w:w="5877" w:type="dxa"/>
            <w:shd w:val="clear" w:color="auto" w:fill="D2DFED"/>
          </w:tcPr>
          <w:p>
            <w:pPr>
              <w:pStyle w:val="TableParagraph"/>
              <w:spacing w:before="25"/>
              <w:ind w:left="122"/>
              <w:jc w:val="left"/>
              <w:rPr>
                <w:b/>
                <w:sz w:val="20"/>
              </w:rPr>
            </w:pPr>
            <w:r>
              <w:rPr>
                <w:b/>
                <w:sz w:val="20"/>
              </w:rPr>
              <w:t>Department of Culture and the Arts</w:t>
            </w:r>
          </w:p>
        </w:tc>
        <w:tc>
          <w:tcPr>
            <w:tcW w:w="1327" w:type="dxa"/>
            <w:shd w:val="clear" w:color="auto" w:fill="D2DFED"/>
          </w:tcPr>
          <w:p>
            <w:pPr>
              <w:pStyle w:val="TableParagraph"/>
              <w:ind w:right="239"/>
              <w:rPr>
                <w:sz w:val="22"/>
              </w:rPr>
            </w:pPr>
            <w:r>
              <w:rPr>
                <w:sz w:val="22"/>
              </w:rPr>
              <w:t>784</w:t>
            </w:r>
          </w:p>
        </w:tc>
        <w:tc>
          <w:tcPr>
            <w:tcW w:w="1296" w:type="dxa"/>
            <w:shd w:val="clear" w:color="auto" w:fill="D2DFED"/>
          </w:tcPr>
          <w:p>
            <w:pPr>
              <w:pStyle w:val="TableParagraph"/>
              <w:ind w:right="258"/>
              <w:rPr>
                <w:sz w:val="22"/>
              </w:rPr>
            </w:pPr>
            <w:r>
              <w:rPr>
                <w:sz w:val="22"/>
              </w:rPr>
              <w:t>631</w:t>
            </w:r>
          </w:p>
        </w:tc>
        <w:tc>
          <w:tcPr>
            <w:tcW w:w="1127" w:type="dxa"/>
            <w:shd w:val="clear" w:color="auto" w:fill="D2DFED"/>
          </w:tcPr>
          <w:p>
            <w:pPr>
              <w:pStyle w:val="TableParagraph"/>
              <w:ind w:right="108"/>
              <w:rPr>
                <w:sz w:val="22"/>
              </w:rPr>
            </w:pPr>
            <w:r>
              <w:rPr>
                <w:sz w:val="22"/>
              </w:rPr>
              <w:t>627</w:t>
            </w:r>
          </w:p>
        </w:tc>
      </w:tr>
      <w:tr>
        <w:trPr>
          <w:trHeight w:val="300" w:hRule="atLeast"/>
        </w:trPr>
        <w:tc>
          <w:tcPr>
            <w:tcW w:w="5877" w:type="dxa"/>
          </w:tcPr>
          <w:p>
            <w:pPr>
              <w:pStyle w:val="TableParagraph"/>
              <w:spacing w:before="25"/>
              <w:ind w:left="122"/>
              <w:jc w:val="left"/>
              <w:rPr>
                <w:b/>
                <w:sz w:val="20"/>
              </w:rPr>
            </w:pPr>
            <w:r>
              <w:rPr>
                <w:b/>
                <w:sz w:val="20"/>
              </w:rPr>
              <w:t>Western Australian Sports Centre Trust</w:t>
            </w:r>
          </w:p>
        </w:tc>
        <w:tc>
          <w:tcPr>
            <w:tcW w:w="1327" w:type="dxa"/>
          </w:tcPr>
          <w:p>
            <w:pPr>
              <w:pStyle w:val="TableParagraph"/>
              <w:ind w:right="239"/>
              <w:rPr>
                <w:sz w:val="22"/>
              </w:rPr>
            </w:pPr>
            <w:r>
              <w:rPr>
                <w:sz w:val="22"/>
              </w:rPr>
              <w:t>618</w:t>
            </w:r>
          </w:p>
        </w:tc>
        <w:tc>
          <w:tcPr>
            <w:tcW w:w="1296" w:type="dxa"/>
          </w:tcPr>
          <w:p>
            <w:pPr>
              <w:pStyle w:val="TableParagraph"/>
              <w:ind w:right="258"/>
              <w:rPr>
                <w:sz w:val="22"/>
              </w:rPr>
            </w:pPr>
            <w:r>
              <w:rPr>
                <w:sz w:val="22"/>
              </w:rPr>
              <w:t>231</w:t>
            </w:r>
          </w:p>
        </w:tc>
        <w:tc>
          <w:tcPr>
            <w:tcW w:w="1127" w:type="dxa"/>
          </w:tcPr>
          <w:p>
            <w:pPr>
              <w:pStyle w:val="TableParagraph"/>
              <w:ind w:right="108"/>
              <w:rPr>
                <w:sz w:val="22"/>
              </w:rPr>
            </w:pPr>
            <w:r>
              <w:rPr>
                <w:sz w:val="22"/>
              </w:rPr>
              <w:t>243</w:t>
            </w:r>
          </w:p>
        </w:tc>
      </w:tr>
      <w:tr>
        <w:trPr>
          <w:trHeight w:val="300" w:hRule="atLeast"/>
        </w:trPr>
        <w:tc>
          <w:tcPr>
            <w:tcW w:w="5877" w:type="dxa"/>
            <w:shd w:val="clear" w:color="auto" w:fill="D2DFED"/>
          </w:tcPr>
          <w:p>
            <w:pPr>
              <w:pStyle w:val="TableParagraph"/>
              <w:spacing w:before="26"/>
              <w:ind w:left="122"/>
              <w:jc w:val="left"/>
              <w:rPr>
                <w:b/>
                <w:sz w:val="20"/>
              </w:rPr>
            </w:pPr>
            <w:r>
              <w:rPr>
                <w:b/>
                <w:sz w:val="20"/>
              </w:rPr>
              <w:t>Department of Training and Workforce Development</w:t>
            </w:r>
          </w:p>
        </w:tc>
        <w:tc>
          <w:tcPr>
            <w:tcW w:w="1327" w:type="dxa"/>
            <w:shd w:val="clear" w:color="auto" w:fill="D2DFED"/>
          </w:tcPr>
          <w:p>
            <w:pPr>
              <w:pStyle w:val="TableParagraph"/>
              <w:spacing w:before="12"/>
              <w:ind w:right="239"/>
              <w:rPr>
                <w:sz w:val="22"/>
              </w:rPr>
            </w:pPr>
            <w:r>
              <w:rPr>
                <w:sz w:val="22"/>
              </w:rPr>
              <w:t>669</w:t>
            </w:r>
          </w:p>
        </w:tc>
        <w:tc>
          <w:tcPr>
            <w:tcW w:w="1296" w:type="dxa"/>
            <w:shd w:val="clear" w:color="auto" w:fill="D2DFED"/>
          </w:tcPr>
          <w:p>
            <w:pPr>
              <w:pStyle w:val="TableParagraph"/>
              <w:spacing w:before="12"/>
              <w:ind w:right="258"/>
              <w:rPr>
                <w:sz w:val="22"/>
              </w:rPr>
            </w:pPr>
            <w:r>
              <w:rPr>
                <w:sz w:val="22"/>
              </w:rPr>
              <w:t>570</w:t>
            </w:r>
          </w:p>
        </w:tc>
        <w:tc>
          <w:tcPr>
            <w:tcW w:w="1127" w:type="dxa"/>
            <w:shd w:val="clear" w:color="auto" w:fill="D2DFED"/>
          </w:tcPr>
          <w:p>
            <w:pPr>
              <w:pStyle w:val="TableParagraph"/>
              <w:spacing w:before="12"/>
              <w:ind w:right="108"/>
              <w:rPr>
                <w:sz w:val="22"/>
              </w:rPr>
            </w:pPr>
            <w:r>
              <w:rPr>
                <w:sz w:val="22"/>
              </w:rPr>
              <w:t>538</w:t>
            </w:r>
          </w:p>
        </w:tc>
      </w:tr>
      <w:tr>
        <w:trPr>
          <w:trHeight w:val="300" w:hRule="atLeast"/>
        </w:trPr>
        <w:tc>
          <w:tcPr>
            <w:tcW w:w="5877" w:type="dxa"/>
          </w:tcPr>
          <w:p>
            <w:pPr>
              <w:pStyle w:val="TableParagraph"/>
              <w:spacing w:before="25"/>
              <w:ind w:left="122"/>
              <w:jc w:val="left"/>
              <w:rPr>
                <w:b/>
                <w:sz w:val="20"/>
              </w:rPr>
            </w:pPr>
            <w:r>
              <w:rPr>
                <w:b/>
                <w:sz w:val="20"/>
              </w:rPr>
              <w:t>Department of Water</w:t>
            </w:r>
          </w:p>
        </w:tc>
        <w:tc>
          <w:tcPr>
            <w:tcW w:w="1327" w:type="dxa"/>
          </w:tcPr>
          <w:p>
            <w:pPr>
              <w:pStyle w:val="TableParagraph"/>
              <w:ind w:right="239"/>
              <w:rPr>
                <w:sz w:val="22"/>
              </w:rPr>
            </w:pPr>
            <w:r>
              <w:rPr>
                <w:sz w:val="22"/>
              </w:rPr>
              <w:t>599</w:t>
            </w:r>
          </w:p>
        </w:tc>
        <w:tc>
          <w:tcPr>
            <w:tcW w:w="1296" w:type="dxa"/>
          </w:tcPr>
          <w:p>
            <w:pPr>
              <w:pStyle w:val="TableParagraph"/>
              <w:ind w:right="258"/>
              <w:rPr>
                <w:sz w:val="22"/>
              </w:rPr>
            </w:pPr>
            <w:r>
              <w:rPr>
                <w:sz w:val="22"/>
              </w:rPr>
              <w:t>537</w:t>
            </w:r>
          </w:p>
        </w:tc>
        <w:tc>
          <w:tcPr>
            <w:tcW w:w="1127" w:type="dxa"/>
          </w:tcPr>
          <w:p>
            <w:pPr>
              <w:pStyle w:val="TableParagraph"/>
              <w:ind w:right="108"/>
              <w:rPr>
                <w:sz w:val="22"/>
              </w:rPr>
            </w:pPr>
            <w:r>
              <w:rPr>
                <w:sz w:val="22"/>
              </w:rPr>
              <w:t>547</w:t>
            </w:r>
          </w:p>
        </w:tc>
      </w:tr>
      <w:tr>
        <w:trPr>
          <w:trHeight w:val="300" w:hRule="atLeast"/>
        </w:trPr>
        <w:tc>
          <w:tcPr>
            <w:tcW w:w="5877" w:type="dxa"/>
            <w:shd w:val="clear" w:color="auto" w:fill="D2DFED"/>
          </w:tcPr>
          <w:p>
            <w:pPr>
              <w:pStyle w:val="TableParagraph"/>
              <w:spacing w:before="25"/>
              <w:ind w:left="122"/>
              <w:jc w:val="left"/>
              <w:rPr>
                <w:b/>
                <w:sz w:val="20"/>
              </w:rPr>
            </w:pPr>
            <w:r>
              <w:rPr>
                <w:b/>
                <w:sz w:val="20"/>
              </w:rPr>
              <w:t>Department of Planning</w:t>
            </w:r>
          </w:p>
        </w:tc>
        <w:tc>
          <w:tcPr>
            <w:tcW w:w="1327" w:type="dxa"/>
            <w:shd w:val="clear" w:color="auto" w:fill="D2DFED"/>
          </w:tcPr>
          <w:p>
            <w:pPr>
              <w:pStyle w:val="TableParagraph"/>
              <w:ind w:right="239"/>
              <w:rPr>
                <w:sz w:val="22"/>
              </w:rPr>
            </w:pPr>
            <w:r>
              <w:rPr>
                <w:sz w:val="22"/>
              </w:rPr>
              <w:t>509</w:t>
            </w:r>
          </w:p>
        </w:tc>
        <w:tc>
          <w:tcPr>
            <w:tcW w:w="1296" w:type="dxa"/>
            <w:shd w:val="clear" w:color="auto" w:fill="D2DFED"/>
          </w:tcPr>
          <w:p>
            <w:pPr>
              <w:pStyle w:val="TableParagraph"/>
              <w:ind w:right="258"/>
              <w:rPr>
                <w:sz w:val="22"/>
              </w:rPr>
            </w:pPr>
            <w:r>
              <w:rPr>
                <w:sz w:val="22"/>
              </w:rPr>
              <w:t>450</w:t>
            </w:r>
          </w:p>
        </w:tc>
        <w:tc>
          <w:tcPr>
            <w:tcW w:w="1127" w:type="dxa"/>
            <w:shd w:val="clear" w:color="auto" w:fill="D2DFED"/>
          </w:tcPr>
          <w:p>
            <w:pPr>
              <w:pStyle w:val="TableParagraph"/>
              <w:ind w:right="108"/>
              <w:rPr>
                <w:sz w:val="22"/>
              </w:rPr>
            </w:pPr>
            <w:r>
              <w:rPr>
                <w:sz w:val="22"/>
              </w:rPr>
              <w:t>491</w:t>
            </w:r>
          </w:p>
        </w:tc>
      </w:tr>
      <w:tr>
        <w:trPr>
          <w:trHeight w:val="300" w:hRule="atLeast"/>
        </w:trPr>
        <w:tc>
          <w:tcPr>
            <w:tcW w:w="5877" w:type="dxa"/>
          </w:tcPr>
          <w:p>
            <w:pPr>
              <w:pStyle w:val="TableParagraph"/>
              <w:spacing w:before="25"/>
              <w:ind w:left="122"/>
              <w:jc w:val="left"/>
              <w:rPr>
                <w:b/>
                <w:sz w:val="20"/>
              </w:rPr>
            </w:pPr>
            <w:r>
              <w:rPr>
                <w:b/>
                <w:sz w:val="20"/>
              </w:rPr>
              <w:t>Department of Fisheries</w:t>
            </w:r>
          </w:p>
        </w:tc>
        <w:tc>
          <w:tcPr>
            <w:tcW w:w="1327" w:type="dxa"/>
          </w:tcPr>
          <w:p>
            <w:pPr>
              <w:pStyle w:val="TableParagraph"/>
              <w:ind w:right="239"/>
              <w:rPr>
                <w:sz w:val="22"/>
              </w:rPr>
            </w:pPr>
            <w:r>
              <w:rPr>
                <w:sz w:val="22"/>
              </w:rPr>
              <w:t>468</w:t>
            </w:r>
          </w:p>
        </w:tc>
        <w:tc>
          <w:tcPr>
            <w:tcW w:w="1296" w:type="dxa"/>
          </w:tcPr>
          <w:p>
            <w:pPr>
              <w:pStyle w:val="TableParagraph"/>
              <w:ind w:right="258"/>
              <w:rPr>
                <w:sz w:val="22"/>
              </w:rPr>
            </w:pPr>
            <w:r>
              <w:rPr>
                <w:sz w:val="22"/>
              </w:rPr>
              <w:t>419</w:t>
            </w:r>
          </w:p>
        </w:tc>
        <w:tc>
          <w:tcPr>
            <w:tcW w:w="1127" w:type="dxa"/>
          </w:tcPr>
          <w:p>
            <w:pPr>
              <w:pStyle w:val="TableParagraph"/>
              <w:ind w:right="108"/>
              <w:rPr>
                <w:sz w:val="22"/>
              </w:rPr>
            </w:pPr>
            <w:r>
              <w:rPr>
                <w:sz w:val="22"/>
              </w:rPr>
              <w:t>397</w:t>
            </w:r>
          </w:p>
        </w:tc>
      </w:tr>
      <w:tr>
        <w:trPr>
          <w:trHeight w:val="300" w:hRule="atLeast"/>
        </w:trPr>
        <w:tc>
          <w:tcPr>
            <w:tcW w:w="5877" w:type="dxa"/>
            <w:shd w:val="clear" w:color="auto" w:fill="D2DFED"/>
          </w:tcPr>
          <w:p>
            <w:pPr>
              <w:pStyle w:val="TableParagraph"/>
              <w:spacing w:before="25"/>
              <w:ind w:left="122"/>
              <w:jc w:val="left"/>
              <w:rPr>
                <w:b/>
                <w:sz w:val="20"/>
              </w:rPr>
            </w:pPr>
            <w:r>
              <w:rPr>
                <w:b/>
                <w:sz w:val="20"/>
              </w:rPr>
              <w:t>West Coast Institute of Training</w:t>
            </w:r>
          </w:p>
        </w:tc>
        <w:tc>
          <w:tcPr>
            <w:tcW w:w="1327" w:type="dxa"/>
            <w:shd w:val="clear" w:color="auto" w:fill="D2DFED"/>
          </w:tcPr>
          <w:p>
            <w:pPr>
              <w:pStyle w:val="TableParagraph"/>
              <w:ind w:right="239"/>
              <w:rPr>
                <w:sz w:val="22"/>
              </w:rPr>
            </w:pPr>
            <w:r>
              <w:rPr>
                <w:sz w:val="22"/>
              </w:rPr>
              <w:t>395</w:t>
            </w:r>
          </w:p>
        </w:tc>
        <w:tc>
          <w:tcPr>
            <w:tcW w:w="1296" w:type="dxa"/>
            <w:shd w:val="clear" w:color="auto" w:fill="D2DFED"/>
          </w:tcPr>
          <w:p>
            <w:pPr>
              <w:pStyle w:val="TableParagraph"/>
              <w:ind w:right="258"/>
              <w:rPr>
                <w:sz w:val="22"/>
              </w:rPr>
            </w:pPr>
            <w:r>
              <w:rPr>
                <w:sz w:val="22"/>
              </w:rPr>
              <w:t>308</w:t>
            </w:r>
          </w:p>
        </w:tc>
        <w:tc>
          <w:tcPr>
            <w:tcW w:w="1127" w:type="dxa"/>
            <w:shd w:val="clear" w:color="auto" w:fill="D2DFED"/>
          </w:tcPr>
          <w:p>
            <w:pPr>
              <w:pStyle w:val="TableParagraph"/>
              <w:ind w:right="108"/>
              <w:rPr>
                <w:sz w:val="22"/>
              </w:rPr>
            </w:pPr>
            <w:r>
              <w:rPr>
                <w:sz w:val="22"/>
              </w:rPr>
              <w:t>301</w:t>
            </w:r>
          </w:p>
        </w:tc>
      </w:tr>
      <w:tr>
        <w:trPr>
          <w:trHeight w:val="300" w:hRule="atLeast"/>
        </w:trPr>
        <w:tc>
          <w:tcPr>
            <w:tcW w:w="5877" w:type="dxa"/>
          </w:tcPr>
          <w:p>
            <w:pPr>
              <w:pStyle w:val="TableParagraph"/>
              <w:spacing w:before="25"/>
              <w:ind w:left="122"/>
              <w:jc w:val="left"/>
              <w:rPr>
                <w:b/>
                <w:sz w:val="20"/>
              </w:rPr>
            </w:pPr>
            <w:r>
              <w:rPr>
                <w:b/>
                <w:sz w:val="20"/>
              </w:rPr>
              <w:t>South West Institute of Technology</w:t>
            </w:r>
          </w:p>
        </w:tc>
        <w:tc>
          <w:tcPr>
            <w:tcW w:w="1327" w:type="dxa"/>
          </w:tcPr>
          <w:p>
            <w:pPr>
              <w:pStyle w:val="TableParagraph"/>
              <w:ind w:right="239"/>
              <w:rPr>
                <w:sz w:val="22"/>
              </w:rPr>
            </w:pPr>
            <w:r>
              <w:rPr>
                <w:sz w:val="22"/>
              </w:rPr>
              <w:t>363</w:t>
            </w:r>
          </w:p>
        </w:tc>
        <w:tc>
          <w:tcPr>
            <w:tcW w:w="1296" w:type="dxa"/>
          </w:tcPr>
          <w:p>
            <w:pPr>
              <w:pStyle w:val="TableParagraph"/>
              <w:ind w:right="258"/>
              <w:rPr>
                <w:sz w:val="22"/>
              </w:rPr>
            </w:pPr>
            <w:r>
              <w:rPr>
                <w:sz w:val="22"/>
              </w:rPr>
              <w:t>256</w:t>
            </w:r>
          </w:p>
        </w:tc>
        <w:tc>
          <w:tcPr>
            <w:tcW w:w="1127" w:type="dxa"/>
          </w:tcPr>
          <w:p>
            <w:pPr>
              <w:pStyle w:val="TableParagraph"/>
              <w:ind w:right="108"/>
              <w:rPr>
                <w:sz w:val="22"/>
              </w:rPr>
            </w:pPr>
            <w:r>
              <w:rPr>
                <w:sz w:val="22"/>
              </w:rPr>
              <w:t>250</w:t>
            </w:r>
          </w:p>
        </w:tc>
      </w:tr>
      <w:tr>
        <w:trPr>
          <w:trHeight w:val="300" w:hRule="atLeast"/>
        </w:trPr>
        <w:tc>
          <w:tcPr>
            <w:tcW w:w="5877" w:type="dxa"/>
            <w:shd w:val="clear" w:color="auto" w:fill="D2DFED"/>
          </w:tcPr>
          <w:p>
            <w:pPr>
              <w:pStyle w:val="TableParagraph"/>
              <w:spacing w:before="25"/>
              <w:ind w:left="122"/>
              <w:jc w:val="left"/>
              <w:rPr>
                <w:b/>
                <w:sz w:val="20"/>
              </w:rPr>
            </w:pPr>
            <w:r>
              <w:rPr>
                <w:b/>
                <w:sz w:val="20"/>
              </w:rPr>
              <w:t>Great Southern Institute of Technology</w:t>
            </w:r>
          </w:p>
        </w:tc>
        <w:tc>
          <w:tcPr>
            <w:tcW w:w="1327" w:type="dxa"/>
            <w:shd w:val="clear" w:color="auto" w:fill="D2DFED"/>
          </w:tcPr>
          <w:p>
            <w:pPr>
              <w:pStyle w:val="TableParagraph"/>
              <w:ind w:right="239"/>
              <w:rPr>
                <w:sz w:val="22"/>
              </w:rPr>
            </w:pPr>
            <w:r>
              <w:rPr>
                <w:sz w:val="22"/>
              </w:rPr>
              <w:t>311</w:t>
            </w:r>
          </w:p>
        </w:tc>
        <w:tc>
          <w:tcPr>
            <w:tcW w:w="1296" w:type="dxa"/>
            <w:shd w:val="clear" w:color="auto" w:fill="D2DFED"/>
          </w:tcPr>
          <w:p>
            <w:pPr>
              <w:pStyle w:val="TableParagraph"/>
              <w:ind w:right="258"/>
              <w:rPr>
                <w:sz w:val="22"/>
              </w:rPr>
            </w:pPr>
            <w:r>
              <w:rPr>
                <w:sz w:val="22"/>
              </w:rPr>
              <w:t>206</w:t>
            </w:r>
          </w:p>
        </w:tc>
        <w:tc>
          <w:tcPr>
            <w:tcW w:w="1127" w:type="dxa"/>
            <w:shd w:val="clear" w:color="auto" w:fill="D2DFED"/>
          </w:tcPr>
          <w:p>
            <w:pPr>
              <w:pStyle w:val="TableParagraph"/>
              <w:ind w:right="108"/>
              <w:rPr>
                <w:sz w:val="22"/>
              </w:rPr>
            </w:pPr>
            <w:r>
              <w:rPr>
                <w:sz w:val="22"/>
              </w:rPr>
              <w:t>191</w:t>
            </w:r>
          </w:p>
        </w:tc>
      </w:tr>
      <w:tr>
        <w:trPr>
          <w:trHeight w:val="300" w:hRule="atLeast"/>
        </w:trPr>
        <w:tc>
          <w:tcPr>
            <w:tcW w:w="5877" w:type="dxa"/>
          </w:tcPr>
          <w:p>
            <w:pPr>
              <w:pStyle w:val="TableParagraph"/>
              <w:spacing w:before="25"/>
              <w:ind w:left="122"/>
              <w:jc w:val="left"/>
              <w:rPr>
                <w:b/>
                <w:sz w:val="20"/>
              </w:rPr>
            </w:pPr>
            <w:r>
              <w:rPr>
                <w:b/>
                <w:sz w:val="20"/>
              </w:rPr>
              <w:t>Department for Communities</w:t>
            </w:r>
          </w:p>
        </w:tc>
        <w:tc>
          <w:tcPr>
            <w:tcW w:w="1327" w:type="dxa"/>
          </w:tcPr>
          <w:p>
            <w:pPr>
              <w:pStyle w:val="TableParagraph"/>
              <w:ind w:right="239"/>
              <w:rPr>
                <w:sz w:val="22"/>
              </w:rPr>
            </w:pPr>
            <w:r>
              <w:rPr>
                <w:sz w:val="22"/>
              </w:rPr>
              <w:t>285</w:t>
            </w:r>
          </w:p>
        </w:tc>
        <w:tc>
          <w:tcPr>
            <w:tcW w:w="1296" w:type="dxa"/>
          </w:tcPr>
          <w:p>
            <w:pPr>
              <w:pStyle w:val="TableParagraph"/>
              <w:ind w:right="258"/>
              <w:rPr>
                <w:sz w:val="22"/>
              </w:rPr>
            </w:pPr>
            <w:r>
              <w:rPr>
                <w:sz w:val="22"/>
              </w:rPr>
              <w:t>246</w:t>
            </w:r>
          </w:p>
        </w:tc>
        <w:tc>
          <w:tcPr>
            <w:tcW w:w="1127" w:type="dxa"/>
          </w:tcPr>
          <w:p>
            <w:pPr>
              <w:pStyle w:val="TableParagraph"/>
              <w:ind w:right="108"/>
              <w:rPr>
                <w:sz w:val="22"/>
              </w:rPr>
            </w:pPr>
            <w:r>
              <w:rPr>
                <w:sz w:val="22"/>
              </w:rPr>
              <w:t>240</w:t>
            </w:r>
          </w:p>
        </w:tc>
      </w:tr>
      <w:tr>
        <w:trPr>
          <w:trHeight w:val="300" w:hRule="atLeast"/>
        </w:trPr>
        <w:tc>
          <w:tcPr>
            <w:tcW w:w="5877" w:type="dxa"/>
            <w:shd w:val="clear" w:color="auto" w:fill="D2DFED"/>
          </w:tcPr>
          <w:p>
            <w:pPr>
              <w:pStyle w:val="TableParagraph"/>
              <w:spacing w:before="25"/>
              <w:ind w:left="122"/>
              <w:jc w:val="left"/>
              <w:rPr>
                <w:b/>
                <w:sz w:val="20"/>
              </w:rPr>
            </w:pPr>
            <w:r>
              <w:rPr>
                <w:b/>
                <w:sz w:val="20"/>
              </w:rPr>
              <w:t>Office of the Director of Public Prosecutions</w:t>
            </w:r>
          </w:p>
        </w:tc>
        <w:tc>
          <w:tcPr>
            <w:tcW w:w="1327" w:type="dxa"/>
            <w:shd w:val="clear" w:color="auto" w:fill="D2DFED"/>
          </w:tcPr>
          <w:p>
            <w:pPr>
              <w:pStyle w:val="TableParagraph"/>
              <w:ind w:right="239"/>
              <w:rPr>
                <w:sz w:val="22"/>
              </w:rPr>
            </w:pPr>
            <w:r>
              <w:rPr>
                <w:sz w:val="22"/>
              </w:rPr>
              <w:t>257</w:t>
            </w:r>
          </w:p>
        </w:tc>
        <w:tc>
          <w:tcPr>
            <w:tcW w:w="1296" w:type="dxa"/>
            <w:shd w:val="clear" w:color="auto" w:fill="D2DFED"/>
          </w:tcPr>
          <w:p>
            <w:pPr>
              <w:pStyle w:val="TableParagraph"/>
              <w:ind w:right="258"/>
              <w:rPr>
                <w:sz w:val="22"/>
              </w:rPr>
            </w:pPr>
            <w:r>
              <w:rPr>
                <w:sz w:val="22"/>
              </w:rPr>
              <w:t>235</w:t>
            </w:r>
          </w:p>
        </w:tc>
        <w:tc>
          <w:tcPr>
            <w:tcW w:w="1127" w:type="dxa"/>
            <w:shd w:val="clear" w:color="auto" w:fill="D2DFED"/>
          </w:tcPr>
          <w:p>
            <w:pPr>
              <w:pStyle w:val="TableParagraph"/>
              <w:ind w:right="108"/>
              <w:rPr>
                <w:sz w:val="22"/>
              </w:rPr>
            </w:pPr>
            <w:r>
              <w:rPr>
                <w:sz w:val="22"/>
              </w:rPr>
              <w:t>235</w:t>
            </w:r>
          </w:p>
        </w:tc>
      </w:tr>
      <w:tr>
        <w:trPr>
          <w:trHeight w:val="300" w:hRule="atLeast"/>
        </w:trPr>
        <w:tc>
          <w:tcPr>
            <w:tcW w:w="5877" w:type="dxa"/>
          </w:tcPr>
          <w:p>
            <w:pPr>
              <w:pStyle w:val="TableParagraph"/>
              <w:spacing w:before="25"/>
              <w:ind w:left="122"/>
              <w:jc w:val="left"/>
              <w:rPr>
                <w:b/>
                <w:sz w:val="20"/>
              </w:rPr>
            </w:pPr>
            <w:r>
              <w:rPr>
                <w:b/>
                <w:sz w:val="20"/>
              </w:rPr>
              <w:t>Department of Sport and Recreation</w:t>
            </w:r>
          </w:p>
        </w:tc>
        <w:tc>
          <w:tcPr>
            <w:tcW w:w="1327" w:type="dxa"/>
          </w:tcPr>
          <w:p>
            <w:pPr>
              <w:pStyle w:val="TableParagraph"/>
              <w:ind w:right="239"/>
              <w:rPr>
                <w:sz w:val="22"/>
              </w:rPr>
            </w:pPr>
            <w:r>
              <w:rPr>
                <w:sz w:val="22"/>
              </w:rPr>
              <w:t>204</w:t>
            </w:r>
          </w:p>
        </w:tc>
        <w:tc>
          <w:tcPr>
            <w:tcW w:w="1296" w:type="dxa"/>
          </w:tcPr>
          <w:p>
            <w:pPr>
              <w:pStyle w:val="TableParagraph"/>
              <w:ind w:right="258"/>
              <w:rPr>
                <w:sz w:val="22"/>
              </w:rPr>
            </w:pPr>
            <w:r>
              <w:rPr>
                <w:sz w:val="22"/>
              </w:rPr>
              <w:t>171</w:t>
            </w:r>
          </w:p>
        </w:tc>
        <w:tc>
          <w:tcPr>
            <w:tcW w:w="1127" w:type="dxa"/>
          </w:tcPr>
          <w:p>
            <w:pPr>
              <w:pStyle w:val="TableParagraph"/>
              <w:ind w:right="108"/>
              <w:rPr>
                <w:sz w:val="22"/>
              </w:rPr>
            </w:pPr>
            <w:r>
              <w:rPr>
                <w:sz w:val="22"/>
              </w:rPr>
              <w:t>184</w:t>
            </w:r>
          </w:p>
        </w:tc>
      </w:tr>
      <w:tr>
        <w:trPr>
          <w:trHeight w:val="300" w:hRule="atLeast"/>
        </w:trPr>
        <w:tc>
          <w:tcPr>
            <w:tcW w:w="5877" w:type="dxa"/>
            <w:shd w:val="clear" w:color="auto" w:fill="D2DFED"/>
          </w:tcPr>
          <w:p>
            <w:pPr>
              <w:pStyle w:val="TableParagraph"/>
              <w:spacing w:before="25"/>
              <w:ind w:left="122"/>
              <w:jc w:val="left"/>
              <w:rPr>
                <w:b/>
                <w:sz w:val="20"/>
              </w:rPr>
            </w:pPr>
            <w:r>
              <w:rPr>
                <w:b/>
                <w:sz w:val="20"/>
              </w:rPr>
              <w:t>Department of Regional Development and Lands</w:t>
            </w:r>
          </w:p>
        </w:tc>
        <w:tc>
          <w:tcPr>
            <w:tcW w:w="1327" w:type="dxa"/>
            <w:shd w:val="clear" w:color="auto" w:fill="D2DFED"/>
          </w:tcPr>
          <w:p>
            <w:pPr>
              <w:pStyle w:val="TableParagraph"/>
              <w:ind w:right="239"/>
              <w:rPr>
                <w:sz w:val="22"/>
              </w:rPr>
            </w:pPr>
            <w:r>
              <w:rPr>
                <w:sz w:val="22"/>
              </w:rPr>
              <w:t>263</w:t>
            </w:r>
          </w:p>
        </w:tc>
        <w:tc>
          <w:tcPr>
            <w:tcW w:w="1296" w:type="dxa"/>
            <w:shd w:val="clear" w:color="auto" w:fill="D2DFED"/>
          </w:tcPr>
          <w:p>
            <w:pPr>
              <w:pStyle w:val="TableParagraph"/>
              <w:ind w:right="258"/>
              <w:rPr>
                <w:sz w:val="22"/>
              </w:rPr>
            </w:pPr>
            <w:r>
              <w:rPr>
                <w:sz w:val="22"/>
              </w:rPr>
              <w:t>240</w:t>
            </w:r>
          </w:p>
        </w:tc>
        <w:tc>
          <w:tcPr>
            <w:tcW w:w="1127" w:type="dxa"/>
            <w:shd w:val="clear" w:color="auto" w:fill="D2DFED"/>
          </w:tcPr>
          <w:p>
            <w:pPr>
              <w:pStyle w:val="TableParagraph"/>
              <w:ind w:right="108"/>
              <w:rPr>
                <w:sz w:val="22"/>
              </w:rPr>
            </w:pPr>
            <w:r>
              <w:rPr>
                <w:sz w:val="22"/>
              </w:rPr>
              <w:t>232</w:t>
            </w:r>
          </w:p>
        </w:tc>
      </w:tr>
      <w:tr>
        <w:trPr>
          <w:trHeight w:val="300" w:hRule="atLeast"/>
        </w:trPr>
        <w:tc>
          <w:tcPr>
            <w:tcW w:w="5877" w:type="dxa"/>
          </w:tcPr>
          <w:p>
            <w:pPr>
              <w:pStyle w:val="TableParagraph"/>
              <w:spacing w:before="26"/>
              <w:ind w:left="122"/>
              <w:jc w:val="left"/>
              <w:rPr>
                <w:b/>
                <w:sz w:val="20"/>
              </w:rPr>
            </w:pPr>
            <w:r>
              <w:rPr>
                <w:b/>
                <w:sz w:val="20"/>
              </w:rPr>
              <w:t>Durack Institute of Technology</w:t>
            </w:r>
          </w:p>
        </w:tc>
        <w:tc>
          <w:tcPr>
            <w:tcW w:w="1327" w:type="dxa"/>
          </w:tcPr>
          <w:p>
            <w:pPr>
              <w:pStyle w:val="TableParagraph"/>
              <w:ind w:right="239"/>
              <w:rPr>
                <w:sz w:val="22"/>
              </w:rPr>
            </w:pPr>
            <w:r>
              <w:rPr>
                <w:sz w:val="22"/>
              </w:rPr>
              <w:t>291</w:t>
            </w:r>
          </w:p>
        </w:tc>
        <w:tc>
          <w:tcPr>
            <w:tcW w:w="1296" w:type="dxa"/>
          </w:tcPr>
          <w:p>
            <w:pPr>
              <w:pStyle w:val="TableParagraph"/>
              <w:ind w:right="258"/>
              <w:rPr>
                <w:sz w:val="22"/>
              </w:rPr>
            </w:pPr>
            <w:r>
              <w:rPr>
                <w:sz w:val="22"/>
              </w:rPr>
              <w:t>220</w:t>
            </w:r>
          </w:p>
        </w:tc>
        <w:tc>
          <w:tcPr>
            <w:tcW w:w="1127" w:type="dxa"/>
          </w:tcPr>
          <w:p>
            <w:pPr>
              <w:pStyle w:val="TableParagraph"/>
              <w:ind w:right="108"/>
              <w:rPr>
                <w:sz w:val="22"/>
              </w:rPr>
            </w:pPr>
            <w:r>
              <w:rPr>
                <w:sz w:val="22"/>
              </w:rPr>
              <w:t>198</w:t>
            </w:r>
          </w:p>
        </w:tc>
      </w:tr>
      <w:tr>
        <w:trPr>
          <w:trHeight w:val="300" w:hRule="atLeast"/>
        </w:trPr>
        <w:tc>
          <w:tcPr>
            <w:tcW w:w="5877" w:type="dxa"/>
            <w:shd w:val="clear" w:color="auto" w:fill="D2DFED"/>
          </w:tcPr>
          <w:p>
            <w:pPr>
              <w:pStyle w:val="TableParagraph"/>
              <w:spacing w:before="25"/>
              <w:ind w:left="122"/>
              <w:jc w:val="left"/>
              <w:rPr>
                <w:b/>
                <w:sz w:val="20"/>
              </w:rPr>
            </w:pPr>
            <w:r>
              <w:rPr>
                <w:b/>
                <w:sz w:val="20"/>
              </w:rPr>
              <w:t>Zoological Parks Authority</w:t>
            </w:r>
          </w:p>
        </w:tc>
        <w:tc>
          <w:tcPr>
            <w:tcW w:w="1327" w:type="dxa"/>
            <w:shd w:val="clear" w:color="auto" w:fill="D2DFED"/>
          </w:tcPr>
          <w:p>
            <w:pPr>
              <w:pStyle w:val="TableParagraph"/>
              <w:ind w:right="239"/>
              <w:rPr>
                <w:sz w:val="22"/>
              </w:rPr>
            </w:pPr>
            <w:r>
              <w:rPr>
                <w:sz w:val="22"/>
              </w:rPr>
              <w:t>209</w:t>
            </w:r>
          </w:p>
        </w:tc>
        <w:tc>
          <w:tcPr>
            <w:tcW w:w="1296" w:type="dxa"/>
            <w:shd w:val="clear" w:color="auto" w:fill="D2DFED"/>
          </w:tcPr>
          <w:p>
            <w:pPr>
              <w:pStyle w:val="TableParagraph"/>
              <w:ind w:right="258"/>
              <w:rPr>
                <w:sz w:val="22"/>
              </w:rPr>
            </w:pPr>
            <w:r>
              <w:rPr>
                <w:sz w:val="22"/>
              </w:rPr>
              <w:t>165</w:t>
            </w:r>
          </w:p>
        </w:tc>
        <w:tc>
          <w:tcPr>
            <w:tcW w:w="1127" w:type="dxa"/>
            <w:shd w:val="clear" w:color="auto" w:fill="D2DFED"/>
          </w:tcPr>
          <w:p>
            <w:pPr>
              <w:pStyle w:val="TableParagraph"/>
              <w:ind w:right="108"/>
              <w:rPr>
                <w:sz w:val="22"/>
              </w:rPr>
            </w:pPr>
            <w:r>
              <w:rPr>
                <w:sz w:val="22"/>
              </w:rPr>
              <w:t>169</w:t>
            </w:r>
          </w:p>
        </w:tc>
      </w:tr>
      <w:tr>
        <w:trPr>
          <w:trHeight w:val="300" w:hRule="atLeast"/>
        </w:trPr>
        <w:tc>
          <w:tcPr>
            <w:tcW w:w="5877" w:type="dxa"/>
          </w:tcPr>
          <w:p>
            <w:pPr>
              <w:pStyle w:val="TableParagraph"/>
              <w:spacing w:before="25"/>
              <w:ind w:left="122"/>
              <w:jc w:val="left"/>
              <w:rPr>
                <w:b/>
                <w:sz w:val="20"/>
              </w:rPr>
            </w:pPr>
            <w:r>
              <w:rPr>
                <w:b/>
                <w:sz w:val="20"/>
              </w:rPr>
              <w:t>Pilbara TAFE</w:t>
            </w:r>
          </w:p>
        </w:tc>
        <w:tc>
          <w:tcPr>
            <w:tcW w:w="1327" w:type="dxa"/>
          </w:tcPr>
          <w:p>
            <w:pPr>
              <w:pStyle w:val="TableParagraph"/>
              <w:ind w:right="239"/>
              <w:rPr>
                <w:sz w:val="22"/>
              </w:rPr>
            </w:pPr>
            <w:r>
              <w:rPr>
                <w:sz w:val="22"/>
              </w:rPr>
              <w:t>221</w:t>
            </w:r>
          </w:p>
        </w:tc>
        <w:tc>
          <w:tcPr>
            <w:tcW w:w="1296" w:type="dxa"/>
          </w:tcPr>
          <w:p>
            <w:pPr>
              <w:pStyle w:val="TableParagraph"/>
              <w:ind w:right="258"/>
              <w:rPr>
                <w:sz w:val="22"/>
              </w:rPr>
            </w:pPr>
            <w:r>
              <w:rPr>
                <w:sz w:val="22"/>
              </w:rPr>
              <w:t>191</w:t>
            </w:r>
          </w:p>
        </w:tc>
        <w:tc>
          <w:tcPr>
            <w:tcW w:w="1127" w:type="dxa"/>
          </w:tcPr>
          <w:p>
            <w:pPr>
              <w:pStyle w:val="TableParagraph"/>
              <w:ind w:right="108"/>
              <w:rPr>
                <w:sz w:val="22"/>
              </w:rPr>
            </w:pPr>
            <w:r>
              <w:rPr>
                <w:sz w:val="22"/>
              </w:rPr>
              <w:t>187</w:t>
            </w:r>
          </w:p>
        </w:tc>
      </w:tr>
      <w:tr>
        <w:trPr>
          <w:trHeight w:val="300" w:hRule="atLeast"/>
        </w:trPr>
        <w:tc>
          <w:tcPr>
            <w:tcW w:w="5877" w:type="dxa"/>
            <w:shd w:val="clear" w:color="auto" w:fill="D2DFED"/>
          </w:tcPr>
          <w:p>
            <w:pPr>
              <w:pStyle w:val="TableParagraph"/>
              <w:spacing w:before="25"/>
              <w:ind w:left="122"/>
              <w:jc w:val="left"/>
              <w:rPr>
                <w:b/>
                <w:sz w:val="20"/>
              </w:rPr>
            </w:pPr>
            <w:r>
              <w:rPr>
                <w:b/>
                <w:sz w:val="20"/>
              </w:rPr>
              <w:t>Department of State Development</w:t>
            </w:r>
          </w:p>
        </w:tc>
        <w:tc>
          <w:tcPr>
            <w:tcW w:w="1327" w:type="dxa"/>
            <w:shd w:val="clear" w:color="auto" w:fill="D2DFED"/>
          </w:tcPr>
          <w:p>
            <w:pPr>
              <w:pStyle w:val="TableParagraph"/>
              <w:ind w:right="239"/>
              <w:rPr>
                <w:sz w:val="22"/>
              </w:rPr>
            </w:pPr>
            <w:r>
              <w:rPr>
                <w:sz w:val="22"/>
              </w:rPr>
              <w:t>188</w:t>
            </w:r>
          </w:p>
        </w:tc>
        <w:tc>
          <w:tcPr>
            <w:tcW w:w="1296" w:type="dxa"/>
            <w:shd w:val="clear" w:color="auto" w:fill="D2DFED"/>
          </w:tcPr>
          <w:p>
            <w:pPr>
              <w:pStyle w:val="TableParagraph"/>
              <w:ind w:right="258"/>
              <w:rPr>
                <w:sz w:val="22"/>
              </w:rPr>
            </w:pPr>
            <w:r>
              <w:rPr>
                <w:sz w:val="22"/>
              </w:rPr>
              <w:t>167</w:t>
            </w:r>
          </w:p>
        </w:tc>
        <w:tc>
          <w:tcPr>
            <w:tcW w:w="1127" w:type="dxa"/>
            <w:shd w:val="clear" w:color="auto" w:fill="D2DFED"/>
          </w:tcPr>
          <w:p>
            <w:pPr>
              <w:pStyle w:val="TableParagraph"/>
              <w:ind w:right="108"/>
              <w:rPr>
                <w:sz w:val="22"/>
              </w:rPr>
            </w:pPr>
            <w:r>
              <w:rPr>
                <w:sz w:val="22"/>
              </w:rPr>
              <w:t>162</w:t>
            </w:r>
          </w:p>
        </w:tc>
      </w:tr>
      <w:tr>
        <w:trPr>
          <w:trHeight w:val="300" w:hRule="atLeast"/>
        </w:trPr>
        <w:tc>
          <w:tcPr>
            <w:tcW w:w="5877" w:type="dxa"/>
          </w:tcPr>
          <w:p>
            <w:pPr>
              <w:pStyle w:val="TableParagraph"/>
              <w:spacing w:before="25"/>
              <w:ind w:left="122"/>
              <w:jc w:val="left"/>
              <w:rPr>
                <w:b/>
                <w:sz w:val="20"/>
              </w:rPr>
            </w:pPr>
            <w:r>
              <w:rPr>
                <w:b/>
                <w:sz w:val="20"/>
              </w:rPr>
              <w:t>Kimberley TAFE</w:t>
            </w:r>
          </w:p>
        </w:tc>
        <w:tc>
          <w:tcPr>
            <w:tcW w:w="1327" w:type="dxa"/>
          </w:tcPr>
          <w:p>
            <w:pPr>
              <w:pStyle w:val="TableParagraph"/>
              <w:ind w:right="239"/>
              <w:rPr>
                <w:sz w:val="22"/>
              </w:rPr>
            </w:pPr>
            <w:r>
              <w:rPr>
                <w:sz w:val="22"/>
              </w:rPr>
              <w:t>175</w:t>
            </w:r>
          </w:p>
        </w:tc>
        <w:tc>
          <w:tcPr>
            <w:tcW w:w="1296" w:type="dxa"/>
          </w:tcPr>
          <w:p>
            <w:pPr>
              <w:pStyle w:val="TableParagraph"/>
              <w:ind w:right="258"/>
              <w:rPr>
                <w:sz w:val="22"/>
              </w:rPr>
            </w:pPr>
            <w:r>
              <w:rPr>
                <w:sz w:val="22"/>
              </w:rPr>
              <w:t>155</w:t>
            </w:r>
          </w:p>
        </w:tc>
        <w:tc>
          <w:tcPr>
            <w:tcW w:w="1127" w:type="dxa"/>
          </w:tcPr>
          <w:p>
            <w:pPr>
              <w:pStyle w:val="TableParagraph"/>
              <w:ind w:right="108"/>
              <w:rPr>
                <w:sz w:val="22"/>
              </w:rPr>
            </w:pPr>
            <w:r>
              <w:rPr>
                <w:sz w:val="22"/>
              </w:rPr>
              <w:t>145</w:t>
            </w:r>
          </w:p>
        </w:tc>
      </w:tr>
      <w:tr>
        <w:trPr>
          <w:trHeight w:val="300" w:hRule="atLeast"/>
        </w:trPr>
        <w:tc>
          <w:tcPr>
            <w:tcW w:w="5877" w:type="dxa"/>
            <w:shd w:val="clear" w:color="auto" w:fill="D2DFED"/>
          </w:tcPr>
          <w:p>
            <w:pPr>
              <w:pStyle w:val="TableParagraph"/>
              <w:spacing w:before="25"/>
              <w:ind w:left="122"/>
              <w:jc w:val="left"/>
              <w:rPr>
                <w:b/>
                <w:sz w:val="20"/>
              </w:rPr>
            </w:pPr>
            <w:r>
              <w:rPr>
                <w:b/>
                <w:sz w:val="20"/>
              </w:rPr>
              <w:t>C Y O'Connor College of TAFE</w:t>
            </w:r>
          </w:p>
        </w:tc>
        <w:tc>
          <w:tcPr>
            <w:tcW w:w="1327" w:type="dxa"/>
            <w:shd w:val="clear" w:color="auto" w:fill="D2DFED"/>
          </w:tcPr>
          <w:p>
            <w:pPr>
              <w:pStyle w:val="TableParagraph"/>
              <w:ind w:right="239"/>
              <w:rPr>
                <w:sz w:val="22"/>
              </w:rPr>
            </w:pPr>
            <w:r>
              <w:rPr>
                <w:sz w:val="22"/>
              </w:rPr>
              <w:t>165</w:t>
            </w:r>
          </w:p>
        </w:tc>
        <w:tc>
          <w:tcPr>
            <w:tcW w:w="1296" w:type="dxa"/>
            <w:shd w:val="clear" w:color="auto" w:fill="D2DFED"/>
          </w:tcPr>
          <w:p>
            <w:pPr>
              <w:pStyle w:val="TableParagraph"/>
              <w:ind w:right="258"/>
              <w:rPr>
                <w:sz w:val="22"/>
              </w:rPr>
            </w:pPr>
            <w:r>
              <w:rPr>
                <w:sz w:val="22"/>
              </w:rPr>
              <w:t>134</w:t>
            </w:r>
          </w:p>
        </w:tc>
        <w:tc>
          <w:tcPr>
            <w:tcW w:w="1127" w:type="dxa"/>
            <w:shd w:val="clear" w:color="auto" w:fill="D2DFED"/>
          </w:tcPr>
          <w:p>
            <w:pPr>
              <w:pStyle w:val="TableParagraph"/>
              <w:ind w:right="108"/>
              <w:rPr>
                <w:sz w:val="22"/>
              </w:rPr>
            </w:pPr>
            <w:r>
              <w:rPr>
                <w:sz w:val="22"/>
              </w:rPr>
              <w:t>129</w:t>
            </w:r>
          </w:p>
        </w:tc>
      </w:tr>
      <w:tr>
        <w:trPr>
          <w:trHeight w:val="300" w:hRule="atLeast"/>
        </w:trPr>
        <w:tc>
          <w:tcPr>
            <w:tcW w:w="5877" w:type="dxa"/>
          </w:tcPr>
          <w:p>
            <w:pPr>
              <w:pStyle w:val="TableParagraph"/>
              <w:spacing w:before="25"/>
              <w:ind w:left="122"/>
              <w:jc w:val="left"/>
              <w:rPr>
                <w:b/>
                <w:sz w:val="20"/>
              </w:rPr>
            </w:pPr>
            <w:r>
              <w:rPr>
                <w:b/>
                <w:sz w:val="20"/>
              </w:rPr>
              <w:t>Corruption and Crime Commission</w:t>
            </w:r>
          </w:p>
        </w:tc>
        <w:tc>
          <w:tcPr>
            <w:tcW w:w="1327" w:type="dxa"/>
          </w:tcPr>
          <w:p>
            <w:pPr>
              <w:pStyle w:val="TableParagraph"/>
              <w:ind w:right="239"/>
              <w:rPr>
                <w:sz w:val="22"/>
              </w:rPr>
            </w:pPr>
            <w:r>
              <w:rPr>
                <w:sz w:val="22"/>
              </w:rPr>
              <w:t>155</w:t>
            </w:r>
          </w:p>
        </w:tc>
        <w:tc>
          <w:tcPr>
            <w:tcW w:w="1296" w:type="dxa"/>
          </w:tcPr>
          <w:p>
            <w:pPr>
              <w:pStyle w:val="TableParagraph"/>
              <w:ind w:right="258"/>
              <w:rPr>
                <w:sz w:val="22"/>
              </w:rPr>
            </w:pPr>
            <w:r>
              <w:rPr>
                <w:sz w:val="22"/>
              </w:rPr>
              <w:t>149</w:t>
            </w:r>
          </w:p>
        </w:tc>
        <w:tc>
          <w:tcPr>
            <w:tcW w:w="1127" w:type="dxa"/>
          </w:tcPr>
          <w:p>
            <w:pPr>
              <w:pStyle w:val="TableParagraph"/>
              <w:ind w:right="108"/>
              <w:rPr>
                <w:sz w:val="22"/>
              </w:rPr>
            </w:pPr>
            <w:r>
              <w:rPr>
                <w:sz w:val="22"/>
              </w:rPr>
              <w:t>153</w:t>
            </w:r>
          </w:p>
        </w:tc>
      </w:tr>
      <w:tr>
        <w:trPr>
          <w:trHeight w:val="300" w:hRule="atLeast"/>
        </w:trPr>
        <w:tc>
          <w:tcPr>
            <w:tcW w:w="5877" w:type="dxa"/>
            <w:shd w:val="clear" w:color="auto" w:fill="D2DFED"/>
          </w:tcPr>
          <w:p>
            <w:pPr>
              <w:pStyle w:val="TableParagraph"/>
              <w:spacing w:before="25"/>
              <w:ind w:left="122"/>
              <w:jc w:val="left"/>
              <w:rPr>
                <w:b/>
                <w:sz w:val="20"/>
              </w:rPr>
            </w:pPr>
            <w:r>
              <w:rPr>
                <w:b/>
                <w:sz w:val="20"/>
              </w:rPr>
              <w:t>Country High School Hostels Authority</w:t>
            </w:r>
          </w:p>
        </w:tc>
        <w:tc>
          <w:tcPr>
            <w:tcW w:w="1327" w:type="dxa"/>
            <w:shd w:val="clear" w:color="auto" w:fill="D2DFED"/>
          </w:tcPr>
          <w:p>
            <w:pPr>
              <w:pStyle w:val="TableParagraph"/>
              <w:ind w:right="239"/>
              <w:rPr>
                <w:sz w:val="22"/>
              </w:rPr>
            </w:pPr>
            <w:r>
              <w:rPr>
                <w:sz w:val="22"/>
              </w:rPr>
              <w:t>154</w:t>
            </w:r>
          </w:p>
        </w:tc>
        <w:tc>
          <w:tcPr>
            <w:tcW w:w="1296" w:type="dxa"/>
            <w:shd w:val="clear" w:color="auto" w:fill="D2DFED"/>
          </w:tcPr>
          <w:p>
            <w:pPr>
              <w:pStyle w:val="TableParagraph"/>
              <w:ind w:right="258"/>
              <w:rPr>
                <w:sz w:val="22"/>
              </w:rPr>
            </w:pPr>
            <w:r>
              <w:rPr>
                <w:sz w:val="22"/>
              </w:rPr>
              <w:t>112</w:t>
            </w:r>
          </w:p>
        </w:tc>
        <w:tc>
          <w:tcPr>
            <w:tcW w:w="1127" w:type="dxa"/>
            <w:shd w:val="clear" w:color="auto" w:fill="D2DFED"/>
          </w:tcPr>
          <w:p>
            <w:pPr>
              <w:pStyle w:val="TableParagraph"/>
              <w:ind w:right="108"/>
              <w:rPr>
                <w:sz w:val="22"/>
              </w:rPr>
            </w:pPr>
            <w:r>
              <w:rPr>
                <w:sz w:val="22"/>
              </w:rPr>
              <w:t>113</w:t>
            </w:r>
          </w:p>
        </w:tc>
      </w:tr>
      <w:tr>
        <w:trPr>
          <w:trHeight w:val="300" w:hRule="atLeast"/>
        </w:trPr>
        <w:tc>
          <w:tcPr>
            <w:tcW w:w="5877" w:type="dxa"/>
          </w:tcPr>
          <w:p>
            <w:pPr>
              <w:pStyle w:val="TableParagraph"/>
              <w:spacing w:before="25"/>
              <w:ind w:left="122"/>
              <w:jc w:val="left"/>
              <w:rPr>
                <w:b/>
                <w:sz w:val="20"/>
              </w:rPr>
            </w:pPr>
            <w:r>
              <w:rPr>
                <w:b/>
                <w:sz w:val="20"/>
              </w:rPr>
              <w:t>Curriculum Council</w:t>
            </w:r>
          </w:p>
        </w:tc>
        <w:tc>
          <w:tcPr>
            <w:tcW w:w="1327" w:type="dxa"/>
          </w:tcPr>
          <w:p>
            <w:pPr>
              <w:pStyle w:val="TableParagraph"/>
              <w:ind w:right="239"/>
              <w:rPr>
                <w:sz w:val="22"/>
              </w:rPr>
            </w:pPr>
            <w:r>
              <w:rPr>
                <w:sz w:val="22"/>
              </w:rPr>
              <w:t>155</w:t>
            </w:r>
          </w:p>
        </w:tc>
        <w:tc>
          <w:tcPr>
            <w:tcW w:w="1296" w:type="dxa"/>
          </w:tcPr>
          <w:p>
            <w:pPr>
              <w:pStyle w:val="TableParagraph"/>
              <w:ind w:right="258"/>
              <w:rPr>
                <w:sz w:val="22"/>
              </w:rPr>
            </w:pPr>
            <w:r>
              <w:rPr>
                <w:sz w:val="22"/>
              </w:rPr>
              <w:t>134</w:t>
            </w:r>
          </w:p>
        </w:tc>
        <w:tc>
          <w:tcPr>
            <w:tcW w:w="1127" w:type="dxa"/>
          </w:tcPr>
          <w:p>
            <w:pPr>
              <w:pStyle w:val="TableParagraph"/>
              <w:ind w:right="108"/>
              <w:rPr>
                <w:sz w:val="22"/>
              </w:rPr>
            </w:pPr>
            <w:r>
              <w:rPr>
                <w:sz w:val="22"/>
              </w:rPr>
              <w:t>131</w:t>
            </w:r>
          </w:p>
        </w:tc>
      </w:tr>
      <w:tr>
        <w:trPr>
          <w:trHeight w:val="300" w:hRule="atLeast"/>
        </w:trPr>
        <w:tc>
          <w:tcPr>
            <w:tcW w:w="5877" w:type="dxa"/>
            <w:shd w:val="clear" w:color="auto" w:fill="D2DFED"/>
          </w:tcPr>
          <w:p>
            <w:pPr>
              <w:pStyle w:val="TableParagraph"/>
              <w:spacing w:before="25"/>
              <w:ind w:left="122"/>
              <w:jc w:val="left"/>
              <w:rPr>
                <w:b/>
                <w:sz w:val="20"/>
              </w:rPr>
            </w:pPr>
            <w:r>
              <w:rPr>
                <w:b/>
                <w:sz w:val="20"/>
              </w:rPr>
              <w:t>Botanic Gardens and Parks Authority</w:t>
            </w:r>
          </w:p>
        </w:tc>
        <w:tc>
          <w:tcPr>
            <w:tcW w:w="1327" w:type="dxa"/>
            <w:shd w:val="clear" w:color="auto" w:fill="D2DFED"/>
          </w:tcPr>
          <w:p>
            <w:pPr>
              <w:pStyle w:val="TableParagraph"/>
              <w:ind w:right="239"/>
              <w:rPr>
                <w:sz w:val="22"/>
              </w:rPr>
            </w:pPr>
            <w:r>
              <w:rPr>
                <w:sz w:val="22"/>
              </w:rPr>
              <w:t>159</w:t>
            </w:r>
          </w:p>
        </w:tc>
        <w:tc>
          <w:tcPr>
            <w:tcW w:w="1296" w:type="dxa"/>
            <w:shd w:val="clear" w:color="auto" w:fill="D2DFED"/>
          </w:tcPr>
          <w:p>
            <w:pPr>
              <w:pStyle w:val="TableParagraph"/>
              <w:ind w:right="258"/>
              <w:rPr>
                <w:sz w:val="22"/>
              </w:rPr>
            </w:pPr>
            <w:r>
              <w:rPr>
                <w:sz w:val="22"/>
              </w:rPr>
              <w:t>121</w:t>
            </w:r>
          </w:p>
        </w:tc>
        <w:tc>
          <w:tcPr>
            <w:tcW w:w="1127" w:type="dxa"/>
            <w:shd w:val="clear" w:color="auto" w:fill="D2DFED"/>
          </w:tcPr>
          <w:p>
            <w:pPr>
              <w:pStyle w:val="TableParagraph"/>
              <w:ind w:right="108"/>
              <w:rPr>
                <w:sz w:val="22"/>
              </w:rPr>
            </w:pPr>
            <w:r>
              <w:rPr>
                <w:sz w:val="22"/>
              </w:rPr>
              <w:t>119</w:t>
            </w:r>
          </w:p>
        </w:tc>
      </w:tr>
      <w:tr>
        <w:trPr>
          <w:trHeight w:val="300" w:hRule="atLeast"/>
        </w:trPr>
        <w:tc>
          <w:tcPr>
            <w:tcW w:w="5877" w:type="dxa"/>
          </w:tcPr>
          <w:p>
            <w:pPr>
              <w:pStyle w:val="TableParagraph"/>
              <w:spacing w:before="25"/>
              <w:ind w:left="122"/>
              <w:jc w:val="left"/>
              <w:rPr>
                <w:b/>
                <w:sz w:val="20"/>
              </w:rPr>
            </w:pPr>
            <w:r>
              <w:rPr>
                <w:b/>
                <w:sz w:val="20"/>
              </w:rPr>
              <w:t>Department of Indigenous Affairs</w:t>
            </w:r>
          </w:p>
        </w:tc>
        <w:tc>
          <w:tcPr>
            <w:tcW w:w="1327" w:type="dxa"/>
          </w:tcPr>
          <w:p>
            <w:pPr>
              <w:pStyle w:val="TableParagraph"/>
              <w:ind w:right="239"/>
              <w:rPr>
                <w:sz w:val="22"/>
              </w:rPr>
            </w:pPr>
            <w:r>
              <w:rPr>
                <w:sz w:val="22"/>
              </w:rPr>
              <w:t>149</w:t>
            </w:r>
          </w:p>
        </w:tc>
        <w:tc>
          <w:tcPr>
            <w:tcW w:w="1296" w:type="dxa"/>
          </w:tcPr>
          <w:p>
            <w:pPr>
              <w:pStyle w:val="TableParagraph"/>
              <w:ind w:right="258"/>
              <w:rPr>
                <w:sz w:val="22"/>
              </w:rPr>
            </w:pPr>
            <w:r>
              <w:rPr>
                <w:sz w:val="22"/>
              </w:rPr>
              <w:t>136</w:t>
            </w:r>
          </w:p>
        </w:tc>
        <w:tc>
          <w:tcPr>
            <w:tcW w:w="1127" w:type="dxa"/>
          </w:tcPr>
          <w:p>
            <w:pPr>
              <w:pStyle w:val="TableParagraph"/>
              <w:ind w:right="108"/>
              <w:rPr>
                <w:sz w:val="22"/>
              </w:rPr>
            </w:pPr>
            <w:r>
              <w:rPr>
                <w:sz w:val="22"/>
              </w:rPr>
              <w:t>141</w:t>
            </w:r>
          </w:p>
        </w:tc>
      </w:tr>
      <w:tr>
        <w:trPr>
          <w:trHeight w:val="300" w:hRule="atLeast"/>
        </w:trPr>
        <w:tc>
          <w:tcPr>
            <w:tcW w:w="5877" w:type="dxa"/>
            <w:shd w:val="clear" w:color="auto" w:fill="D2DFED"/>
          </w:tcPr>
          <w:p>
            <w:pPr>
              <w:pStyle w:val="TableParagraph"/>
              <w:spacing w:before="25"/>
              <w:ind w:left="122"/>
              <w:jc w:val="left"/>
              <w:rPr>
                <w:b/>
                <w:sz w:val="20"/>
              </w:rPr>
            </w:pPr>
            <w:r>
              <w:rPr>
                <w:b/>
                <w:sz w:val="20"/>
              </w:rPr>
              <w:t>Public Sector Commission</w:t>
            </w:r>
          </w:p>
        </w:tc>
        <w:tc>
          <w:tcPr>
            <w:tcW w:w="1327" w:type="dxa"/>
            <w:shd w:val="clear" w:color="auto" w:fill="D2DFED"/>
          </w:tcPr>
          <w:p>
            <w:pPr>
              <w:pStyle w:val="TableParagraph"/>
              <w:ind w:right="239"/>
              <w:rPr>
                <w:sz w:val="22"/>
              </w:rPr>
            </w:pPr>
            <w:r>
              <w:rPr>
                <w:sz w:val="22"/>
              </w:rPr>
              <w:t>155</w:t>
            </w:r>
          </w:p>
        </w:tc>
        <w:tc>
          <w:tcPr>
            <w:tcW w:w="1296" w:type="dxa"/>
            <w:shd w:val="clear" w:color="auto" w:fill="D2DFED"/>
          </w:tcPr>
          <w:p>
            <w:pPr>
              <w:pStyle w:val="TableParagraph"/>
              <w:ind w:right="258"/>
              <w:rPr>
                <w:sz w:val="22"/>
              </w:rPr>
            </w:pPr>
            <w:r>
              <w:rPr>
                <w:sz w:val="22"/>
              </w:rPr>
              <w:t>136</w:t>
            </w:r>
          </w:p>
        </w:tc>
        <w:tc>
          <w:tcPr>
            <w:tcW w:w="1127" w:type="dxa"/>
            <w:shd w:val="clear" w:color="auto" w:fill="D2DFED"/>
          </w:tcPr>
          <w:p>
            <w:pPr>
              <w:pStyle w:val="TableParagraph"/>
              <w:ind w:right="108"/>
              <w:rPr>
                <w:sz w:val="22"/>
              </w:rPr>
            </w:pPr>
            <w:r>
              <w:rPr>
                <w:sz w:val="22"/>
              </w:rPr>
              <w:t>123</w:t>
            </w:r>
          </w:p>
        </w:tc>
      </w:tr>
      <w:tr>
        <w:trPr>
          <w:trHeight w:val="299" w:hRule="atLeast"/>
        </w:trPr>
        <w:tc>
          <w:tcPr>
            <w:tcW w:w="5877" w:type="dxa"/>
          </w:tcPr>
          <w:p>
            <w:pPr>
              <w:pStyle w:val="TableParagraph"/>
              <w:spacing w:before="25"/>
              <w:ind w:left="122"/>
              <w:jc w:val="left"/>
              <w:rPr>
                <w:b/>
                <w:sz w:val="20"/>
              </w:rPr>
            </w:pPr>
            <w:r>
              <w:rPr>
                <w:b/>
                <w:sz w:val="20"/>
              </w:rPr>
              <w:t>Department of Racing, Gaming and Liquor</w:t>
            </w:r>
          </w:p>
        </w:tc>
        <w:tc>
          <w:tcPr>
            <w:tcW w:w="1327" w:type="dxa"/>
          </w:tcPr>
          <w:p>
            <w:pPr>
              <w:pStyle w:val="TableParagraph"/>
              <w:ind w:right="239"/>
              <w:rPr>
                <w:sz w:val="22"/>
              </w:rPr>
            </w:pPr>
            <w:r>
              <w:rPr>
                <w:sz w:val="22"/>
              </w:rPr>
              <w:t>125</w:t>
            </w:r>
          </w:p>
        </w:tc>
        <w:tc>
          <w:tcPr>
            <w:tcW w:w="1296" w:type="dxa"/>
          </w:tcPr>
          <w:p>
            <w:pPr>
              <w:pStyle w:val="TableParagraph"/>
              <w:ind w:right="258"/>
              <w:rPr>
                <w:sz w:val="22"/>
              </w:rPr>
            </w:pPr>
            <w:r>
              <w:rPr>
                <w:sz w:val="22"/>
              </w:rPr>
              <w:t>114</w:t>
            </w:r>
          </w:p>
        </w:tc>
        <w:tc>
          <w:tcPr>
            <w:tcW w:w="1127" w:type="dxa"/>
          </w:tcPr>
          <w:p>
            <w:pPr>
              <w:pStyle w:val="TableParagraph"/>
              <w:ind w:right="108"/>
              <w:rPr>
                <w:sz w:val="22"/>
              </w:rPr>
            </w:pPr>
            <w:r>
              <w:rPr>
                <w:sz w:val="22"/>
              </w:rPr>
              <w:t>117</w:t>
            </w:r>
          </w:p>
        </w:tc>
      </w:tr>
      <w:tr>
        <w:trPr>
          <w:trHeight w:val="300" w:hRule="atLeast"/>
        </w:trPr>
        <w:tc>
          <w:tcPr>
            <w:tcW w:w="5877" w:type="dxa"/>
            <w:shd w:val="clear" w:color="auto" w:fill="D2DFED"/>
          </w:tcPr>
          <w:p>
            <w:pPr>
              <w:pStyle w:val="TableParagraph"/>
              <w:spacing w:before="25"/>
              <w:ind w:left="122"/>
              <w:jc w:val="left"/>
              <w:rPr>
                <w:b/>
                <w:sz w:val="20"/>
              </w:rPr>
            </w:pPr>
            <w:r>
              <w:rPr>
                <w:b/>
                <w:sz w:val="20"/>
              </w:rPr>
              <w:t>Department of Local Government</w:t>
            </w:r>
          </w:p>
        </w:tc>
        <w:tc>
          <w:tcPr>
            <w:tcW w:w="1327" w:type="dxa"/>
            <w:shd w:val="clear" w:color="auto" w:fill="D2DFED"/>
          </w:tcPr>
          <w:p>
            <w:pPr>
              <w:pStyle w:val="TableParagraph"/>
              <w:ind w:right="239"/>
              <w:rPr>
                <w:sz w:val="22"/>
              </w:rPr>
            </w:pPr>
            <w:r>
              <w:rPr>
                <w:sz w:val="22"/>
              </w:rPr>
              <w:t>125</w:t>
            </w:r>
          </w:p>
        </w:tc>
        <w:tc>
          <w:tcPr>
            <w:tcW w:w="1296" w:type="dxa"/>
            <w:shd w:val="clear" w:color="auto" w:fill="D2DFED"/>
          </w:tcPr>
          <w:p>
            <w:pPr>
              <w:pStyle w:val="TableParagraph"/>
              <w:ind w:right="258"/>
              <w:rPr>
                <w:sz w:val="22"/>
              </w:rPr>
            </w:pPr>
            <w:r>
              <w:rPr>
                <w:sz w:val="22"/>
              </w:rPr>
              <w:t>120</w:t>
            </w:r>
          </w:p>
        </w:tc>
        <w:tc>
          <w:tcPr>
            <w:tcW w:w="1127" w:type="dxa"/>
            <w:shd w:val="clear" w:color="auto" w:fill="D2DFED"/>
          </w:tcPr>
          <w:p>
            <w:pPr>
              <w:pStyle w:val="TableParagraph"/>
              <w:ind w:right="108"/>
              <w:rPr>
                <w:sz w:val="22"/>
              </w:rPr>
            </w:pPr>
            <w:r>
              <w:rPr>
                <w:sz w:val="22"/>
              </w:rPr>
              <w:t>115</w:t>
            </w:r>
          </w:p>
        </w:tc>
      </w:tr>
      <w:tr>
        <w:trPr>
          <w:trHeight w:val="300" w:hRule="atLeast"/>
        </w:trPr>
        <w:tc>
          <w:tcPr>
            <w:tcW w:w="5877" w:type="dxa"/>
          </w:tcPr>
          <w:p>
            <w:pPr>
              <w:pStyle w:val="TableParagraph"/>
              <w:spacing w:before="25"/>
              <w:ind w:left="122"/>
              <w:jc w:val="left"/>
              <w:rPr>
                <w:b/>
                <w:sz w:val="20"/>
              </w:rPr>
            </w:pPr>
            <w:r>
              <w:rPr>
                <w:b/>
                <w:sz w:val="20"/>
              </w:rPr>
              <w:t>Office of the Auditor General</w:t>
            </w:r>
          </w:p>
        </w:tc>
        <w:tc>
          <w:tcPr>
            <w:tcW w:w="1327" w:type="dxa"/>
          </w:tcPr>
          <w:p>
            <w:pPr>
              <w:pStyle w:val="TableParagraph"/>
              <w:ind w:right="239"/>
              <w:rPr>
                <w:sz w:val="22"/>
              </w:rPr>
            </w:pPr>
            <w:r>
              <w:rPr>
                <w:sz w:val="22"/>
              </w:rPr>
              <w:t>129</w:t>
            </w:r>
          </w:p>
        </w:tc>
        <w:tc>
          <w:tcPr>
            <w:tcW w:w="1296" w:type="dxa"/>
          </w:tcPr>
          <w:p>
            <w:pPr>
              <w:pStyle w:val="TableParagraph"/>
              <w:ind w:right="258"/>
              <w:rPr>
                <w:sz w:val="22"/>
              </w:rPr>
            </w:pPr>
            <w:r>
              <w:rPr>
                <w:sz w:val="22"/>
              </w:rPr>
              <w:t>117</w:t>
            </w:r>
          </w:p>
        </w:tc>
        <w:tc>
          <w:tcPr>
            <w:tcW w:w="1127" w:type="dxa"/>
          </w:tcPr>
          <w:p>
            <w:pPr>
              <w:pStyle w:val="TableParagraph"/>
              <w:ind w:right="108"/>
              <w:rPr>
                <w:sz w:val="22"/>
              </w:rPr>
            </w:pPr>
            <w:r>
              <w:rPr>
                <w:sz w:val="22"/>
              </w:rPr>
              <w:t>109</w:t>
            </w:r>
          </w:p>
        </w:tc>
      </w:tr>
      <w:tr>
        <w:trPr>
          <w:trHeight w:val="300" w:hRule="atLeast"/>
        </w:trPr>
        <w:tc>
          <w:tcPr>
            <w:tcW w:w="5877" w:type="dxa"/>
            <w:shd w:val="clear" w:color="auto" w:fill="D2DFED"/>
          </w:tcPr>
          <w:p>
            <w:pPr>
              <w:pStyle w:val="TableParagraph"/>
              <w:spacing w:before="25"/>
              <w:ind w:left="122"/>
              <w:jc w:val="left"/>
              <w:rPr>
                <w:b/>
                <w:sz w:val="20"/>
              </w:rPr>
            </w:pPr>
            <w:r>
              <w:rPr>
                <w:b/>
                <w:sz w:val="20"/>
              </w:rPr>
              <w:t>Chemistry Centre (WA)</w:t>
            </w:r>
          </w:p>
        </w:tc>
        <w:tc>
          <w:tcPr>
            <w:tcW w:w="1327" w:type="dxa"/>
            <w:shd w:val="clear" w:color="auto" w:fill="D2DFED"/>
          </w:tcPr>
          <w:p>
            <w:pPr>
              <w:pStyle w:val="TableParagraph"/>
              <w:ind w:right="239"/>
              <w:rPr>
                <w:sz w:val="22"/>
              </w:rPr>
            </w:pPr>
            <w:r>
              <w:rPr>
                <w:sz w:val="22"/>
              </w:rPr>
              <w:t>122</w:t>
            </w:r>
          </w:p>
        </w:tc>
        <w:tc>
          <w:tcPr>
            <w:tcW w:w="1296" w:type="dxa"/>
            <w:shd w:val="clear" w:color="auto" w:fill="D2DFED"/>
          </w:tcPr>
          <w:p>
            <w:pPr>
              <w:pStyle w:val="TableParagraph"/>
              <w:ind w:right="258"/>
              <w:rPr>
                <w:sz w:val="22"/>
              </w:rPr>
            </w:pPr>
            <w:r>
              <w:rPr>
                <w:sz w:val="22"/>
              </w:rPr>
              <w:t>116</w:t>
            </w:r>
          </w:p>
        </w:tc>
        <w:tc>
          <w:tcPr>
            <w:tcW w:w="1127" w:type="dxa"/>
            <w:shd w:val="clear" w:color="auto" w:fill="D2DFED"/>
          </w:tcPr>
          <w:p>
            <w:pPr>
              <w:pStyle w:val="TableParagraph"/>
              <w:ind w:right="108"/>
              <w:rPr>
                <w:sz w:val="22"/>
              </w:rPr>
            </w:pPr>
            <w:r>
              <w:rPr>
                <w:sz w:val="22"/>
              </w:rPr>
              <w:t>114</w:t>
            </w:r>
          </w:p>
        </w:tc>
      </w:tr>
      <w:tr>
        <w:trPr>
          <w:trHeight w:val="300" w:hRule="atLeast"/>
        </w:trPr>
        <w:tc>
          <w:tcPr>
            <w:tcW w:w="5877" w:type="dxa"/>
          </w:tcPr>
          <w:p>
            <w:pPr>
              <w:pStyle w:val="TableParagraph"/>
              <w:spacing w:before="25"/>
              <w:ind w:left="122"/>
              <w:jc w:val="left"/>
              <w:rPr>
                <w:b/>
                <w:sz w:val="20"/>
              </w:rPr>
            </w:pPr>
            <w:r>
              <w:rPr>
                <w:b/>
                <w:sz w:val="20"/>
              </w:rPr>
              <w:t>Western Australian Tourism Commission</w:t>
            </w:r>
          </w:p>
        </w:tc>
        <w:tc>
          <w:tcPr>
            <w:tcW w:w="1327" w:type="dxa"/>
          </w:tcPr>
          <w:p>
            <w:pPr>
              <w:pStyle w:val="TableParagraph"/>
              <w:ind w:right="239"/>
              <w:rPr>
                <w:sz w:val="22"/>
              </w:rPr>
            </w:pPr>
            <w:r>
              <w:rPr>
                <w:sz w:val="22"/>
              </w:rPr>
              <w:t>105</w:t>
            </w:r>
          </w:p>
        </w:tc>
        <w:tc>
          <w:tcPr>
            <w:tcW w:w="1296" w:type="dxa"/>
          </w:tcPr>
          <w:p>
            <w:pPr>
              <w:pStyle w:val="TableParagraph"/>
              <w:ind w:right="257"/>
              <w:rPr>
                <w:sz w:val="22"/>
              </w:rPr>
            </w:pPr>
            <w:r>
              <w:rPr>
                <w:sz w:val="22"/>
              </w:rPr>
              <w:t>96</w:t>
            </w:r>
          </w:p>
        </w:tc>
        <w:tc>
          <w:tcPr>
            <w:tcW w:w="1127" w:type="dxa"/>
          </w:tcPr>
          <w:p>
            <w:pPr>
              <w:pStyle w:val="TableParagraph"/>
              <w:ind w:right="107"/>
              <w:rPr>
                <w:sz w:val="22"/>
              </w:rPr>
            </w:pPr>
            <w:r>
              <w:rPr>
                <w:sz w:val="22"/>
              </w:rPr>
              <w:t>94</w:t>
            </w:r>
          </w:p>
        </w:tc>
      </w:tr>
      <w:tr>
        <w:trPr>
          <w:trHeight w:val="300" w:hRule="atLeast"/>
        </w:trPr>
        <w:tc>
          <w:tcPr>
            <w:tcW w:w="5877" w:type="dxa"/>
            <w:shd w:val="clear" w:color="auto" w:fill="D2DFED"/>
          </w:tcPr>
          <w:p>
            <w:pPr>
              <w:pStyle w:val="TableParagraph"/>
              <w:spacing w:before="25"/>
              <w:ind w:left="122"/>
              <w:jc w:val="left"/>
              <w:rPr>
                <w:b/>
                <w:sz w:val="20"/>
              </w:rPr>
            </w:pPr>
            <w:r>
              <w:rPr>
                <w:b/>
                <w:sz w:val="20"/>
              </w:rPr>
              <w:t>Office of the Environmental Protection Authority</w:t>
            </w:r>
          </w:p>
        </w:tc>
        <w:tc>
          <w:tcPr>
            <w:tcW w:w="1327" w:type="dxa"/>
            <w:shd w:val="clear" w:color="auto" w:fill="D2DFED"/>
          </w:tcPr>
          <w:p>
            <w:pPr>
              <w:pStyle w:val="TableParagraph"/>
              <w:ind w:right="238"/>
              <w:rPr>
                <w:sz w:val="22"/>
              </w:rPr>
            </w:pPr>
            <w:r>
              <w:rPr>
                <w:sz w:val="22"/>
              </w:rPr>
              <w:t>99</w:t>
            </w:r>
          </w:p>
        </w:tc>
        <w:tc>
          <w:tcPr>
            <w:tcW w:w="1296" w:type="dxa"/>
            <w:shd w:val="clear" w:color="auto" w:fill="D2DFED"/>
          </w:tcPr>
          <w:p>
            <w:pPr>
              <w:pStyle w:val="TableParagraph"/>
              <w:ind w:right="257"/>
              <w:rPr>
                <w:sz w:val="22"/>
              </w:rPr>
            </w:pPr>
            <w:r>
              <w:rPr>
                <w:sz w:val="22"/>
              </w:rPr>
              <w:t>90</w:t>
            </w:r>
          </w:p>
        </w:tc>
        <w:tc>
          <w:tcPr>
            <w:tcW w:w="1127" w:type="dxa"/>
            <w:shd w:val="clear" w:color="auto" w:fill="D2DFED"/>
          </w:tcPr>
          <w:p>
            <w:pPr>
              <w:pStyle w:val="TableParagraph"/>
              <w:ind w:right="107"/>
              <w:rPr>
                <w:sz w:val="22"/>
              </w:rPr>
            </w:pPr>
            <w:r>
              <w:rPr>
                <w:sz w:val="22"/>
              </w:rPr>
              <w:t>88</w:t>
            </w:r>
          </w:p>
        </w:tc>
      </w:tr>
      <w:tr>
        <w:trPr>
          <w:trHeight w:val="300" w:hRule="atLeast"/>
        </w:trPr>
        <w:tc>
          <w:tcPr>
            <w:tcW w:w="5877" w:type="dxa"/>
          </w:tcPr>
          <w:p>
            <w:pPr>
              <w:pStyle w:val="TableParagraph"/>
              <w:spacing w:before="25"/>
              <w:ind w:left="122"/>
              <w:jc w:val="left"/>
              <w:rPr>
                <w:b/>
                <w:sz w:val="20"/>
              </w:rPr>
            </w:pPr>
            <w:r>
              <w:rPr>
                <w:b/>
                <w:sz w:val="20"/>
              </w:rPr>
              <w:t>Office of Energy</w:t>
            </w:r>
          </w:p>
        </w:tc>
        <w:tc>
          <w:tcPr>
            <w:tcW w:w="1327" w:type="dxa"/>
          </w:tcPr>
          <w:p>
            <w:pPr>
              <w:pStyle w:val="TableParagraph"/>
              <w:ind w:right="238"/>
              <w:rPr>
                <w:sz w:val="22"/>
              </w:rPr>
            </w:pPr>
            <w:r>
              <w:rPr>
                <w:sz w:val="22"/>
              </w:rPr>
              <w:t>84</w:t>
            </w:r>
          </w:p>
        </w:tc>
        <w:tc>
          <w:tcPr>
            <w:tcW w:w="1296" w:type="dxa"/>
          </w:tcPr>
          <w:p>
            <w:pPr>
              <w:pStyle w:val="TableParagraph"/>
              <w:ind w:right="257"/>
              <w:rPr>
                <w:sz w:val="22"/>
              </w:rPr>
            </w:pPr>
            <w:r>
              <w:rPr>
                <w:sz w:val="22"/>
              </w:rPr>
              <w:t>78</w:t>
            </w:r>
          </w:p>
        </w:tc>
        <w:tc>
          <w:tcPr>
            <w:tcW w:w="1127" w:type="dxa"/>
          </w:tcPr>
          <w:p>
            <w:pPr>
              <w:pStyle w:val="TableParagraph"/>
              <w:ind w:right="107"/>
              <w:rPr>
                <w:sz w:val="22"/>
              </w:rPr>
            </w:pPr>
            <w:r>
              <w:rPr>
                <w:sz w:val="22"/>
              </w:rPr>
              <w:t>74</w:t>
            </w:r>
          </w:p>
        </w:tc>
      </w:tr>
      <w:tr>
        <w:trPr>
          <w:trHeight w:val="300" w:hRule="atLeast"/>
        </w:trPr>
        <w:tc>
          <w:tcPr>
            <w:tcW w:w="5877" w:type="dxa"/>
            <w:shd w:val="clear" w:color="auto" w:fill="D2DFED"/>
          </w:tcPr>
          <w:p>
            <w:pPr>
              <w:pStyle w:val="TableParagraph"/>
              <w:spacing w:before="25"/>
              <w:ind w:left="122"/>
              <w:jc w:val="left"/>
              <w:rPr>
                <w:b/>
                <w:sz w:val="20"/>
              </w:rPr>
            </w:pPr>
            <w:r>
              <w:rPr>
                <w:b/>
                <w:sz w:val="20"/>
              </w:rPr>
              <w:t>Department of Education Services</w:t>
            </w:r>
          </w:p>
        </w:tc>
        <w:tc>
          <w:tcPr>
            <w:tcW w:w="1327" w:type="dxa"/>
            <w:shd w:val="clear" w:color="auto" w:fill="D2DFED"/>
          </w:tcPr>
          <w:p>
            <w:pPr>
              <w:pStyle w:val="TableParagraph"/>
              <w:ind w:right="238"/>
              <w:rPr>
                <w:sz w:val="22"/>
              </w:rPr>
            </w:pPr>
            <w:r>
              <w:rPr>
                <w:sz w:val="22"/>
              </w:rPr>
              <w:t>65</w:t>
            </w:r>
          </w:p>
        </w:tc>
        <w:tc>
          <w:tcPr>
            <w:tcW w:w="1296" w:type="dxa"/>
            <w:shd w:val="clear" w:color="auto" w:fill="D2DFED"/>
          </w:tcPr>
          <w:p>
            <w:pPr>
              <w:pStyle w:val="TableParagraph"/>
              <w:ind w:right="257"/>
              <w:rPr>
                <w:sz w:val="22"/>
              </w:rPr>
            </w:pPr>
            <w:r>
              <w:rPr>
                <w:sz w:val="22"/>
              </w:rPr>
              <w:t>58</w:t>
            </w:r>
          </w:p>
        </w:tc>
        <w:tc>
          <w:tcPr>
            <w:tcW w:w="1127" w:type="dxa"/>
            <w:shd w:val="clear" w:color="auto" w:fill="D2DFED"/>
          </w:tcPr>
          <w:p>
            <w:pPr>
              <w:pStyle w:val="TableParagraph"/>
              <w:ind w:right="107"/>
              <w:rPr>
                <w:sz w:val="22"/>
              </w:rPr>
            </w:pPr>
            <w:r>
              <w:rPr>
                <w:sz w:val="22"/>
              </w:rPr>
              <w:t>58</w:t>
            </w:r>
          </w:p>
        </w:tc>
      </w:tr>
      <w:tr>
        <w:trPr>
          <w:trHeight w:val="300" w:hRule="atLeast"/>
        </w:trPr>
        <w:tc>
          <w:tcPr>
            <w:tcW w:w="5877" w:type="dxa"/>
          </w:tcPr>
          <w:p>
            <w:pPr>
              <w:pStyle w:val="TableParagraph"/>
              <w:spacing w:before="25"/>
              <w:ind w:left="122"/>
              <w:jc w:val="left"/>
              <w:rPr>
                <w:b/>
                <w:sz w:val="20"/>
              </w:rPr>
            </w:pPr>
            <w:r>
              <w:rPr>
                <w:b/>
                <w:sz w:val="20"/>
              </w:rPr>
              <w:t>Swan River Trust</w:t>
            </w:r>
          </w:p>
        </w:tc>
        <w:tc>
          <w:tcPr>
            <w:tcW w:w="1327" w:type="dxa"/>
          </w:tcPr>
          <w:p>
            <w:pPr>
              <w:pStyle w:val="TableParagraph"/>
              <w:ind w:right="238"/>
              <w:rPr>
                <w:sz w:val="22"/>
              </w:rPr>
            </w:pPr>
            <w:r>
              <w:rPr>
                <w:sz w:val="22"/>
              </w:rPr>
              <w:t>56</w:t>
            </w:r>
          </w:p>
        </w:tc>
        <w:tc>
          <w:tcPr>
            <w:tcW w:w="1296" w:type="dxa"/>
          </w:tcPr>
          <w:p>
            <w:pPr>
              <w:pStyle w:val="TableParagraph"/>
              <w:ind w:right="257"/>
              <w:rPr>
                <w:sz w:val="22"/>
              </w:rPr>
            </w:pPr>
            <w:r>
              <w:rPr>
                <w:sz w:val="22"/>
              </w:rPr>
              <w:t>52</w:t>
            </w:r>
          </w:p>
        </w:tc>
        <w:tc>
          <w:tcPr>
            <w:tcW w:w="1127" w:type="dxa"/>
          </w:tcPr>
          <w:p>
            <w:pPr>
              <w:pStyle w:val="TableParagraph"/>
              <w:ind w:right="107"/>
              <w:rPr>
                <w:sz w:val="22"/>
              </w:rPr>
            </w:pPr>
            <w:r>
              <w:rPr>
                <w:sz w:val="22"/>
              </w:rPr>
              <w:t>54</w:t>
            </w:r>
          </w:p>
        </w:tc>
      </w:tr>
      <w:tr>
        <w:trPr>
          <w:trHeight w:val="486" w:hRule="atLeast"/>
        </w:trPr>
        <w:tc>
          <w:tcPr>
            <w:tcW w:w="5877" w:type="dxa"/>
            <w:tcBorders>
              <w:bottom w:val="single" w:sz="8" w:space="0" w:color="4F81BC"/>
            </w:tcBorders>
            <w:shd w:val="clear" w:color="auto" w:fill="D2DFED"/>
          </w:tcPr>
          <w:p>
            <w:pPr>
              <w:pStyle w:val="TableParagraph"/>
              <w:spacing w:line="242" w:lineRule="exact" w:before="0"/>
              <w:ind w:left="122"/>
              <w:jc w:val="left"/>
              <w:rPr>
                <w:b/>
                <w:sz w:val="20"/>
              </w:rPr>
            </w:pPr>
            <w:r>
              <w:rPr>
                <w:b/>
                <w:sz w:val="20"/>
              </w:rPr>
              <w:t>Parliamentary Commissioner for Administrative Investigations</w:t>
            </w:r>
          </w:p>
          <w:p>
            <w:pPr>
              <w:pStyle w:val="TableParagraph"/>
              <w:spacing w:line="224" w:lineRule="exact" w:before="0"/>
              <w:ind w:left="122"/>
              <w:jc w:val="left"/>
              <w:rPr>
                <w:b/>
                <w:sz w:val="20"/>
              </w:rPr>
            </w:pPr>
            <w:r>
              <w:rPr>
                <w:b/>
                <w:sz w:val="20"/>
              </w:rPr>
              <w:t>(Ombudsman)</w:t>
            </w:r>
          </w:p>
        </w:tc>
        <w:tc>
          <w:tcPr>
            <w:tcW w:w="1327" w:type="dxa"/>
            <w:tcBorders>
              <w:bottom w:val="single" w:sz="8" w:space="0" w:color="4F81BC"/>
            </w:tcBorders>
            <w:shd w:val="clear" w:color="auto" w:fill="D2DFED"/>
          </w:tcPr>
          <w:p>
            <w:pPr>
              <w:pStyle w:val="TableParagraph"/>
              <w:spacing w:before="105"/>
              <w:ind w:right="238"/>
              <w:rPr>
                <w:sz w:val="22"/>
              </w:rPr>
            </w:pPr>
            <w:r>
              <w:rPr>
                <w:sz w:val="22"/>
              </w:rPr>
              <w:t>62</w:t>
            </w:r>
          </w:p>
        </w:tc>
        <w:tc>
          <w:tcPr>
            <w:tcW w:w="1296" w:type="dxa"/>
            <w:tcBorders>
              <w:bottom w:val="single" w:sz="8" w:space="0" w:color="4F81BC"/>
            </w:tcBorders>
            <w:shd w:val="clear" w:color="auto" w:fill="D2DFED"/>
          </w:tcPr>
          <w:p>
            <w:pPr>
              <w:pStyle w:val="TableParagraph"/>
              <w:spacing w:before="105"/>
              <w:ind w:right="257"/>
              <w:rPr>
                <w:sz w:val="22"/>
              </w:rPr>
            </w:pPr>
            <w:r>
              <w:rPr>
                <w:sz w:val="22"/>
              </w:rPr>
              <w:t>56</w:t>
            </w:r>
          </w:p>
        </w:tc>
        <w:tc>
          <w:tcPr>
            <w:tcW w:w="1127" w:type="dxa"/>
            <w:tcBorders>
              <w:bottom w:val="single" w:sz="8" w:space="0" w:color="4F81BC"/>
            </w:tcBorders>
            <w:shd w:val="clear" w:color="auto" w:fill="D2DFED"/>
          </w:tcPr>
          <w:p>
            <w:pPr>
              <w:pStyle w:val="TableParagraph"/>
              <w:spacing w:before="105"/>
              <w:ind w:right="107"/>
              <w:rPr>
                <w:sz w:val="22"/>
              </w:rPr>
            </w:pPr>
            <w:r>
              <w:rPr>
                <w:sz w:val="22"/>
              </w:rPr>
              <w:t>54</w:t>
            </w:r>
          </w:p>
        </w:tc>
      </w:tr>
    </w:tbl>
    <w:p>
      <w:pPr>
        <w:spacing w:after="0"/>
        <w:rPr>
          <w:sz w:val="22"/>
        </w:rPr>
        <w:sectPr>
          <w:pgSz w:w="11910" w:h="16850"/>
          <w:pgMar w:header="0" w:footer="373" w:top="1120" w:bottom="560" w:left="680" w:right="660"/>
        </w:sect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9"/>
        <w:gridCol w:w="1606"/>
        <w:gridCol w:w="1295"/>
        <w:gridCol w:w="1125"/>
      </w:tblGrid>
      <w:tr>
        <w:trPr>
          <w:trHeight w:val="488" w:hRule="atLeast"/>
        </w:trPr>
        <w:tc>
          <w:tcPr>
            <w:tcW w:w="5589" w:type="dxa"/>
            <w:tcBorders>
              <w:top w:val="single" w:sz="8" w:space="0" w:color="4F81BC"/>
              <w:bottom w:val="single" w:sz="8" w:space="0" w:color="4F81BC"/>
            </w:tcBorders>
          </w:tcPr>
          <w:p>
            <w:pPr>
              <w:pStyle w:val="TableParagraph"/>
              <w:spacing w:before="0"/>
              <w:jc w:val="left"/>
              <w:rPr>
                <w:rFonts w:ascii="Times New Roman"/>
                <w:sz w:val="18"/>
              </w:rPr>
            </w:pPr>
          </w:p>
        </w:tc>
        <w:tc>
          <w:tcPr>
            <w:tcW w:w="1606" w:type="dxa"/>
            <w:tcBorders>
              <w:top w:val="single" w:sz="8" w:space="0" w:color="4F81BC"/>
              <w:bottom w:val="single" w:sz="8" w:space="0" w:color="4F81BC"/>
            </w:tcBorders>
          </w:tcPr>
          <w:p>
            <w:pPr>
              <w:pStyle w:val="TableParagraph"/>
              <w:spacing w:line="240" w:lineRule="atLeast" w:before="1"/>
              <w:ind w:left="567" w:right="221" w:hanging="113"/>
              <w:jc w:val="left"/>
              <w:rPr>
                <w:b/>
                <w:sz w:val="20"/>
              </w:rPr>
            </w:pPr>
            <w:r>
              <w:rPr>
                <w:b/>
                <w:sz w:val="20"/>
              </w:rPr>
              <w:t>Headcount Jun 2011</w:t>
            </w:r>
            <w:r>
              <w:rPr>
                <w:b/>
                <w:sz w:val="20"/>
                <w:vertAlign w:val="superscript"/>
              </w:rPr>
              <w:t>2</w:t>
            </w:r>
          </w:p>
        </w:tc>
        <w:tc>
          <w:tcPr>
            <w:tcW w:w="1295" w:type="dxa"/>
            <w:tcBorders>
              <w:top w:val="single" w:sz="8" w:space="0" w:color="4F81BC"/>
              <w:bottom w:val="single" w:sz="8" w:space="0" w:color="4F81BC"/>
            </w:tcBorders>
          </w:tcPr>
          <w:p>
            <w:pPr>
              <w:pStyle w:val="TableParagraph"/>
              <w:spacing w:line="240" w:lineRule="atLeast" w:before="1"/>
              <w:ind w:left="239" w:right="237" w:firstLine="103"/>
              <w:jc w:val="left"/>
              <w:rPr>
                <w:b/>
                <w:sz w:val="20"/>
              </w:rPr>
            </w:pPr>
            <w:r>
              <w:rPr>
                <w:b/>
                <w:sz w:val="20"/>
              </w:rPr>
              <w:t>Paid FTE Jun 2011</w:t>
            </w:r>
            <w:r>
              <w:rPr>
                <w:b/>
                <w:sz w:val="20"/>
                <w:vertAlign w:val="superscript"/>
              </w:rPr>
              <w:t>3</w:t>
            </w:r>
          </w:p>
        </w:tc>
        <w:tc>
          <w:tcPr>
            <w:tcW w:w="1125" w:type="dxa"/>
            <w:tcBorders>
              <w:top w:val="single" w:sz="8" w:space="0" w:color="4F81BC"/>
              <w:bottom w:val="single" w:sz="8" w:space="0" w:color="4F81BC"/>
            </w:tcBorders>
          </w:tcPr>
          <w:p>
            <w:pPr>
              <w:pStyle w:val="TableParagraph"/>
              <w:spacing w:line="240" w:lineRule="atLeast" w:before="1"/>
              <w:ind w:left="257" w:right="86"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589" w:type="dxa"/>
            <w:tcBorders>
              <w:top w:val="single" w:sz="8" w:space="0" w:color="4F81BC"/>
            </w:tcBorders>
          </w:tcPr>
          <w:p>
            <w:pPr>
              <w:pStyle w:val="TableParagraph"/>
              <w:spacing w:before="27"/>
              <w:ind w:left="115"/>
              <w:jc w:val="left"/>
              <w:rPr>
                <w:b/>
                <w:sz w:val="20"/>
              </w:rPr>
            </w:pPr>
            <w:r>
              <w:rPr>
                <w:b/>
                <w:sz w:val="20"/>
              </w:rPr>
              <w:t>Small Business Development Corporation</w:t>
            </w:r>
          </w:p>
        </w:tc>
        <w:tc>
          <w:tcPr>
            <w:tcW w:w="1606" w:type="dxa"/>
            <w:tcBorders>
              <w:top w:val="single" w:sz="8" w:space="0" w:color="4F81BC"/>
            </w:tcBorders>
          </w:tcPr>
          <w:p>
            <w:pPr>
              <w:pStyle w:val="TableParagraph"/>
              <w:spacing w:before="13"/>
              <w:ind w:right="236"/>
              <w:rPr>
                <w:sz w:val="22"/>
              </w:rPr>
            </w:pPr>
            <w:r>
              <w:rPr>
                <w:sz w:val="22"/>
              </w:rPr>
              <w:t>54</w:t>
            </w:r>
          </w:p>
        </w:tc>
        <w:tc>
          <w:tcPr>
            <w:tcW w:w="1295" w:type="dxa"/>
            <w:tcBorders>
              <w:top w:val="single" w:sz="8" w:space="0" w:color="4F81BC"/>
            </w:tcBorders>
          </w:tcPr>
          <w:p>
            <w:pPr>
              <w:pStyle w:val="TableParagraph"/>
              <w:spacing w:before="13"/>
              <w:ind w:right="254"/>
              <w:rPr>
                <w:sz w:val="22"/>
              </w:rPr>
            </w:pPr>
            <w:r>
              <w:rPr>
                <w:sz w:val="22"/>
              </w:rPr>
              <w:t>47</w:t>
            </w:r>
          </w:p>
        </w:tc>
        <w:tc>
          <w:tcPr>
            <w:tcW w:w="1125" w:type="dxa"/>
            <w:tcBorders>
              <w:top w:val="single" w:sz="8" w:space="0" w:color="4F81BC"/>
            </w:tcBorders>
          </w:tcPr>
          <w:p>
            <w:pPr>
              <w:pStyle w:val="TableParagraph"/>
              <w:spacing w:before="13"/>
              <w:ind w:right="102"/>
              <w:rPr>
                <w:sz w:val="22"/>
              </w:rPr>
            </w:pPr>
            <w:r>
              <w:rPr>
                <w:sz w:val="22"/>
              </w:rPr>
              <w:t>49</w:t>
            </w:r>
          </w:p>
        </w:tc>
      </w:tr>
      <w:tr>
        <w:trPr>
          <w:trHeight w:val="300" w:hRule="atLeast"/>
        </w:trPr>
        <w:tc>
          <w:tcPr>
            <w:tcW w:w="5589" w:type="dxa"/>
            <w:shd w:val="clear" w:color="auto" w:fill="D2DFED"/>
          </w:tcPr>
          <w:p>
            <w:pPr>
              <w:pStyle w:val="TableParagraph"/>
              <w:spacing w:before="25"/>
              <w:ind w:left="115"/>
              <w:jc w:val="left"/>
              <w:rPr>
                <w:b/>
                <w:sz w:val="20"/>
              </w:rPr>
            </w:pPr>
            <w:r>
              <w:rPr>
                <w:b/>
                <w:sz w:val="20"/>
              </w:rPr>
              <w:t>Economic Regulation Authority</w:t>
            </w:r>
          </w:p>
        </w:tc>
        <w:tc>
          <w:tcPr>
            <w:tcW w:w="1606" w:type="dxa"/>
            <w:shd w:val="clear" w:color="auto" w:fill="D2DFED"/>
          </w:tcPr>
          <w:p>
            <w:pPr>
              <w:pStyle w:val="TableParagraph"/>
              <w:ind w:right="236"/>
              <w:rPr>
                <w:sz w:val="22"/>
              </w:rPr>
            </w:pPr>
            <w:r>
              <w:rPr>
                <w:sz w:val="22"/>
              </w:rPr>
              <w:t>54</w:t>
            </w:r>
          </w:p>
        </w:tc>
        <w:tc>
          <w:tcPr>
            <w:tcW w:w="1295" w:type="dxa"/>
            <w:shd w:val="clear" w:color="auto" w:fill="D2DFED"/>
          </w:tcPr>
          <w:p>
            <w:pPr>
              <w:pStyle w:val="TableParagraph"/>
              <w:ind w:right="254"/>
              <w:rPr>
                <w:sz w:val="22"/>
              </w:rPr>
            </w:pPr>
            <w:r>
              <w:rPr>
                <w:sz w:val="22"/>
              </w:rPr>
              <w:t>49</w:t>
            </w:r>
          </w:p>
        </w:tc>
        <w:tc>
          <w:tcPr>
            <w:tcW w:w="1125" w:type="dxa"/>
            <w:shd w:val="clear" w:color="auto" w:fill="D2DFED"/>
          </w:tcPr>
          <w:p>
            <w:pPr>
              <w:pStyle w:val="TableParagraph"/>
              <w:ind w:right="102"/>
              <w:rPr>
                <w:sz w:val="22"/>
              </w:rPr>
            </w:pPr>
            <w:r>
              <w:rPr>
                <w:sz w:val="22"/>
              </w:rPr>
              <w:t>50</w:t>
            </w:r>
          </w:p>
        </w:tc>
      </w:tr>
      <w:tr>
        <w:trPr>
          <w:trHeight w:val="300" w:hRule="atLeast"/>
        </w:trPr>
        <w:tc>
          <w:tcPr>
            <w:tcW w:w="5589" w:type="dxa"/>
          </w:tcPr>
          <w:p>
            <w:pPr>
              <w:pStyle w:val="TableParagraph"/>
              <w:spacing w:before="25"/>
              <w:ind w:left="115"/>
              <w:jc w:val="left"/>
              <w:rPr>
                <w:b/>
                <w:sz w:val="20"/>
              </w:rPr>
            </w:pPr>
            <w:r>
              <w:rPr>
                <w:b/>
                <w:sz w:val="20"/>
              </w:rPr>
              <w:t>Western Australian Electoral Commission</w:t>
            </w:r>
          </w:p>
        </w:tc>
        <w:tc>
          <w:tcPr>
            <w:tcW w:w="1606" w:type="dxa"/>
          </w:tcPr>
          <w:p>
            <w:pPr>
              <w:pStyle w:val="TableParagraph"/>
              <w:ind w:right="236"/>
              <w:rPr>
                <w:sz w:val="22"/>
              </w:rPr>
            </w:pPr>
            <w:r>
              <w:rPr>
                <w:sz w:val="22"/>
              </w:rPr>
              <w:t>54</w:t>
            </w:r>
          </w:p>
        </w:tc>
        <w:tc>
          <w:tcPr>
            <w:tcW w:w="1295" w:type="dxa"/>
          </w:tcPr>
          <w:p>
            <w:pPr>
              <w:pStyle w:val="TableParagraph"/>
              <w:ind w:right="254"/>
              <w:rPr>
                <w:sz w:val="22"/>
              </w:rPr>
            </w:pPr>
            <w:r>
              <w:rPr>
                <w:sz w:val="22"/>
              </w:rPr>
              <w:t>48</w:t>
            </w:r>
          </w:p>
        </w:tc>
        <w:tc>
          <w:tcPr>
            <w:tcW w:w="1125" w:type="dxa"/>
          </w:tcPr>
          <w:p>
            <w:pPr>
              <w:pStyle w:val="TableParagraph"/>
              <w:ind w:right="102"/>
              <w:rPr>
                <w:sz w:val="22"/>
              </w:rPr>
            </w:pPr>
            <w:r>
              <w:rPr>
                <w:sz w:val="22"/>
              </w:rPr>
              <w:t>47</w:t>
            </w:r>
          </w:p>
        </w:tc>
      </w:tr>
      <w:tr>
        <w:trPr>
          <w:trHeight w:val="300" w:hRule="atLeast"/>
        </w:trPr>
        <w:tc>
          <w:tcPr>
            <w:tcW w:w="5589" w:type="dxa"/>
            <w:shd w:val="clear" w:color="auto" w:fill="D2DFED"/>
          </w:tcPr>
          <w:p>
            <w:pPr>
              <w:pStyle w:val="TableParagraph"/>
              <w:spacing w:before="25"/>
              <w:ind w:left="115"/>
              <w:jc w:val="left"/>
              <w:rPr>
                <w:b/>
                <w:sz w:val="20"/>
              </w:rPr>
            </w:pPr>
            <w:r>
              <w:rPr>
                <w:b/>
                <w:sz w:val="20"/>
              </w:rPr>
              <w:t>Mental Health Commission</w:t>
            </w:r>
          </w:p>
        </w:tc>
        <w:tc>
          <w:tcPr>
            <w:tcW w:w="1606" w:type="dxa"/>
            <w:shd w:val="clear" w:color="auto" w:fill="D2DFED"/>
          </w:tcPr>
          <w:p>
            <w:pPr>
              <w:pStyle w:val="TableParagraph"/>
              <w:ind w:right="236"/>
              <w:rPr>
                <w:sz w:val="22"/>
              </w:rPr>
            </w:pPr>
            <w:r>
              <w:rPr>
                <w:sz w:val="22"/>
              </w:rPr>
              <w:t>53</w:t>
            </w:r>
          </w:p>
        </w:tc>
        <w:tc>
          <w:tcPr>
            <w:tcW w:w="1295" w:type="dxa"/>
            <w:shd w:val="clear" w:color="auto" w:fill="D2DFED"/>
          </w:tcPr>
          <w:p>
            <w:pPr>
              <w:pStyle w:val="TableParagraph"/>
              <w:ind w:right="254"/>
              <w:rPr>
                <w:sz w:val="22"/>
              </w:rPr>
            </w:pPr>
            <w:r>
              <w:rPr>
                <w:sz w:val="22"/>
              </w:rPr>
              <w:t>44</w:t>
            </w:r>
          </w:p>
        </w:tc>
        <w:tc>
          <w:tcPr>
            <w:tcW w:w="1125" w:type="dxa"/>
            <w:shd w:val="clear" w:color="auto" w:fill="D2DFED"/>
          </w:tcPr>
          <w:p>
            <w:pPr>
              <w:pStyle w:val="TableParagraph"/>
              <w:ind w:right="102"/>
              <w:rPr>
                <w:sz w:val="22"/>
              </w:rPr>
            </w:pPr>
            <w:r>
              <w:rPr>
                <w:sz w:val="22"/>
              </w:rPr>
              <w:t>41</w:t>
            </w:r>
          </w:p>
        </w:tc>
      </w:tr>
      <w:tr>
        <w:trPr>
          <w:trHeight w:val="300" w:hRule="atLeast"/>
        </w:trPr>
        <w:tc>
          <w:tcPr>
            <w:tcW w:w="5589" w:type="dxa"/>
          </w:tcPr>
          <w:p>
            <w:pPr>
              <w:pStyle w:val="TableParagraph"/>
              <w:spacing w:before="25"/>
              <w:ind w:left="115"/>
              <w:jc w:val="left"/>
              <w:rPr>
                <w:b/>
                <w:sz w:val="20"/>
              </w:rPr>
            </w:pPr>
            <w:r>
              <w:rPr>
                <w:b/>
                <w:sz w:val="20"/>
              </w:rPr>
              <w:t>The National Trust of Australia (W.A.)</w:t>
            </w:r>
          </w:p>
        </w:tc>
        <w:tc>
          <w:tcPr>
            <w:tcW w:w="1606" w:type="dxa"/>
          </w:tcPr>
          <w:p>
            <w:pPr>
              <w:pStyle w:val="TableParagraph"/>
              <w:ind w:right="236"/>
              <w:rPr>
                <w:sz w:val="22"/>
              </w:rPr>
            </w:pPr>
            <w:r>
              <w:rPr>
                <w:sz w:val="22"/>
              </w:rPr>
              <w:t>46</w:t>
            </w:r>
          </w:p>
        </w:tc>
        <w:tc>
          <w:tcPr>
            <w:tcW w:w="1295" w:type="dxa"/>
          </w:tcPr>
          <w:p>
            <w:pPr>
              <w:pStyle w:val="TableParagraph"/>
              <w:ind w:right="254"/>
              <w:rPr>
                <w:sz w:val="22"/>
              </w:rPr>
            </w:pPr>
            <w:r>
              <w:rPr>
                <w:sz w:val="22"/>
              </w:rPr>
              <w:t>30</w:t>
            </w:r>
          </w:p>
        </w:tc>
        <w:tc>
          <w:tcPr>
            <w:tcW w:w="1125" w:type="dxa"/>
          </w:tcPr>
          <w:p>
            <w:pPr>
              <w:pStyle w:val="TableParagraph"/>
              <w:ind w:right="102"/>
              <w:rPr>
                <w:sz w:val="22"/>
              </w:rPr>
            </w:pPr>
            <w:r>
              <w:rPr>
                <w:sz w:val="22"/>
              </w:rPr>
              <w:t>29</w:t>
            </w:r>
          </w:p>
        </w:tc>
      </w:tr>
      <w:tr>
        <w:trPr>
          <w:trHeight w:val="487" w:hRule="atLeast"/>
        </w:trPr>
        <w:tc>
          <w:tcPr>
            <w:tcW w:w="5589" w:type="dxa"/>
            <w:shd w:val="clear" w:color="auto" w:fill="D2DFED"/>
          </w:tcPr>
          <w:p>
            <w:pPr>
              <w:pStyle w:val="TableParagraph"/>
              <w:spacing w:line="242" w:lineRule="exact" w:before="0"/>
              <w:ind w:left="115"/>
              <w:jc w:val="left"/>
              <w:rPr>
                <w:b/>
                <w:sz w:val="20"/>
              </w:rPr>
            </w:pPr>
            <w:r>
              <w:rPr>
                <w:b/>
                <w:sz w:val="20"/>
              </w:rPr>
              <w:t>Department of the Registrar Western Australian Industrial</w:t>
            </w:r>
          </w:p>
          <w:p>
            <w:pPr>
              <w:pStyle w:val="TableParagraph"/>
              <w:spacing w:line="225" w:lineRule="exact" w:before="0"/>
              <w:ind w:left="115"/>
              <w:jc w:val="left"/>
              <w:rPr>
                <w:b/>
                <w:sz w:val="20"/>
              </w:rPr>
            </w:pPr>
            <w:r>
              <w:rPr>
                <w:b/>
                <w:sz w:val="20"/>
              </w:rPr>
              <w:t>Relations Commission</w:t>
            </w:r>
          </w:p>
        </w:tc>
        <w:tc>
          <w:tcPr>
            <w:tcW w:w="1606" w:type="dxa"/>
            <w:shd w:val="clear" w:color="auto" w:fill="D2DFED"/>
          </w:tcPr>
          <w:p>
            <w:pPr>
              <w:pStyle w:val="TableParagraph"/>
              <w:spacing w:before="105"/>
              <w:ind w:right="236"/>
              <w:rPr>
                <w:sz w:val="22"/>
              </w:rPr>
            </w:pPr>
            <w:r>
              <w:rPr>
                <w:sz w:val="22"/>
              </w:rPr>
              <w:t>42</w:t>
            </w:r>
          </w:p>
        </w:tc>
        <w:tc>
          <w:tcPr>
            <w:tcW w:w="1295" w:type="dxa"/>
            <w:shd w:val="clear" w:color="auto" w:fill="D2DFED"/>
          </w:tcPr>
          <w:p>
            <w:pPr>
              <w:pStyle w:val="TableParagraph"/>
              <w:spacing w:before="105"/>
              <w:ind w:right="254"/>
              <w:rPr>
                <w:sz w:val="22"/>
              </w:rPr>
            </w:pPr>
            <w:r>
              <w:rPr>
                <w:sz w:val="22"/>
              </w:rPr>
              <w:t>39</w:t>
            </w:r>
          </w:p>
        </w:tc>
        <w:tc>
          <w:tcPr>
            <w:tcW w:w="1125" w:type="dxa"/>
            <w:shd w:val="clear" w:color="auto" w:fill="D2DFED"/>
          </w:tcPr>
          <w:p>
            <w:pPr>
              <w:pStyle w:val="TableParagraph"/>
              <w:spacing w:before="105"/>
              <w:ind w:right="102"/>
              <w:rPr>
                <w:sz w:val="22"/>
              </w:rPr>
            </w:pPr>
            <w:r>
              <w:rPr>
                <w:sz w:val="22"/>
              </w:rPr>
              <w:t>37</w:t>
            </w:r>
          </w:p>
        </w:tc>
      </w:tr>
      <w:tr>
        <w:trPr>
          <w:trHeight w:val="300" w:hRule="atLeast"/>
        </w:trPr>
        <w:tc>
          <w:tcPr>
            <w:tcW w:w="5589" w:type="dxa"/>
          </w:tcPr>
          <w:p>
            <w:pPr>
              <w:pStyle w:val="TableParagraph"/>
              <w:spacing w:before="28"/>
              <w:ind w:left="115"/>
              <w:jc w:val="left"/>
              <w:rPr>
                <w:b/>
                <w:sz w:val="20"/>
              </w:rPr>
            </w:pPr>
            <w:r>
              <w:rPr>
                <w:b/>
                <w:sz w:val="20"/>
              </w:rPr>
              <w:t>Commissioner for Equal Opportunity</w:t>
            </w:r>
          </w:p>
        </w:tc>
        <w:tc>
          <w:tcPr>
            <w:tcW w:w="1606" w:type="dxa"/>
          </w:tcPr>
          <w:p>
            <w:pPr>
              <w:pStyle w:val="TableParagraph"/>
              <w:spacing w:line="266" w:lineRule="exact" w:before="13"/>
              <w:ind w:right="236"/>
              <w:rPr>
                <w:sz w:val="22"/>
              </w:rPr>
            </w:pPr>
            <w:r>
              <w:rPr>
                <w:sz w:val="22"/>
              </w:rPr>
              <w:t>32</w:t>
            </w:r>
          </w:p>
        </w:tc>
        <w:tc>
          <w:tcPr>
            <w:tcW w:w="1295" w:type="dxa"/>
          </w:tcPr>
          <w:p>
            <w:pPr>
              <w:pStyle w:val="TableParagraph"/>
              <w:spacing w:line="266" w:lineRule="exact" w:before="13"/>
              <w:ind w:right="254"/>
              <w:rPr>
                <w:sz w:val="22"/>
              </w:rPr>
            </w:pPr>
            <w:r>
              <w:rPr>
                <w:sz w:val="22"/>
              </w:rPr>
              <w:t>27</w:t>
            </w:r>
          </w:p>
        </w:tc>
        <w:tc>
          <w:tcPr>
            <w:tcW w:w="1125" w:type="dxa"/>
          </w:tcPr>
          <w:p>
            <w:pPr>
              <w:pStyle w:val="TableParagraph"/>
              <w:spacing w:line="266" w:lineRule="exact" w:before="13"/>
              <w:ind w:right="102"/>
              <w:rPr>
                <w:sz w:val="22"/>
              </w:rPr>
            </w:pPr>
            <w:r>
              <w:rPr>
                <w:sz w:val="22"/>
              </w:rPr>
              <w:t>27</w:t>
            </w:r>
          </w:p>
        </w:tc>
      </w:tr>
      <w:tr>
        <w:trPr>
          <w:trHeight w:val="300" w:hRule="atLeast"/>
        </w:trPr>
        <w:tc>
          <w:tcPr>
            <w:tcW w:w="5589" w:type="dxa"/>
            <w:shd w:val="clear" w:color="auto" w:fill="D2DFED"/>
          </w:tcPr>
          <w:p>
            <w:pPr>
              <w:pStyle w:val="TableParagraph"/>
              <w:spacing w:before="28"/>
              <w:ind w:left="115"/>
              <w:jc w:val="left"/>
              <w:rPr>
                <w:b/>
                <w:sz w:val="20"/>
              </w:rPr>
            </w:pPr>
            <w:r>
              <w:rPr>
                <w:b/>
                <w:sz w:val="20"/>
              </w:rPr>
              <w:t>Heritage Council of Western Australia</w:t>
            </w:r>
          </w:p>
        </w:tc>
        <w:tc>
          <w:tcPr>
            <w:tcW w:w="1606" w:type="dxa"/>
            <w:shd w:val="clear" w:color="auto" w:fill="D2DFED"/>
          </w:tcPr>
          <w:p>
            <w:pPr>
              <w:pStyle w:val="TableParagraph"/>
              <w:spacing w:line="266" w:lineRule="exact" w:before="13"/>
              <w:ind w:right="236"/>
              <w:rPr>
                <w:sz w:val="22"/>
              </w:rPr>
            </w:pPr>
            <w:r>
              <w:rPr>
                <w:sz w:val="22"/>
              </w:rPr>
              <w:t>26</w:t>
            </w:r>
          </w:p>
        </w:tc>
        <w:tc>
          <w:tcPr>
            <w:tcW w:w="1295" w:type="dxa"/>
            <w:shd w:val="clear" w:color="auto" w:fill="D2DFED"/>
          </w:tcPr>
          <w:p>
            <w:pPr>
              <w:pStyle w:val="TableParagraph"/>
              <w:spacing w:line="266" w:lineRule="exact" w:before="13"/>
              <w:ind w:right="254"/>
              <w:rPr>
                <w:sz w:val="22"/>
              </w:rPr>
            </w:pPr>
            <w:r>
              <w:rPr>
                <w:sz w:val="22"/>
              </w:rPr>
              <w:t>24</w:t>
            </w:r>
          </w:p>
        </w:tc>
        <w:tc>
          <w:tcPr>
            <w:tcW w:w="1125" w:type="dxa"/>
            <w:shd w:val="clear" w:color="auto" w:fill="D2DFED"/>
          </w:tcPr>
          <w:p>
            <w:pPr>
              <w:pStyle w:val="TableParagraph"/>
              <w:spacing w:line="266" w:lineRule="exact" w:before="13"/>
              <w:ind w:right="102"/>
              <w:rPr>
                <w:sz w:val="22"/>
              </w:rPr>
            </w:pPr>
            <w:r>
              <w:rPr>
                <w:sz w:val="22"/>
              </w:rPr>
              <w:t>24</w:t>
            </w:r>
          </w:p>
        </w:tc>
      </w:tr>
      <w:tr>
        <w:trPr>
          <w:trHeight w:val="300" w:hRule="atLeast"/>
        </w:trPr>
        <w:tc>
          <w:tcPr>
            <w:tcW w:w="5589" w:type="dxa"/>
          </w:tcPr>
          <w:p>
            <w:pPr>
              <w:pStyle w:val="TableParagraph"/>
              <w:spacing w:before="28"/>
              <w:ind w:left="115"/>
              <w:jc w:val="left"/>
              <w:rPr>
                <w:b/>
                <w:sz w:val="20"/>
              </w:rPr>
            </w:pPr>
            <w:r>
              <w:rPr>
                <w:b/>
                <w:sz w:val="20"/>
              </w:rPr>
              <w:t>South West Development Commission</w:t>
            </w:r>
          </w:p>
        </w:tc>
        <w:tc>
          <w:tcPr>
            <w:tcW w:w="1606" w:type="dxa"/>
          </w:tcPr>
          <w:p>
            <w:pPr>
              <w:pStyle w:val="TableParagraph"/>
              <w:spacing w:line="266" w:lineRule="exact" w:before="13"/>
              <w:ind w:right="236"/>
              <w:rPr>
                <w:sz w:val="22"/>
              </w:rPr>
            </w:pPr>
            <w:r>
              <w:rPr>
                <w:sz w:val="22"/>
              </w:rPr>
              <w:t>25</w:t>
            </w:r>
          </w:p>
        </w:tc>
        <w:tc>
          <w:tcPr>
            <w:tcW w:w="1295" w:type="dxa"/>
          </w:tcPr>
          <w:p>
            <w:pPr>
              <w:pStyle w:val="TableParagraph"/>
              <w:spacing w:line="266" w:lineRule="exact" w:before="13"/>
              <w:ind w:right="254"/>
              <w:rPr>
                <w:sz w:val="22"/>
              </w:rPr>
            </w:pPr>
            <w:r>
              <w:rPr>
                <w:sz w:val="22"/>
              </w:rPr>
              <w:t>23</w:t>
            </w:r>
          </w:p>
        </w:tc>
        <w:tc>
          <w:tcPr>
            <w:tcW w:w="1125" w:type="dxa"/>
          </w:tcPr>
          <w:p>
            <w:pPr>
              <w:pStyle w:val="TableParagraph"/>
              <w:spacing w:line="266" w:lineRule="exact" w:before="13"/>
              <w:ind w:right="102"/>
              <w:rPr>
                <w:sz w:val="22"/>
              </w:rPr>
            </w:pPr>
            <w:r>
              <w:rPr>
                <w:sz w:val="22"/>
              </w:rPr>
              <w:t>23</w:t>
            </w:r>
          </w:p>
        </w:tc>
      </w:tr>
      <w:tr>
        <w:trPr>
          <w:trHeight w:val="300" w:hRule="atLeast"/>
        </w:trPr>
        <w:tc>
          <w:tcPr>
            <w:tcW w:w="5589" w:type="dxa"/>
            <w:shd w:val="clear" w:color="auto" w:fill="D2DFED"/>
          </w:tcPr>
          <w:p>
            <w:pPr>
              <w:pStyle w:val="TableParagraph"/>
              <w:spacing w:before="28"/>
              <w:ind w:left="115"/>
              <w:jc w:val="left"/>
              <w:rPr>
                <w:b/>
                <w:sz w:val="20"/>
              </w:rPr>
            </w:pPr>
            <w:r>
              <w:rPr>
                <w:b/>
                <w:sz w:val="20"/>
              </w:rPr>
              <w:t>Office of the Commissioner for Children and Young People</w:t>
            </w:r>
          </w:p>
        </w:tc>
        <w:tc>
          <w:tcPr>
            <w:tcW w:w="1606" w:type="dxa"/>
            <w:shd w:val="clear" w:color="auto" w:fill="D2DFED"/>
          </w:tcPr>
          <w:p>
            <w:pPr>
              <w:pStyle w:val="TableParagraph"/>
              <w:spacing w:line="266" w:lineRule="exact" w:before="13"/>
              <w:ind w:right="236"/>
              <w:rPr>
                <w:sz w:val="22"/>
              </w:rPr>
            </w:pPr>
            <w:r>
              <w:rPr>
                <w:sz w:val="22"/>
              </w:rPr>
              <w:t>18</w:t>
            </w:r>
          </w:p>
        </w:tc>
        <w:tc>
          <w:tcPr>
            <w:tcW w:w="1295" w:type="dxa"/>
            <w:shd w:val="clear" w:color="auto" w:fill="D2DFED"/>
          </w:tcPr>
          <w:p>
            <w:pPr>
              <w:pStyle w:val="TableParagraph"/>
              <w:spacing w:line="266" w:lineRule="exact" w:before="13"/>
              <w:ind w:right="254"/>
              <w:rPr>
                <w:sz w:val="22"/>
              </w:rPr>
            </w:pPr>
            <w:r>
              <w:rPr>
                <w:sz w:val="22"/>
              </w:rPr>
              <w:t>15</w:t>
            </w:r>
          </w:p>
        </w:tc>
        <w:tc>
          <w:tcPr>
            <w:tcW w:w="1125" w:type="dxa"/>
            <w:shd w:val="clear" w:color="auto" w:fill="D2DFED"/>
          </w:tcPr>
          <w:p>
            <w:pPr>
              <w:pStyle w:val="TableParagraph"/>
              <w:spacing w:line="266" w:lineRule="exact" w:before="13"/>
              <w:ind w:right="102"/>
              <w:rPr>
                <w:sz w:val="22"/>
              </w:rPr>
            </w:pPr>
            <w:r>
              <w:rPr>
                <w:sz w:val="22"/>
              </w:rPr>
              <w:t>15</w:t>
            </w:r>
          </w:p>
        </w:tc>
      </w:tr>
      <w:tr>
        <w:trPr>
          <w:trHeight w:val="300" w:hRule="atLeast"/>
        </w:trPr>
        <w:tc>
          <w:tcPr>
            <w:tcW w:w="5589" w:type="dxa"/>
          </w:tcPr>
          <w:p>
            <w:pPr>
              <w:pStyle w:val="TableParagraph"/>
              <w:spacing w:before="28"/>
              <w:ind w:left="115"/>
              <w:jc w:val="left"/>
              <w:rPr>
                <w:b/>
                <w:sz w:val="20"/>
              </w:rPr>
            </w:pPr>
            <w:r>
              <w:rPr>
                <w:b/>
                <w:sz w:val="20"/>
              </w:rPr>
              <w:t>Wheatbelt Development Commission</w:t>
            </w:r>
          </w:p>
        </w:tc>
        <w:tc>
          <w:tcPr>
            <w:tcW w:w="1606" w:type="dxa"/>
          </w:tcPr>
          <w:p>
            <w:pPr>
              <w:pStyle w:val="TableParagraph"/>
              <w:spacing w:line="267" w:lineRule="exact" w:before="13"/>
              <w:ind w:right="236"/>
              <w:rPr>
                <w:sz w:val="22"/>
              </w:rPr>
            </w:pPr>
            <w:r>
              <w:rPr>
                <w:sz w:val="22"/>
              </w:rPr>
              <w:t>15</w:t>
            </w:r>
          </w:p>
        </w:tc>
        <w:tc>
          <w:tcPr>
            <w:tcW w:w="1295" w:type="dxa"/>
          </w:tcPr>
          <w:p>
            <w:pPr>
              <w:pStyle w:val="TableParagraph"/>
              <w:spacing w:line="267" w:lineRule="exact" w:before="13"/>
              <w:ind w:right="254"/>
              <w:rPr>
                <w:sz w:val="22"/>
              </w:rPr>
            </w:pPr>
            <w:r>
              <w:rPr>
                <w:sz w:val="22"/>
              </w:rPr>
              <w:t>14</w:t>
            </w:r>
          </w:p>
        </w:tc>
        <w:tc>
          <w:tcPr>
            <w:tcW w:w="1125" w:type="dxa"/>
          </w:tcPr>
          <w:p>
            <w:pPr>
              <w:pStyle w:val="TableParagraph"/>
              <w:spacing w:line="267" w:lineRule="exact" w:before="13"/>
              <w:ind w:right="102"/>
              <w:rPr>
                <w:sz w:val="22"/>
              </w:rPr>
            </w:pPr>
            <w:r>
              <w:rPr>
                <w:sz w:val="22"/>
              </w:rPr>
              <w:t>14</w:t>
            </w:r>
          </w:p>
        </w:tc>
      </w:tr>
      <w:tr>
        <w:trPr>
          <w:trHeight w:val="300" w:hRule="atLeast"/>
        </w:trPr>
        <w:tc>
          <w:tcPr>
            <w:tcW w:w="5589" w:type="dxa"/>
            <w:shd w:val="clear" w:color="auto" w:fill="D2DFED"/>
          </w:tcPr>
          <w:p>
            <w:pPr>
              <w:pStyle w:val="TableParagraph"/>
              <w:spacing w:before="28"/>
              <w:ind w:left="115"/>
              <w:jc w:val="left"/>
              <w:rPr>
                <w:b/>
                <w:sz w:val="20"/>
              </w:rPr>
            </w:pPr>
            <w:r>
              <w:rPr>
                <w:b/>
                <w:sz w:val="20"/>
              </w:rPr>
              <w:t>Office of the Inspector of Custodial Services</w:t>
            </w:r>
          </w:p>
        </w:tc>
        <w:tc>
          <w:tcPr>
            <w:tcW w:w="1606" w:type="dxa"/>
            <w:shd w:val="clear" w:color="auto" w:fill="D2DFED"/>
          </w:tcPr>
          <w:p>
            <w:pPr>
              <w:pStyle w:val="TableParagraph"/>
              <w:spacing w:line="266" w:lineRule="exact" w:before="13"/>
              <w:ind w:right="236"/>
              <w:rPr>
                <w:sz w:val="22"/>
              </w:rPr>
            </w:pPr>
            <w:r>
              <w:rPr>
                <w:sz w:val="22"/>
              </w:rPr>
              <w:t>16</w:t>
            </w:r>
          </w:p>
        </w:tc>
        <w:tc>
          <w:tcPr>
            <w:tcW w:w="1295" w:type="dxa"/>
            <w:shd w:val="clear" w:color="auto" w:fill="D2DFED"/>
          </w:tcPr>
          <w:p>
            <w:pPr>
              <w:pStyle w:val="TableParagraph"/>
              <w:spacing w:line="266" w:lineRule="exact" w:before="13"/>
              <w:ind w:right="254"/>
              <w:rPr>
                <w:sz w:val="22"/>
              </w:rPr>
            </w:pPr>
            <w:r>
              <w:rPr>
                <w:sz w:val="22"/>
              </w:rPr>
              <w:t>15</w:t>
            </w:r>
          </w:p>
        </w:tc>
        <w:tc>
          <w:tcPr>
            <w:tcW w:w="1125" w:type="dxa"/>
            <w:shd w:val="clear" w:color="auto" w:fill="D2DFED"/>
          </w:tcPr>
          <w:p>
            <w:pPr>
              <w:pStyle w:val="TableParagraph"/>
              <w:spacing w:line="266" w:lineRule="exact" w:before="13"/>
              <w:ind w:right="102"/>
              <w:rPr>
                <w:sz w:val="22"/>
              </w:rPr>
            </w:pPr>
            <w:r>
              <w:rPr>
                <w:sz w:val="22"/>
              </w:rPr>
              <w:t>15</w:t>
            </w:r>
          </w:p>
        </w:tc>
      </w:tr>
      <w:tr>
        <w:trPr>
          <w:trHeight w:val="300" w:hRule="atLeast"/>
        </w:trPr>
        <w:tc>
          <w:tcPr>
            <w:tcW w:w="5589" w:type="dxa"/>
          </w:tcPr>
          <w:p>
            <w:pPr>
              <w:pStyle w:val="TableParagraph"/>
              <w:spacing w:before="28"/>
              <w:ind w:left="115"/>
              <w:jc w:val="left"/>
              <w:rPr>
                <w:b/>
                <w:sz w:val="20"/>
              </w:rPr>
            </w:pPr>
            <w:r>
              <w:rPr>
                <w:b/>
                <w:sz w:val="20"/>
              </w:rPr>
              <w:t>Mid West Development Commission</w:t>
            </w:r>
          </w:p>
        </w:tc>
        <w:tc>
          <w:tcPr>
            <w:tcW w:w="1606" w:type="dxa"/>
          </w:tcPr>
          <w:p>
            <w:pPr>
              <w:pStyle w:val="TableParagraph"/>
              <w:spacing w:line="266" w:lineRule="exact" w:before="13"/>
              <w:ind w:right="236"/>
              <w:rPr>
                <w:sz w:val="22"/>
              </w:rPr>
            </w:pPr>
            <w:r>
              <w:rPr>
                <w:sz w:val="22"/>
              </w:rPr>
              <w:t>14</w:t>
            </w:r>
          </w:p>
        </w:tc>
        <w:tc>
          <w:tcPr>
            <w:tcW w:w="1295" w:type="dxa"/>
          </w:tcPr>
          <w:p>
            <w:pPr>
              <w:pStyle w:val="TableParagraph"/>
              <w:spacing w:line="266" w:lineRule="exact" w:before="13"/>
              <w:ind w:right="254"/>
              <w:rPr>
                <w:sz w:val="22"/>
              </w:rPr>
            </w:pPr>
            <w:r>
              <w:rPr>
                <w:sz w:val="22"/>
              </w:rPr>
              <w:t>13</w:t>
            </w:r>
          </w:p>
        </w:tc>
        <w:tc>
          <w:tcPr>
            <w:tcW w:w="1125" w:type="dxa"/>
          </w:tcPr>
          <w:p>
            <w:pPr>
              <w:pStyle w:val="TableParagraph"/>
              <w:spacing w:line="266" w:lineRule="exact" w:before="13"/>
              <w:ind w:right="102"/>
              <w:rPr>
                <w:sz w:val="22"/>
              </w:rPr>
            </w:pPr>
            <w:r>
              <w:rPr>
                <w:sz w:val="22"/>
              </w:rPr>
              <w:t>14</w:t>
            </w:r>
          </w:p>
        </w:tc>
      </w:tr>
      <w:tr>
        <w:trPr>
          <w:trHeight w:val="300" w:hRule="atLeast"/>
        </w:trPr>
        <w:tc>
          <w:tcPr>
            <w:tcW w:w="5589" w:type="dxa"/>
            <w:shd w:val="clear" w:color="auto" w:fill="D2DFED"/>
          </w:tcPr>
          <w:p>
            <w:pPr>
              <w:pStyle w:val="TableParagraph"/>
              <w:spacing w:before="28"/>
              <w:ind w:left="115"/>
              <w:jc w:val="left"/>
              <w:rPr>
                <w:b/>
                <w:sz w:val="20"/>
              </w:rPr>
            </w:pPr>
            <w:r>
              <w:rPr>
                <w:b/>
                <w:sz w:val="20"/>
              </w:rPr>
              <w:t>Great Southern Development Commission</w:t>
            </w:r>
          </w:p>
        </w:tc>
        <w:tc>
          <w:tcPr>
            <w:tcW w:w="1606" w:type="dxa"/>
            <w:shd w:val="clear" w:color="auto" w:fill="D2DFED"/>
          </w:tcPr>
          <w:p>
            <w:pPr>
              <w:pStyle w:val="TableParagraph"/>
              <w:spacing w:line="266" w:lineRule="exact" w:before="13"/>
              <w:ind w:right="236"/>
              <w:rPr>
                <w:sz w:val="22"/>
              </w:rPr>
            </w:pPr>
            <w:r>
              <w:rPr>
                <w:sz w:val="22"/>
              </w:rPr>
              <w:t>14</w:t>
            </w:r>
          </w:p>
        </w:tc>
        <w:tc>
          <w:tcPr>
            <w:tcW w:w="1295" w:type="dxa"/>
            <w:shd w:val="clear" w:color="auto" w:fill="D2DFED"/>
          </w:tcPr>
          <w:p>
            <w:pPr>
              <w:pStyle w:val="TableParagraph"/>
              <w:spacing w:line="266" w:lineRule="exact" w:before="13"/>
              <w:ind w:right="254"/>
              <w:rPr>
                <w:sz w:val="22"/>
              </w:rPr>
            </w:pPr>
            <w:r>
              <w:rPr>
                <w:sz w:val="22"/>
              </w:rPr>
              <w:t>12</w:t>
            </w:r>
          </w:p>
        </w:tc>
        <w:tc>
          <w:tcPr>
            <w:tcW w:w="1125" w:type="dxa"/>
            <w:shd w:val="clear" w:color="auto" w:fill="D2DFED"/>
          </w:tcPr>
          <w:p>
            <w:pPr>
              <w:pStyle w:val="TableParagraph"/>
              <w:spacing w:line="266" w:lineRule="exact" w:before="13"/>
              <w:ind w:right="102"/>
              <w:rPr>
                <w:sz w:val="22"/>
              </w:rPr>
            </w:pPr>
            <w:r>
              <w:rPr>
                <w:sz w:val="22"/>
              </w:rPr>
              <w:t>13</w:t>
            </w:r>
          </w:p>
        </w:tc>
      </w:tr>
      <w:tr>
        <w:trPr>
          <w:trHeight w:val="300" w:hRule="atLeast"/>
        </w:trPr>
        <w:tc>
          <w:tcPr>
            <w:tcW w:w="5589" w:type="dxa"/>
          </w:tcPr>
          <w:p>
            <w:pPr>
              <w:pStyle w:val="TableParagraph"/>
              <w:spacing w:before="28"/>
              <w:ind w:left="115"/>
              <w:jc w:val="left"/>
              <w:rPr>
                <w:b/>
                <w:sz w:val="20"/>
              </w:rPr>
            </w:pPr>
            <w:r>
              <w:rPr>
                <w:b/>
                <w:sz w:val="20"/>
              </w:rPr>
              <w:t>Peel Development Commission</w:t>
            </w:r>
          </w:p>
        </w:tc>
        <w:tc>
          <w:tcPr>
            <w:tcW w:w="1606" w:type="dxa"/>
          </w:tcPr>
          <w:p>
            <w:pPr>
              <w:pStyle w:val="TableParagraph"/>
              <w:spacing w:line="266" w:lineRule="exact" w:before="13"/>
              <w:ind w:right="236"/>
              <w:rPr>
                <w:sz w:val="22"/>
              </w:rPr>
            </w:pPr>
            <w:r>
              <w:rPr>
                <w:sz w:val="22"/>
              </w:rPr>
              <w:t>14</w:t>
            </w:r>
          </w:p>
        </w:tc>
        <w:tc>
          <w:tcPr>
            <w:tcW w:w="1295" w:type="dxa"/>
          </w:tcPr>
          <w:p>
            <w:pPr>
              <w:pStyle w:val="TableParagraph"/>
              <w:spacing w:line="266" w:lineRule="exact" w:before="13"/>
              <w:ind w:right="254"/>
              <w:rPr>
                <w:sz w:val="22"/>
              </w:rPr>
            </w:pPr>
            <w:r>
              <w:rPr>
                <w:sz w:val="22"/>
              </w:rPr>
              <w:t>12</w:t>
            </w:r>
          </w:p>
        </w:tc>
        <w:tc>
          <w:tcPr>
            <w:tcW w:w="1125" w:type="dxa"/>
          </w:tcPr>
          <w:p>
            <w:pPr>
              <w:pStyle w:val="TableParagraph"/>
              <w:spacing w:line="266" w:lineRule="exact" w:before="13"/>
              <w:ind w:right="102"/>
              <w:rPr>
                <w:sz w:val="22"/>
              </w:rPr>
            </w:pPr>
            <w:r>
              <w:rPr>
                <w:sz w:val="22"/>
              </w:rPr>
              <w:t>12</w:t>
            </w:r>
          </w:p>
        </w:tc>
      </w:tr>
      <w:tr>
        <w:trPr>
          <w:trHeight w:val="300" w:hRule="atLeast"/>
        </w:trPr>
        <w:tc>
          <w:tcPr>
            <w:tcW w:w="5589" w:type="dxa"/>
            <w:shd w:val="clear" w:color="auto" w:fill="D2DFED"/>
          </w:tcPr>
          <w:p>
            <w:pPr>
              <w:pStyle w:val="TableParagraph"/>
              <w:spacing w:before="28"/>
              <w:ind w:left="115"/>
              <w:jc w:val="left"/>
              <w:rPr>
                <w:b/>
                <w:sz w:val="20"/>
              </w:rPr>
            </w:pPr>
            <w:r>
              <w:rPr>
                <w:b/>
                <w:sz w:val="20"/>
              </w:rPr>
              <w:t>Gascoyne Development Commission</w:t>
            </w:r>
          </w:p>
        </w:tc>
        <w:tc>
          <w:tcPr>
            <w:tcW w:w="1606" w:type="dxa"/>
            <w:shd w:val="clear" w:color="auto" w:fill="D2DFED"/>
          </w:tcPr>
          <w:p>
            <w:pPr>
              <w:pStyle w:val="TableParagraph"/>
              <w:spacing w:line="266" w:lineRule="exact" w:before="13"/>
              <w:ind w:right="236"/>
              <w:rPr>
                <w:sz w:val="22"/>
              </w:rPr>
            </w:pPr>
            <w:r>
              <w:rPr>
                <w:sz w:val="22"/>
              </w:rPr>
              <w:t>15</w:t>
            </w:r>
          </w:p>
        </w:tc>
        <w:tc>
          <w:tcPr>
            <w:tcW w:w="1295" w:type="dxa"/>
            <w:shd w:val="clear" w:color="auto" w:fill="D2DFED"/>
          </w:tcPr>
          <w:p>
            <w:pPr>
              <w:pStyle w:val="TableParagraph"/>
              <w:spacing w:line="266" w:lineRule="exact" w:before="13"/>
              <w:ind w:right="254"/>
              <w:rPr>
                <w:sz w:val="22"/>
              </w:rPr>
            </w:pPr>
            <w:r>
              <w:rPr>
                <w:sz w:val="22"/>
              </w:rPr>
              <w:t>14</w:t>
            </w:r>
          </w:p>
        </w:tc>
        <w:tc>
          <w:tcPr>
            <w:tcW w:w="1125" w:type="dxa"/>
            <w:shd w:val="clear" w:color="auto" w:fill="D2DFED"/>
          </w:tcPr>
          <w:p>
            <w:pPr>
              <w:pStyle w:val="TableParagraph"/>
              <w:spacing w:line="266" w:lineRule="exact" w:before="13"/>
              <w:ind w:right="102"/>
              <w:rPr>
                <w:sz w:val="22"/>
              </w:rPr>
            </w:pPr>
            <w:r>
              <w:rPr>
                <w:sz w:val="22"/>
              </w:rPr>
              <w:t>13</w:t>
            </w:r>
          </w:p>
        </w:tc>
      </w:tr>
      <w:tr>
        <w:trPr>
          <w:trHeight w:val="299" w:hRule="atLeast"/>
        </w:trPr>
        <w:tc>
          <w:tcPr>
            <w:tcW w:w="5589" w:type="dxa"/>
          </w:tcPr>
          <w:p>
            <w:pPr>
              <w:pStyle w:val="TableParagraph"/>
              <w:spacing w:before="28"/>
              <w:ind w:left="115"/>
              <w:jc w:val="left"/>
              <w:rPr>
                <w:b/>
                <w:sz w:val="20"/>
              </w:rPr>
            </w:pPr>
            <w:r>
              <w:rPr>
                <w:b/>
                <w:sz w:val="20"/>
              </w:rPr>
              <w:t>Goldfields-Esperance Development Commission</w:t>
            </w:r>
          </w:p>
        </w:tc>
        <w:tc>
          <w:tcPr>
            <w:tcW w:w="1606" w:type="dxa"/>
          </w:tcPr>
          <w:p>
            <w:pPr>
              <w:pStyle w:val="TableParagraph"/>
              <w:spacing w:line="266" w:lineRule="exact" w:before="13"/>
              <w:ind w:right="236"/>
              <w:rPr>
                <w:sz w:val="22"/>
              </w:rPr>
            </w:pPr>
            <w:r>
              <w:rPr>
                <w:sz w:val="22"/>
              </w:rPr>
              <w:t>12</w:t>
            </w:r>
          </w:p>
        </w:tc>
        <w:tc>
          <w:tcPr>
            <w:tcW w:w="1295" w:type="dxa"/>
          </w:tcPr>
          <w:p>
            <w:pPr>
              <w:pStyle w:val="TableParagraph"/>
              <w:spacing w:line="266" w:lineRule="exact" w:before="13"/>
              <w:ind w:right="254"/>
              <w:rPr>
                <w:sz w:val="22"/>
              </w:rPr>
            </w:pPr>
            <w:r>
              <w:rPr>
                <w:sz w:val="22"/>
              </w:rPr>
              <w:t>11</w:t>
            </w:r>
          </w:p>
        </w:tc>
        <w:tc>
          <w:tcPr>
            <w:tcW w:w="1125" w:type="dxa"/>
          </w:tcPr>
          <w:p>
            <w:pPr>
              <w:pStyle w:val="TableParagraph"/>
              <w:spacing w:line="266" w:lineRule="exact" w:before="13"/>
              <w:ind w:right="102"/>
              <w:rPr>
                <w:sz w:val="22"/>
              </w:rPr>
            </w:pPr>
            <w:r>
              <w:rPr>
                <w:sz w:val="22"/>
              </w:rPr>
              <w:t>12</w:t>
            </w:r>
          </w:p>
        </w:tc>
      </w:tr>
      <w:tr>
        <w:trPr>
          <w:trHeight w:val="300" w:hRule="atLeast"/>
        </w:trPr>
        <w:tc>
          <w:tcPr>
            <w:tcW w:w="5589" w:type="dxa"/>
            <w:shd w:val="clear" w:color="auto" w:fill="D2DFED"/>
          </w:tcPr>
          <w:p>
            <w:pPr>
              <w:pStyle w:val="TableParagraph"/>
              <w:spacing w:before="28"/>
              <w:ind w:left="115"/>
              <w:jc w:val="left"/>
              <w:rPr>
                <w:b/>
                <w:sz w:val="20"/>
              </w:rPr>
            </w:pPr>
            <w:r>
              <w:rPr>
                <w:b/>
                <w:sz w:val="20"/>
              </w:rPr>
              <w:t>Kimberley Development Commission</w:t>
            </w:r>
          </w:p>
        </w:tc>
        <w:tc>
          <w:tcPr>
            <w:tcW w:w="1606" w:type="dxa"/>
            <w:shd w:val="clear" w:color="auto" w:fill="D2DFED"/>
          </w:tcPr>
          <w:p>
            <w:pPr>
              <w:pStyle w:val="TableParagraph"/>
              <w:spacing w:line="266" w:lineRule="exact" w:before="13"/>
              <w:ind w:right="236"/>
              <w:rPr>
                <w:sz w:val="22"/>
              </w:rPr>
            </w:pPr>
            <w:r>
              <w:rPr>
                <w:sz w:val="22"/>
              </w:rPr>
              <w:t>15</w:t>
            </w:r>
          </w:p>
        </w:tc>
        <w:tc>
          <w:tcPr>
            <w:tcW w:w="1295" w:type="dxa"/>
            <w:shd w:val="clear" w:color="auto" w:fill="D2DFED"/>
          </w:tcPr>
          <w:p>
            <w:pPr>
              <w:pStyle w:val="TableParagraph"/>
              <w:spacing w:line="266" w:lineRule="exact" w:before="13"/>
              <w:ind w:right="254"/>
              <w:rPr>
                <w:sz w:val="22"/>
              </w:rPr>
            </w:pPr>
            <w:r>
              <w:rPr>
                <w:sz w:val="22"/>
              </w:rPr>
              <w:t>14</w:t>
            </w:r>
          </w:p>
        </w:tc>
        <w:tc>
          <w:tcPr>
            <w:tcW w:w="1125" w:type="dxa"/>
            <w:shd w:val="clear" w:color="auto" w:fill="D2DFED"/>
          </w:tcPr>
          <w:p>
            <w:pPr>
              <w:pStyle w:val="TableParagraph"/>
              <w:spacing w:line="266" w:lineRule="exact" w:before="13"/>
              <w:ind w:right="102"/>
              <w:rPr>
                <w:sz w:val="22"/>
              </w:rPr>
            </w:pPr>
            <w:r>
              <w:rPr>
                <w:sz w:val="22"/>
              </w:rPr>
              <w:t>13</w:t>
            </w:r>
          </w:p>
        </w:tc>
      </w:tr>
      <w:tr>
        <w:trPr>
          <w:trHeight w:val="299" w:hRule="atLeast"/>
        </w:trPr>
        <w:tc>
          <w:tcPr>
            <w:tcW w:w="5589" w:type="dxa"/>
          </w:tcPr>
          <w:p>
            <w:pPr>
              <w:pStyle w:val="TableParagraph"/>
              <w:spacing w:before="28"/>
              <w:ind w:left="115"/>
              <w:jc w:val="left"/>
              <w:rPr>
                <w:b/>
                <w:sz w:val="20"/>
              </w:rPr>
            </w:pPr>
            <w:r>
              <w:rPr>
                <w:b/>
                <w:sz w:val="20"/>
              </w:rPr>
              <w:t>Pilbara Development Commission</w:t>
            </w:r>
          </w:p>
        </w:tc>
        <w:tc>
          <w:tcPr>
            <w:tcW w:w="1606" w:type="dxa"/>
          </w:tcPr>
          <w:p>
            <w:pPr>
              <w:pStyle w:val="TableParagraph"/>
              <w:spacing w:line="266" w:lineRule="exact" w:before="13"/>
              <w:ind w:right="236"/>
              <w:rPr>
                <w:sz w:val="22"/>
              </w:rPr>
            </w:pPr>
            <w:r>
              <w:rPr>
                <w:sz w:val="22"/>
              </w:rPr>
              <w:t>12</w:t>
            </w:r>
          </w:p>
        </w:tc>
        <w:tc>
          <w:tcPr>
            <w:tcW w:w="1295" w:type="dxa"/>
          </w:tcPr>
          <w:p>
            <w:pPr>
              <w:pStyle w:val="TableParagraph"/>
              <w:spacing w:line="266" w:lineRule="exact" w:before="13"/>
              <w:ind w:right="254"/>
              <w:rPr>
                <w:sz w:val="22"/>
              </w:rPr>
            </w:pPr>
            <w:r>
              <w:rPr>
                <w:sz w:val="22"/>
              </w:rPr>
              <w:t>11</w:t>
            </w:r>
          </w:p>
        </w:tc>
        <w:tc>
          <w:tcPr>
            <w:tcW w:w="1125" w:type="dxa"/>
          </w:tcPr>
          <w:p>
            <w:pPr>
              <w:pStyle w:val="TableParagraph"/>
              <w:spacing w:line="266" w:lineRule="exact" w:before="13"/>
              <w:ind w:right="102"/>
              <w:rPr>
                <w:sz w:val="22"/>
              </w:rPr>
            </w:pPr>
            <w:r>
              <w:rPr>
                <w:sz w:val="22"/>
              </w:rPr>
              <w:t>12</w:t>
            </w:r>
          </w:p>
        </w:tc>
      </w:tr>
      <w:tr>
        <w:trPr>
          <w:trHeight w:val="300" w:hRule="atLeast"/>
        </w:trPr>
        <w:tc>
          <w:tcPr>
            <w:tcW w:w="5589" w:type="dxa"/>
            <w:shd w:val="clear" w:color="auto" w:fill="D2DFED"/>
          </w:tcPr>
          <w:p>
            <w:pPr>
              <w:pStyle w:val="TableParagraph"/>
              <w:spacing w:before="28"/>
              <w:ind w:left="115"/>
              <w:jc w:val="left"/>
              <w:rPr>
                <w:b/>
                <w:sz w:val="20"/>
              </w:rPr>
            </w:pPr>
            <w:r>
              <w:rPr>
                <w:b/>
                <w:sz w:val="20"/>
              </w:rPr>
              <w:t>Office of the Information Commissioner</w:t>
            </w:r>
          </w:p>
        </w:tc>
        <w:tc>
          <w:tcPr>
            <w:tcW w:w="1606" w:type="dxa"/>
            <w:shd w:val="clear" w:color="auto" w:fill="D2DFED"/>
          </w:tcPr>
          <w:p>
            <w:pPr>
              <w:pStyle w:val="TableParagraph"/>
              <w:spacing w:line="266" w:lineRule="exact" w:before="13"/>
              <w:ind w:right="236"/>
              <w:rPr>
                <w:sz w:val="22"/>
              </w:rPr>
            </w:pPr>
            <w:r>
              <w:rPr>
                <w:sz w:val="22"/>
              </w:rPr>
              <w:t>10</w:t>
            </w:r>
          </w:p>
        </w:tc>
        <w:tc>
          <w:tcPr>
            <w:tcW w:w="1295" w:type="dxa"/>
            <w:shd w:val="clear" w:color="auto" w:fill="D2DFED"/>
          </w:tcPr>
          <w:p>
            <w:pPr>
              <w:pStyle w:val="TableParagraph"/>
              <w:spacing w:line="266" w:lineRule="exact" w:before="13"/>
              <w:ind w:right="254"/>
              <w:rPr>
                <w:sz w:val="22"/>
              </w:rPr>
            </w:pPr>
            <w:r>
              <w:rPr>
                <w:sz w:val="22"/>
              </w:rPr>
              <w:t>10</w:t>
            </w:r>
          </w:p>
        </w:tc>
        <w:tc>
          <w:tcPr>
            <w:tcW w:w="1125" w:type="dxa"/>
            <w:shd w:val="clear" w:color="auto" w:fill="D2DFED"/>
          </w:tcPr>
          <w:p>
            <w:pPr>
              <w:pStyle w:val="TableParagraph"/>
              <w:spacing w:line="266" w:lineRule="exact" w:before="13"/>
              <w:ind w:right="102"/>
              <w:rPr>
                <w:sz w:val="22"/>
              </w:rPr>
            </w:pPr>
            <w:r>
              <w:rPr>
                <w:sz w:val="22"/>
              </w:rPr>
              <w:t>10</w:t>
            </w:r>
          </w:p>
        </w:tc>
      </w:tr>
      <w:tr>
        <w:trPr>
          <w:trHeight w:val="299" w:hRule="atLeast"/>
        </w:trPr>
        <w:tc>
          <w:tcPr>
            <w:tcW w:w="5589" w:type="dxa"/>
          </w:tcPr>
          <w:p>
            <w:pPr>
              <w:pStyle w:val="TableParagraph"/>
              <w:spacing w:before="28"/>
              <w:ind w:left="115"/>
              <w:jc w:val="left"/>
              <w:rPr>
                <w:b/>
                <w:sz w:val="20"/>
              </w:rPr>
            </w:pPr>
            <w:r>
              <w:rPr>
                <w:b/>
                <w:sz w:val="20"/>
              </w:rPr>
              <w:t>Law Reform Commission of Western Australia</w:t>
            </w:r>
          </w:p>
        </w:tc>
        <w:tc>
          <w:tcPr>
            <w:tcW w:w="1606" w:type="dxa"/>
          </w:tcPr>
          <w:p>
            <w:pPr>
              <w:pStyle w:val="TableParagraph"/>
              <w:spacing w:line="266" w:lineRule="exact" w:before="13"/>
              <w:ind w:right="236"/>
              <w:rPr>
                <w:sz w:val="22"/>
              </w:rPr>
            </w:pPr>
            <w:r>
              <w:rPr>
                <w:sz w:val="22"/>
              </w:rPr>
              <w:t>10</w:t>
            </w:r>
          </w:p>
        </w:tc>
        <w:tc>
          <w:tcPr>
            <w:tcW w:w="1295" w:type="dxa"/>
          </w:tcPr>
          <w:p>
            <w:pPr>
              <w:pStyle w:val="TableParagraph"/>
              <w:spacing w:line="266" w:lineRule="exact" w:before="13"/>
              <w:ind w:right="255"/>
              <w:rPr>
                <w:sz w:val="22"/>
              </w:rPr>
            </w:pPr>
            <w:r>
              <w:rPr>
                <w:w w:val="100"/>
                <w:sz w:val="22"/>
              </w:rPr>
              <w:t>3</w:t>
            </w:r>
          </w:p>
        </w:tc>
        <w:tc>
          <w:tcPr>
            <w:tcW w:w="1125" w:type="dxa"/>
          </w:tcPr>
          <w:p>
            <w:pPr>
              <w:pStyle w:val="TableParagraph"/>
              <w:spacing w:line="266" w:lineRule="exact" w:before="13"/>
              <w:ind w:right="103"/>
              <w:rPr>
                <w:sz w:val="22"/>
              </w:rPr>
            </w:pPr>
            <w:r>
              <w:rPr>
                <w:w w:val="100"/>
                <w:sz w:val="22"/>
              </w:rPr>
              <w:t>3</w:t>
            </w:r>
          </w:p>
        </w:tc>
      </w:tr>
      <w:tr>
        <w:trPr>
          <w:trHeight w:val="300" w:hRule="atLeast"/>
        </w:trPr>
        <w:tc>
          <w:tcPr>
            <w:tcW w:w="5589" w:type="dxa"/>
            <w:shd w:val="clear" w:color="auto" w:fill="D2DFED"/>
          </w:tcPr>
          <w:p>
            <w:pPr>
              <w:pStyle w:val="TableParagraph"/>
              <w:spacing w:before="28"/>
              <w:ind w:left="115"/>
              <w:jc w:val="left"/>
              <w:rPr>
                <w:b/>
                <w:sz w:val="20"/>
              </w:rPr>
            </w:pPr>
            <w:r>
              <w:rPr>
                <w:b/>
                <w:sz w:val="20"/>
              </w:rPr>
              <w:t>Salaries and Allowances Tribunal</w:t>
            </w:r>
          </w:p>
        </w:tc>
        <w:tc>
          <w:tcPr>
            <w:tcW w:w="1606" w:type="dxa"/>
            <w:shd w:val="clear" w:color="auto" w:fill="D2DFED"/>
          </w:tcPr>
          <w:p>
            <w:pPr>
              <w:pStyle w:val="TableParagraph"/>
              <w:spacing w:line="266" w:lineRule="exact" w:before="13"/>
              <w:ind w:right="237"/>
              <w:rPr>
                <w:sz w:val="22"/>
              </w:rPr>
            </w:pPr>
            <w:r>
              <w:rPr>
                <w:w w:val="100"/>
                <w:sz w:val="22"/>
              </w:rPr>
              <w:t>2</w:t>
            </w:r>
          </w:p>
        </w:tc>
        <w:tc>
          <w:tcPr>
            <w:tcW w:w="1295" w:type="dxa"/>
            <w:shd w:val="clear" w:color="auto" w:fill="D2DFED"/>
          </w:tcPr>
          <w:p>
            <w:pPr>
              <w:pStyle w:val="TableParagraph"/>
              <w:spacing w:line="266" w:lineRule="exact" w:before="13"/>
              <w:ind w:right="255"/>
              <w:rPr>
                <w:sz w:val="22"/>
              </w:rPr>
            </w:pPr>
            <w:r>
              <w:rPr>
                <w:w w:val="100"/>
                <w:sz w:val="22"/>
              </w:rPr>
              <w:t>2</w:t>
            </w:r>
          </w:p>
        </w:tc>
        <w:tc>
          <w:tcPr>
            <w:tcW w:w="1125" w:type="dxa"/>
            <w:shd w:val="clear" w:color="auto" w:fill="D2DFED"/>
          </w:tcPr>
          <w:p>
            <w:pPr>
              <w:pStyle w:val="TableParagraph"/>
              <w:spacing w:line="266" w:lineRule="exact" w:before="13"/>
              <w:ind w:right="103"/>
              <w:rPr>
                <w:sz w:val="22"/>
              </w:rPr>
            </w:pPr>
            <w:r>
              <w:rPr>
                <w:w w:val="100"/>
                <w:sz w:val="22"/>
              </w:rPr>
              <w:t>2</w:t>
            </w:r>
          </w:p>
        </w:tc>
      </w:tr>
      <w:tr>
        <w:trPr>
          <w:trHeight w:val="314" w:hRule="atLeast"/>
        </w:trPr>
        <w:tc>
          <w:tcPr>
            <w:tcW w:w="5589" w:type="dxa"/>
            <w:tcBorders>
              <w:bottom w:val="single" w:sz="8" w:space="0" w:color="4F81BC"/>
            </w:tcBorders>
          </w:tcPr>
          <w:p>
            <w:pPr>
              <w:pStyle w:val="TableParagraph"/>
              <w:spacing w:before="35"/>
              <w:ind w:left="115"/>
              <w:jc w:val="left"/>
              <w:rPr>
                <w:b/>
                <w:sz w:val="20"/>
              </w:rPr>
            </w:pPr>
            <w:r>
              <w:rPr>
                <w:b/>
                <w:sz w:val="20"/>
              </w:rPr>
              <w:t>Office of the Public Sector Standards Commissioner</w:t>
            </w:r>
            <w:r>
              <w:rPr>
                <w:b/>
                <w:sz w:val="20"/>
                <w:vertAlign w:val="superscript"/>
              </w:rPr>
              <w:t>5</w:t>
            </w:r>
          </w:p>
        </w:tc>
        <w:tc>
          <w:tcPr>
            <w:tcW w:w="1606" w:type="dxa"/>
            <w:tcBorders>
              <w:bottom w:val="single" w:sz="8" w:space="0" w:color="4F81BC"/>
            </w:tcBorders>
          </w:tcPr>
          <w:p>
            <w:pPr>
              <w:pStyle w:val="TableParagraph"/>
              <w:spacing w:before="21"/>
              <w:ind w:right="238"/>
              <w:rPr>
                <w:sz w:val="22"/>
              </w:rPr>
            </w:pPr>
            <w:r>
              <w:rPr>
                <w:sz w:val="22"/>
              </w:rPr>
              <w:t>N/A</w:t>
            </w:r>
          </w:p>
        </w:tc>
        <w:tc>
          <w:tcPr>
            <w:tcW w:w="1295" w:type="dxa"/>
            <w:tcBorders>
              <w:bottom w:val="single" w:sz="8" w:space="0" w:color="4F81BC"/>
            </w:tcBorders>
          </w:tcPr>
          <w:p>
            <w:pPr>
              <w:pStyle w:val="TableParagraph"/>
              <w:spacing w:before="21"/>
              <w:ind w:right="256"/>
              <w:rPr>
                <w:sz w:val="22"/>
              </w:rPr>
            </w:pPr>
            <w:r>
              <w:rPr>
                <w:sz w:val="22"/>
              </w:rPr>
              <w:t>N/A</w:t>
            </w:r>
          </w:p>
        </w:tc>
        <w:tc>
          <w:tcPr>
            <w:tcW w:w="1125" w:type="dxa"/>
            <w:tcBorders>
              <w:bottom w:val="single" w:sz="8" w:space="0" w:color="4F81BC"/>
            </w:tcBorders>
          </w:tcPr>
          <w:p>
            <w:pPr>
              <w:pStyle w:val="TableParagraph"/>
              <w:spacing w:before="21"/>
              <w:ind w:right="102"/>
              <w:rPr>
                <w:sz w:val="22"/>
              </w:rPr>
            </w:pPr>
            <w:r>
              <w:rPr>
                <w:sz w:val="22"/>
              </w:rPr>
              <w:t>30</w:t>
            </w:r>
          </w:p>
        </w:tc>
      </w:tr>
      <w:tr>
        <w:trPr>
          <w:trHeight w:val="287" w:hRule="atLeast"/>
        </w:trPr>
        <w:tc>
          <w:tcPr>
            <w:tcW w:w="5589" w:type="dxa"/>
            <w:tcBorders>
              <w:top w:val="single" w:sz="8" w:space="0" w:color="4F81BC"/>
              <w:bottom w:val="single" w:sz="8" w:space="0" w:color="4F81BC"/>
            </w:tcBorders>
          </w:tcPr>
          <w:p>
            <w:pPr>
              <w:pStyle w:val="TableParagraph"/>
              <w:spacing w:before="20"/>
              <w:ind w:left="115"/>
              <w:jc w:val="left"/>
              <w:rPr>
                <w:b/>
                <w:i/>
                <w:sz w:val="20"/>
              </w:rPr>
            </w:pPr>
            <w:r>
              <w:rPr>
                <w:b/>
                <w:i/>
                <w:sz w:val="20"/>
              </w:rPr>
              <w:t>TOTAL</w:t>
            </w:r>
            <w:r>
              <w:rPr>
                <w:b/>
                <w:i/>
                <w:sz w:val="20"/>
                <w:vertAlign w:val="superscript"/>
              </w:rPr>
              <w:t>6</w:t>
            </w:r>
          </w:p>
        </w:tc>
        <w:tc>
          <w:tcPr>
            <w:tcW w:w="1606" w:type="dxa"/>
            <w:tcBorders>
              <w:top w:val="single" w:sz="8" w:space="0" w:color="4F81BC"/>
              <w:bottom w:val="single" w:sz="8" w:space="0" w:color="4F81BC"/>
            </w:tcBorders>
          </w:tcPr>
          <w:p>
            <w:pPr>
              <w:pStyle w:val="TableParagraph"/>
              <w:spacing w:line="261" w:lineRule="exact" w:before="6"/>
              <w:ind w:right="238"/>
              <w:rPr>
                <w:b/>
                <w:sz w:val="22"/>
              </w:rPr>
            </w:pPr>
            <w:r>
              <w:rPr>
                <w:b/>
                <w:sz w:val="22"/>
              </w:rPr>
              <w:t>138,257</w:t>
            </w:r>
          </w:p>
        </w:tc>
        <w:tc>
          <w:tcPr>
            <w:tcW w:w="1295" w:type="dxa"/>
            <w:tcBorders>
              <w:top w:val="single" w:sz="8" w:space="0" w:color="4F81BC"/>
              <w:bottom w:val="single" w:sz="8" w:space="0" w:color="4F81BC"/>
            </w:tcBorders>
          </w:tcPr>
          <w:p>
            <w:pPr>
              <w:pStyle w:val="TableParagraph"/>
              <w:spacing w:line="261" w:lineRule="exact" w:before="6"/>
              <w:ind w:right="255"/>
              <w:rPr>
                <w:b/>
                <w:sz w:val="22"/>
              </w:rPr>
            </w:pPr>
            <w:r>
              <w:rPr>
                <w:b/>
                <w:sz w:val="22"/>
              </w:rPr>
              <w:t>105,723</w:t>
            </w:r>
          </w:p>
        </w:tc>
        <w:tc>
          <w:tcPr>
            <w:tcW w:w="1125" w:type="dxa"/>
            <w:tcBorders>
              <w:top w:val="single" w:sz="8" w:space="0" w:color="4F81BC"/>
              <w:bottom w:val="single" w:sz="8" w:space="0" w:color="4F81BC"/>
            </w:tcBorders>
          </w:tcPr>
          <w:p>
            <w:pPr>
              <w:pStyle w:val="TableParagraph"/>
              <w:spacing w:line="261" w:lineRule="exact" w:before="6"/>
              <w:ind w:right="103"/>
              <w:rPr>
                <w:b/>
                <w:sz w:val="22"/>
              </w:rPr>
            </w:pPr>
            <w:r>
              <w:rPr>
                <w:b/>
                <w:sz w:val="22"/>
              </w:rPr>
              <w:t>104,609</w:t>
            </w:r>
          </w:p>
        </w:tc>
      </w:tr>
    </w:tbl>
    <w:p>
      <w:pPr>
        <w:spacing w:line="240" w:lineRule="auto" w:before="0"/>
        <w:rPr>
          <w:sz w:val="20"/>
        </w:rPr>
      </w:pPr>
    </w:p>
    <w:p>
      <w:pPr>
        <w:spacing w:line="240" w:lineRule="auto" w:before="0"/>
        <w:rPr>
          <w:sz w:val="20"/>
        </w:rPr>
      </w:pPr>
    </w:p>
    <w:p>
      <w:pPr>
        <w:spacing w:line="240" w:lineRule="auto" w:before="5"/>
        <w:rPr>
          <w:sz w:val="17"/>
        </w:rPr>
      </w:pPr>
    </w:p>
    <w:p>
      <w:pPr>
        <w:pStyle w:val="BodyText"/>
        <w:spacing w:before="57"/>
        <w:ind w:left="597"/>
      </w:pPr>
      <w:r>
        <w:rPr>
          <w:color w:val="933634"/>
        </w:rPr>
        <w:t>Table 2: Agencies Subject to an FTE Ceiling, but not reporting HRMOIR Data to PSC.</w:t>
      </w:r>
    </w:p>
    <w:p>
      <w:pPr>
        <w:spacing w:line="240" w:lineRule="auto" w:before="3" w:after="0"/>
        <w:rPr>
          <w:sz w:val="24"/>
        </w:r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74"/>
        <w:gridCol w:w="2242"/>
      </w:tblGrid>
      <w:tr>
        <w:trPr>
          <w:trHeight w:val="488" w:hRule="atLeast"/>
        </w:trPr>
        <w:tc>
          <w:tcPr>
            <w:tcW w:w="7374" w:type="dxa"/>
            <w:tcBorders>
              <w:top w:val="single" w:sz="8" w:space="0" w:color="4F81BC"/>
              <w:bottom w:val="single" w:sz="8" w:space="0" w:color="4F81BC"/>
            </w:tcBorders>
          </w:tcPr>
          <w:p>
            <w:pPr>
              <w:pStyle w:val="TableParagraph"/>
              <w:spacing w:before="0"/>
              <w:jc w:val="left"/>
              <w:rPr>
                <w:rFonts w:ascii="Times New Roman"/>
                <w:sz w:val="18"/>
              </w:rPr>
            </w:pPr>
          </w:p>
        </w:tc>
        <w:tc>
          <w:tcPr>
            <w:tcW w:w="2242" w:type="dxa"/>
            <w:tcBorders>
              <w:top w:val="single" w:sz="8" w:space="0" w:color="4F81BC"/>
              <w:bottom w:val="single" w:sz="8" w:space="0" w:color="4F81BC"/>
            </w:tcBorders>
          </w:tcPr>
          <w:p>
            <w:pPr>
              <w:pStyle w:val="TableParagraph"/>
              <w:spacing w:line="243" w:lineRule="exact" w:before="1"/>
              <w:ind w:right="107"/>
              <w:rPr>
                <w:b/>
                <w:sz w:val="20"/>
              </w:rPr>
            </w:pPr>
            <w:r>
              <w:rPr>
                <w:b/>
                <w:sz w:val="20"/>
              </w:rPr>
              <w:t>FTE</w:t>
            </w:r>
            <w:r>
              <w:rPr>
                <w:b/>
                <w:spacing w:val="-6"/>
                <w:sz w:val="20"/>
              </w:rPr>
              <w:t> </w:t>
            </w:r>
            <w:r>
              <w:rPr>
                <w:b/>
                <w:sz w:val="20"/>
              </w:rPr>
              <w:t>ceiling</w:t>
            </w:r>
          </w:p>
          <w:p>
            <w:pPr>
              <w:pStyle w:val="TableParagraph"/>
              <w:spacing w:line="224" w:lineRule="exact" w:before="0"/>
              <w:ind w:right="110"/>
              <w:rPr>
                <w:b/>
                <w:sz w:val="20"/>
              </w:rPr>
            </w:pPr>
            <w:r>
              <w:rPr>
                <w:b/>
                <w:spacing w:val="-1"/>
                <w:sz w:val="20"/>
              </w:rPr>
              <w:t>2010/11</w:t>
            </w:r>
          </w:p>
        </w:tc>
      </w:tr>
      <w:tr>
        <w:trPr>
          <w:trHeight w:val="285" w:hRule="atLeast"/>
        </w:trPr>
        <w:tc>
          <w:tcPr>
            <w:tcW w:w="7374" w:type="dxa"/>
            <w:tcBorders>
              <w:top w:val="single" w:sz="8" w:space="0" w:color="4F81BC"/>
            </w:tcBorders>
            <w:shd w:val="clear" w:color="auto" w:fill="D2DFED"/>
          </w:tcPr>
          <w:p>
            <w:pPr>
              <w:pStyle w:val="TableParagraph"/>
              <w:spacing w:line="243" w:lineRule="exact" w:before="0"/>
              <w:ind w:left="115"/>
              <w:jc w:val="left"/>
              <w:rPr>
                <w:b/>
                <w:sz w:val="20"/>
              </w:rPr>
            </w:pPr>
            <w:r>
              <w:rPr>
                <w:b/>
                <w:sz w:val="20"/>
              </w:rPr>
              <w:t>Parliamentary Services</w:t>
            </w:r>
          </w:p>
        </w:tc>
        <w:tc>
          <w:tcPr>
            <w:tcW w:w="2242" w:type="dxa"/>
            <w:tcBorders>
              <w:top w:val="single" w:sz="8" w:space="0" w:color="4F81BC"/>
            </w:tcBorders>
            <w:shd w:val="clear" w:color="auto" w:fill="D2DFED"/>
          </w:tcPr>
          <w:p>
            <w:pPr>
              <w:pStyle w:val="TableParagraph"/>
              <w:spacing w:line="243" w:lineRule="exact" w:before="0"/>
              <w:ind w:right="110"/>
              <w:rPr>
                <w:sz w:val="20"/>
              </w:rPr>
            </w:pPr>
            <w:r>
              <w:rPr>
                <w:w w:val="95"/>
                <w:sz w:val="20"/>
              </w:rPr>
              <w:t>103</w:t>
            </w:r>
          </w:p>
        </w:tc>
      </w:tr>
      <w:tr>
        <w:trPr>
          <w:trHeight w:val="285" w:hRule="atLeast"/>
        </w:trPr>
        <w:tc>
          <w:tcPr>
            <w:tcW w:w="7374" w:type="dxa"/>
          </w:tcPr>
          <w:p>
            <w:pPr>
              <w:pStyle w:val="TableParagraph"/>
              <w:spacing w:line="243" w:lineRule="exact" w:before="0"/>
              <w:ind w:left="115"/>
              <w:jc w:val="left"/>
              <w:rPr>
                <w:b/>
                <w:sz w:val="20"/>
              </w:rPr>
            </w:pPr>
            <w:r>
              <w:rPr>
                <w:b/>
                <w:sz w:val="20"/>
              </w:rPr>
              <w:t>Governor’s Establishment</w:t>
            </w:r>
          </w:p>
        </w:tc>
        <w:tc>
          <w:tcPr>
            <w:tcW w:w="2242" w:type="dxa"/>
          </w:tcPr>
          <w:p>
            <w:pPr>
              <w:pStyle w:val="TableParagraph"/>
              <w:spacing w:line="243" w:lineRule="exact" w:before="0"/>
              <w:ind w:right="108"/>
              <w:rPr>
                <w:sz w:val="20"/>
              </w:rPr>
            </w:pPr>
            <w:r>
              <w:rPr>
                <w:w w:val="95"/>
                <w:sz w:val="20"/>
              </w:rPr>
              <w:t>32</w:t>
            </w:r>
          </w:p>
        </w:tc>
      </w:tr>
      <w:tr>
        <w:trPr>
          <w:trHeight w:val="285" w:hRule="atLeast"/>
        </w:trPr>
        <w:tc>
          <w:tcPr>
            <w:tcW w:w="7374" w:type="dxa"/>
            <w:shd w:val="clear" w:color="auto" w:fill="D2DFED"/>
          </w:tcPr>
          <w:p>
            <w:pPr>
              <w:pStyle w:val="TableParagraph"/>
              <w:spacing w:line="243" w:lineRule="exact" w:before="0"/>
              <w:ind w:left="115"/>
              <w:jc w:val="left"/>
              <w:rPr>
                <w:b/>
                <w:sz w:val="20"/>
              </w:rPr>
            </w:pPr>
            <w:r>
              <w:rPr>
                <w:b/>
                <w:sz w:val="20"/>
              </w:rPr>
              <w:t>Legislative Assembly</w:t>
            </w:r>
          </w:p>
        </w:tc>
        <w:tc>
          <w:tcPr>
            <w:tcW w:w="2242" w:type="dxa"/>
            <w:shd w:val="clear" w:color="auto" w:fill="D2DFED"/>
          </w:tcPr>
          <w:p>
            <w:pPr>
              <w:pStyle w:val="TableParagraph"/>
              <w:spacing w:line="243" w:lineRule="exact" w:before="0"/>
              <w:ind w:right="108"/>
              <w:rPr>
                <w:sz w:val="20"/>
              </w:rPr>
            </w:pPr>
            <w:r>
              <w:rPr>
                <w:w w:val="95"/>
                <w:sz w:val="20"/>
              </w:rPr>
              <w:t>32</w:t>
            </w:r>
          </w:p>
        </w:tc>
      </w:tr>
      <w:tr>
        <w:trPr>
          <w:trHeight w:val="283" w:hRule="atLeast"/>
        </w:trPr>
        <w:tc>
          <w:tcPr>
            <w:tcW w:w="7374" w:type="dxa"/>
          </w:tcPr>
          <w:p>
            <w:pPr>
              <w:pStyle w:val="TableParagraph"/>
              <w:spacing w:line="244" w:lineRule="exact" w:before="0"/>
              <w:ind w:left="115"/>
              <w:jc w:val="left"/>
              <w:rPr>
                <w:b/>
                <w:sz w:val="20"/>
              </w:rPr>
            </w:pPr>
            <w:r>
              <w:rPr>
                <w:b/>
                <w:sz w:val="20"/>
              </w:rPr>
              <w:t>Legislative Council</w:t>
            </w:r>
          </w:p>
        </w:tc>
        <w:tc>
          <w:tcPr>
            <w:tcW w:w="2242" w:type="dxa"/>
          </w:tcPr>
          <w:p>
            <w:pPr>
              <w:pStyle w:val="TableParagraph"/>
              <w:spacing w:line="244" w:lineRule="exact" w:before="0"/>
              <w:ind w:right="108"/>
              <w:rPr>
                <w:sz w:val="20"/>
              </w:rPr>
            </w:pPr>
            <w:r>
              <w:rPr>
                <w:w w:val="95"/>
                <w:sz w:val="20"/>
              </w:rPr>
              <w:t>25</w:t>
            </w:r>
          </w:p>
        </w:tc>
      </w:tr>
      <w:tr>
        <w:trPr>
          <w:trHeight w:val="285" w:hRule="atLeast"/>
        </w:trPr>
        <w:tc>
          <w:tcPr>
            <w:tcW w:w="7374" w:type="dxa"/>
            <w:tcBorders>
              <w:bottom w:val="single" w:sz="8" w:space="0" w:color="4F81BC"/>
            </w:tcBorders>
            <w:shd w:val="clear" w:color="auto" w:fill="D2DFED"/>
          </w:tcPr>
          <w:p>
            <w:pPr>
              <w:pStyle w:val="TableParagraph"/>
              <w:spacing w:line="243" w:lineRule="exact" w:before="0"/>
              <w:ind w:left="115"/>
              <w:jc w:val="left"/>
              <w:rPr>
                <w:b/>
                <w:sz w:val="20"/>
              </w:rPr>
            </w:pPr>
            <w:r>
              <w:rPr>
                <w:b/>
                <w:sz w:val="20"/>
              </w:rPr>
              <w:t>Parliamentary Inspector of the Corruption and Crime Commission</w:t>
            </w:r>
          </w:p>
        </w:tc>
        <w:tc>
          <w:tcPr>
            <w:tcW w:w="2242" w:type="dxa"/>
            <w:tcBorders>
              <w:bottom w:val="single" w:sz="8" w:space="0" w:color="4F81BC"/>
            </w:tcBorders>
            <w:shd w:val="clear" w:color="auto" w:fill="D2DFED"/>
          </w:tcPr>
          <w:p>
            <w:pPr>
              <w:pStyle w:val="TableParagraph"/>
              <w:spacing w:line="243" w:lineRule="exact" w:before="0"/>
              <w:ind w:right="107"/>
              <w:rPr>
                <w:sz w:val="20"/>
              </w:rPr>
            </w:pPr>
            <w:r>
              <w:rPr>
                <w:w w:val="99"/>
                <w:sz w:val="20"/>
              </w:rPr>
              <w:t>2</w:t>
            </w:r>
          </w:p>
        </w:tc>
      </w:tr>
      <w:tr>
        <w:trPr>
          <w:trHeight w:val="287" w:hRule="atLeast"/>
        </w:trPr>
        <w:tc>
          <w:tcPr>
            <w:tcW w:w="7374" w:type="dxa"/>
            <w:tcBorders>
              <w:top w:val="single" w:sz="8" w:space="0" w:color="4F81BC"/>
              <w:bottom w:val="single" w:sz="8" w:space="0" w:color="4F81BC"/>
            </w:tcBorders>
          </w:tcPr>
          <w:p>
            <w:pPr>
              <w:pStyle w:val="TableParagraph"/>
              <w:spacing w:before="1"/>
              <w:ind w:left="115"/>
              <w:jc w:val="left"/>
              <w:rPr>
                <w:b/>
                <w:i/>
                <w:sz w:val="20"/>
              </w:rPr>
            </w:pPr>
            <w:r>
              <w:rPr>
                <w:b/>
                <w:i/>
                <w:sz w:val="20"/>
              </w:rPr>
              <w:t>TOTAL</w:t>
            </w:r>
          </w:p>
        </w:tc>
        <w:tc>
          <w:tcPr>
            <w:tcW w:w="2242" w:type="dxa"/>
            <w:tcBorders>
              <w:top w:val="single" w:sz="8" w:space="0" w:color="4F81BC"/>
              <w:bottom w:val="single" w:sz="8" w:space="0" w:color="4F81BC"/>
            </w:tcBorders>
          </w:tcPr>
          <w:p>
            <w:pPr>
              <w:pStyle w:val="TableParagraph"/>
              <w:spacing w:before="1"/>
              <w:ind w:right="110"/>
              <w:rPr>
                <w:b/>
                <w:sz w:val="20"/>
              </w:rPr>
            </w:pPr>
            <w:r>
              <w:rPr>
                <w:b/>
                <w:w w:val="95"/>
                <w:sz w:val="20"/>
              </w:rPr>
              <w:t>194</w:t>
            </w:r>
          </w:p>
        </w:tc>
      </w:tr>
    </w:tbl>
    <w:p>
      <w:pPr>
        <w:spacing w:line="240" w:lineRule="auto" w:before="0"/>
        <w:rPr>
          <w:sz w:val="20"/>
        </w:rPr>
      </w:pPr>
    </w:p>
    <w:p>
      <w:pPr>
        <w:spacing w:line="240" w:lineRule="auto" w:before="4"/>
        <w:rPr>
          <w:sz w:val="23"/>
        </w:rPr>
      </w:pPr>
      <w:r>
        <w:rPr/>
        <w:pict>
          <v:group style="position:absolute;margin-left:62.424pt;margin-top:16.232988pt;width:486.1pt;height:1.45pt;mso-position-horizontal-relative:page;mso-position-vertical-relative:paragraph;z-index:-251657216;mso-wrap-distance-left:0;mso-wrap-distance-right:0" coordorigin="1248,325" coordsize="9722,29">
            <v:line style="position:absolute" from="1248,329" to="10970,329" stroked="true" strokeweight=".47998pt" strokecolor="#000000">
              <v:stroke dashstyle="solid"/>
            </v:line>
            <v:line style="position:absolute" from="1248,349" to="10970,349" stroked="true" strokeweight=".48004pt" strokecolor="#000000">
              <v:stroke dashstyle="solid"/>
            </v:line>
            <w10:wrap type="topAndBottom"/>
          </v:group>
        </w:pict>
      </w:r>
    </w:p>
    <w:p>
      <w:pPr>
        <w:tabs>
          <w:tab w:pos="9063" w:val="left" w:leader="none"/>
        </w:tabs>
        <w:spacing w:before="0"/>
        <w:ind w:left="597" w:right="0" w:firstLine="0"/>
        <w:jc w:val="left"/>
        <w:rPr>
          <w:b/>
          <w:sz w:val="24"/>
        </w:rPr>
      </w:pPr>
      <w:r>
        <w:rPr>
          <w:b/>
          <w:sz w:val="24"/>
        </w:rPr>
        <w:t>Sum of Average Paid FTE for agencies subject to</w:t>
      </w:r>
      <w:r>
        <w:rPr>
          <w:b/>
          <w:spacing w:val="-13"/>
          <w:sz w:val="24"/>
        </w:rPr>
        <w:t> </w:t>
      </w:r>
      <w:r>
        <w:rPr>
          <w:b/>
          <w:sz w:val="24"/>
        </w:rPr>
        <w:t>FTE</w:t>
      </w:r>
      <w:r>
        <w:rPr>
          <w:b/>
          <w:spacing w:val="-4"/>
          <w:sz w:val="24"/>
        </w:rPr>
        <w:t> </w:t>
      </w:r>
      <w:r>
        <w:rPr>
          <w:b/>
          <w:sz w:val="24"/>
        </w:rPr>
        <w:t>Ceiling</w:t>
        <w:tab/>
        <w:t>104,803</w:t>
      </w:r>
    </w:p>
    <w:p>
      <w:pPr>
        <w:spacing w:line="29" w:lineRule="exact"/>
        <w:ind w:left="563" w:right="0" w:firstLine="0"/>
        <w:rPr>
          <w:sz w:val="2"/>
        </w:rPr>
      </w:pPr>
      <w:r>
        <w:rPr>
          <w:position w:val="0"/>
          <w:sz w:val="2"/>
        </w:rPr>
        <w:pict>
          <v:group style="width:486.1pt;height:1.45pt;mso-position-horizontal-relative:char;mso-position-vertical-relative:line" coordorigin="0,0" coordsize="9722,29">
            <v:line style="position:absolute" from="0,24" to="9722,24" stroked="true" strokeweight=".47998pt" strokecolor="#000000">
              <v:stroke dashstyle="solid"/>
            </v:line>
            <v:line style="position:absolute" from="0,5" to="9722,5" stroked="true" strokeweight=".47998pt" strokecolor="#000000">
              <v:stroke dashstyle="solid"/>
            </v:line>
          </v:group>
        </w:pict>
      </w:r>
      <w:r>
        <w:rPr>
          <w:position w:val="0"/>
          <w:sz w:val="2"/>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8"/>
        <w:rPr>
          <w:b/>
          <w:sz w:val="11"/>
        </w:rPr>
      </w:pPr>
      <w:r>
        <w:rPr/>
        <w:pict>
          <v:shape style="position:absolute;margin-left:63.863998pt;margin-top:9.398907pt;width:144.050pt;height:.1pt;mso-position-horizontal-relative:page;mso-position-vertical-relative:paragraph;z-index:-251655168;mso-wrap-distance-left:0;mso-wrap-distance-right:0" coordorigin="1277,188" coordsize="2881,0" path="m1277,188l4158,188e" filled="false" stroked="true" strokeweight=".599980pt" strokecolor="#000000">
            <v:path arrowok="t"/>
            <v:stroke dashstyle="solid"/>
            <w10:wrap type="topAndBottom"/>
          </v:shape>
        </w:pict>
      </w:r>
    </w:p>
    <w:p>
      <w:pPr>
        <w:spacing w:line="206" w:lineRule="exact" w:before="57"/>
        <w:ind w:left="597" w:right="0" w:firstLine="0"/>
        <w:jc w:val="left"/>
        <w:rPr>
          <w:sz w:val="16"/>
        </w:rPr>
      </w:pPr>
      <w:r>
        <w:rPr>
          <w:position w:val="8"/>
          <w:sz w:val="10"/>
        </w:rPr>
        <w:t>5</w:t>
      </w:r>
      <w:r>
        <w:rPr>
          <w:sz w:val="16"/>
        </w:rPr>
        <w:t>The Office of the Public Sector Standards Commissioner merged with the Public Sector Commission in the December 2010 quarter.</w:t>
      </w:r>
    </w:p>
    <w:p>
      <w:pPr>
        <w:spacing w:line="206" w:lineRule="exact" w:before="0"/>
        <w:ind w:left="597" w:right="0" w:firstLine="0"/>
        <w:jc w:val="left"/>
        <w:rPr>
          <w:sz w:val="16"/>
        </w:rPr>
      </w:pPr>
      <w:r>
        <w:rPr>
          <w:position w:val="8"/>
          <w:sz w:val="10"/>
        </w:rPr>
        <w:t>6 </w:t>
      </w:r>
      <w:r>
        <w:rPr>
          <w:sz w:val="16"/>
        </w:rPr>
        <w:t>The Average Paid FTE for the group of entities is the average of the sum of Paid FTE over the last four quarters. This is not the same as summing</w:t>
      </w:r>
    </w:p>
    <w:p>
      <w:pPr>
        <w:spacing w:before="2"/>
        <w:ind w:left="597" w:right="0" w:firstLine="0"/>
        <w:jc w:val="left"/>
        <w:rPr>
          <w:rFonts w:ascii="Arial"/>
          <w:sz w:val="20"/>
        </w:rPr>
      </w:pPr>
      <w:r>
        <w:rPr>
          <w:sz w:val="16"/>
        </w:rPr>
        <w:t>the Average Paid FTE for each entity due to machinery-of-government changes.</w:t>
      </w:r>
      <w:r>
        <w:rPr>
          <w:rFonts w:ascii="Arial"/>
          <w:sz w:val="20"/>
        </w:rPr>
        <w:t>.</w:t>
      </w:r>
    </w:p>
    <w:p>
      <w:pPr>
        <w:spacing w:after="0"/>
        <w:jc w:val="left"/>
        <w:rPr>
          <w:rFonts w:ascii="Arial"/>
          <w:sz w:val="20"/>
        </w:rPr>
        <w:sectPr>
          <w:pgSz w:w="11910" w:h="16850"/>
          <w:pgMar w:header="0" w:footer="373" w:top="1120" w:bottom="640" w:left="680" w:right="660"/>
        </w:sectPr>
      </w:pPr>
    </w:p>
    <w:p>
      <w:pPr>
        <w:pStyle w:val="BodyText"/>
        <w:rPr>
          <w:rFonts w:ascii="Arial"/>
          <w:sz w:val="20"/>
        </w:rPr>
      </w:pPr>
    </w:p>
    <w:p>
      <w:pPr>
        <w:pStyle w:val="BodyText"/>
        <w:spacing w:before="11"/>
        <w:rPr>
          <w:rFonts w:ascii="Arial"/>
          <w:sz w:val="29"/>
        </w:rPr>
      </w:pPr>
    </w:p>
    <w:p>
      <w:pPr>
        <w:pStyle w:val="BodyText"/>
        <w:spacing w:before="56"/>
        <w:ind w:left="597"/>
      </w:pPr>
      <w:r>
        <w:rPr>
          <w:color w:val="933634"/>
        </w:rPr>
        <w:t>Table 3: Agencies Not Subject to an FTE Ceiling.</w:t>
      </w:r>
    </w:p>
    <w:p>
      <w:pPr>
        <w:spacing w:line="240" w:lineRule="auto" w:before="11" w:after="0"/>
        <w:rPr>
          <w:sz w:val="22"/>
        </w:rPr>
      </w:pPr>
    </w:p>
    <w:tbl>
      <w:tblPr>
        <w:tblW w:w="0" w:type="auto"/>
        <w:jc w:val="left"/>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5"/>
        <w:gridCol w:w="1178"/>
        <w:gridCol w:w="1295"/>
        <w:gridCol w:w="1126"/>
      </w:tblGrid>
      <w:tr>
        <w:trPr>
          <w:trHeight w:val="488" w:hRule="atLeast"/>
        </w:trPr>
        <w:tc>
          <w:tcPr>
            <w:tcW w:w="6025" w:type="dxa"/>
            <w:tcBorders>
              <w:top w:val="single" w:sz="8" w:space="0" w:color="4F81BC"/>
              <w:bottom w:val="single" w:sz="8" w:space="0" w:color="4F81BC"/>
            </w:tcBorders>
          </w:tcPr>
          <w:p>
            <w:pPr>
              <w:pStyle w:val="TableParagraph"/>
              <w:spacing w:before="0"/>
              <w:jc w:val="left"/>
              <w:rPr>
                <w:rFonts w:ascii="Times New Roman"/>
                <w:sz w:val="20"/>
              </w:rPr>
            </w:pPr>
          </w:p>
        </w:tc>
        <w:tc>
          <w:tcPr>
            <w:tcW w:w="1178" w:type="dxa"/>
            <w:tcBorders>
              <w:top w:val="single" w:sz="8" w:space="0" w:color="4F81BC"/>
              <w:bottom w:val="single" w:sz="8" w:space="0" w:color="4F81BC"/>
            </w:tcBorders>
          </w:tcPr>
          <w:p>
            <w:pPr>
              <w:pStyle w:val="TableParagraph"/>
              <w:spacing w:line="243" w:lineRule="exact" w:before="1"/>
              <w:ind w:left="26"/>
              <w:jc w:val="left"/>
              <w:rPr>
                <w:b/>
                <w:sz w:val="20"/>
              </w:rPr>
            </w:pPr>
            <w:r>
              <w:rPr>
                <w:b/>
                <w:sz w:val="20"/>
              </w:rPr>
              <w:t>Headcount</w:t>
            </w:r>
          </w:p>
          <w:p>
            <w:pPr>
              <w:pStyle w:val="TableParagraph"/>
              <w:spacing w:line="224" w:lineRule="exact" w:before="0"/>
              <w:ind w:left="139"/>
              <w:jc w:val="left"/>
              <w:rPr>
                <w:b/>
                <w:sz w:val="20"/>
              </w:rPr>
            </w:pPr>
            <w:r>
              <w:rPr>
                <w:b/>
                <w:sz w:val="20"/>
              </w:rPr>
              <w:t>Jun</w:t>
            </w:r>
            <w:r>
              <w:rPr>
                <w:b/>
                <w:spacing w:val="-7"/>
                <w:sz w:val="20"/>
              </w:rPr>
              <w:t> </w:t>
            </w:r>
            <w:r>
              <w:rPr>
                <w:b/>
                <w:sz w:val="20"/>
              </w:rPr>
              <w:t>2011</w:t>
            </w:r>
            <w:r>
              <w:rPr>
                <w:b/>
                <w:sz w:val="20"/>
                <w:vertAlign w:val="superscript"/>
              </w:rPr>
              <w:t>2</w:t>
            </w:r>
          </w:p>
        </w:tc>
        <w:tc>
          <w:tcPr>
            <w:tcW w:w="1295" w:type="dxa"/>
            <w:tcBorders>
              <w:top w:val="single" w:sz="8" w:space="0" w:color="4F81BC"/>
              <w:bottom w:val="single" w:sz="8" w:space="0" w:color="4F81BC"/>
            </w:tcBorders>
          </w:tcPr>
          <w:p>
            <w:pPr>
              <w:pStyle w:val="TableParagraph"/>
              <w:spacing w:line="243" w:lineRule="exact" w:before="1"/>
              <w:ind w:left="341"/>
              <w:jc w:val="left"/>
              <w:rPr>
                <w:b/>
                <w:sz w:val="20"/>
              </w:rPr>
            </w:pPr>
            <w:r>
              <w:rPr>
                <w:b/>
                <w:sz w:val="20"/>
              </w:rPr>
              <w:t>Paid</w:t>
            </w:r>
            <w:r>
              <w:rPr>
                <w:b/>
                <w:spacing w:val="-5"/>
                <w:sz w:val="20"/>
              </w:rPr>
              <w:t> </w:t>
            </w:r>
            <w:r>
              <w:rPr>
                <w:b/>
                <w:sz w:val="20"/>
              </w:rPr>
              <w:t>FTE</w:t>
            </w:r>
          </w:p>
          <w:p>
            <w:pPr>
              <w:pStyle w:val="TableParagraph"/>
              <w:spacing w:line="224" w:lineRule="exact" w:before="0"/>
              <w:ind w:left="238"/>
              <w:jc w:val="left"/>
              <w:rPr>
                <w:b/>
                <w:sz w:val="20"/>
              </w:rPr>
            </w:pPr>
            <w:r>
              <w:rPr>
                <w:b/>
                <w:sz w:val="20"/>
              </w:rPr>
              <w:t>Jun</w:t>
            </w:r>
            <w:r>
              <w:rPr>
                <w:b/>
                <w:spacing w:val="-8"/>
                <w:sz w:val="20"/>
              </w:rPr>
              <w:t> </w:t>
            </w:r>
            <w:r>
              <w:rPr>
                <w:b/>
                <w:sz w:val="20"/>
              </w:rPr>
              <w:t>2011</w:t>
            </w:r>
            <w:r>
              <w:rPr>
                <w:b/>
                <w:sz w:val="20"/>
                <w:vertAlign w:val="superscript"/>
              </w:rPr>
              <w:t>3</w:t>
            </w:r>
          </w:p>
        </w:tc>
        <w:tc>
          <w:tcPr>
            <w:tcW w:w="1126" w:type="dxa"/>
            <w:tcBorders>
              <w:top w:val="single" w:sz="8" w:space="0" w:color="4F81BC"/>
              <w:bottom w:val="single" w:sz="8" w:space="0" w:color="4F81BC"/>
            </w:tcBorders>
          </w:tcPr>
          <w:p>
            <w:pPr>
              <w:pStyle w:val="TableParagraph"/>
              <w:spacing w:line="243" w:lineRule="exact" w:before="1"/>
              <w:ind w:left="338"/>
              <w:jc w:val="left"/>
              <w:rPr>
                <w:b/>
                <w:sz w:val="20"/>
              </w:rPr>
            </w:pPr>
            <w:r>
              <w:rPr>
                <w:b/>
                <w:sz w:val="20"/>
              </w:rPr>
              <w:t>Average</w:t>
            </w:r>
          </w:p>
          <w:p>
            <w:pPr>
              <w:pStyle w:val="TableParagraph"/>
              <w:spacing w:line="224" w:lineRule="exact" w:before="0"/>
              <w:ind w:left="256"/>
              <w:jc w:val="left"/>
              <w:rPr>
                <w:b/>
                <w:sz w:val="20"/>
              </w:rPr>
            </w:pPr>
            <w:r>
              <w:rPr>
                <w:b/>
                <w:sz w:val="20"/>
              </w:rPr>
              <w:t>Paid</w:t>
            </w:r>
            <w:r>
              <w:rPr>
                <w:b/>
                <w:spacing w:val="-6"/>
                <w:sz w:val="20"/>
              </w:rPr>
              <w:t> </w:t>
            </w:r>
            <w:r>
              <w:rPr>
                <w:b/>
                <w:sz w:val="20"/>
              </w:rPr>
              <w:t>FTE</w:t>
            </w:r>
            <w:r>
              <w:rPr>
                <w:b/>
                <w:sz w:val="20"/>
                <w:vertAlign w:val="superscript"/>
              </w:rPr>
              <w:t>4</w:t>
            </w:r>
          </w:p>
        </w:tc>
      </w:tr>
      <w:tr>
        <w:trPr>
          <w:trHeight w:val="316" w:hRule="atLeast"/>
        </w:trPr>
        <w:tc>
          <w:tcPr>
            <w:tcW w:w="6025" w:type="dxa"/>
            <w:tcBorders>
              <w:top w:val="single" w:sz="8" w:space="0" w:color="4F81BC"/>
            </w:tcBorders>
            <w:shd w:val="clear" w:color="auto" w:fill="D2DFED"/>
          </w:tcPr>
          <w:p>
            <w:pPr>
              <w:pStyle w:val="TableParagraph"/>
              <w:spacing w:before="34"/>
              <w:ind w:left="122"/>
              <w:jc w:val="left"/>
              <w:rPr>
                <w:b/>
                <w:sz w:val="20"/>
              </w:rPr>
            </w:pPr>
            <w:r>
              <w:rPr>
                <w:b/>
                <w:sz w:val="20"/>
              </w:rPr>
              <w:t>Water Corporation</w:t>
            </w:r>
          </w:p>
        </w:tc>
        <w:tc>
          <w:tcPr>
            <w:tcW w:w="1178" w:type="dxa"/>
            <w:tcBorders>
              <w:top w:val="single" w:sz="8" w:space="0" w:color="4F81BC"/>
            </w:tcBorders>
            <w:shd w:val="clear" w:color="auto" w:fill="D2DFED"/>
          </w:tcPr>
          <w:p>
            <w:pPr>
              <w:pStyle w:val="TableParagraph"/>
              <w:spacing w:before="20"/>
              <w:ind w:right="238"/>
              <w:rPr>
                <w:sz w:val="22"/>
              </w:rPr>
            </w:pPr>
            <w:r>
              <w:rPr>
                <w:sz w:val="22"/>
              </w:rPr>
              <w:t>3,015</w:t>
            </w:r>
          </w:p>
        </w:tc>
        <w:tc>
          <w:tcPr>
            <w:tcW w:w="1295" w:type="dxa"/>
            <w:tcBorders>
              <w:top w:val="single" w:sz="8" w:space="0" w:color="4F81BC"/>
            </w:tcBorders>
            <w:shd w:val="clear" w:color="auto" w:fill="D2DFED"/>
          </w:tcPr>
          <w:p>
            <w:pPr>
              <w:pStyle w:val="TableParagraph"/>
              <w:spacing w:before="20"/>
              <w:ind w:right="256"/>
              <w:rPr>
                <w:sz w:val="22"/>
              </w:rPr>
            </w:pPr>
            <w:r>
              <w:rPr>
                <w:sz w:val="22"/>
              </w:rPr>
              <w:t>2,878</w:t>
            </w:r>
          </w:p>
        </w:tc>
        <w:tc>
          <w:tcPr>
            <w:tcW w:w="1126" w:type="dxa"/>
            <w:tcBorders>
              <w:top w:val="single" w:sz="8" w:space="0" w:color="4F81BC"/>
            </w:tcBorders>
            <w:shd w:val="clear" w:color="auto" w:fill="D2DFED"/>
          </w:tcPr>
          <w:p>
            <w:pPr>
              <w:pStyle w:val="TableParagraph"/>
              <w:spacing w:before="20"/>
              <w:ind w:right="105"/>
              <w:rPr>
                <w:sz w:val="22"/>
              </w:rPr>
            </w:pPr>
            <w:r>
              <w:rPr>
                <w:sz w:val="22"/>
              </w:rPr>
              <w:t>2,919</w:t>
            </w:r>
          </w:p>
        </w:tc>
      </w:tr>
      <w:tr>
        <w:trPr>
          <w:trHeight w:val="300" w:hRule="atLeast"/>
        </w:trPr>
        <w:tc>
          <w:tcPr>
            <w:tcW w:w="6025" w:type="dxa"/>
          </w:tcPr>
          <w:p>
            <w:pPr>
              <w:pStyle w:val="TableParagraph"/>
              <w:spacing w:before="25"/>
              <w:ind w:left="122"/>
              <w:jc w:val="left"/>
              <w:rPr>
                <w:b/>
                <w:sz w:val="20"/>
              </w:rPr>
            </w:pPr>
            <w:r>
              <w:rPr>
                <w:b/>
                <w:sz w:val="20"/>
              </w:rPr>
              <w:t>Electricity Networks Corporation (Western Power)</w:t>
            </w:r>
          </w:p>
        </w:tc>
        <w:tc>
          <w:tcPr>
            <w:tcW w:w="1178" w:type="dxa"/>
          </w:tcPr>
          <w:p>
            <w:pPr>
              <w:pStyle w:val="TableParagraph"/>
              <w:ind w:right="238"/>
              <w:rPr>
                <w:sz w:val="22"/>
              </w:rPr>
            </w:pPr>
            <w:r>
              <w:rPr>
                <w:sz w:val="22"/>
              </w:rPr>
              <w:t>3,001</w:t>
            </w:r>
          </w:p>
        </w:tc>
        <w:tc>
          <w:tcPr>
            <w:tcW w:w="1295" w:type="dxa"/>
          </w:tcPr>
          <w:p>
            <w:pPr>
              <w:pStyle w:val="TableParagraph"/>
              <w:ind w:right="256"/>
              <w:rPr>
                <w:sz w:val="22"/>
              </w:rPr>
            </w:pPr>
            <w:r>
              <w:rPr>
                <w:sz w:val="22"/>
              </w:rPr>
              <w:t>2,961</w:t>
            </w:r>
          </w:p>
        </w:tc>
        <w:tc>
          <w:tcPr>
            <w:tcW w:w="1126" w:type="dxa"/>
          </w:tcPr>
          <w:p>
            <w:pPr>
              <w:pStyle w:val="TableParagraph"/>
              <w:ind w:right="105"/>
              <w:rPr>
                <w:sz w:val="22"/>
              </w:rPr>
            </w:pPr>
            <w:r>
              <w:rPr>
                <w:sz w:val="22"/>
              </w:rPr>
              <w:t>2,949</w:t>
            </w:r>
          </w:p>
        </w:tc>
      </w:tr>
      <w:tr>
        <w:trPr>
          <w:trHeight w:val="300" w:hRule="atLeast"/>
        </w:trPr>
        <w:tc>
          <w:tcPr>
            <w:tcW w:w="6025" w:type="dxa"/>
            <w:shd w:val="clear" w:color="auto" w:fill="D2DFED"/>
          </w:tcPr>
          <w:p>
            <w:pPr>
              <w:pStyle w:val="TableParagraph"/>
              <w:spacing w:before="25"/>
              <w:ind w:left="122"/>
              <w:jc w:val="left"/>
              <w:rPr>
                <w:b/>
                <w:sz w:val="20"/>
              </w:rPr>
            </w:pPr>
            <w:r>
              <w:rPr>
                <w:b/>
                <w:sz w:val="20"/>
              </w:rPr>
              <w:t>Public Transport Authority of Western Australia</w:t>
            </w:r>
          </w:p>
        </w:tc>
        <w:tc>
          <w:tcPr>
            <w:tcW w:w="1178" w:type="dxa"/>
            <w:shd w:val="clear" w:color="auto" w:fill="D2DFED"/>
          </w:tcPr>
          <w:p>
            <w:pPr>
              <w:pStyle w:val="TableParagraph"/>
              <w:ind w:right="238"/>
              <w:rPr>
                <w:sz w:val="22"/>
              </w:rPr>
            </w:pPr>
            <w:r>
              <w:rPr>
                <w:sz w:val="22"/>
              </w:rPr>
              <w:t>1,465</w:t>
            </w:r>
          </w:p>
        </w:tc>
        <w:tc>
          <w:tcPr>
            <w:tcW w:w="1295" w:type="dxa"/>
            <w:shd w:val="clear" w:color="auto" w:fill="D2DFED"/>
          </w:tcPr>
          <w:p>
            <w:pPr>
              <w:pStyle w:val="TableParagraph"/>
              <w:ind w:right="256"/>
              <w:rPr>
                <w:sz w:val="22"/>
              </w:rPr>
            </w:pPr>
            <w:r>
              <w:rPr>
                <w:sz w:val="22"/>
              </w:rPr>
              <w:t>1,408</w:t>
            </w:r>
          </w:p>
        </w:tc>
        <w:tc>
          <w:tcPr>
            <w:tcW w:w="1126" w:type="dxa"/>
            <w:shd w:val="clear" w:color="auto" w:fill="D2DFED"/>
          </w:tcPr>
          <w:p>
            <w:pPr>
              <w:pStyle w:val="TableParagraph"/>
              <w:ind w:right="105"/>
              <w:rPr>
                <w:sz w:val="22"/>
              </w:rPr>
            </w:pPr>
            <w:r>
              <w:rPr>
                <w:sz w:val="22"/>
              </w:rPr>
              <w:t>1,394</w:t>
            </w:r>
          </w:p>
        </w:tc>
      </w:tr>
      <w:tr>
        <w:trPr>
          <w:trHeight w:val="300" w:hRule="atLeast"/>
        </w:trPr>
        <w:tc>
          <w:tcPr>
            <w:tcW w:w="6025" w:type="dxa"/>
          </w:tcPr>
          <w:p>
            <w:pPr>
              <w:pStyle w:val="TableParagraph"/>
              <w:spacing w:before="25"/>
              <w:ind w:left="122"/>
              <w:jc w:val="left"/>
              <w:rPr>
                <w:b/>
                <w:sz w:val="20"/>
              </w:rPr>
            </w:pPr>
            <w:r>
              <w:rPr>
                <w:b/>
                <w:sz w:val="20"/>
              </w:rPr>
              <w:t>Department of Housing</w:t>
            </w:r>
          </w:p>
        </w:tc>
        <w:tc>
          <w:tcPr>
            <w:tcW w:w="1178" w:type="dxa"/>
          </w:tcPr>
          <w:p>
            <w:pPr>
              <w:pStyle w:val="TableParagraph"/>
              <w:ind w:right="238"/>
              <w:rPr>
                <w:sz w:val="22"/>
              </w:rPr>
            </w:pPr>
            <w:r>
              <w:rPr>
                <w:sz w:val="22"/>
              </w:rPr>
              <w:t>1,343</w:t>
            </w:r>
          </w:p>
        </w:tc>
        <w:tc>
          <w:tcPr>
            <w:tcW w:w="1295" w:type="dxa"/>
          </w:tcPr>
          <w:p>
            <w:pPr>
              <w:pStyle w:val="TableParagraph"/>
              <w:ind w:right="256"/>
              <w:rPr>
                <w:sz w:val="22"/>
              </w:rPr>
            </w:pPr>
            <w:r>
              <w:rPr>
                <w:sz w:val="22"/>
              </w:rPr>
              <w:t>1,215</w:t>
            </w:r>
          </w:p>
        </w:tc>
        <w:tc>
          <w:tcPr>
            <w:tcW w:w="1126" w:type="dxa"/>
          </w:tcPr>
          <w:p>
            <w:pPr>
              <w:pStyle w:val="TableParagraph"/>
              <w:ind w:right="105"/>
              <w:rPr>
                <w:sz w:val="22"/>
              </w:rPr>
            </w:pPr>
            <w:r>
              <w:rPr>
                <w:sz w:val="22"/>
              </w:rPr>
              <w:t>1,164</w:t>
            </w:r>
          </w:p>
        </w:tc>
      </w:tr>
      <w:tr>
        <w:trPr>
          <w:trHeight w:val="300" w:hRule="atLeast"/>
        </w:trPr>
        <w:tc>
          <w:tcPr>
            <w:tcW w:w="6025" w:type="dxa"/>
            <w:shd w:val="clear" w:color="auto" w:fill="D2DFED"/>
          </w:tcPr>
          <w:p>
            <w:pPr>
              <w:pStyle w:val="TableParagraph"/>
              <w:spacing w:before="25"/>
              <w:ind w:left="122"/>
              <w:jc w:val="left"/>
              <w:rPr>
                <w:b/>
                <w:sz w:val="20"/>
              </w:rPr>
            </w:pPr>
            <w:r>
              <w:rPr>
                <w:b/>
                <w:sz w:val="20"/>
              </w:rPr>
              <w:t>Electricity Generation Corporation (Verve Energy)</w:t>
            </w:r>
          </w:p>
        </w:tc>
        <w:tc>
          <w:tcPr>
            <w:tcW w:w="1178" w:type="dxa"/>
            <w:shd w:val="clear" w:color="auto" w:fill="D2DFED"/>
          </w:tcPr>
          <w:p>
            <w:pPr>
              <w:pStyle w:val="TableParagraph"/>
              <w:ind w:right="238"/>
              <w:rPr>
                <w:sz w:val="22"/>
              </w:rPr>
            </w:pPr>
            <w:r>
              <w:rPr>
                <w:sz w:val="22"/>
              </w:rPr>
              <w:t>622</w:t>
            </w:r>
          </w:p>
        </w:tc>
        <w:tc>
          <w:tcPr>
            <w:tcW w:w="1295" w:type="dxa"/>
            <w:shd w:val="clear" w:color="auto" w:fill="D2DFED"/>
          </w:tcPr>
          <w:p>
            <w:pPr>
              <w:pStyle w:val="TableParagraph"/>
              <w:ind w:right="256"/>
              <w:rPr>
                <w:sz w:val="22"/>
              </w:rPr>
            </w:pPr>
            <w:r>
              <w:rPr>
                <w:sz w:val="22"/>
              </w:rPr>
              <w:t>604</w:t>
            </w:r>
          </w:p>
        </w:tc>
        <w:tc>
          <w:tcPr>
            <w:tcW w:w="1126" w:type="dxa"/>
            <w:shd w:val="clear" w:color="auto" w:fill="D2DFED"/>
          </w:tcPr>
          <w:p>
            <w:pPr>
              <w:pStyle w:val="TableParagraph"/>
              <w:ind w:right="105"/>
              <w:rPr>
                <w:sz w:val="22"/>
              </w:rPr>
            </w:pPr>
            <w:r>
              <w:rPr>
                <w:sz w:val="22"/>
              </w:rPr>
              <w:t>599</w:t>
            </w:r>
          </w:p>
        </w:tc>
      </w:tr>
      <w:tr>
        <w:trPr>
          <w:trHeight w:val="300" w:hRule="atLeast"/>
        </w:trPr>
        <w:tc>
          <w:tcPr>
            <w:tcW w:w="6025" w:type="dxa"/>
          </w:tcPr>
          <w:p>
            <w:pPr>
              <w:pStyle w:val="TableParagraph"/>
              <w:spacing w:before="25"/>
              <w:ind w:left="122"/>
              <w:jc w:val="left"/>
              <w:rPr>
                <w:b/>
                <w:sz w:val="20"/>
              </w:rPr>
            </w:pPr>
            <w:r>
              <w:rPr>
                <w:b/>
                <w:sz w:val="20"/>
              </w:rPr>
              <w:t>Racing and Wagering WA</w:t>
            </w:r>
          </w:p>
        </w:tc>
        <w:tc>
          <w:tcPr>
            <w:tcW w:w="1178" w:type="dxa"/>
          </w:tcPr>
          <w:p>
            <w:pPr>
              <w:pStyle w:val="TableParagraph"/>
              <w:ind w:right="238"/>
              <w:rPr>
                <w:sz w:val="22"/>
              </w:rPr>
            </w:pPr>
            <w:r>
              <w:rPr>
                <w:sz w:val="22"/>
              </w:rPr>
              <w:t>501</w:t>
            </w:r>
          </w:p>
        </w:tc>
        <w:tc>
          <w:tcPr>
            <w:tcW w:w="1295" w:type="dxa"/>
          </w:tcPr>
          <w:p>
            <w:pPr>
              <w:pStyle w:val="TableParagraph"/>
              <w:ind w:right="256"/>
              <w:rPr>
                <w:sz w:val="22"/>
              </w:rPr>
            </w:pPr>
            <w:r>
              <w:rPr>
                <w:sz w:val="22"/>
              </w:rPr>
              <w:t>362</w:t>
            </w:r>
          </w:p>
        </w:tc>
        <w:tc>
          <w:tcPr>
            <w:tcW w:w="1126" w:type="dxa"/>
          </w:tcPr>
          <w:p>
            <w:pPr>
              <w:pStyle w:val="TableParagraph"/>
              <w:ind w:right="105"/>
              <w:rPr>
                <w:sz w:val="22"/>
              </w:rPr>
            </w:pPr>
            <w:r>
              <w:rPr>
                <w:sz w:val="22"/>
              </w:rPr>
              <w:t>371</w:t>
            </w:r>
          </w:p>
        </w:tc>
      </w:tr>
      <w:tr>
        <w:trPr>
          <w:trHeight w:val="300" w:hRule="atLeast"/>
        </w:trPr>
        <w:tc>
          <w:tcPr>
            <w:tcW w:w="6025" w:type="dxa"/>
            <w:shd w:val="clear" w:color="auto" w:fill="D2DFED"/>
          </w:tcPr>
          <w:p>
            <w:pPr>
              <w:pStyle w:val="TableParagraph"/>
              <w:spacing w:before="25"/>
              <w:ind w:left="122"/>
              <w:jc w:val="left"/>
              <w:rPr>
                <w:b/>
                <w:sz w:val="20"/>
              </w:rPr>
            </w:pPr>
            <w:r>
              <w:rPr>
                <w:b/>
                <w:sz w:val="20"/>
              </w:rPr>
              <w:t>Regional Power Corporation (Horizon Power)</w:t>
            </w:r>
          </w:p>
        </w:tc>
        <w:tc>
          <w:tcPr>
            <w:tcW w:w="1178" w:type="dxa"/>
            <w:shd w:val="clear" w:color="auto" w:fill="D2DFED"/>
          </w:tcPr>
          <w:p>
            <w:pPr>
              <w:pStyle w:val="TableParagraph"/>
              <w:ind w:right="238"/>
              <w:rPr>
                <w:sz w:val="22"/>
              </w:rPr>
            </w:pPr>
            <w:r>
              <w:rPr>
                <w:sz w:val="22"/>
              </w:rPr>
              <w:t>392</w:t>
            </w:r>
          </w:p>
        </w:tc>
        <w:tc>
          <w:tcPr>
            <w:tcW w:w="1295" w:type="dxa"/>
            <w:shd w:val="clear" w:color="auto" w:fill="D2DFED"/>
          </w:tcPr>
          <w:p>
            <w:pPr>
              <w:pStyle w:val="TableParagraph"/>
              <w:ind w:right="256"/>
              <w:rPr>
                <w:sz w:val="22"/>
              </w:rPr>
            </w:pPr>
            <w:r>
              <w:rPr>
                <w:sz w:val="22"/>
              </w:rPr>
              <w:t>386</w:t>
            </w:r>
          </w:p>
        </w:tc>
        <w:tc>
          <w:tcPr>
            <w:tcW w:w="1126" w:type="dxa"/>
            <w:shd w:val="clear" w:color="auto" w:fill="D2DFED"/>
          </w:tcPr>
          <w:p>
            <w:pPr>
              <w:pStyle w:val="TableParagraph"/>
              <w:ind w:right="105"/>
              <w:rPr>
                <w:sz w:val="22"/>
              </w:rPr>
            </w:pPr>
            <w:r>
              <w:rPr>
                <w:sz w:val="22"/>
              </w:rPr>
              <w:t>394</w:t>
            </w:r>
          </w:p>
        </w:tc>
      </w:tr>
      <w:tr>
        <w:trPr>
          <w:trHeight w:val="299" w:hRule="atLeast"/>
        </w:trPr>
        <w:tc>
          <w:tcPr>
            <w:tcW w:w="6025" w:type="dxa"/>
          </w:tcPr>
          <w:p>
            <w:pPr>
              <w:pStyle w:val="TableParagraph"/>
              <w:spacing w:before="25"/>
              <w:ind w:left="122"/>
              <w:jc w:val="left"/>
              <w:rPr>
                <w:b/>
                <w:sz w:val="20"/>
              </w:rPr>
            </w:pPr>
            <w:r>
              <w:rPr>
                <w:b/>
                <w:sz w:val="20"/>
              </w:rPr>
              <w:t>Insurance Commission of Western Australia</w:t>
            </w:r>
          </w:p>
        </w:tc>
        <w:tc>
          <w:tcPr>
            <w:tcW w:w="1178" w:type="dxa"/>
          </w:tcPr>
          <w:p>
            <w:pPr>
              <w:pStyle w:val="TableParagraph"/>
              <w:ind w:right="238"/>
              <w:rPr>
                <w:sz w:val="22"/>
              </w:rPr>
            </w:pPr>
            <w:r>
              <w:rPr>
                <w:sz w:val="22"/>
              </w:rPr>
              <w:t>380</w:t>
            </w:r>
          </w:p>
        </w:tc>
        <w:tc>
          <w:tcPr>
            <w:tcW w:w="1295" w:type="dxa"/>
          </w:tcPr>
          <w:p>
            <w:pPr>
              <w:pStyle w:val="TableParagraph"/>
              <w:ind w:right="256"/>
              <w:rPr>
                <w:sz w:val="22"/>
              </w:rPr>
            </w:pPr>
            <w:r>
              <w:rPr>
                <w:sz w:val="22"/>
              </w:rPr>
              <w:t>349</w:t>
            </w:r>
          </w:p>
        </w:tc>
        <w:tc>
          <w:tcPr>
            <w:tcW w:w="1126" w:type="dxa"/>
          </w:tcPr>
          <w:p>
            <w:pPr>
              <w:pStyle w:val="TableParagraph"/>
              <w:ind w:right="105"/>
              <w:rPr>
                <w:sz w:val="22"/>
              </w:rPr>
            </w:pPr>
            <w:r>
              <w:rPr>
                <w:sz w:val="22"/>
              </w:rPr>
              <w:t>348</w:t>
            </w:r>
          </w:p>
        </w:tc>
      </w:tr>
      <w:tr>
        <w:trPr>
          <w:trHeight w:val="300" w:hRule="atLeast"/>
        </w:trPr>
        <w:tc>
          <w:tcPr>
            <w:tcW w:w="6025" w:type="dxa"/>
            <w:shd w:val="clear" w:color="auto" w:fill="D2DFED"/>
          </w:tcPr>
          <w:p>
            <w:pPr>
              <w:pStyle w:val="TableParagraph"/>
              <w:spacing w:before="25"/>
              <w:ind w:left="122"/>
              <w:jc w:val="left"/>
              <w:rPr>
                <w:b/>
                <w:sz w:val="20"/>
              </w:rPr>
            </w:pPr>
            <w:r>
              <w:rPr>
                <w:b/>
                <w:sz w:val="20"/>
              </w:rPr>
              <w:t>Electricity Retail Corporation (Synergy)</w:t>
            </w:r>
          </w:p>
        </w:tc>
        <w:tc>
          <w:tcPr>
            <w:tcW w:w="1178" w:type="dxa"/>
            <w:shd w:val="clear" w:color="auto" w:fill="D2DFED"/>
          </w:tcPr>
          <w:p>
            <w:pPr>
              <w:pStyle w:val="TableParagraph"/>
              <w:ind w:right="238"/>
              <w:rPr>
                <w:sz w:val="22"/>
              </w:rPr>
            </w:pPr>
            <w:r>
              <w:rPr>
                <w:sz w:val="22"/>
              </w:rPr>
              <w:t>391</w:t>
            </w:r>
          </w:p>
        </w:tc>
        <w:tc>
          <w:tcPr>
            <w:tcW w:w="1295" w:type="dxa"/>
            <w:shd w:val="clear" w:color="auto" w:fill="D2DFED"/>
          </w:tcPr>
          <w:p>
            <w:pPr>
              <w:pStyle w:val="TableParagraph"/>
              <w:ind w:right="256"/>
              <w:rPr>
                <w:sz w:val="22"/>
              </w:rPr>
            </w:pPr>
            <w:r>
              <w:rPr>
                <w:sz w:val="22"/>
              </w:rPr>
              <w:t>375</w:t>
            </w:r>
          </w:p>
        </w:tc>
        <w:tc>
          <w:tcPr>
            <w:tcW w:w="1126" w:type="dxa"/>
            <w:shd w:val="clear" w:color="auto" w:fill="D2DFED"/>
          </w:tcPr>
          <w:p>
            <w:pPr>
              <w:pStyle w:val="TableParagraph"/>
              <w:ind w:right="105"/>
              <w:rPr>
                <w:sz w:val="22"/>
              </w:rPr>
            </w:pPr>
            <w:r>
              <w:rPr>
                <w:sz w:val="22"/>
              </w:rPr>
              <w:t>351</w:t>
            </w:r>
          </w:p>
        </w:tc>
      </w:tr>
      <w:tr>
        <w:trPr>
          <w:trHeight w:val="299" w:hRule="atLeast"/>
        </w:trPr>
        <w:tc>
          <w:tcPr>
            <w:tcW w:w="6025" w:type="dxa"/>
          </w:tcPr>
          <w:p>
            <w:pPr>
              <w:pStyle w:val="TableParagraph"/>
              <w:spacing w:before="25"/>
              <w:ind w:left="122"/>
              <w:jc w:val="left"/>
              <w:rPr>
                <w:b/>
                <w:sz w:val="20"/>
              </w:rPr>
            </w:pPr>
            <w:r>
              <w:rPr>
                <w:b/>
                <w:sz w:val="20"/>
              </w:rPr>
              <w:t>Gold Corporation</w:t>
            </w:r>
          </w:p>
        </w:tc>
        <w:tc>
          <w:tcPr>
            <w:tcW w:w="1178" w:type="dxa"/>
          </w:tcPr>
          <w:p>
            <w:pPr>
              <w:pStyle w:val="TableParagraph"/>
              <w:ind w:right="238"/>
              <w:rPr>
                <w:sz w:val="22"/>
              </w:rPr>
            </w:pPr>
            <w:r>
              <w:rPr>
                <w:sz w:val="22"/>
              </w:rPr>
              <w:t>363</w:t>
            </w:r>
          </w:p>
        </w:tc>
        <w:tc>
          <w:tcPr>
            <w:tcW w:w="1295" w:type="dxa"/>
          </w:tcPr>
          <w:p>
            <w:pPr>
              <w:pStyle w:val="TableParagraph"/>
              <w:ind w:right="256"/>
              <w:rPr>
                <w:sz w:val="22"/>
              </w:rPr>
            </w:pPr>
            <w:r>
              <w:rPr>
                <w:sz w:val="22"/>
              </w:rPr>
              <w:t>332</w:t>
            </w:r>
          </w:p>
        </w:tc>
        <w:tc>
          <w:tcPr>
            <w:tcW w:w="1126" w:type="dxa"/>
          </w:tcPr>
          <w:p>
            <w:pPr>
              <w:pStyle w:val="TableParagraph"/>
              <w:ind w:right="105"/>
              <w:rPr>
                <w:sz w:val="22"/>
              </w:rPr>
            </w:pPr>
            <w:r>
              <w:rPr>
                <w:sz w:val="22"/>
              </w:rPr>
              <w:t>340</w:t>
            </w:r>
          </w:p>
        </w:tc>
      </w:tr>
      <w:tr>
        <w:trPr>
          <w:trHeight w:val="300" w:hRule="atLeast"/>
        </w:trPr>
        <w:tc>
          <w:tcPr>
            <w:tcW w:w="6025" w:type="dxa"/>
            <w:shd w:val="clear" w:color="auto" w:fill="D2DFED"/>
          </w:tcPr>
          <w:p>
            <w:pPr>
              <w:pStyle w:val="TableParagraph"/>
              <w:spacing w:before="25"/>
              <w:ind w:left="122"/>
              <w:jc w:val="left"/>
              <w:rPr>
                <w:b/>
                <w:sz w:val="20"/>
              </w:rPr>
            </w:pPr>
            <w:r>
              <w:rPr>
                <w:b/>
                <w:sz w:val="20"/>
              </w:rPr>
              <w:t>Legal Aid Commission of Western Australia</w:t>
            </w:r>
          </w:p>
        </w:tc>
        <w:tc>
          <w:tcPr>
            <w:tcW w:w="1178" w:type="dxa"/>
            <w:shd w:val="clear" w:color="auto" w:fill="D2DFED"/>
          </w:tcPr>
          <w:p>
            <w:pPr>
              <w:pStyle w:val="TableParagraph"/>
              <w:ind w:right="238"/>
              <w:rPr>
                <w:sz w:val="22"/>
              </w:rPr>
            </w:pPr>
            <w:r>
              <w:rPr>
                <w:sz w:val="22"/>
              </w:rPr>
              <w:t>328</w:t>
            </w:r>
          </w:p>
        </w:tc>
        <w:tc>
          <w:tcPr>
            <w:tcW w:w="1295" w:type="dxa"/>
            <w:shd w:val="clear" w:color="auto" w:fill="D2DFED"/>
          </w:tcPr>
          <w:p>
            <w:pPr>
              <w:pStyle w:val="TableParagraph"/>
              <w:ind w:right="256"/>
              <w:rPr>
                <w:sz w:val="22"/>
              </w:rPr>
            </w:pPr>
            <w:r>
              <w:rPr>
                <w:sz w:val="22"/>
              </w:rPr>
              <w:t>289</w:t>
            </w:r>
          </w:p>
        </w:tc>
        <w:tc>
          <w:tcPr>
            <w:tcW w:w="1126" w:type="dxa"/>
            <w:shd w:val="clear" w:color="auto" w:fill="D2DFED"/>
          </w:tcPr>
          <w:p>
            <w:pPr>
              <w:pStyle w:val="TableParagraph"/>
              <w:ind w:right="105"/>
              <w:rPr>
                <w:sz w:val="22"/>
              </w:rPr>
            </w:pPr>
            <w:r>
              <w:rPr>
                <w:sz w:val="22"/>
              </w:rPr>
              <w:t>284</w:t>
            </w:r>
          </w:p>
        </w:tc>
      </w:tr>
      <w:tr>
        <w:trPr>
          <w:trHeight w:val="300" w:hRule="atLeast"/>
        </w:trPr>
        <w:tc>
          <w:tcPr>
            <w:tcW w:w="6025" w:type="dxa"/>
          </w:tcPr>
          <w:p>
            <w:pPr>
              <w:pStyle w:val="TableParagraph"/>
              <w:spacing w:before="25"/>
              <w:ind w:left="122"/>
              <w:jc w:val="left"/>
              <w:rPr>
                <w:b/>
                <w:sz w:val="20"/>
              </w:rPr>
            </w:pPr>
            <w:r>
              <w:rPr>
                <w:b/>
                <w:sz w:val="20"/>
              </w:rPr>
              <w:t>Fremantle Port Authority</w:t>
            </w:r>
          </w:p>
        </w:tc>
        <w:tc>
          <w:tcPr>
            <w:tcW w:w="1178" w:type="dxa"/>
          </w:tcPr>
          <w:p>
            <w:pPr>
              <w:pStyle w:val="TableParagraph"/>
              <w:ind w:right="238"/>
              <w:rPr>
                <w:sz w:val="22"/>
              </w:rPr>
            </w:pPr>
            <w:r>
              <w:rPr>
                <w:sz w:val="22"/>
              </w:rPr>
              <w:t>329</w:t>
            </w:r>
          </w:p>
        </w:tc>
        <w:tc>
          <w:tcPr>
            <w:tcW w:w="1295" w:type="dxa"/>
          </w:tcPr>
          <w:p>
            <w:pPr>
              <w:pStyle w:val="TableParagraph"/>
              <w:ind w:right="256"/>
              <w:rPr>
                <w:sz w:val="22"/>
              </w:rPr>
            </w:pPr>
            <w:r>
              <w:rPr>
                <w:sz w:val="22"/>
              </w:rPr>
              <w:t>319</w:t>
            </w:r>
          </w:p>
        </w:tc>
        <w:tc>
          <w:tcPr>
            <w:tcW w:w="1126" w:type="dxa"/>
          </w:tcPr>
          <w:p>
            <w:pPr>
              <w:pStyle w:val="TableParagraph"/>
              <w:ind w:right="105"/>
              <w:rPr>
                <w:sz w:val="22"/>
              </w:rPr>
            </w:pPr>
            <w:r>
              <w:rPr>
                <w:sz w:val="22"/>
              </w:rPr>
              <w:t>315</w:t>
            </w:r>
          </w:p>
        </w:tc>
      </w:tr>
      <w:tr>
        <w:trPr>
          <w:trHeight w:val="300" w:hRule="atLeast"/>
        </w:trPr>
        <w:tc>
          <w:tcPr>
            <w:tcW w:w="6025" w:type="dxa"/>
            <w:shd w:val="clear" w:color="auto" w:fill="D2DFED"/>
          </w:tcPr>
          <w:p>
            <w:pPr>
              <w:pStyle w:val="TableParagraph"/>
              <w:spacing w:before="25"/>
              <w:ind w:left="122"/>
              <w:jc w:val="left"/>
              <w:rPr>
                <w:b/>
                <w:sz w:val="20"/>
              </w:rPr>
            </w:pPr>
            <w:r>
              <w:rPr>
                <w:b/>
                <w:sz w:val="20"/>
              </w:rPr>
              <w:t>Government Employees Superannuation Board (GESB)</w:t>
            </w:r>
          </w:p>
        </w:tc>
        <w:tc>
          <w:tcPr>
            <w:tcW w:w="1178" w:type="dxa"/>
            <w:shd w:val="clear" w:color="auto" w:fill="D2DFED"/>
          </w:tcPr>
          <w:p>
            <w:pPr>
              <w:pStyle w:val="TableParagraph"/>
              <w:ind w:right="238"/>
              <w:rPr>
                <w:sz w:val="22"/>
              </w:rPr>
            </w:pPr>
            <w:r>
              <w:rPr>
                <w:sz w:val="22"/>
              </w:rPr>
              <w:t>237</w:t>
            </w:r>
          </w:p>
        </w:tc>
        <w:tc>
          <w:tcPr>
            <w:tcW w:w="1295" w:type="dxa"/>
            <w:shd w:val="clear" w:color="auto" w:fill="D2DFED"/>
          </w:tcPr>
          <w:p>
            <w:pPr>
              <w:pStyle w:val="TableParagraph"/>
              <w:ind w:right="256"/>
              <w:rPr>
                <w:sz w:val="22"/>
              </w:rPr>
            </w:pPr>
            <w:r>
              <w:rPr>
                <w:sz w:val="22"/>
              </w:rPr>
              <w:t>221</w:t>
            </w:r>
          </w:p>
        </w:tc>
        <w:tc>
          <w:tcPr>
            <w:tcW w:w="1126" w:type="dxa"/>
            <w:shd w:val="clear" w:color="auto" w:fill="D2DFED"/>
          </w:tcPr>
          <w:p>
            <w:pPr>
              <w:pStyle w:val="TableParagraph"/>
              <w:ind w:right="105"/>
              <w:rPr>
                <w:sz w:val="22"/>
              </w:rPr>
            </w:pPr>
            <w:r>
              <w:rPr>
                <w:sz w:val="22"/>
              </w:rPr>
              <w:t>221</w:t>
            </w:r>
          </w:p>
        </w:tc>
      </w:tr>
      <w:tr>
        <w:trPr>
          <w:trHeight w:val="300" w:hRule="atLeast"/>
        </w:trPr>
        <w:tc>
          <w:tcPr>
            <w:tcW w:w="6025" w:type="dxa"/>
          </w:tcPr>
          <w:p>
            <w:pPr>
              <w:pStyle w:val="TableParagraph"/>
              <w:spacing w:before="25"/>
              <w:ind w:left="122"/>
              <w:jc w:val="left"/>
              <w:rPr>
                <w:b/>
                <w:sz w:val="20"/>
              </w:rPr>
            </w:pPr>
            <w:r>
              <w:rPr>
                <w:b/>
                <w:sz w:val="20"/>
              </w:rPr>
              <w:t>Western Australian Land Authority (LandCorp)</w:t>
            </w:r>
          </w:p>
        </w:tc>
        <w:tc>
          <w:tcPr>
            <w:tcW w:w="1178" w:type="dxa"/>
          </w:tcPr>
          <w:p>
            <w:pPr>
              <w:pStyle w:val="TableParagraph"/>
              <w:ind w:right="238"/>
              <w:rPr>
                <w:sz w:val="22"/>
              </w:rPr>
            </w:pPr>
            <w:r>
              <w:rPr>
                <w:sz w:val="22"/>
              </w:rPr>
              <w:t>233</w:t>
            </w:r>
          </w:p>
        </w:tc>
        <w:tc>
          <w:tcPr>
            <w:tcW w:w="1295" w:type="dxa"/>
          </w:tcPr>
          <w:p>
            <w:pPr>
              <w:pStyle w:val="TableParagraph"/>
              <w:ind w:right="256"/>
              <w:rPr>
                <w:sz w:val="22"/>
              </w:rPr>
            </w:pPr>
            <w:r>
              <w:rPr>
                <w:sz w:val="22"/>
              </w:rPr>
              <w:t>224</w:t>
            </w:r>
          </w:p>
        </w:tc>
        <w:tc>
          <w:tcPr>
            <w:tcW w:w="1126" w:type="dxa"/>
          </w:tcPr>
          <w:p>
            <w:pPr>
              <w:pStyle w:val="TableParagraph"/>
              <w:ind w:right="105"/>
              <w:rPr>
                <w:sz w:val="22"/>
              </w:rPr>
            </w:pPr>
            <w:r>
              <w:rPr>
                <w:sz w:val="22"/>
              </w:rPr>
              <w:t>212</w:t>
            </w:r>
          </w:p>
        </w:tc>
      </w:tr>
      <w:tr>
        <w:trPr>
          <w:trHeight w:val="300" w:hRule="atLeast"/>
        </w:trPr>
        <w:tc>
          <w:tcPr>
            <w:tcW w:w="6025" w:type="dxa"/>
            <w:shd w:val="clear" w:color="auto" w:fill="D2DFED"/>
          </w:tcPr>
          <w:p>
            <w:pPr>
              <w:pStyle w:val="TableParagraph"/>
              <w:spacing w:before="25"/>
              <w:ind w:left="122"/>
              <w:jc w:val="left"/>
              <w:rPr>
                <w:b/>
                <w:sz w:val="20"/>
              </w:rPr>
            </w:pPr>
            <w:r>
              <w:rPr>
                <w:b/>
                <w:sz w:val="20"/>
              </w:rPr>
              <w:t>Lotteries Commission (Lotterywest)</w:t>
            </w:r>
          </w:p>
        </w:tc>
        <w:tc>
          <w:tcPr>
            <w:tcW w:w="1178" w:type="dxa"/>
            <w:shd w:val="clear" w:color="auto" w:fill="D2DFED"/>
          </w:tcPr>
          <w:p>
            <w:pPr>
              <w:pStyle w:val="TableParagraph"/>
              <w:ind w:right="238"/>
              <w:rPr>
                <w:sz w:val="22"/>
              </w:rPr>
            </w:pPr>
            <w:r>
              <w:rPr>
                <w:sz w:val="22"/>
              </w:rPr>
              <w:t>201</w:t>
            </w:r>
          </w:p>
        </w:tc>
        <w:tc>
          <w:tcPr>
            <w:tcW w:w="1295" w:type="dxa"/>
            <w:shd w:val="clear" w:color="auto" w:fill="D2DFED"/>
          </w:tcPr>
          <w:p>
            <w:pPr>
              <w:pStyle w:val="TableParagraph"/>
              <w:ind w:right="256"/>
              <w:rPr>
                <w:sz w:val="22"/>
              </w:rPr>
            </w:pPr>
            <w:r>
              <w:rPr>
                <w:sz w:val="22"/>
              </w:rPr>
              <w:t>188</w:t>
            </w:r>
          </w:p>
        </w:tc>
        <w:tc>
          <w:tcPr>
            <w:tcW w:w="1126" w:type="dxa"/>
            <w:shd w:val="clear" w:color="auto" w:fill="D2DFED"/>
          </w:tcPr>
          <w:p>
            <w:pPr>
              <w:pStyle w:val="TableParagraph"/>
              <w:ind w:right="105"/>
              <w:rPr>
                <w:sz w:val="22"/>
              </w:rPr>
            </w:pPr>
            <w:r>
              <w:rPr>
                <w:sz w:val="22"/>
              </w:rPr>
              <w:t>193</w:t>
            </w:r>
          </w:p>
        </w:tc>
      </w:tr>
      <w:tr>
        <w:trPr>
          <w:trHeight w:val="300" w:hRule="atLeast"/>
        </w:trPr>
        <w:tc>
          <w:tcPr>
            <w:tcW w:w="6025" w:type="dxa"/>
          </w:tcPr>
          <w:p>
            <w:pPr>
              <w:pStyle w:val="TableParagraph"/>
              <w:spacing w:before="25"/>
              <w:ind w:left="122"/>
              <w:jc w:val="left"/>
              <w:rPr>
                <w:b/>
                <w:sz w:val="20"/>
              </w:rPr>
            </w:pPr>
            <w:r>
              <w:rPr>
                <w:b/>
                <w:sz w:val="20"/>
              </w:rPr>
              <w:t>Forest Products Commission</w:t>
            </w:r>
          </w:p>
        </w:tc>
        <w:tc>
          <w:tcPr>
            <w:tcW w:w="1178" w:type="dxa"/>
          </w:tcPr>
          <w:p>
            <w:pPr>
              <w:pStyle w:val="TableParagraph"/>
              <w:ind w:right="238"/>
              <w:rPr>
                <w:sz w:val="22"/>
              </w:rPr>
            </w:pPr>
            <w:r>
              <w:rPr>
                <w:sz w:val="22"/>
              </w:rPr>
              <w:t>190</w:t>
            </w:r>
          </w:p>
        </w:tc>
        <w:tc>
          <w:tcPr>
            <w:tcW w:w="1295" w:type="dxa"/>
          </w:tcPr>
          <w:p>
            <w:pPr>
              <w:pStyle w:val="TableParagraph"/>
              <w:ind w:right="256"/>
              <w:rPr>
                <w:sz w:val="22"/>
              </w:rPr>
            </w:pPr>
            <w:r>
              <w:rPr>
                <w:sz w:val="22"/>
              </w:rPr>
              <w:t>167</w:t>
            </w:r>
          </w:p>
        </w:tc>
        <w:tc>
          <w:tcPr>
            <w:tcW w:w="1126" w:type="dxa"/>
          </w:tcPr>
          <w:p>
            <w:pPr>
              <w:pStyle w:val="TableParagraph"/>
              <w:ind w:right="105"/>
              <w:rPr>
                <w:sz w:val="22"/>
              </w:rPr>
            </w:pPr>
            <w:r>
              <w:rPr>
                <w:sz w:val="22"/>
              </w:rPr>
              <w:t>172</w:t>
            </w:r>
          </w:p>
        </w:tc>
      </w:tr>
      <w:tr>
        <w:trPr>
          <w:trHeight w:val="300" w:hRule="atLeast"/>
        </w:trPr>
        <w:tc>
          <w:tcPr>
            <w:tcW w:w="6025" w:type="dxa"/>
            <w:shd w:val="clear" w:color="auto" w:fill="D2DFED"/>
          </w:tcPr>
          <w:p>
            <w:pPr>
              <w:pStyle w:val="TableParagraph"/>
              <w:spacing w:before="25"/>
              <w:ind w:left="122"/>
              <w:jc w:val="left"/>
              <w:rPr>
                <w:b/>
                <w:sz w:val="20"/>
              </w:rPr>
            </w:pPr>
            <w:r>
              <w:rPr>
                <w:b/>
                <w:sz w:val="20"/>
              </w:rPr>
              <w:t>WorkCover Western Australia Authority</w:t>
            </w:r>
          </w:p>
        </w:tc>
        <w:tc>
          <w:tcPr>
            <w:tcW w:w="1178" w:type="dxa"/>
            <w:shd w:val="clear" w:color="auto" w:fill="D2DFED"/>
          </w:tcPr>
          <w:p>
            <w:pPr>
              <w:pStyle w:val="TableParagraph"/>
              <w:ind w:right="238"/>
              <w:rPr>
                <w:sz w:val="22"/>
              </w:rPr>
            </w:pPr>
            <w:r>
              <w:rPr>
                <w:sz w:val="22"/>
              </w:rPr>
              <w:t>158</w:t>
            </w:r>
          </w:p>
        </w:tc>
        <w:tc>
          <w:tcPr>
            <w:tcW w:w="1295" w:type="dxa"/>
            <w:shd w:val="clear" w:color="auto" w:fill="D2DFED"/>
          </w:tcPr>
          <w:p>
            <w:pPr>
              <w:pStyle w:val="TableParagraph"/>
              <w:ind w:right="256"/>
              <w:rPr>
                <w:sz w:val="22"/>
              </w:rPr>
            </w:pPr>
            <w:r>
              <w:rPr>
                <w:sz w:val="22"/>
              </w:rPr>
              <w:t>150</w:t>
            </w:r>
          </w:p>
        </w:tc>
        <w:tc>
          <w:tcPr>
            <w:tcW w:w="1126" w:type="dxa"/>
            <w:shd w:val="clear" w:color="auto" w:fill="D2DFED"/>
          </w:tcPr>
          <w:p>
            <w:pPr>
              <w:pStyle w:val="TableParagraph"/>
              <w:ind w:right="105"/>
              <w:rPr>
                <w:sz w:val="22"/>
              </w:rPr>
            </w:pPr>
            <w:r>
              <w:rPr>
                <w:sz w:val="22"/>
              </w:rPr>
              <w:t>147</w:t>
            </w:r>
          </w:p>
        </w:tc>
      </w:tr>
      <w:tr>
        <w:trPr>
          <w:trHeight w:val="300" w:hRule="atLeast"/>
        </w:trPr>
        <w:tc>
          <w:tcPr>
            <w:tcW w:w="6025" w:type="dxa"/>
          </w:tcPr>
          <w:p>
            <w:pPr>
              <w:pStyle w:val="TableParagraph"/>
              <w:spacing w:before="26"/>
              <w:ind w:left="122"/>
              <w:jc w:val="left"/>
              <w:rPr>
                <w:b/>
                <w:sz w:val="20"/>
              </w:rPr>
            </w:pPr>
            <w:r>
              <w:rPr>
                <w:b/>
                <w:sz w:val="20"/>
              </w:rPr>
              <w:t>Rottnest Island Authority</w:t>
            </w:r>
          </w:p>
        </w:tc>
        <w:tc>
          <w:tcPr>
            <w:tcW w:w="1178" w:type="dxa"/>
          </w:tcPr>
          <w:p>
            <w:pPr>
              <w:pStyle w:val="TableParagraph"/>
              <w:ind w:right="238"/>
              <w:rPr>
                <w:sz w:val="22"/>
              </w:rPr>
            </w:pPr>
            <w:r>
              <w:rPr>
                <w:sz w:val="22"/>
              </w:rPr>
              <w:t>144</w:t>
            </w:r>
          </w:p>
        </w:tc>
        <w:tc>
          <w:tcPr>
            <w:tcW w:w="1295" w:type="dxa"/>
          </w:tcPr>
          <w:p>
            <w:pPr>
              <w:pStyle w:val="TableParagraph"/>
              <w:ind w:right="256"/>
              <w:rPr>
                <w:sz w:val="22"/>
              </w:rPr>
            </w:pPr>
            <w:r>
              <w:rPr>
                <w:sz w:val="22"/>
              </w:rPr>
              <w:t>117</w:t>
            </w:r>
          </w:p>
        </w:tc>
        <w:tc>
          <w:tcPr>
            <w:tcW w:w="1126" w:type="dxa"/>
          </w:tcPr>
          <w:p>
            <w:pPr>
              <w:pStyle w:val="TableParagraph"/>
              <w:ind w:right="105"/>
              <w:rPr>
                <w:sz w:val="22"/>
              </w:rPr>
            </w:pPr>
            <w:r>
              <w:rPr>
                <w:sz w:val="22"/>
              </w:rPr>
              <w:t>118</w:t>
            </w:r>
          </w:p>
        </w:tc>
      </w:tr>
      <w:tr>
        <w:trPr>
          <w:trHeight w:val="300" w:hRule="atLeast"/>
        </w:trPr>
        <w:tc>
          <w:tcPr>
            <w:tcW w:w="6025" w:type="dxa"/>
            <w:shd w:val="clear" w:color="auto" w:fill="D2DFED"/>
          </w:tcPr>
          <w:p>
            <w:pPr>
              <w:pStyle w:val="TableParagraph"/>
              <w:spacing w:before="25"/>
              <w:ind w:left="122"/>
              <w:jc w:val="left"/>
              <w:rPr>
                <w:b/>
                <w:sz w:val="20"/>
              </w:rPr>
            </w:pPr>
            <w:r>
              <w:rPr>
                <w:b/>
                <w:sz w:val="20"/>
              </w:rPr>
              <w:t>Metropolitan Cemeteries Board</w:t>
            </w:r>
          </w:p>
        </w:tc>
        <w:tc>
          <w:tcPr>
            <w:tcW w:w="1178" w:type="dxa"/>
            <w:shd w:val="clear" w:color="auto" w:fill="D2DFED"/>
          </w:tcPr>
          <w:p>
            <w:pPr>
              <w:pStyle w:val="TableParagraph"/>
              <w:ind w:right="238"/>
              <w:rPr>
                <w:sz w:val="22"/>
              </w:rPr>
            </w:pPr>
            <w:r>
              <w:rPr>
                <w:sz w:val="22"/>
              </w:rPr>
              <w:t>149</w:t>
            </w:r>
          </w:p>
        </w:tc>
        <w:tc>
          <w:tcPr>
            <w:tcW w:w="1295" w:type="dxa"/>
            <w:shd w:val="clear" w:color="auto" w:fill="D2DFED"/>
          </w:tcPr>
          <w:p>
            <w:pPr>
              <w:pStyle w:val="TableParagraph"/>
              <w:ind w:right="256"/>
              <w:rPr>
                <w:sz w:val="22"/>
              </w:rPr>
            </w:pPr>
            <w:r>
              <w:rPr>
                <w:sz w:val="22"/>
              </w:rPr>
              <w:t>129</w:t>
            </w:r>
          </w:p>
        </w:tc>
        <w:tc>
          <w:tcPr>
            <w:tcW w:w="1126" w:type="dxa"/>
            <w:shd w:val="clear" w:color="auto" w:fill="D2DFED"/>
          </w:tcPr>
          <w:p>
            <w:pPr>
              <w:pStyle w:val="TableParagraph"/>
              <w:ind w:right="105"/>
              <w:rPr>
                <w:sz w:val="22"/>
              </w:rPr>
            </w:pPr>
            <w:r>
              <w:rPr>
                <w:sz w:val="22"/>
              </w:rPr>
              <w:t>123</w:t>
            </w:r>
          </w:p>
        </w:tc>
      </w:tr>
      <w:tr>
        <w:trPr>
          <w:trHeight w:val="300" w:hRule="atLeast"/>
        </w:trPr>
        <w:tc>
          <w:tcPr>
            <w:tcW w:w="6025" w:type="dxa"/>
          </w:tcPr>
          <w:p>
            <w:pPr>
              <w:pStyle w:val="TableParagraph"/>
              <w:spacing w:before="25"/>
              <w:ind w:left="122"/>
              <w:jc w:val="left"/>
              <w:rPr>
                <w:b/>
                <w:sz w:val="20"/>
              </w:rPr>
            </w:pPr>
            <w:r>
              <w:rPr>
                <w:b/>
                <w:sz w:val="20"/>
              </w:rPr>
              <w:t>Esperance Port Authority</w:t>
            </w:r>
          </w:p>
        </w:tc>
        <w:tc>
          <w:tcPr>
            <w:tcW w:w="1178" w:type="dxa"/>
          </w:tcPr>
          <w:p>
            <w:pPr>
              <w:pStyle w:val="TableParagraph"/>
              <w:ind w:right="238"/>
              <w:rPr>
                <w:sz w:val="22"/>
              </w:rPr>
            </w:pPr>
            <w:r>
              <w:rPr>
                <w:sz w:val="22"/>
              </w:rPr>
              <w:t>111</w:t>
            </w:r>
          </w:p>
        </w:tc>
        <w:tc>
          <w:tcPr>
            <w:tcW w:w="1295" w:type="dxa"/>
          </w:tcPr>
          <w:p>
            <w:pPr>
              <w:pStyle w:val="TableParagraph"/>
              <w:ind w:right="256"/>
              <w:rPr>
                <w:sz w:val="22"/>
              </w:rPr>
            </w:pPr>
            <w:r>
              <w:rPr>
                <w:sz w:val="22"/>
              </w:rPr>
              <w:t>110</w:t>
            </w:r>
          </w:p>
        </w:tc>
        <w:tc>
          <w:tcPr>
            <w:tcW w:w="1126" w:type="dxa"/>
          </w:tcPr>
          <w:p>
            <w:pPr>
              <w:pStyle w:val="TableParagraph"/>
              <w:ind w:right="105"/>
              <w:rPr>
                <w:sz w:val="22"/>
              </w:rPr>
            </w:pPr>
            <w:r>
              <w:rPr>
                <w:sz w:val="22"/>
              </w:rPr>
              <w:t>107</w:t>
            </w:r>
          </w:p>
        </w:tc>
      </w:tr>
      <w:tr>
        <w:trPr>
          <w:trHeight w:val="300" w:hRule="atLeast"/>
        </w:trPr>
        <w:tc>
          <w:tcPr>
            <w:tcW w:w="6025" w:type="dxa"/>
            <w:shd w:val="clear" w:color="auto" w:fill="D2DFED"/>
          </w:tcPr>
          <w:p>
            <w:pPr>
              <w:pStyle w:val="TableParagraph"/>
              <w:spacing w:before="25"/>
              <w:ind w:left="122"/>
              <w:jc w:val="left"/>
              <w:rPr>
                <w:b/>
                <w:sz w:val="20"/>
              </w:rPr>
            </w:pPr>
            <w:r>
              <w:rPr>
                <w:b/>
                <w:sz w:val="20"/>
              </w:rPr>
              <w:t>Port Hedland Port Authority</w:t>
            </w:r>
          </w:p>
        </w:tc>
        <w:tc>
          <w:tcPr>
            <w:tcW w:w="1178" w:type="dxa"/>
            <w:shd w:val="clear" w:color="auto" w:fill="D2DFED"/>
          </w:tcPr>
          <w:p>
            <w:pPr>
              <w:pStyle w:val="TableParagraph"/>
              <w:ind w:right="237"/>
              <w:rPr>
                <w:sz w:val="22"/>
              </w:rPr>
            </w:pPr>
            <w:r>
              <w:rPr>
                <w:sz w:val="22"/>
              </w:rPr>
              <w:t>88</w:t>
            </w:r>
          </w:p>
        </w:tc>
        <w:tc>
          <w:tcPr>
            <w:tcW w:w="1295" w:type="dxa"/>
            <w:shd w:val="clear" w:color="auto" w:fill="D2DFED"/>
          </w:tcPr>
          <w:p>
            <w:pPr>
              <w:pStyle w:val="TableParagraph"/>
              <w:ind w:right="255"/>
              <w:rPr>
                <w:sz w:val="22"/>
              </w:rPr>
            </w:pPr>
            <w:r>
              <w:rPr>
                <w:sz w:val="22"/>
              </w:rPr>
              <w:t>87</w:t>
            </w:r>
          </w:p>
        </w:tc>
        <w:tc>
          <w:tcPr>
            <w:tcW w:w="1126" w:type="dxa"/>
            <w:shd w:val="clear" w:color="auto" w:fill="D2DFED"/>
          </w:tcPr>
          <w:p>
            <w:pPr>
              <w:pStyle w:val="TableParagraph"/>
              <w:ind w:right="104"/>
              <w:rPr>
                <w:sz w:val="22"/>
              </w:rPr>
            </w:pPr>
            <w:r>
              <w:rPr>
                <w:sz w:val="22"/>
              </w:rPr>
              <w:t>71</w:t>
            </w:r>
          </w:p>
        </w:tc>
      </w:tr>
      <w:tr>
        <w:trPr>
          <w:trHeight w:val="487" w:hRule="atLeast"/>
        </w:trPr>
        <w:tc>
          <w:tcPr>
            <w:tcW w:w="6025" w:type="dxa"/>
          </w:tcPr>
          <w:p>
            <w:pPr>
              <w:pStyle w:val="TableParagraph"/>
              <w:spacing w:line="242" w:lineRule="exact" w:before="0"/>
              <w:ind w:left="122"/>
              <w:jc w:val="left"/>
              <w:rPr>
                <w:b/>
                <w:sz w:val="20"/>
              </w:rPr>
            </w:pPr>
            <w:r>
              <w:rPr>
                <w:b/>
                <w:sz w:val="20"/>
              </w:rPr>
              <w:t>Builders’ Registration Board of Western Australia and Painters’</w:t>
            </w:r>
          </w:p>
          <w:p>
            <w:pPr>
              <w:pStyle w:val="TableParagraph"/>
              <w:spacing w:line="225" w:lineRule="exact" w:before="0"/>
              <w:ind w:left="122"/>
              <w:jc w:val="left"/>
              <w:rPr>
                <w:b/>
                <w:sz w:val="20"/>
              </w:rPr>
            </w:pPr>
            <w:r>
              <w:rPr>
                <w:b/>
                <w:sz w:val="20"/>
              </w:rPr>
              <w:t>Registration Board</w:t>
            </w:r>
          </w:p>
        </w:tc>
        <w:tc>
          <w:tcPr>
            <w:tcW w:w="1178" w:type="dxa"/>
          </w:tcPr>
          <w:p>
            <w:pPr>
              <w:pStyle w:val="TableParagraph"/>
              <w:spacing w:before="105"/>
              <w:ind w:right="237"/>
              <w:rPr>
                <w:sz w:val="22"/>
              </w:rPr>
            </w:pPr>
            <w:r>
              <w:rPr>
                <w:sz w:val="22"/>
              </w:rPr>
              <w:t>75</w:t>
            </w:r>
          </w:p>
        </w:tc>
        <w:tc>
          <w:tcPr>
            <w:tcW w:w="1295" w:type="dxa"/>
          </w:tcPr>
          <w:p>
            <w:pPr>
              <w:pStyle w:val="TableParagraph"/>
              <w:spacing w:before="105"/>
              <w:ind w:right="255"/>
              <w:rPr>
                <w:sz w:val="22"/>
              </w:rPr>
            </w:pPr>
            <w:r>
              <w:rPr>
                <w:sz w:val="22"/>
              </w:rPr>
              <w:t>67</w:t>
            </w:r>
          </w:p>
        </w:tc>
        <w:tc>
          <w:tcPr>
            <w:tcW w:w="1126" w:type="dxa"/>
          </w:tcPr>
          <w:p>
            <w:pPr>
              <w:pStyle w:val="TableParagraph"/>
              <w:spacing w:before="105"/>
              <w:ind w:right="104"/>
              <w:rPr>
                <w:sz w:val="22"/>
              </w:rPr>
            </w:pPr>
            <w:r>
              <w:rPr>
                <w:sz w:val="22"/>
              </w:rPr>
              <w:t>67</w:t>
            </w:r>
          </w:p>
        </w:tc>
      </w:tr>
      <w:tr>
        <w:trPr>
          <w:trHeight w:val="300" w:hRule="atLeast"/>
        </w:trPr>
        <w:tc>
          <w:tcPr>
            <w:tcW w:w="6025" w:type="dxa"/>
            <w:shd w:val="clear" w:color="auto" w:fill="D2DFED"/>
          </w:tcPr>
          <w:p>
            <w:pPr>
              <w:pStyle w:val="TableParagraph"/>
              <w:spacing w:before="28"/>
              <w:ind w:left="122"/>
              <w:jc w:val="left"/>
              <w:rPr>
                <w:b/>
                <w:sz w:val="20"/>
              </w:rPr>
            </w:pPr>
            <w:r>
              <w:rPr>
                <w:b/>
                <w:sz w:val="20"/>
              </w:rPr>
              <w:t>Animal Resources Authority</w:t>
            </w:r>
          </w:p>
        </w:tc>
        <w:tc>
          <w:tcPr>
            <w:tcW w:w="1178" w:type="dxa"/>
            <w:shd w:val="clear" w:color="auto" w:fill="D2DFED"/>
          </w:tcPr>
          <w:p>
            <w:pPr>
              <w:pStyle w:val="TableParagraph"/>
              <w:spacing w:line="266" w:lineRule="exact" w:before="13"/>
              <w:ind w:right="237"/>
              <w:rPr>
                <w:sz w:val="22"/>
              </w:rPr>
            </w:pPr>
            <w:r>
              <w:rPr>
                <w:sz w:val="22"/>
              </w:rPr>
              <w:t>66</w:t>
            </w:r>
          </w:p>
        </w:tc>
        <w:tc>
          <w:tcPr>
            <w:tcW w:w="1295" w:type="dxa"/>
            <w:shd w:val="clear" w:color="auto" w:fill="D2DFED"/>
          </w:tcPr>
          <w:p>
            <w:pPr>
              <w:pStyle w:val="TableParagraph"/>
              <w:spacing w:line="266" w:lineRule="exact" w:before="13"/>
              <w:ind w:right="255"/>
              <w:rPr>
                <w:sz w:val="22"/>
              </w:rPr>
            </w:pPr>
            <w:r>
              <w:rPr>
                <w:sz w:val="22"/>
              </w:rPr>
              <w:t>47</w:t>
            </w:r>
          </w:p>
        </w:tc>
        <w:tc>
          <w:tcPr>
            <w:tcW w:w="1126" w:type="dxa"/>
            <w:shd w:val="clear" w:color="auto" w:fill="D2DFED"/>
          </w:tcPr>
          <w:p>
            <w:pPr>
              <w:pStyle w:val="TableParagraph"/>
              <w:spacing w:line="266" w:lineRule="exact" w:before="13"/>
              <w:ind w:right="104"/>
              <w:rPr>
                <w:sz w:val="22"/>
              </w:rPr>
            </w:pPr>
            <w:r>
              <w:rPr>
                <w:sz w:val="22"/>
              </w:rPr>
              <w:t>52</w:t>
            </w:r>
          </w:p>
        </w:tc>
      </w:tr>
      <w:tr>
        <w:trPr>
          <w:trHeight w:val="300" w:hRule="atLeast"/>
        </w:trPr>
        <w:tc>
          <w:tcPr>
            <w:tcW w:w="6025" w:type="dxa"/>
          </w:tcPr>
          <w:p>
            <w:pPr>
              <w:pStyle w:val="TableParagraph"/>
              <w:spacing w:before="28"/>
              <w:ind w:left="122"/>
              <w:jc w:val="left"/>
              <w:rPr>
                <w:b/>
                <w:sz w:val="20"/>
              </w:rPr>
            </w:pPr>
            <w:r>
              <w:rPr>
                <w:b/>
                <w:sz w:val="20"/>
              </w:rPr>
              <w:t>Western Australian Treasury Corporation</w:t>
            </w:r>
          </w:p>
        </w:tc>
        <w:tc>
          <w:tcPr>
            <w:tcW w:w="1178" w:type="dxa"/>
          </w:tcPr>
          <w:p>
            <w:pPr>
              <w:pStyle w:val="TableParagraph"/>
              <w:spacing w:line="266" w:lineRule="exact" w:before="13"/>
              <w:ind w:right="237"/>
              <w:rPr>
                <w:sz w:val="22"/>
              </w:rPr>
            </w:pPr>
            <w:r>
              <w:rPr>
                <w:sz w:val="22"/>
              </w:rPr>
              <w:t>66</w:t>
            </w:r>
          </w:p>
        </w:tc>
        <w:tc>
          <w:tcPr>
            <w:tcW w:w="1295" w:type="dxa"/>
          </w:tcPr>
          <w:p>
            <w:pPr>
              <w:pStyle w:val="TableParagraph"/>
              <w:spacing w:line="266" w:lineRule="exact" w:before="13"/>
              <w:ind w:right="255"/>
              <w:rPr>
                <w:sz w:val="22"/>
              </w:rPr>
            </w:pPr>
            <w:r>
              <w:rPr>
                <w:sz w:val="22"/>
              </w:rPr>
              <w:t>63</w:t>
            </w:r>
          </w:p>
        </w:tc>
        <w:tc>
          <w:tcPr>
            <w:tcW w:w="1126" w:type="dxa"/>
          </w:tcPr>
          <w:p>
            <w:pPr>
              <w:pStyle w:val="TableParagraph"/>
              <w:spacing w:line="266" w:lineRule="exact" w:before="13"/>
              <w:ind w:right="104"/>
              <w:rPr>
                <w:sz w:val="22"/>
              </w:rPr>
            </w:pPr>
            <w:r>
              <w:rPr>
                <w:sz w:val="22"/>
              </w:rPr>
              <w:t>63</w:t>
            </w:r>
          </w:p>
        </w:tc>
      </w:tr>
      <w:tr>
        <w:trPr>
          <w:trHeight w:val="300" w:hRule="atLeast"/>
        </w:trPr>
        <w:tc>
          <w:tcPr>
            <w:tcW w:w="6025" w:type="dxa"/>
            <w:shd w:val="clear" w:color="auto" w:fill="D2DFED"/>
          </w:tcPr>
          <w:p>
            <w:pPr>
              <w:pStyle w:val="TableParagraph"/>
              <w:spacing w:before="28"/>
              <w:ind w:left="122"/>
              <w:jc w:val="left"/>
              <w:rPr>
                <w:b/>
                <w:sz w:val="20"/>
              </w:rPr>
            </w:pPr>
            <w:r>
              <w:rPr>
                <w:b/>
                <w:sz w:val="20"/>
              </w:rPr>
              <w:t>Broome Port Authority</w:t>
            </w:r>
          </w:p>
        </w:tc>
        <w:tc>
          <w:tcPr>
            <w:tcW w:w="1178" w:type="dxa"/>
            <w:shd w:val="clear" w:color="auto" w:fill="D2DFED"/>
          </w:tcPr>
          <w:p>
            <w:pPr>
              <w:pStyle w:val="TableParagraph"/>
              <w:spacing w:line="266" w:lineRule="exact" w:before="13"/>
              <w:ind w:right="237"/>
              <w:rPr>
                <w:sz w:val="22"/>
              </w:rPr>
            </w:pPr>
            <w:r>
              <w:rPr>
                <w:sz w:val="22"/>
              </w:rPr>
              <w:t>62</w:t>
            </w:r>
          </w:p>
        </w:tc>
        <w:tc>
          <w:tcPr>
            <w:tcW w:w="1295" w:type="dxa"/>
            <w:shd w:val="clear" w:color="auto" w:fill="D2DFED"/>
          </w:tcPr>
          <w:p>
            <w:pPr>
              <w:pStyle w:val="TableParagraph"/>
              <w:spacing w:line="266" w:lineRule="exact" w:before="13"/>
              <w:ind w:right="255"/>
              <w:rPr>
                <w:sz w:val="22"/>
              </w:rPr>
            </w:pPr>
            <w:r>
              <w:rPr>
                <w:sz w:val="22"/>
              </w:rPr>
              <w:t>35</w:t>
            </w:r>
          </w:p>
        </w:tc>
        <w:tc>
          <w:tcPr>
            <w:tcW w:w="1126" w:type="dxa"/>
            <w:shd w:val="clear" w:color="auto" w:fill="D2DFED"/>
          </w:tcPr>
          <w:p>
            <w:pPr>
              <w:pStyle w:val="TableParagraph"/>
              <w:spacing w:line="266" w:lineRule="exact" w:before="13"/>
              <w:ind w:right="104"/>
              <w:rPr>
                <w:sz w:val="22"/>
              </w:rPr>
            </w:pPr>
            <w:r>
              <w:rPr>
                <w:sz w:val="22"/>
              </w:rPr>
              <w:t>40</w:t>
            </w:r>
          </w:p>
        </w:tc>
      </w:tr>
      <w:tr>
        <w:trPr>
          <w:trHeight w:val="300" w:hRule="atLeast"/>
        </w:trPr>
        <w:tc>
          <w:tcPr>
            <w:tcW w:w="6025" w:type="dxa"/>
          </w:tcPr>
          <w:p>
            <w:pPr>
              <w:pStyle w:val="TableParagraph"/>
              <w:spacing w:before="28"/>
              <w:ind w:left="122"/>
              <w:jc w:val="left"/>
              <w:rPr>
                <w:b/>
                <w:sz w:val="20"/>
              </w:rPr>
            </w:pPr>
            <w:r>
              <w:rPr>
                <w:b/>
                <w:sz w:val="20"/>
              </w:rPr>
              <w:t>Geraldton Port Authority</w:t>
            </w:r>
          </w:p>
        </w:tc>
        <w:tc>
          <w:tcPr>
            <w:tcW w:w="1178" w:type="dxa"/>
          </w:tcPr>
          <w:p>
            <w:pPr>
              <w:pStyle w:val="TableParagraph"/>
              <w:spacing w:line="266" w:lineRule="exact" w:before="13"/>
              <w:ind w:right="237"/>
              <w:rPr>
                <w:sz w:val="22"/>
              </w:rPr>
            </w:pPr>
            <w:r>
              <w:rPr>
                <w:sz w:val="22"/>
              </w:rPr>
              <w:t>60</w:t>
            </w:r>
          </w:p>
        </w:tc>
        <w:tc>
          <w:tcPr>
            <w:tcW w:w="1295" w:type="dxa"/>
          </w:tcPr>
          <w:p>
            <w:pPr>
              <w:pStyle w:val="TableParagraph"/>
              <w:spacing w:line="266" w:lineRule="exact" w:before="13"/>
              <w:ind w:right="255"/>
              <w:rPr>
                <w:sz w:val="22"/>
              </w:rPr>
            </w:pPr>
            <w:r>
              <w:rPr>
                <w:sz w:val="22"/>
              </w:rPr>
              <w:t>59</w:t>
            </w:r>
          </w:p>
        </w:tc>
        <w:tc>
          <w:tcPr>
            <w:tcW w:w="1126" w:type="dxa"/>
          </w:tcPr>
          <w:p>
            <w:pPr>
              <w:pStyle w:val="TableParagraph"/>
              <w:spacing w:line="266" w:lineRule="exact" w:before="13"/>
              <w:ind w:right="104"/>
              <w:rPr>
                <w:sz w:val="22"/>
              </w:rPr>
            </w:pPr>
            <w:r>
              <w:rPr>
                <w:sz w:val="22"/>
              </w:rPr>
              <w:t>57</w:t>
            </w:r>
          </w:p>
        </w:tc>
      </w:tr>
      <w:tr>
        <w:trPr>
          <w:trHeight w:val="489" w:hRule="atLeast"/>
        </w:trPr>
        <w:tc>
          <w:tcPr>
            <w:tcW w:w="6025" w:type="dxa"/>
            <w:shd w:val="clear" w:color="auto" w:fill="D2DFED"/>
          </w:tcPr>
          <w:p>
            <w:pPr>
              <w:pStyle w:val="TableParagraph"/>
              <w:spacing w:line="243" w:lineRule="exact" w:before="0"/>
              <w:ind w:left="122"/>
              <w:jc w:val="left"/>
              <w:rPr>
                <w:b/>
                <w:sz w:val="20"/>
              </w:rPr>
            </w:pPr>
            <w:r>
              <w:rPr>
                <w:b/>
                <w:sz w:val="20"/>
              </w:rPr>
              <w:t>East Perth Redevelopment Authority and Subiaco Redevelopment</w:t>
            </w:r>
          </w:p>
          <w:p>
            <w:pPr>
              <w:pStyle w:val="TableParagraph"/>
              <w:spacing w:line="226" w:lineRule="exact" w:before="0"/>
              <w:ind w:left="122"/>
              <w:jc w:val="left"/>
              <w:rPr>
                <w:b/>
                <w:sz w:val="20"/>
              </w:rPr>
            </w:pPr>
            <w:r>
              <w:rPr>
                <w:b/>
                <w:sz w:val="20"/>
              </w:rPr>
              <w:t>Authority</w:t>
            </w:r>
          </w:p>
        </w:tc>
        <w:tc>
          <w:tcPr>
            <w:tcW w:w="1178" w:type="dxa"/>
            <w:shd w:val="clear" w:color="auto" w:fill="D2DFED"/>
          </w:tcPr>
          <w:p>
            <w:pPr>
              <w:pStyle w:val="TableParagraph"/>
              <w:spacing w:before="107"/>
              <w:ind w:right="237"/>
              <w:rPr>
                <w:sz w:val="22"/>
              </w:rPr>
            </w:pPr>
            <w:r>
              <w:rPr>
                <w:sz w:val="22"/>
              </w:rPr>
              <w:t>56</w:t>
            </w:r>
          </w:p>
        </w:tc>
        <w:tc>
          <w:tcPr>
            <w:tcW w:w="1295" w:type="dxa"/>
            <w:shd w:val="clear" w:color="auto" w:fill="D2DFED"/>
          </w:tcPr>
          <w:p>
            <w:pPr>
              <w:pStyle w:val="TableParagraph"/>
              <w:spacing w:before="107"/>
              <w:ind w:right="255"/>
              <w:rPr>
                <w:sz w:val="22"/>
              </w:rPr>
            </w:pPr>
            <w:r>
              <w:rPr>
                <w:sz w:val="22"/>
              </w:rPr>
              <w:t>49</w:t>
            </w:r>
          </w:p>
        </w:tc>
        <w:tc>
          <w:tcPr>
            <w:tcW w:w="1126" w:type="dxa"/>
            <w:shd w:val="clear" w:color="auto" w:fill="D2DFED"/>
          </w:tcPr>
          <w:p>
            <w:pPr>
              <w:pStyle w:val="TableParagraph"/>
              <w:spacing w:before="107"/>
              <w:ind w:right="104"/>
              <w:rPr>
                <w:sz w:val="22"/>
              </w:rPr>
            </w:pPr>
            <w:r>
              <w:rPr>
                <w:sz w:val="22"/>
              </w:rPr>
              <w:t>48</w:t>
            </w:r>
          </w:p>
        </w:tc>
      </w:tr>
      <w:tr>
        <w:trPr>
          <w:trHeight w:val="300" w:hRule="atLeast"/>
        </w:trPr>
        <w:tc>
          <w:tcPr>
            <w:tcW w:w="6025" w:type="dxa"/>
          </w:tcPr>
          <w:p>
            <w:pPr>
              <w:pStyle w:val="TableParagraph"/>
              <w:spacing w:before="26"/>
              <w:ind w:left="122"/>
              <w:jc w:val="left"/>
              <w:rPr>
                <w:b/>
                <w:sz w:val="20"/>
              </w:rPr>
            </w:pPr>
            <w:r>
              <w:rPr>
                <w:b/>
                <w:sz w:val="20"/>
              </w:rPr>
              <w:t>Western Australian Institute of Sport</w:t>
            </w:r>
          </w:p>
        </w:tc>
        <w:tc>
          <w:tcPr>
            <w:tcW w:w="1178" w:type="dxa"/>
          </w:tcPr>
          <w:p>
            <w:pPr>
              <w:pStyle w:val="TableParagraph"/>
              <w:spacing w:before="12"/>
              <w:ind w:right="237"/>
              <w:rPr>
                <w:sz w:val="22"/>
              </w:rPr>
            </w:pPr>
            <w:r>
              <w:rPr>
                <w:sz w:val="22"/>
              </w:rPr>
              <w:t>56</w:t>
            </w:r>
          </w:p>
        </w:tc>
        <w:tc>
          <w:tcPr>
            <w:tcW w:w="1295" w:type="dxa"/>
          </w:tcPr>
          <w:p>
            <w:pPr>
              <w:pStyle w:val="TableParagraph"/>
              <w:spacing w:before="12"/>
              <w:ind w:right="255"/>
              <w:rPr>
                <w:sz w:val="22"/>
              </w:rPr>
            </w:pPr>
            <w:r>
              <w:rPr>
                <w:sz w:val="22"/>
              </w:rPr>
              <w:t>53</w:t>
            </w:r>
          </w:p>
        </w:tc>
        <w:tc>
          <w:tcPr>
            <w:tcW w:w="1126" w:type="dxa"/>
          </w:tcPr>
          <w:p>
            <w:pPr>
              <w:pStyle w:val="TableParagraph"/>
              <w:spacing w:before="12"/>
              <w:ind w:right="104"/>
              <w:rPr>
                <w:sz w:val="22"/>
              </w:rPr>
            </w:pPr>
            <w:r>
              <w:rPr>
                <w:sz w:val="22"/>
              </w:rPr>
              <w:t>50</w:t>
            </w:r>
          </w:p>
        </w:tc>
      </w:tr>
      <w:tr>
        <w:trPr>
          <w:trHeight w:val="300" w:hRule="atLeast"/>
        </w:trPr>
        <w:tc>
          <w:tcPr>
            <w:tcW w:w="6025" w:type="dxa"/>
            <w:shd w:val="clear" w:color="auto" w:fill="D2DFED"/>
          </w:tcPr>
          <w:p>
            <w:pPr>
              <w:pStyle w:val="TableParagraph"/>
              <w:spacing w:before="25"/>
              <w:ind w:left="122"/>
              <w:jc w:val="left"/>
              <w:rPr>
                <w:b/>
                <w:sz w:val="20"/>
              </w:rPr>
            </w:pPr>
            <w:r>
              <w:rPr>
                <w:b/>
                <w:sz w:val="20"/>
              </w:rPr>
              <w:t>Legal Practice Board</w:t>
            </w:r>
          </w:p>
        </w:tc>
        <w:tc>
          <w:tcPr>
            <w:tcW w:w="1178" w:type="dxa"/>
            <w:shd w:val="clear" w:color="auto" w:fill="D2DFED"/>
          </w:tcPr>
          <w:p>
            <w:pPr>
              <w:pStyle w:val="TableParagraph"/>
              <w:ind w:right="237"/>
              <w:rPr>
                <w:sz w:val="22"/>
              </w:rPr>
            </w:pPr>
            <w:r>
              <w:rPr>
                <w:sz w:val="22"/>
              </w:rPr>
              <w:t>52</w:t>
            </w:r>
          </w:p>
        </w:tc>
        <w:tc>
          <w:tcPr>
            <w:tcW w:w="1295" w:type="dxa"/>
            <w:shd w:val="clear" w:color="auto" w:fill="D2DFED"/>
          </w:tcPr>
          <w:p>
            <w:pPr>
              <w:pStyle w:val="TableParagraph"/>
              <w:ind w:right="255"/>
              <w:rPr>
                <w:sz w:val="22"/>
              </w:rPr>
            </w:pPr>
            <w:r>
              <w:rPr>
                <w:sz w:val="22"/>
              </w:rPr>
              <w:t>44</w:t>
            </w:r>
          </w:p>
        </w:tc>
        <w:tc>
          <w:tcPr>
            <w:tcW w:w="1126" w:type="dxa"/>
            <w:shd w:val="clear" w:color="auto" w:fill="D2DFED"/>
          </w:tcPr>
          <w:p>
            <w:pPr>
              <w:pStyle w:val="TableParagraph"/>
              <w:ind w:right="104"/>
              <w:rPr>
                <w:sz w:val="22"/>
              </w:rPr>
            </w:pPr>
            <w:r>
              <w:rPr>
                <w:sz w:val="22"/>
              </w:rPr>
              <w:t>45</w:t>
            </w:r>
          </w:p>
        </w:tc>
      </w:tr>
      <w:tr>
        <w:trPr>
          <w:trHeight w:val="300" w:hRule="atLeast"/>
        </w:trPr>
        <w:tc>
          <w:tcPr>
            <w:tcW w:w="6025" w:type="dxa"/>
          </w:tcPr>
          <w:p>
            <w:pPr>
              <w:pStyle w:val="TableParagraph"/>
              <w:spacing w:before="25"/>
              <w:ind w:left="122"/>
              <w:jc w:val="left"/>
              <w:rPr>
                <w:b/>
                <w:sz w:val="20"/>
              </w:rPr>
            </w:pPr>
            <w:r>
              <w:rPr>
                <w:b/>
                <w:sz w:val="20"/>
              </w:rPr>
              <w:t>Dampier Port Authority</w:t>
            </w:r>
          </w:p>
        </w:tc>
        <w:tc>
          <w:tcPr>
            <w:tcW w:w="1178" w:type="dxa"/>
          </w:tcPr>
          <w:p>
            <w:pPr>
              <w:pStyle w:val="TableParagraph"/>
              <w:ind w:right="237"/>
              <w:rPr>
                <w:sz w:val="22"/>
              </w:rPr>
            </w:pPr>
            <w:r>
              <w:rPr>
                <w:sz w:val="22"/>
              </w:rPr>
              <w:t>51</w:t>
            </w:r>
          </w:p>
        </w:tc>
        <w:tc>
          <w:tcPr>
            <w:tcW w:w="1295" w:type="dxa"/>
          </w:tcPr>
          <w:p>
            <w:pPr>
              <w:pStyle w:val="TableParagraph"/>
              <w:ind w:right="255"/>
              <w:rPr>
                <w:sz w:val="22"/>
              </w:rPr>
            </w:pPr>
            <w:r>
              <w:rPr>
                <w:sz w:val="22"/>
              </w:rPr>
              <w:t>51</w:t>
            </w:r>
          </w:p>
        </w:tc>
        <w:tc>
          <w:tcPr>
            <w:tcW w:w="1126" w:type="dxa"/>
          </w:tcPr>
          <w:p>
            <w:pPr>
              <w:pStyle w:val="TableParagraph"/>
              <w:ind w:right="104"/>
              <w:rPr>
                <w:sz w:val="22"/>
              </w:rPr>
            </w:pPr>
            <w:r>
              <w:rPr>
                <w:sz w:val="22"/>
              </w:rPr>
              <w:t>47</w:t>
            </w:r>
          </w:p>
        </w:tc>
      </w:tr>
      <w:tr>
        <w:trPr>
          <w:trHeight w:val="300" w:hRule="atLeast"/>
        </w:trPr>
        <w:tc>
          <w:tcPr>
            <w:tcW w:w="6025" w:type="dxa"/>
            <w:shd w:val="clear" w:color="auto" w:fill="D2DFED"/>
          </w:tcPr>
          <w:p>
            <w:pPr>
              <w:pStyle w:val="TableParagraph"/>
              <w:spacing w:before="25"/>
              <w:ind w:left="122"/>
              <w:jc w:val="left"/>
              <w:rPr>
                <w:b/>
                <w:sz w:val="20"/>
              </w:rPr>
            </w:pPr>
            <w:r>
              <w:rPr>
                <w:b/>
                <w:sz w:val="20"/>
              </w:rPr>
              <w:t>Perth Market Authority</w:t>
            </w:r>
          </w:p>
        </w:tc>
        <w:tc>
          <w:tcPr>
            <w:tcW w:w="1178" w:type="dxa"/>
            <w:shd w:val="clear" w:color="auto" w:fill="D2DFED"/>
          </w:tcPr>
          <w:p>
            <w:pPr>
              <w:pStyle w:val="TableParagraph"/>
              <w:ind w:right="237"/>
              <w:rPr>
                <w:sz w:val="22"/>
              </w:rPr>
            </w:pPr>
            <w:r>
              <w:rPr>
                <w:sz w:val="22"/>
              </w:rPr>
              <w:t>50</w:t>
            </w:r>
          </w:p>
        </w:tc>
        <w:tc>
          <w:tcPr>
            <w:tcW w:w="1295" w:type="dxa"/>
            <w:shd w:val="clear" w:color="auto" w:fill="D2DFED"/>
          </w:tcPr>
          <w:p>
            <w:pPr>
              <w:pStyle w:val="TableParagraph"/>
              <w:ind w:right="255"/>
              <w:rPr>
                <w:sz w:val="22"/>
              </w:rPr>
            </w:pPr>
            <w:r>
              <w:rPr>
                <w:sz w:val="22"/>
              </w:rPr>
              <w:t>28</w:t>
            </w:r>
          </w:p>
        </w:tc>
        <w:tc>
          <w:tcPr>
            <w:tcW w:w="1126" w:type="dxa"/>
            <w:shd w:val="clear" w:color="auto" w:fill="D2DFED"/>
          </w:tcPr>
          <w:p>
            <w:pPr>
              <w:pStyle w:val="TableParagraph"/>
              <w:ind w:right="104"/>
              <w:rPr>
                <w:sz w:val="22"/>
              </w:rPr>
            </w:pPr>
            <w:r>
              <w:rPr>
                <w:sz w:val="22"/>
              </w:rPr>
              <w:t>27</w:t>
            </w:r>
          </w:p>
        </w:tc>
      </w:tr>
      <w:tr>
        <w:trPr>
          <w:trHeight w:val="300" w:hRule="atLeast"/>
        </w:trPr>
        <w:tc>
          <w:tcPr>
            <w:tcW w:w="6025" w:type="dxa"/>
          </w:tcPr>
          <w:p>
            <w:pPr>
              <w:pStyle w:val="TableParagraph"/>
              <w:spacing w:before="25"/>
              <w:ind w:left="122"/>
              <w:jc w:val="left"/>
              <w:rPr>
                <w:b/>
                <w:sz w:val="20"/>
              </w:rPr>
            </w:pPr>
            <w:r>
              <w:rPr>
                <w:b/>
                <w:sz w:val="20"/>
              </w:rPr>
              <w:t>Western Australian College of Teaching</w:t>
            </w:r>
          </w:p>
        </w:tc>
        <w:tc>
          <w:tcPr>
            <w:tcW w:w="1178" w:type="dxa"/>
          </w:tcPr>
          <w:p>
            <w:pPr>
              <w:pStyle w:val="TableParagraph"/>
              <w:ind w:right="237"/>
              <w:rPr>
                <w:sz w:val="22"/>
              </w:rPr>
            </w:pPr>
            <w:r>
              <w:rPr>
                <w:sz w:val="22"/>
              </w:rPr>
              <w:t>46</w:t>
            </w:r>
          </w:p>
        </w:tc>
        <w:tc>
          <w:tcPr>
            <w:tcW w:w="1295" w:type="dxa"/>
          </w:tcPr>
          <w:p>
            <w:pPr>
              <w:pStyle w:val="TableParagraph"/>
              <w:ind w:right="255"/>
              <w:rPr>
                <w:sz w:val="22"/>
              </w:rPr>
            </w:pPr>
            <w:r>
              <w:rPr>
                <w:sz w:val="22"/>
              </w:rPr>
              <w:t>40</w:t>
            </w:r>
          </w:p>
        </w:tc>
        <w:tc>
          <w:tcPr>
            <w:tcW w:w="1126" w:type="dxa"/>
          </w:tcPr>
          <w:p>
            <w:pPr>
              <w:pStyle w:val="TableParagraph"/>
              <w:ind w:right="104"/>
              <w:rPr>
                <w:sz w:val="22"/>
              </w:rPr>
            </w:pPr>
            <w:r>
              <w:rPr>
                <w:sz w:val="22"/>
              </w:rPr>
              <w:t>38</w:t>
            </w:r>
          </w:p>
        </w:tc>
      </w:tr>
      <w:tr>
        <w:trPr>
          <w:trHeight w:val="300" w:hRule="atLeast"/>
        </w:trPr>
        <w:tc>
          <w:tcPr>
            <w:tcW w:w="6025" w:type="dxa"/>
            <w:shd w:val="clear" w:color="auto" w:fill="D2DFED"/>
          </w:tcPr>
          <w:p>
            <w:pPr>
              <w:pStyle w:val="TableParagraph"/>
              <w:spacing w:before="25"/>
              <w:ind w:left="122"/>
              <w:jc w:val="left"/>
              <w:rPr>
                <w:b/>
                <w:sz w:val="20"/>
              </w:rPr>
            </w:pPr>
            <w:r>
              <w:rPr>
                <w:b/>
                <w:sz w:val="20"/>
              </w:rPr>
              <w:t>Independent Market Operator</w:t>
            </w:r>
          </w:p>
        </w:tc>
        <w:tc>
          <w:tcPr>
            <w:tcW w:w="1178" w:type="dxa"/>
            <w:shd w:val="clear" w:color="auto" w:fill="D2DFED"/>
          </w:tcPr>
          <w:p>
            <w:pPr>
              <w:pStyle w:val="TableParagraph"/>
              <w:ind w:right="237"/>
              <w:rPr>
                <w:sz w:val="22"/>
              </w:rPr>
            </w:pPr>
            <w:r>
              <w:rPr>
                <w:sz w:val="22"/>
              </w:rPr>
              <w:t>38</w:t>
            </w:r>
          </w:p>
        </w:tc>
        <w:tc>
          <w:tcPr>
            <w:tcW w:w="1295" w:type="dxa"/>
            <w:shd w:val="clear" w:color="auto" w:fill="D2DFED"/>
          </w:tcPr>
          <w:p>
            <w:pPr>
              <w:pStyle w:val="TableParagraph"/>
              <w:ind w:right="255"/>
              <w:rPr>
                <w:sz w:val="22"/>
              </w:rPr>
            </w:pPr>
            <w:r>
              <w:rPr>
                <w:sz w:val="22"/>
              </w:rPr>
              <w:t>36</w:t>
            </w:r>
          </w:p>
        </w:tc>
        <w:tc>
          <w:tcPr>
            <w:tcW w:w="1126" w:type="dxa"/>
            <w:shd w:val="clear" w:color="auto" w:fill="D2DFED"/>
          </w:tcPr>
          <w:p>
            <w:pPr>
              <w:pStyle w:val="TableParagraph"/>
              <w:ind w:right="104"/>
              <w:rPr>
                <w:sz w:val="22"/>
              </w:rPr>
            </w:pPr>
            <w:r>
              <w:rPr>
                <w:sz w:val="22"/>
              </w:rPr>
              <w:t>34</w:t>
            </w:r>
          </w:p>
        </w:tc>
      </w:tr>
      <w:tr>
        <w:trPr>
          <w:trHeight w:val="300" w:hRule="atLeast"/>
        </w:trPr>
        <w:tc>
          <w:tcPr>
            <w:tcW w:w="6025" w:type="dxa"/>
          </w:tcPr>
          <w:p>
            <w:pPr>
              <w:pStyle w:val="TableParagraph"/>
              <w:spacing w:before="25"/>
              <w:ind w:left="122"/>
              <w:jc w:val="left"/>
              <w:rPr>
                <w:b/>
                <w:sz w:val="20"/>
              </w:rPr>
            </w:pPr>
            <w:r>
              <w:rPr>
                <w:b/>
                <w:sz w:val="20"/>
              </w:rPr>
              <w:t>Western Australian Greyhound Racing Association</w:t>
            </w:r>
          </w:p>
        </w:tc>
        <w:tc>
          <w:tcPr>
            <w:tcW w:w="1178" w:type="dxa"/>
          </w:tcPr>
          <w:p>
            <w:pPr>
              <w:pStyle w:val="TableParagraph"/>
              <w:ind w:right="237"/>
              <w:rPr>
                <w:sz w:val="22"/>
              </w:rPr>
            </w:pPr>
            <w:r>
              <w:rPr>
                <w:sz w:val="22"/>
              </w:rPr>
              <w:t>39</w:t>
            </w:r>
          </w:p>
        </w:tc>
        <w:tc>
          <w:tcPr>
            <w:tcW w:w="1295" w:type="dxa"/>
          </w:tcPr>
          <w:p>
            <w:pPr>
              <w:pStyle w:val="TableParagraph"/>
              <w:ind w:right="255"/>
              <w:rPr>
                <w:sz w:val="22"/>
              </w:rPr>
            </w:pPr>
            <w:r>
              <w:rPr>
                <w:sz w:val="22"/>
              </w:rPr>
              <w:t>37</w:t>
            </w:r>
          </w:p>
        </w:tc>
        <w:tc>
          <w:tcPr>
            <w:tcW w:w="1126" w:type="dxa"/>
          </w:tcPr>
          <w:p>
            <w:pPr>
              <w:pStyle w:val="TableParagraph"/>
              <w:ind w:right="104"/>
              <w:rPr>
                <w:sz w:val="22"/>
              </w:rPr>
            </w:pPr>
            <w:r>
              <w:rPr>
                <w:sz w:val="22"/>
              </w:rPr>
              <w:t>37</w:t>
            </w:r>
          </w:p>
        </w:tc>
      </w:tr>
      <w:tr>
        <w:trPr>
          <w:trHeight w:val="300" w:hRule="atLeast"/>
        </w:trPr>
        <w:tc>
          <w:tcPr>
            <w:tcW w:w="6025" w:type="dxa"/>
            <w:shd w:val="clear" w:color="auto" w:fill="D2DFED"/>
          </w:tcPr>
          <w:p>
            <w:pPr>
              <w:pStyle w:val="TableParagraph"/>
              <w:spacing w:before="25"/>
              <w:ind w:left="122"/>
              <w:jc w:val="left"/>
              <w:rPr>
                <w:b/>
                <w:sz w:val="20"/>
              </w:rPr>
            </w:pPr>
            <w:r>
              <w:rPr>
                <w:b/>
                <w:sz w:val="20"/>
              </w:rPr>
              <w:t>Bunbury Water Board (Aqwest)</w:t>
            </w:r>
          </w:p>
        </w:tc>
        <w:tc>
          <w:tcPr>
            <w:tcW w:w="1178" w:type="dxa"/>
            <w:shd w:val="clear" w:color="auto" w:fill="D2DFED"/>
          </w:tcPr>
          <w:p>
            <w:pPr>
              <w:pStyle w:val="TableParagraph"/>
              <w:ind w:right="237"/>
              <w:rPr>
                <w:sz w:val="22"/>
              </w:rPr>
            </w:pPr>
            <w:r>
              <w:rPr>
                <w:sz w:val="22"/>
              </w:rPr>
              <w:t>37</w:t>
            </w:r>
          </w:p>
        </w:tc>
        <w:tc>
          <w:tcPr>
            <w:tcW w:w="1295" w:type="dxa"/>
            <w:shd w:val="clear" w:color="auto" w:fill="D2DFED"/>
          </w:tcPr>
          <w:p>
            <w:pPr>
              <w:pStyle w:val="TableParagraph"/>
              <w:ind w:right="255"/>
              <w:rPr>
                <w:sz w:val="22"/>
              </w:rPr>
            </w:pPr>
            <w:r>
              <w:rPr>
                <w:sz w:val="22"/>
              </w:rPr>
              <w:t>35</w:t>
            </w:r>
          </w:p>
        </w:tc>
        <w:tc>
          <w:tcPr>
            <w:tcW w:w="1126" w:type="dxa"/>
            <w:shd w:val="clear" w:color="auto" w:fill="D2DFED"/>
          </w:tcPr>
          <w:p>
            <w:pPr>
              <w:pStyle w:val="TableParagraph"/>
              <w:ind w:right="104"/>
              <w:rPr>
                <w:sz w:val="22"/>
              </w:rPr>
            </w:pPr>
            <w:r>
              <w:rPr>
                <w:sz w:val="22"/>
              </w:rPr>
              <w:t>33</w:t>
            </w:r>
          </w:p>
        </w:tc>
      </w:tr>
      <w:tr>
        <w:trPr>
          <w:trHeight w:val="300" w:hRule="atLeast"/>
        </w:trPr>
        <w:tc>
          <w:tcPr>
            <w:tcW w:w="6025" w:type="dxa"/>
          </w:tcPr>
          <w:p>
            <w:pPr>
              <w:pStyle w:val="TableParagraph"/>
              <w:spacing w:before="25"/>
              <w:ind w:left="122"/>
              <w:jc w:val="left"/>
              <w:rPr>
                <w:b/>
                <w:sz w:val="20"/>
              </w:rPr>
            </w:pPr>
            <w:r>
              <w:rPr>
                <w:b/>
                <w:sz w:val="20"/>
              </w:rPr>
              <w:t>Bunbury Port Authority</w:t>
            </w:r>
          </w:p>
        </w:tc>
        <w:tc>
          <w:tcPr>
            <w:tcW w:w="1178" w:type="dxa"/>
          </w:tcPr>
          <w:p>
            <w:pPr>
              <w:pStyle w:val="TableParagraph"/>
              <w:ind w:right="237"/>
              <w:rPr>
                <w:sz w:val="22"/>
              </w:rPr>
            </w:pPr>
            <w:r>
              <w:rPr>
                <w:sz w:val="22"/>
              </w:rPr>
              <w:t>29</w:t>
            </w:r>
          </w:p>
        </w:tc>
        <w:tc>
          <w:tcPr>
            <w:tcW w:w="1295" w:type="dxa"/>
          </w:tcPr>
          <w:p>
            <w:pPr>
              <w:pStyle w:val="TableParagraph"/>
              <w:ind w:right="255"/>
              <w:rPr>
                <w:sz w:val="22"/>
              </w:rPr>
            </w:pPr>
            <w:r>
              <w:rPr>
                <w:sz w:val="22"/>
              </w:rPr>
              <w:t>27</w:t>
            </w:r>
          </w:p>
        </w:tc>
        <w:tc>
          <w:tcPr>
            <w:tcW w:w="1126" w:type="dxa"/>
          </w:tcPr>
          <w:p>
            <w:pPr>
              <w:pStyle w:val="TableParagraph"/>
              <w:ind w:right="104"/>
              <w:rPr>
                <w:sz w:val="22"/>
              </w:rPr>
            </w:pPr>
            <w:r>
              <w:rPr>
                <w:sz w:val="22"/>
              </w:rPr>
              <w:t>26</w:t>
            </w:r>
          </w:p>
        </w:tc>
      </w:tr>
      <w:tr>
        <w:trPr>
          <w:trHeight w:val="300" w:hRule="atLeast"/>
        </w:trPr>
        <w:tc>
          <w:tcPr>
            <w:tcW w:w="6025" w:type="dxa"/>
            <w:shd w:val="clear" w:color="auto" w:fill="D2DFED"/>
          </w:tcPr>
          <w:p>
            <w:pPr>
              <w:pStyle w:val="TableParagraph"/>
              <w:spacing w:before="25"/>
              <w:ind w:left="122"/>
              <w:jc w:val="left"/>
              <w:rPr>
                <w:b/>
                <w:sz w:val="20"/>
              </w:rPr>
            </w:pPr>
            <w:r>
              <w:rPr>
                <w:b/>
                <w:sz w:val="20"/>
              </w:rPr>
              <w:t>Busselton Water Board</w:t>
            </w:r>
          </w:p>
        </w:tc>
        <w:tc>
          <w:tcPr>
            <w:tcW w:w="1178" w:type="dxa"/>
            <w:shd w:val="clear" w:color="auto" w:fill="D2DFED"/>
          </w:tcPr>
          <w:p>
            <w:pPr>
              <w:pStyle w:val="TableParagraph"/>
              <w:ind w:right="237"/>
              <w:rPr>
                <w:sz w:val="22"/>
              </w:rPr>
            </w:pPr>
            <w:r>
              <w:rPr>
                <w:sz w:val="22"/>
              </w:rPr>
              <w:t>29</w:t>
            </w:r>
          </w:p>
        </w:tc>
        <w:tc>
          <w:tcPr>
            <w:tcW w:w="1295" w:type="dxa"/>
            <w:shd w:val="clear" w:color="auto" w:fill="D2DFED"/>
          </w:tcPr>
          <w:p>
            <w:pPr>
              <w:pStyle w:val="TableParagraph"/>
              <w:ind w:right="255"/>
              <w:rPr>
                <w:sz w:val="22"/>
              </w:rPr>
            </w:pPr>
            <w:r>
              <w:rPr>
                <w:sz w:val="22"/>
              </w:rPr>
              <w:t>29</w:t>
            </w:r>
          </w:p>
        </w:tc>
        <w:tc>
          <w:tcPr>
            <w:tcW w:w="1126" w:type="dxa"/>
            <w:shd w:val="clear" w:color="auto" w:fill="D2DFED"/>
          </w:tcPr>
          <w:p>
            <w:pPr>
              <w:pStyle w:val="TableParagraph"/>
              <w:ind w:right="104"/>
              <w:rPr>
                <w:sz w:val="22"/>
              </w:rPr>
            </w:pPr>
            <w:r>
              <w:rPr>
                <w:sz w:val="22"/>
              </w:rPr>
              <w:t>28</w:t>
            </w:r>
          </w:p>
        </w:tc>
      </w:tr>
      <w:tr>
        <w:trPr>
          <w:trHeight w:val="299" w:hRule="atLeast"/>
        </w:trPr>
        <w:tc>
          <w:tcPr>
            <w:tcW w:w="6025" w:type="dxa"/>
            <w:tcBorders>
              <w:bottom w:val="single" w:sz="8" w:space="0" w:color="4F81BC"/>
            </w:tcBorders>
          </w:tcPr>
          <w:p>
            <w:pPr>
              <w:pStyle w:val="TableParagraph"/>
              <w:spacing w:before="25"/>
              <w:ind w:left="122"/>
              <w:jc w:val="left"/>
              <w:rPr>
                <w:b/>
                <w:sz w:val="20"/>
              </w:rPr>
            </w:pPr>
            <w:r>
              <w:rPr>
                <w:b/>
                <w:sz w:val="20"/>
              </w:rPr>
              <w:t>Albany Port Authority</w:t>
            </w:r>
          </w:p>
        </w:tc>
        <w:tc>
          <w:tcPr>
            <w:tcW w:w="1178" w:type="dxa"/>
            <w:tcBorders>
              <w:bottom w:val="single" w:sz="8" w:space="0" w:color="4F81BC"/>
            </w:tcBorders>
          </w:tcPr>
          <w:p>
            <w:pPr>
              <w:pStyle w:val="TableParagraph"/>
              <w:spacing w:line="268" w:lineRule="exact"/>
              <w:ind w:right="237"/>
              <w:rPr>
                <w:sz w:val="22"/>
              </w:rPr>
            </w:pPr>
            <w:r>
              <w:rPr>
                <w:sz w:val="22"/>
              </w:rPr>
              <w:t>21</w:t>
            </w:r>
          </w:p>
        </w:tc>
        <w:tc>
          <w:tcPr>
            <w:tcW w:w="1295" w:type="dxa"/>
            <w:tcBorders>
              <w:bottom w:val="single" w:sz="8" w:space="0" w:color="4F81BC"/>
            </w:tcBorders>
          </w:tcPr>
          <w:p>
            <w:pPr>
              <w:pStyle w:val="TableParagraph"/>
              <w:spacing w:line="268" w:lineRule="exact"/>
              <w:ind w:right="255"/>
              <w:rPr>
                <w:sz w:val="22"/>
              </w:rPr>
            </w:pPr>
            <w:r>
              <w:rPr>
                <w:sz w:val="22"/>
              </w:rPr>
              <w:t>21</w:t>
            </w:r>
          </w:p>
        </w:tc>
        <w:tc>
          <w:tcPr>
            <w:tcW w:w="1126" w:type="dxa"/>
            <w:tcBorders>
              <w:bottom w:val="single" w:sz="8" w:space="0" w:color="4F81BC"/>
            </w:tcBorders>
          </w:tcPr>
          <w:p>
            <w:pPr>
              <w:pStyle w:val="TableParagraph"/>
              <w:spacing w:line="268" w:lineRule="exact"/>
              <w:ind w:right="104"/>
              <w:rPr>
                <w:sz w:val="22"/>
              </w:rPr>
            </w:pPr>
            <w:r>
              <w:rPr>
                <w:sz w:val="22"/>
              </w:rPr>
              <w:t>21</w:t>
            </w:r>
          </w:p>
        </w:tc>
      </w:tr>
    </w:tbl>
    <w:p>
      <w:pPr>
        <w:spacing w:after="0" w:line="268" w:lineRule="exact"/>
        <w:rPr>
          <w:sz w:val="22"/>
        </w:rPr>
        <w:sectPr>
          <w:pgSz w:w="11910" w:h="16850"/>
          <w:pgMar w:header="0" w:footer="373" w:top="1600" w:bottom="640" w:left="680" w:right="660"/>
        </w:sect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24"/>
        <w:gridCol w:w="1371"/>
        <w:gridCol w:w="1172"/>
        <w:gridCol w:w="1248"/>
      </w:tblGrid>
      <w:tr>
        <w:trPr>
          <w:trHeight w:val="488" w:hRule="atLeast"/>
        </w:trPr>
        <w:tc>
          <w:tcPr>
            <w:tcW w:w="5824" w:type="dxa"/>
            <w:tcBorders>
              <w:top w:val="single" w:sz="8" w:space="0" w:color="4F81BC"/>
              <w:bottom w:val="single" w:sz="8" w:space="0" w:color="4F81BC"/>
            </w:tcBorders>
          </w:tcPr>
          <w:p>
            <w:pPr>
              <w:pStyle w:val="TableParagraph"/>
              <w:spacing w:before="0"/>
              <w:jc w:val="left"/>
              <w:rPr>
                <w:rFonts w:ascii="Times New Roman"/>
                <w:sz w:val="18"/>
              </w:rPr>
            </w:pPr>
          </w:p>
        </w:tc>
        <w:tc>
          <w:tcPr>
            <w:tcW w:w="1371" w:type="dxa"/>
            <w:tcBorders>
              <w:top w:val="single" w:sz="8" w:space="0" w:color="4F81BC"/>
              <w:bottom w:val="single" w:sz="8" w:space="0" w:color="4F81BC"/>
            </w:tcBorders>
          </w:tcPr>
          <w:p>
            <w:pPr>
              <w:pStyle w:val="TableParagraph"/>
              <w:spacing w:line="240" w:lineRule="atLeast" w:before="1"/>
              <w:ind w:left="332" w:right="221" w:hanging="113"/>
              <w:jc w:val="left"/>
              <w:rPr>
                <w:b/>
                <w:sz w:val="20"/>
              </w:rPr>
            </w:pPr>
            <w:r>
              <w:rPr>
                <w:b/>
                <w:sz w:val="20"/>
              </w:rPr>
              <w:t>Headcount Jun 2011</w:t>
            </w:r>
            <w:r>
              <w:rPr>
                <w:b/>
                <w:sz w:val="20"/>
                <w:vertAlign w:val="superscript"/>
              </w:rPr>
              <w:t>2</w:t>
            </w:r>
          </w:p>
        </w:tc>
        <w:tc>
          <w:tcPr>
            <w:tcW w:w="1172" w:type="dxa"/>
            <w:tcBorders>
              <w:top w:val="single" w:sz="8" w:space="0" w:color="4F81BC"/>
              <w:bottom w:val="single" w:sz="8" w:space="0" w:color="4F81BC"/>
            </w:tcBorders>
          </w:tcPr>
          <w:p>
            <w:pPr>
              <w:pStyle w:val="TableParagraph"/>
              <w:spacing w:line="240" w:lineRule="atLeast" w:before="1"/>
              <w:ind w:left="239" w:right="114" w:firstLine="103"/>
              <w:jc w:val="left"/>
              <w:rPr>
                <w:b/>
                <w:sz w:val="20"/>
              </w:rPr>
            </w:pPr>
            <w:r>
              <w:rPr>
                <w:b/>
                <w:sz w:val="20"/>
              </w:rPr>
              <w:t>Paid FTE Jun 2011</w:t>
            </w:r>
            <w:r>
              <w:rPr>
                <w:b/>
                <w:sz w:val="20"/>
                <w:vertAlign w:val="superscript"/>
              </w:rPr>
              <w:t>3</w:t>
            </w:r>
          </w:p>
        </w:tc>
        <w:tc>
          <w:tcPr>
            <w:tcW w:w="1248" w:type="dxa"/>
            <w:tcBorders>
              <w:top w:val="single" w:sz="8" w:space="0" w:color="4F81BC"/>
              <w:bottom w:val="single" w:sz="8" w:space="0" w:color="4F81BC"/>
            </w:tcBorders>
          </w:tcPr>
          <w:p>
            <w:pPr>
              <w:pStyle w:val="TableParagraph"/>
              <w:spacing w:line="240" w:lineRule="atLeast" w:before="1"/>
              <w:ind w:left="380" w:right="86"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824" w:type="dxa"/>
            <w:tcBorders>
              <w:top w:val="single" w:sz="8" w:space="0" w:color="4F81BC"/>
            </w:tcBorders>
            <w:shd w:val="clear" w:color="auto" w:fill="D2DFED"/>
          </w:tcPr>
          <w:p>
            <w:pPr>
              <w:pStyle w:val="TableParagraph"/>
              <w:spacing w:before="27"/>
              <w:ind w:left="115"/>
              <w:jc w:val="left"/>
              <w:rPr>
                <w:b/>
                <w:sz w:val="20"/>
              </w:rPr>
            </w:pPr>
            <w:r>
              <w:rPr>
                <w:b/>
                <w:sz w:val="20"/>
              </w:rPr>
              <w:t>Office of Health Review</w:t>
            </w:r>
          </w:p>
        </w:tc>
        <w:tc>
          <w:tcPr>
            <w:tcW w:w="1371" w:type="dxa"/>
            <w:tcBorders>
              <w:top w:val="single" w:sz="8" w:space="0" w:color="4F81BC"/>
            </w:tcBorders>
            <w:shd w:val="clear" w:color="auto" w:fill="D2DFED"/>
          </w:tcPr>
          <w:p>
            <w:pPr>
              <w:pStyle w:val="TableParagraph"/>
              <w:spacing w:before="13"/>
              <w:ind w:right="236"/>
              <w:rPr>
                <w:sz w:val="22"/>
              </w:rPr>
            </w:pPr>
            <w:r>
              <w:rPr>
                <w:sz w:val="22"/>
              </w:rPr>
              <w:t>19</w:t>
            </w:r>
          </w:p>
        </w:tc>
        <w:tc>
          <w:tcPr>
            <w:tcW w:w="1172" w:type="dxa"/>
            <w:tcBorders>
              <w:top w:val="single" w:sz="8" w:space="0" w:color="4F81BC"/>
            </w:tcBorders>
            <w:shd w:val="clear" w:color="auto" w:fill="D2DFED"/>
          </w:tcPr>
          <w:p>
            <w:pPr>
              <w:pStyle w:val="TableParagraph"/>
              <w:spacing w:before="13"/>
              <w:ind w:right="131"/>
              <w:rPr>
                <w:sz w:val="22"/>
              </w:rPr>
            </w:pPr>
            <w:r>
              <w:rPr>
                <w:sz w:val="22"/>
              </w:rPr>
              <w:t>15</w:t>
            </w:r>
          </w:p>
        </w:tc>
        <w:tc>
          <w:tcPr>
            <w:tcW w:w="1248" w:type="dxa"/>
            <w:tcBorders>
              <w:top w:val="single" w:sz="8" w:space="0" w:color="4F81BC"/>
            </w:tcBorders>
            <w:shd w:val="clear" w:color="auto" w:fill="D2DFED"/>
          </w:tcPr>
          <w:p>
            <w:pPr>
              <w:pStyle w:val="TableParagraph"/>
              <w:spacing w:before="13"/>
              <w:ind w:right="102"/>
              <w:rPr>
                <w:sz w:val="22"/>
              </w:rPr>
            </w:pPr>
            <w:r>
              <w:rPr>
                <w:sz w:val="22"/>
              </w:rPr>
              <w:t>15</w:t>
            </w:r>
          </w:p>
        </w:tc>
      </w:tr>
      <w:tr>
        <w:trPr>
          <w:trHeight w:val="300" w:hRule="atLeast"/>
        </w:trPr>
        <w:tc>
          <w:tcPr>
            <w:tcW w:w="5824" w:type="dxa"/>
          </w:tcPr>
          <w:p>
            <w:pPr>
              <w:pStyle w:val="TableParagraph"/>
              <w:spacing w:before="25"/>
              <w:ind w:left="115"/>
              <w:jc w:val="left"/>
              <w:rPr>
                <w:b/>
                <w:sz w:val="20"/>
              </w:rPr>
            </w:pPr>
            <w:r>
              <w:rPr>
                <w:b/>
                <w:sz w:val="20"/>
              </w:rPr>
              <w:t>Western Australian Health Promotion Foundation (Healthway)</w:t>
            </w:r>
          </w:p>
        </w:tc>
        <w:tc>
          <w:tcPr>
            <w:tcW w:w="1371" w:type="dxa"/>
          </w:tcPr>
          <w:p>
            <w:pPr>
              <w:pStyle w:val="TableParagraph"/>
              <w:ind w:right="236"/>
              <w:rPr>
                <w:sz w:val="22"/>
              </w:rPr>
            </w:pPr>
            <w:r>
              <w:rPr>
                <w:sz w:val="22"/>
              </w:rPr>
              <w:t>18</w:t>
            </w:r>
          </w:p>
        </w:tc>
        <w:tc>
          <w:tcPr>
            <w:tcW w:w="1172" w:type="dxa"/>
          </w:tcPr>
          <w:p>
            <w:pPr>
              <w:pStyle w:val="TableParagraph"/>
              <w:ind w:right="131"/>
              <w:rPr>
                <w:sz w:val="22"/>
              </w:rPr>
            </w:pPr>
            <w:r>
              <w:rPr>
                <w:sz w:val="22"/>
              </w:rPr>
              <w:t>16</w:t>
            </w:r>
          </w:p>
        </w:tc>
        <w:tc>
          <w:tcPr>
            <w:tcW w:w="1248" w:type="dxa"/>
          </w:tcPr>
          <w:p>
            <w:pPr>
              <w:pStyle w:val="TableParagraph"/>
              <w:ind w:right="102"/>
              <w:rPr>
                <w:sz w:val="22"/>
              </w:rPr>
            </w:pPr>
            <w:r>
              <w:rPr>
                <w:sz w:val="22"/>
              </w:rPr>
              <w:t>15</w:t>
            </w:r>
          </w:p>
        </w:tc>
      </w:tr>
      <w:tr>
        <w:trPr>
          <w:trHeight w:val="300" w:hRule="atLeast"/>
        </w:trPr>
        <w:tc>
          <w:tcPr>
            <w:tcW w:w="5824" w:type="dxa"/>
            <w:shd w:val="clear" w:color="auto" w:fill="D2DFED"/>
          </w:tcPr>
          <w:p>
            <w:pPr>
              <w:pStyle w:val="TableParagraph"/>
              <w:spacing w:before="25"/>
              <w:ind w:left="115"/>
              <w:jc w:val="left"/>
              <w:rPr>
                <w:b/>
                <w:sz w:val="20"/>
              </w:rPr>
            </w:pPr>
            <w:r>
              <w:rPr>
                <w:b/>
                <w:sz w:val="20"/>
              </w:rPr>
              <w:t>Building and Construction Industry Training Board</w:t>
            </w:r>
          </w:p>
        </w:tc>
        <w:tc>
          <w:tcPr>
            <w:tcW w:w="1371" w:type="dxa"/>
            <w:shd w:val="clear" w:color="auto" w:fill="D2DFED"/>
          </w:tcPr>
          <w:p>
            <w:pPr>
              <w:pStyle w:val="TableParagraph"/>
              <w:ind w:right="236"/>
              <w:rPr>
                <w:sz w:val="22"/>
              </w:rPr>
            </w:pPr>
            <w:r>
              <w:rPr>
                <w:sz w:val="22"/>
              </w:rPr>
              <w:t>17</w:t>
            </w:r>
          </w:p>
        </w:tc>
        <w:tc>
          <w:tcPr>
            <w:tcW w:w="1172" w:type="dxa"/>
            <w:shd w:val="clear" w:color="auto" w:fill="D2DFED"/>
          </w:tcPr>
          <w:p>
            <w:pPr>
              <w:pStyle w:val="TableParagraph"/>
              <w:ind w:right="131"/>
              <w:rPr>
                <w:sz w:val="22"/>
              </w:rPr>
            </w:pPr>
            <w:r>
              <w:rPr>
                <w:sz w:val="22"/>
              </w:rPr>
              <w:t>15</w:t>
            </w:r>
          </w:p>
        </w:tc>
        <w:tc>
          <w:tcPr>
            <w:tcW w:w="1248" w:type="dxa"/>
            <w:shd w:val="clear" w:color="auto" w:fill="D2DFED"/>
          </w:tcPr>
          <w:p>
            <w:pPr>
              <w:pStyle w:val="TableParagraph"/>
              <w:ind w:right="102"/>
              <w:rPr>
                <w:sz w:val="22"/>
              </w:rPr>
            </w:pPr>
            <w:r>
              <w:rPr>
                <w:sz w:val="22"/>
              </w:rPr>
              <w:t>16</w:t>
            </w:r>
          </w:p>
        </w:tc>
      </w:tr>
      <w:tr>
        <w:trPr>
          <w:trHeight w:val="300" w:hRule="atLeast"/>
        </w:trPr>
        <w:tc>
          <w:tcPr>
            <w:tcW w:w="5824" w:type="dxa"/>
          </w:tcPr>
          <w:p>
            <w:pPr>
              <w:pStyle w:val="TableParagraph"/>
              <w:spacing w:before="25"/>
              <w:ind w:left="115"/>
              <w:jc w:val="left"/>
              <w:rPr>
                <w:b/>
                <w:sz w:val="20"/>
              </w:rPr>
            </w:pPr>
            <w:r>
              <w:rPr>
                <w:b/>
                <w:sz w:val="20"/>
              </w:rPr>
              <w:t>Keep Australia Beautiful Council (W.A.)</w:t>
            </w:r>
          </w:p>
        </w:tc>
        <w:tc>
          <w:tcPr>
            <w:tcW w:w="1371" w:type="dxa"/>
          </w:tcPr>
          <w:p>
            <w:pPr>
              <w:pStyle w:val="TableParagraph"/>
              <w:ind w:right="236"/>
              <w:rPr>
                <w:sz w:val="22"/>
              </w:rPr>
            </w:pPr>
            <w:r>
              <w:rPr>
                <w:sz w:val="22"/>
              </w:rPr>
              <w:t>18</w:t>
            </w:r>
          </w:p>
        </w:tc>
        <w:tc>
          <w:tcPr>
            <w:tcW w:w="1172" w:type="dxa"/>
          </w:tcPr>
          <w:p>
            <w:pPr>
              <w:pStyle w:val="TableParagraph"/>
              <w:ind w:right="131"/>
              <w:rPr>
                <w:sz w:val="22"/>
              </w:rPr>
            </w:pPr>
            <w:r>
              <w:rPr>
                <w:sz w:val="22"/>
              </w:rPr>
              <w:t>12</w:t>
            </w:r>
          </w:p>
        </w:tc>
        <w:tc>
          <w:tcPr>
            <w:tcW w:w="1248" w:type="dxa"/>
          </w:tcPr>
          <w:p>
            <w:pPr>
              <w:pStyle w:val="TableParagraph"/>
              <w:ind w:right="102"/>
              <w:rPr>
                <w:sz w:val="22"/>
              </w:rPr>
            </w:pPr>
            <w:r>
              <w:rPr>
                <w:sz w:val="22"/>
              </w:rPr>
              <w:t>11</w:t>
            </w:r>
          </w:p>
        </w:tc>
      </w:tr>
      <w:tr>
        <w:trPr>
          <w:trHeight w:val="300" w:hRule="atLeast"/>
        </w:trPr>
        <w:tc>
          <w:tcPr>
            <w:tcW w:w="5824" w:type="dxa"/>
            <w:shd w:val="clear" w:color="auto" w:fill="D2DFED"/>
          </w:tcPr>
          <w:p>
            <w:pPr>
              <w:pStyle w:val="TableParagraph"/>
              <w:spacing w:before="25"/>
              <w:ind w:left="115"/>
              <w:jc w:val="left"/>
              <w:rPr>
                <w:b/>
                <w:sz w:val="20"/>
              </w:rPr>
            </w:pPr>
            <w:r>
              <w:rPr>
                <w:b/>
                <w:sz w:val="20"/>
              </w:rPr>
              <w:t>Western Australian Meat Industry Authority</w:t>
            </w:r>
          </w:p>
        </w:tc>
        <w:tc>
          <w:tcPr>
            <w:tcW w:w="1371" w:type="dxa"/>
            <w:shd w:val="clear" w:color="auto" w:fill="D2DFED"/>
          </w:tcPr>
          <w:p>
            <w:pPr>
              <w:pStyle w:val="TableParagraph"/>
              <w:ind w:right="236"/>
              <w:rPr>
                <w:sz w:val="22"/>
              </w:rPr>
            </w:pPr>
            <w:r>
              <w:rPr>
                <w:sz w:val="22"/>
              </w:rPr>
              <w:t>13</w:t>
            </w:r>
          </w:p>
        </w:tc>
        <w:tc>
          <w:tcPr>
            <w:tcW w:w="1172" w:type="dxa"/>
            <w:shd w:val="clear" w:color="auto" w:fill="D2DFED"/>
          </w:tcPr>
          <w:p>
            <w:pPr>
              <w:pStyle w:val="TableParagraph"/>
              <w:ind w:right="131"/>
              <w:rPr>
                <w:sz w:val="22"/>
              </w:rPr>
            </w:pPr>
            <w:r>
              <w:rPr>
                <w:sz w:val="22"/>
              </w:rPr>
              <w:t>11</w:t>
            </w:r>
          </w:p>
        </w:tc>
        <w:tc>
          <w:tcPr>
            <w:tcW w:w="1248" w:type="dxa"/>
            <w:shd w:val="clear" w:color="auto" w:fill="D2DFED"/>
          </w:tcPr>
          <w:p>
            <w:pPr>
              <w:pStyle w:val="TableParagraph"/>
              <w:ind w:right="102"/>
              <w:rPr>
                <w:sz w:val="22"/>
              </w:rPr>
            </w:pPr>
            <w:r>
              <w:rPr>
                <w:sz w:val="22"/>
              </w:rPr>
              <w:t>10</w:t>
            </w:r>
          </w:p>
        </w:tc>
      </w:tr>
      <w:tr>
        <w:trPr>
          <w:trHeight w:val="300" w:hRule="atLeast"/>
        </w:trPr>
        <w:tc>
          <w:tcPr>
            <w:tcW w:w="5824" w:type="dxa"/>
          </w:tcPr>
          <w:p>
            <w:pPr>
              <w:pStyle w:val="TableParagraph"/>
              <w:spacing w:before="25"/>
              <w:ind w:left="115"/>
              <w:jc w:val="left"/>
              <w:rPr>
                <w:b/>
                <w:sz w:val="20"/>
              </w:rPr>
            </w:pPr>
            <w:r>
              <w:rPr>
                <w:b/>
                <w:sz w:val="20"/>
              </w:rPr>
              <w:t>Potato Marketing Corporation of Western Australia</w:t>
            </w:r>
          </w:p>
        </w:tc>
        <w:tc>
          <w:tcPr>
            <w:tcW w:w="1371" w:type="dxa"/>
          </w:tcPr>
          <w:p>
            <w:pPr>
              <w:pStyle w:val="TableParagraph"/>
              <w:ind w:right="236"/>
              <w:rPr>
                <w:sz w:val="22"/>
              </w:rPr>
            </w:pPr>
            <w:r>
              <w:rPr>
                <w:sz w:val="22"/>
              </w:rPr>
              <w:t>11</w:t>
            </w:r>
          </w:p>
        </w:tc>
        <w:tc>
          <w:tcPr>
            <w:tcW w:w="1172" w:type="dxa"/>
          </w:tcPr>
          <w:p>
            <w:pPr>
              <w:pStyle w:val="TableParagraph"/>
              <w:ind w:right="131"/>
              <w:rPr>
                <w:sz w:val="22"/>
              </w:rPr>
            </w:pPr>
            <w:r>
              <w:rPr>
                <w:sz w:val="22"/>
              </w:rPr>
              <w:t>10</w:t>
            </w:r>
          </w:p>
        </w:tc>
        <w:tc>
          <w:tcPr>
            <w:tcW w:w="1248" w:type="dxa"/>
          </w:tcPr>
          <w:p>
            <w:pPr>
              <w:pStyle w:val="TableParagraph"/>
              <w:ind w:right="102"/>
              <w:rPr>
                <w:sz w:val="22"/>
              </w:rPr>
            </w:pPr>
            <w:r>
              <w:rPr>
                <w:sz w:val="22"/>
              </w:rPr>
              <w:t>12</w:t>
            </w:r>
          </w:p>
        </w:tc>
      </w:tr>
      <w:tr>
        <w:trPr>
          <w:trHeight w:val="300" w:hRule="atLeast"/>
        </w:trPr>
        <w:tc>
          <w:tcPr>
            <w:tcW w:w="5824" w:type="dxa"/>
            <w:shd w:val="clear" w:color="auto" w:fill="D2DFED"/>
          </w:tcPr>
          <w:p>
            <w:pPr>
              <w:pStyle w:val="TableParagraph"/>
              <w:spacing w:before="25"/>
              <w:ind w:left="115"/>
              <w:jc w:val="left"/>
              <w:rPr>
                <w:b/>
                <w:sz w:val="20"/>
              </w:rPr>
            </w:pPr>
            <w:r>
              <w:rPr>
                <w:b/>
                <w:sz w:val="20"/>
              </w:rPr>
              <w:t>Midland Redevelopment Authority</w:t>
            </w:r>
          </w:p>
        </w:tc>
        <w:tc>
          <w:tcPr>
            <w:tcW w:w="1371" w:type="dxa"/>
            <w:shd w:val="clear" w:color="auto" w:fill="D2DFED"/>
          </w:tcPr>
          <w:p>
            <w:pPr>
              <w:pStyle w:val="TableParagraph"/>
              <w:ind w:right="236"/>
              <w:rPr>
                <w:sz w:val="22"/>
              </w:rPr>
            </w:pPr>
            <w:r>
              <w:rPr>
                <w:sz w:val="22"/>
              </w:rPr>
              <w:t>11</w:t>
            </w:r>
          </w:p>
        </w:tc>
        <w:tc>
          <w:tcPr>
            <w:tcW w:w="1172" w:type="dxa"/>
            <w:shd w:val="clear" w:color="auto" w:fill="D2DFED"/>
          </w:tcPr>
          <w:p>
            <w:pPr>
              <w:pStyle w:val="TableParagraph"/>
              <w:ind w:right="132"/>
              <w:rPr>
                <w:sz w:val="22"/>
              </w:rPr>
            </w:pPr>
            <w:r>
              <w:rPr>
                <w:w w:val="100"/>
                <w:sz w:val="22"/>
              </w:rPr>
              <w:t>8</w:t>
            </w:r>
          </w:p>
        </w:tc>
        <w:tc>
          <w:tcPr>
            <w:tcW w:w="1248" w:type="dxa"/>
            <w:shd w:val="clear" w:color="auto" w:fill="D2DFED"/>
          </w:tcPr>
          <w:p>
            <w:pPr>
              <w:pStyle w:val="TableParagraph"/>
              <w:ind w:right="103"/>
              <w:rPr>
                <w:sz w:val="22"/>
              </w:rPr>
            </w:pPr>
            <w:r>
              <w:rPr>
                <w:w w:val="100"/>
                <w:sz w:val="22"/>
              </w:rPr>
              <w:t>9</w:t>
            </w:r>
          </w:p>
        </w:tc>
      </w:tr>
      <w:tr>
        <w:trPr>
          <w:trHeight w:val="300" w:hRule="atLeast"/>
        </w:trPr>
        <w:tc>
          <w:tcPr>
            <w:tcW w:w="5824" w:type="dxa"/>
          </w:tcPr>
          <w:p>
            <w:pPr>
              <w:pStyle w:val="TableParagraph"/>
              <w:spacing w:before="25"/>
              <w:ind w:left="115"/>
              <w:jc w:val="left"/>
              <w:rPr>
                <w:b/>
                <w:sz w:val="20"/>
              </w:rPr>
            </w:pPr>
            <w:r>
              <w:rPr>
                <w:b/>
                <w:sz w:val="20"/>
              </w:rPr>
              <w:t>Burswood Park Board</w:t>
            </w:r>
          </w:p>
        </w:tc>
        <w:tc>
          <w:tcPr>
            <w:tcW w:w="1371" w:type="dxa"/>
          </w:tcPr>
          <w:p>
            <w:pPr>
              <w:pStyle w:val="TableParagraph"/>
              <w:ind w:right="237"/>
              <w:rPr>
                <w:sz w:val="22"/>
              </w:rPr>
            </w:pPr>
            <w:r>
              <w:rPr>
                <w:w w:val="100"/>
                <w:sz w:val="22"/>
              </w:rPr>
              <w:t>8</w:t>
            </w:r>
          </w:p>
        </w:tc>
        <w:tc>
          <w:tcPr>
            <w:tcW w:w="1172" w:type="dxa"/>
          </w:tcPr>
          <w:p>
            <w:pPr>
              <w:pStyle w:val="TableParagraph"/>
              <w:ind w:right="132"/>
              <w:rPr>
                <w:sz w:val="22"/>
              </w:rPr>
            </w:pPr>
            <w:r>
              <w:rPr>
                <w:w w:val="100"/>
                <w:sz w:val="22"/>
              </w:rPr>
              <w:t>7</w:t>
            </w:r>
          </w:p>
        </w:tc>
        <w:tc>
          <w:tcPr>
            <w:tcW w:w="1248" w:type="dxa"/>
          </w:tcPr>
          <w:p>
            <w:pPr>
              <w:pStyle w:val="TableParagraph"/>
              <w:ind w:right="103"/>
              <w:rPr>
                <w:sz w:val="22"/>
              </w:rPr>
            </w:pPr>
            <w:r>
              <w:rPr>
                <w:w w:val="100"/>
                <w:sz w:val="22"/>
              </w:rPr>
              <w:t>7</w:t>
            </w:r>
          </w:p>
        </w:tc>
      </w:tr>
      <w:tr>
        <w:trPr>
          <w:trHeight w:val="300" w:hRule="atLeast"/>
        </w:trPr>
        <w:tc>
          <w:tcPr>
            <w:tcW w:w="5824" w:type="dxa"/>
            <w:shd w:val="clear" w:color="auto" w:fill="D2DFED"/>
          </w:tcPr>
          <w:p>
            <w:pPr>
              <w:pStyle w:val="TableParagraph"/>
              <w:spacing w:before="25"/>
              <w:ind w:left="115"/>
              <w:jc w:val="left"/>
              <w:rPr>
                <w:b/>
                <w:sz w:val="20"/>
              </w:rPr>
            </w:pPr>
            <w:r>
              <w:rPr>
                <w:b/>
                <w:sz w:val="20"/>
              </w:rPr>
              <w:t>Veterinary Surgeons’ Board</w:t>
            </w:r>
          </w:p>
        </w:tc>
        <w:tc>
          <w:tcPr>
            <w:tcW w:w="1371" w:type="dxa"/>
            <w:shd w:val="clear" w:color="auto" w:fill="D2DFED"/>
          </w:tcPr>
          <w:p>
            <w:pPr>
              <w:pStyle w:val="TableParagraph"/>
              <w:ind w:right="237"/>
              <w:rPr>
                <w:sz w:val="22"/>
              </w:rPr>
            </w:pPr>
            <w:r>
              <w:rPr>
                <w:w w:val="100"/>
                <w:sz w:val="22"/>
              </w:rPr>
              <w:t>6</w:t>
            </w:r>
          </w:p>
        </w:tc>
        <w:tc>
          <w:tcPr>
            <w:tcW w:w="1172" w:type="dxa"/>
            <w:shd w:val="clear" w:color="auto" w:fill="D2DFED"/>
          </w:tcPr>
          <w:p>
            <w:pPr>
              <w:pStyle w:val="TableParagraph"/>
              <w:ind w:right="132"/>
              <w:rPr>
                <w:sz w:val="22"/>
              </w:rPr>
            </w:pPr>
            <w:r>
              <w:rPr>
                <w:w w:val="100"/>
                <w:sz w:val="22"/>
              </w:rPr>
              <w:t>4</w:t>
            </w:r>
          </w:p>
        </w:tc>
        <w:tc>
          <w:tcPr>
            <w:tcW w:w="1248" w:type="dxa"/>
            <w:shd w:val="clear" w:color="auto" w:fill="D2DFED"/>
          </w:tcPr>
          <w:p>
            <w:pPr>
              <w:pStyle w:val="TableParagraph"/>
              <w:ind w:right="103"/>
              <w:rPr>
                <w:sz w:val="22"/>
              </w:rPr>
            </w:pPr>
            <w:r>
              <w:rPr>
                <w:w w:val="100"/>
                <w:sz w:val="22"/>
              </w:rPr>
              <w:t>4</w:t>
            </w:r>
          </w:p>
        </w:tc>
      </w:tr>
      <w:tr>
        <w:trPr>
          <w:trHeight w:val="300" w:hRule="atLeast"/>
        </w:trPr>
        <w:tc>
          <w:tcPr>
            <w:tcW w:w="5824" w:type="dxa"/>
          </w:tcPr>
          <w:p>
            <w:pPr>
              <w:pStyle w:val="TableParagraph"/>
              <w:spacing w:before="25"/>
              <w:ind w:left="115"/>
              <w:jc w:val="left"/>
              <w:rPr>
                <w:b/>
                <w:sz w:val="20"/>
              </w:rPr>
            </w:pPr>
            <w:r>
              <w:rPr>
                <w:b/>
                <w:sz w:val="20"/>
              </w:rPr>
              <w:t>Minerals and Energy Research Institute of Western Australia</w:t>
            </w:r>
          </w:p>
        </w:tc>
        <w:tc>
          <w:tcPr>
            <w:tcW w:w="1371" w:type="dxa"/>
          </w:tcPr>
          <w:p>
            <w:pPr>
              <w:pStyle w:val="TableParagraph"/>
              <w:ind w:right="237"/>
              <w:rPr>
                <w:sz w:val="22"/>
              </w:rPr>
            </w:pPr>
            <w:r>
              <w:rPr>
                <w:w w:val="100"/>
                <w:sz w:val="22"/>
              </w:rPr>
              <w:t>4</w:t>
            </w:r>
          </w:p>
        </w:tc>
        <w:tc>
          <w:tcPr>
            <w:tcW w:w="1172" w:type="dxa"/>
          </w:tcPr>
          <w:p>
            <w:pPr>
              <w:pStyle w:val="TableParagraph"/>
              <w:ind w:right="132"/>
              <w:rPr>
                <w:sz w:val="22"/>
              </w:rPr>
            </w:pPr>
            <w:r>
              <w:rPr>
                <w:w w:val="100"/>
                <w:sz w:val="22"/>
              </w:rPr>
              <w:t>2</w:t>
            </w:r>
          </w:p>
        </w:tc>
        <w:tc>
          <w:tcPr>
            <w:tcW w:w="1248" w:type="dxa"/>
          </w:tcPr>
          <w:p>
            <w:pPr>
              <w:pStyle w:val="TableParagraph"/>
              <w:ind w:right="103"/>
              <w:rPr>
                <w:sz w:val="22"/>
              </w:rPr>
            </w:pPr>
            <w:r>
              <w:rPr>
                <w:w w:val="100"/>
                <w:sz w:val="22"/>
              </w:rPr>
              <w:t>2</w:t>
            </w:r>
          </w:p>
        </w:tc>
      </w:tr>
      <w:tr>
        <w:trPr>
          <w:trHeight w:val="300" w:hRule="atLeast"/>
        </w:trPr>
        <w:tc>
          <w:tcPr>
            <w:tcW w:w="5824" w:type="dxa"/>
            <w:shd w:val="clear" w:color="auto" w:fill="D2DFED"/>
          </w:tcPr>
          <w:p>
            <w:pPr>
              <w:pStyle w:val="TableParagraph"/>
              <w:spacing w:before="25"/>
              <w:ind w:left="115"/>
              <w:jc w:val="left"/>
              <w:rPr>
                <w:b/>
                <w:sz w:val="20"/>
              </w:rPr>
            </w:pPr>
            <w:r>
              <w:rPr>
                <w:b/>
                <w:sz w:val="20"/>
              </w:rPr>
              <w:t>Architects Board of Western Australia</w:t>
            </w:r>
          </w:p>
        </w:tc>
        <w:tc>
          <w:tcPr>
            <w:tcW w:w="1371" w:type="dxa"/>
            <w:shd w:val="clear" w:color="auto" w:fill="D2DFED"/>
          </w:tcPr>
          <w:p>
            <w:pPr>
              <w:pStyle w:val="TableParagraph"/>
              <w:ind w:right="237"/>
              <w:rPr>
                <w:sz w:val="22"/>
              </w:rPr>
            </w:pPr>
            <w:r>
              <w:rPr>
                <w:w w:val="100"/>
                <w:sz w:val="22"/>
              </w:rPr>
              <w:t>3</w:t>
            </w:r>
          </w:p>
        </w:tc>
        <w:tc>
          <w:tcPr>
            <w:tcW w:w="1172" w:type="dxa"/>
            <w:shd w:val="clear" w:color="auto" w:fill="D2DFED"/>
          </w:tcPr>
          <w:p>
            <w:pPr>
              <w:pStyle w:val="TableParagraph"/>
              <w:ind w:right="132"/>
              <w:rPr>
                <w:sz w:val="22"/>
              </w:rPr>
            </w:pPr>
            <w:r>
              <w:rPr>
                <w:w w:val="100"/>
                <w:sz w:val="22"/>
              </w:rPr>
              <w:t>2</w:t>
            </w:r>
          </w:p>
        </w:tc>
        <w:tc>
          <w:tcPr>
            <w:tcW w:w="1248" w:type="dxa"/>
            <w:shd w:val="clear" w:color="auto" w:fill="D2DFED"/>
          </w:tcPr>
          <w:p>
            <w:pPr>
              <w:pStyle w:val="TableParagraph"/>
              <w:ind w:right="103"/>
              <w:rPr>
                <w:sz w:val="22"/>
              </w:rPr>
            </w:pPr>
            <w:r>
              <w:rPr>
                <w:w w:val="100"/>
                <w:sz w:val="22"/>
              </w:rPr>
              <w:t>2</w:t>
            </w:r>
          </w:p>
        </w:tc>
      </w:tr>
      <w:tr>
        <w:trPr>
          <w:trHeight w:val="300" w:hRule="atLeast"/>
        </w:trPr>
        <w:tc>
          <w:tcPr>
            <w:tcW w:w="5824" w:type="dxa"/>
          </w:tcPr>
          <w:p>
            <w:pPr>
              <w:pStyle w:val="TableParagraph"/>
              <w:spacing w:line="226" w:lineRule="exact" w:before="55"/>
              <w:ind w:left="115"/>
              <w:jc w:val="left"/>
              <w:rPr>
                <w:b/>
                <w:sz w:val="20"/>
              </w:rPr>
            </w:pPr>
            <w:r>
              <w:rPr>
                <w:b/>
                <w:sz w:val="20"/>
              </w:rPr>
              <w:t>Pharmaceutical Council of Western Australia</w:t>
            </w:r>
            <w:r>
              <w:rPr>
                <w:b/>
                <w:sz w:val="20"/>
                <w:vertAlign w:val="superscript"/>
              </w:rPr>
              <w:t>7</w:t>
            </w:r>
          </w:p>
        </w:tc>
        <w:tc>
          <w:tcPr>
            <w:tcW w:w="1371" w:type="dxa"/>
          </w:tcPr>
          <w:p>
            <w:pPr>
              <w:pStyle w:val="TableParagraph"/>
              <w:spacing w:before="12"/>
              <w:ind w:right="236"/>
              <w:rPr>
                <w:sz w:val="22"/>
              </w:rPr>
            </w:pPr>
            <w:r>
              <w:rPr>
                <w:sz w:val="22"/>
              </w:rPr>
              <w:t>#N/A</w:t>
            </w:r>
          </w:p>
        </w:tc>
        <w:tc>
          <w:tcPr>
            <w:tcW w:w="1172" w:type="dxa"/>
          </w:tcPr>
          <w:p>
            <w:pPr>
              <w:pStyle w:val="TableParagraph"/>
              <w:spacing w:before="12"/>
              <w:ind w:right="131"/>
              <w:rPr>
                <w:sz w:val="22"/>
              </w:rPr>
            </w:pPr>
            <w:r>
              <w:rPr>
                <w:sz w:val="22"/>
              </w:rPr>
              <w:t>#N/A</w:t>
            </w:r>
          </w:p>
        </w:tc>
        <w:tc>
          <w:tcPr>
            <w:tcW w:w="1248" w:type="dxa"/>
          </w:tcPr>
          <w:p>
            <w:pPr>
              <w:pStyle w:val="TableParagraph"/>
              <w:spacing w:before="12"/>
              <w:ind w:right="103"/>
              <w:rPr>
                <w:sz w:val="22"/>
              </w:rPr>
            </w:pPr>
            <w:r>
              <w:rPr>
                <w:w w:val="100"/>
                <w:sz w:val="22"/>
              </w:rPr>
              <w:t>8</w:t>
            </w:r>
          </w:p>
        </w:tc>
      </w:tr>
      <w:tr>
        <w:trPr>
          <w:trHeight w:val="308" w:hRule="atLeast"/>
        </w:trPr>
        <w:tc>
          <w:tcPr>
            <w:tcW w:w="5824" w:type="dxa"/>
            <w:tcBorders>
              <w:bottom w:val="double" w:sz="1" w:space="0" w:color="000000"/>
            </w:tcBorders>
            <w:shd w:val="clear" w:color="auto" w:fill="D2DFED"/>
          </w:tcPr>
          <w:p>
            <w:pPr>
              <w:pStyle w:val="TableParagraph"/>
              <w:spacing w:line="225" w:lineRule="exact" w:before="54"/>
              <w:ind w:left="115"/>
              <w:jc w:val="left"/>
              <w:rPr>
                <w:b/>
                <w:sz w:val="20"/>
              </w:rPr>
            </w:pPr>
            <w:r>
              <w:rPr>
                <w:b/>
                <w:sz w:val="20"/>
              </w:rPr>
              <w:t>Hairdressers Registration Board of WA</w:t>
            </w:r>
            <w:r>
              <w:rPr>
                <w:b/>
                <w:sz w:val="20"/>
                <w:vertAlign w:val="superscript"/>
              </w:rPr>
              <w:t>8</w:t>
            </w:r>
          </w:p>
        </w:tc>
        <w:tc>
          <w:tcPr>
            <w:tcW w:w="1371" w:type="dxa"/>
            <w:tcBorders>
              <w:bottom w:val="double" w:sz="1" w:space="0" w:color="000000"/>
            </w:tcBorders>
            <w:shd w:val="clear" w:color="auto" w:fill="D2DFED"/>
          </w:tcPr>
          <w:p>
            <w:pPr>
              <w:pStyle w:val="TableParagraph"/>
              <w:spacing w:line="268" w:lineRule="exact"/>
              <w:ind w:right="236"/>
              <w:rPr>
                <w:sz w:val="22"/>
              </w:rPr>
            </w:pPr>
            <w:r>
              <w:rPr>
                <w:sz w:val="22"/>
              </w:rPr>
              <w:t>#N/A</w:t>
            </w:r>
          </w:p>
        </w:tc>
        <w:tc>
          <w:tcPr>
            <w:tcW w:w="1172" w:type="dxa"/>
            <w:tcBorders>
              <w:bottom w:val="double" w:sz="1" w:space="0" w:color="000000"/>
            </w:tcBorders>
            <w:shd w:val="clear" w:color="auto" w:fill="D2DFED"/>
          </w:tcPr>
          <w:p>
            <w:pPr>
              <w:pStyle w:val="TableParagraph"/>
              <w:spacing w:line="268" w:lineRule="exact"/>
              <w:ind w:right="131"/>
              <w:rPr>
                <w:sz w:val="22"/>
              </w:rPr>
            </w:pPr>
            <w:r>
              <w:rPr>
                <w:sz w:val="22"/>
              </w:rPr>
              <w:t>#N/A</w:t>
            </w:r>
          </w:p>
        </w:tc>
        <w:tc>
          <w:tcPr>
            <w:tcW w:w="1248" w:type="dxa"/>
            <w:tcBorders>
              <w:bottom w:val="single" w:sz="4" w:space="0" w:color="000000"/>
            </w:tcBorders>
            <w:shd w:val="clear" w:color="auto" w:fill="D2DFED"/>
          </w:tcPr>
          <w:p>
            <w:pPr>
              <w:pStyle w:val="TableParagraph"/>
              <w:ind w:right="103"/>
              <w:rPr>
                <w:sz w:val="22"/>
              </w:rPr>
            </w:pPr>
            <w:r>
              <w:rPr>
                <w:w w:val="100"/>
                <w:sz w:val="22"/>
              </w:rPr>
              <w:t>7</w:t>
            </w:r>
          </w:p>
        </w:tc>
      </w:tr>
      <w:tr>
        <w:trPr>
          <w:trHeight w:val="305" w:hRule="atLeast"/>
        </w:trPr>
        <w:tc>
          <w:tcPr>
            <w:tcW w:w="5824" w:type="dxa"/>
            <w:tcBorders>
              <w:top w:val="double" w:sz="1" w:space="0" w:color="000000"/>
              <w:bottom w:val="double" w:sz="1" w:space="0" w:color="000000"/>
            </w:tcBorders>
          </w:tcPr>
          <w:p>
            <w:pPr>
              <w:pStyle w:val="TableParagraph"/>
              <w:spacing w:before="34"/>
              <w:ind w:left="115"/>
              <w:jc w:val="left"/>
              <w:rPr>
                <w:b/>
                <w:i/>
                <w:sz w:val="20"/>
              </w:rPr>
            </w:pPr>
            <w:r>
              <w:rPr>
                <w:b/>
                <w:i/>
                <w:sz w:val="20"/>
              </w:rPr>
              <w:t>TOTAL</w:t>
            </w:r>
            <w:r>
              <w:rPr>
                <w:b/>
                <w:i/>
                <w:sz w:val="20"/>
                <w:vertAlign w:val="superscript"/>
              </w:rPr>
              <w:t>9</w:t>
            </w:r>
          </w:p>
        </w:tc>
        <w:tc>
          <w:tcPr>
            <w:tcW w:w="1371" w:type="dxa"/>
            <w:tcBorders>
              <w:top w:val="double" w:sz="1" w:space="0" w:color="000000"/>
              <w:bottom w:val="double" w:sz="1" w:space="0" w:color="000000"/>
            </w:tcBorders>
          </w:tcPr>
          <w:p>
            <w:pPr>
              <w:pStyle w:val="TableParagraph"/>
              <w:spacing w:before="20"/>
              <w:ind w:right="237"/>
              <w:rPr>
                <w:b/>
                <w:sz w:val="22"/>
              </w:rPr>
            </w:pPr>
            <w:r>
              <w:rPr>
                <w:b/>
                <w:sz w:val="22"/>
              </w:rPr>
              <w:t>14,602</w:t>
            </w:r>
          </w:p>
        </w:tc>
        <w:tc>
          <w:tcPr>
            <w:tcW w:w="1172" w:type="dxa"/>
            <w:tcBorders>
              <w:top w:val="double" w:sz="1" w:space="0" w:color="000000"/>
              <w:bottom w:val="double" w:sz="1" w:space="0" w:color="000000"/>
            </w:tcBorders>
          </w:tcPr>
          <w:p>
            <w:pPr>
              <w:pStyle w:val="TableParagraph"/>
              <w:spacing w:before="20"/>
              <w:ind w:right="135"/>
              <w:rPr>
                <w:b/>
                <w:sz w:val="22"/>
              </w:rPr>
            </w:pPr>
            <w:r>
              <w:rPr>
                <w:b/>
                <w:sz w:val="22"/>
              </w:rPr>
              <w:t>13,693</w:t>
            </w:r>
          </w:p>
        </w:tc>
        <w:tc>
          <w:tcPr>
            <w:tcW w:w="1248" w:type="dxa"/>
            <w:tcBorders>
              <w:top w:val="single" w:sz="4" w:space="0" w:color="000000"/>
              <w:bottom w:val="double" w:sz="1" w:space="0" w:color="000000"/>
            </w:tcBorders>
          </w:tcPr>
          <w:p>
            <w:pPr>
              <w:pStyle w:val="TableParagraph"/>
              <w:spacing w:before="10"/>
              <w:ind w:right="105"/>
              <w:rPr>
                <w:b/>
                <w:sz w:val="22"/>
              </w:rPr>
            </w:pPr>
            <w:r>
              <w:rPr>
                <w:b/>
                <w:sz w:val="22"/>
              </w:rPr>
              <w:t>13,630</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after="1"/>
        <w:rPr>
          <w:sz w:val="11"/>
        </w:rPr>
      </w:pPr>
    </w:p>
    <w:tbl>
      <w:tblPr>
        <w:tblW w:w="0" w:type="auto"/>
        <w:jc w:val="left"/>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5"/>
        <w:gridCol w:w="3126"/>
        <w:gridCol w:w="1269"/>
      </w:tblGrid>
      <w:tr>
        <w:trPr>
          <w:trHeight w:val="294" w:hRule="atLeast"/>
        </w:trPr>
        <w:tc>
          <w:tcPr>
            <w:tcW w:w="4085" w:type="dxa"/>
            <w:tcBorders>
              <w:top w:val="double" w:sz="1" w:space="0" w:color="000000"/>
              <w:bottom w:val="double" w:sz="1" w:space="0" w:color="000000"/>
            </w:tcBorders>
          </w:tcPr>
          <w:p>
            <w:pPr>
              <w:pStyle w:val="TableParagraph"/>
              <w:spacing w:line="274" w:lineRule="exact" w:before="0"/>
              <w:ind w:left="115"/>
              <w:jc w:val="left"/>
              <w:rPr>
                <w:b/>
                <w:sz w:val="24"/>
              </w:rPr>
            </w:pPr>
            <w:r>
              <w:rPr>
                <w:b/>
                <w:sz w:val="24"/>
              </w:rPr>
              <w:t>TOTAL</w:t>
            </w:r>
            <w:r>
              <w:rPr>
                <w:b/>
                <w:i/>
                <w:position w:val="10"/>
                <w:sz w:val="13"/>
              </w:rPr>
              <w:t>10 </w:t>
            </w:r>
            <w:r>
              <w:rPr>
                <w:b/>
                <w:sz w:val="24"/>
              </w:rPr>
              <w:t>(HRMOIR)</w:t>
            </w:r>
          </w:p>
        </w:tc>
        <w:tc>
          <w:tcPr>
            <w:tcW w:w="3126" w:type="dxa"/>
            <w:tcBorders>
              <w:top w:val="double" w:sz="1" w:space="0" w:color="000000"/>
              <w:bottom w:val="double" w:sz="1" w:space="0" w:color="000000"/>
            </w:tcBorders>
          </w:tcPr>
          <w:p>
            <w:pPr>
              <w:pStyle w:val="TableParagraph"/>
              <w:spacing w:line="274" w:lineRule="exact" w:before="0"/>
              <w:ind w:left="2076"/>
              <w:jc w:val="left"/>
              <w:rPr>
                <w:b/>
                <w:sz w:val="24"/>
              </w:rPr>
            </w:pPr>
            <w:r>
              <w:rPr>
                <w:b/>
                <w:sz w:val="24"/>
              </w:rPr>
              <w:t>152,859</w:t>
            </w:r>
          </w:p>
        </w:tc>
        <w:tc>
          <w:tcPr>
            <w:tcW w:w="1269" w:type="dxa"/>
            <w:tcBorders>
              <w:top w:val="double" w:sz="1" w:space="0" w:color="000000"/>
              <w:bottom w:val="double" w:sz="1" w:space="0" w:color="000000"/>
            </w:tcBorders>
          </w:tcPr>
          <w:p>
            <w:pPr>
              <w:pStyle w:val="TableParagraph"/>
              <w:spacing w:line="274" w:lineRule="exact" w:before="0"/>
              <w:ind w:left="256"/>
              <w:jc w:val="left"/>
              <w:rPr>
                <w:b/>
                <w:sz w:val="24"/>
              </w:rPr>
            </w:pPr>
            <w:r>
              <w:rPr>
                <w:b/>
                <w:sz w:val="24"/>
              </w:rPr>
              <w:t>119,416</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
        <w:rPr>
          <w:sz w:val="15"/>
        </w:rPr>
      </w:pPr>
      <w:r>
        <w:rPr/>
        <w:pict>
          <v:shape style="position:absolute;margin-left:63.863998pt;margin-top:11.47312pt;width:144.050pt;height:.1pt;mso-position-horizontal-relative:page;mso-position-vertical-relative:paragraph;z-index:-251654144;mso-wrap-distance-left:0;mso-wrap-distance-right:0" coordorigin="1277,229" coordsize="2881,0" path="m1277,229l4158,229e" filled="false" stroked="true" strokeweight=".599980pt" strokecolor="#000000">
            <v:path arrowok="t"/>
            <v:stroke dashstyle="solid"/>
            <w10:wrap type="topAndBottom"/>
          </v:shape>
        </w:pict>
      </w:r>
    </w:p>
    <w:p>
      <w:pPr>
        <w:spacing w:before="59"/>
        <w:ind w:left="597" w:right="0" w:firstLine="0"/>
        <w:jc w:val="left"/>
        <w:rPr>
          <w:sz w:val="16"/>
        </w:rPr>
      </w:pPr>
      <w:r>
        <w:rPr>
          <w:rFonts w:ascii="Arial"/>
          <w:position w:val="8"/>
          <w:sz w:val="10"/>
        </w:rPr>
        <w:t>7 </w:t>
      </w:r>
      <w:r>
        <w:rPr>
          <w:sz w:val="16"/>
        </w:rPr>
        <w:t>The Pharmaceutical Council of WA was abolished on 17 October 2010 and its functions have been transferred to the federal Australian Health Practitioner Regulation Agency (AHPRA).</w:t>
      </w:r>
    </w:p>
    <w:p>
      <w:pPr>
        <w:spacing w:line="184" w:lineRule="exact" w:before="0"/>
        <w:ind w:left="597" w:right="0" w:firstLine="0"/>
        <w:jc w:val="left"/>
        <w:rPr>
          <w:sz w:val="16"/>
        </w:rPr>
      </w:pPr>
      <w:r>
        <w:rPr>
          <w:rFonts w:ascii="Arial"/>
          <w:position w:val="8"/>
          <w:sz w:val="10"/>
        </w:rPr>
        <w:t>8 </w:t>
      </w:r>
      <w:r>
        <w:rPr>
          <w:sz w:val="16"/>
        </w:rPr>
        <w:t>Hairdressers Registration Board of WA was abolished on 1 November 2010.</w:t>
      </w:r>
    </w:p>
    <w:p>
      <w:pPr>
        <w:spacing w:line="196" w:lineRule="exact" w:before="0"/>
        <w:ind w:left="597" w:right="0" w:firstLine="0"/>
        <w:jc w:val="left"/>
        <w:rPr>
          <w:sz w:val="16"/>
        </w:rPr>
      </w:pPr>
      <w:r>
        <w:rPr>
          <w:position w:val="8"/>
          <w:sz w:val="10"/>
        </w:rPr>
        <w:t>9 </w:t>
      </w:r>
      <w:r>
        <w:rPr>
          <w:sz w:val="16"/>
        </w:rPr>
        <w:t>The sum may not equal the total due to rounding.</w:t>
      </w:r>
    </w:p>
    <w:p>
      <w:pPr>
        <w:spacing w:line="207" w:lineRule="exact" w:before="0"/>
        <w:ind w:left="597" w:right="0" w:firstLine="0"/>
        <w:jc w:val="left"/>
        <w:rPr>
          <w:sz w:val="16"/>
        </w:rPr>
      </w:pPr>
      <w:r>
        <w:rPr>
          <w:position w:val="8"/>
          <w:sz w:val="10"/>
        </w:rPr>
        <w:t>10 </w:t>
      </w:r>
      <w:r>
        <w:rPr>
          <w:sz w:val="16"/>
        </w:rPr>
        <w:t>The sum may not equal the total due to rounding.</w:t>
      </w:r>
    </w:p>
    <w:sectPr>
      <w:pgSz w:w="11910" w:h="16850"/>
      <w:pgMar w:header="0" w:footer="373" w:top="1120" w:bottom="640" w:left="68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719971pt;margin-top:808.48999pt;width:10.1pt;height:10.050pt;mso-position-horizontal-relative:page;mso-position-vertical-relative:page;z-index:-253535232" type="#_x0000_t202" filled="false" stroked="false">
          <v:textbox inset="0,0,0,0">
            <w:txbxContent>
              <w:p>
                <w:pPr>
                  <w:spacing w:line="184" w:lineRule="exact" w:before="0"/>
                  <w:ind w:left="60" w:right="0" w:firstLine="0"/>
                  <w:jc w:val="left"/>
                  <w:rPr>
                    <w:sz w:val="16"/>
                  </w:rPr>
                </w:pPr>
                <w:r>
                  <w:rPr/>
                  <w:fldChar w:fldCharType="begin"/>
                </w:r>
                <w:r>
                  <w:rPr>
                    <w:w w:val="100"/>
                    <w:sz w:val="16"/>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17" w:hanging="360"/>
        <w:jc w:val="left"/>
      </w:pPr>
      <w:rPr>
        <w:rFonts w:hint="default" w:ascii="Calibri" w:hAnsi="Calibri" w:eastAsia="Calibri" w:cs="Calibri"/>
        <w:w w:val="100"/>
        <w:sz w:val="22"/>
        <w:szCs w:val="22"/>
        <w:lang w:val="en-au" w:eastAsia="en-au" w:bidi="en-au"/>
      </w:rPr>
    </w:lvl>
    <w:lvl w:ilvl="1">
      <w:start w:val="0"/>
      <w:numFmt w:val="bullet"/>
      <w:lvlText w:val="•"/>
      <w:lvlJc w:val="left"/>
      <w:pPr>
        <w:ind w:left="2244" w:hanging="360"/>
      </w:pPr>
      <w:rPr>
        <w:rFonts w:hint="default"/>
        <w:lang w:val="en-au" w:eastAsia="en-au" w:bidi="en-au"/>
      </w:rPr>
    </w:lvl>
    <w:lvl w:ilvl="2">
      <w:start w:val="0"/>
      <w:numFmt w:val="bullet"/>
      <w:lvlText w:val="•"/>
      <w:lvlJc w:val="left"/>
      <w:pPr>
        <w:ind w:left="3168" w:hanging="360"/>
      </w:pPr>
      <w:rPr>
        <w:rFonts w:hint="default"/>
        <w:lang w:val="en-au" w:eastAsia="en-au" w:bidi="en-au"/>
      </w:rPr>
    </w:lvl>
    <w:lvl w:ilvl="3">
      <w:start w:val="0"/>
      <w:numFmt w:val="bullet"/>
      <w:lvlText w:val="•"/>
      <w:lvlJc w:val="left"/>
      <w:pPr>
        <w:ind w:left="4093" w:hanging="360"/>
      </w:pPr>
      <w:rPr>
        <w:rFonts w:hint="default"/>
        <w:lang w:val="en-au" w:eastAsia="en-au" w:bidi="en-au"/>
      </w:rPr>
    </w:lvl>
    <w:lvl w:ilvl="4">
      <w:start w:val="0"/>
      <w:numFmt w:val="bullet"/>
      <w:lvlText w:val="•"/>
      <w:lvlJc w:val="left"/>
      <w:pPr>
        <w:ind w:left="5017" w:hanging="360"/>
      </w:pPr>
      <w:rPr>
        <w:rFonts w:hint="default"/>
        <w:lang w:val="en-au" w:eastAsia="en-au" w:bidi="en-au"/>
      </w:rPr>
    </w:lvl>
    <w:lvl w:ilvl="5">
      <w:start w:val="0"/>
      <w:numFmt w:val="bullet"/>
      <w:lvlText w:val="•"/>
      <w:lvlJc w:val="left"/>
      <w:pPr>
        <w:ind w:left="5942" w:hanging="360"/>
      </w:pPr>
      <w:rPr>
        <w:rFonts w:hint="default"/>
        <w:lang w:val="en-au" w:eastAsia="en-au" w:bidi="en-au"/>
      </w:rPr>
    </w:lvl>
    <w:lvl w:ilvl="6">
      <w:start w:val="0"/>
      <w:numFmt w:val="bullet"/>
      <w:lvlText w:val="•"/>
      <w:lvlJc w:val="left"/>
      <w:pPr>
        <w:ind w:left="6866" w:hanging="360"/>
      </w:pPr>
      <w:rPr>
        <w:rFonts w:hint="default"/>
        <w:lang w:val="en-au" w:eastAsia="en-au" w:bidi="en-au"/>
      </w:rPr>
    </w:lvl>
    <w:lvl w:ilvl="7">
      <w:start w:val="0"/>
      <w:numFmt w:val="bullet"/>
      <w:lvlText w:val="•"/>
      <w:lvlJc w:val="left"/>
      <w:pPr>
        <w:ind w:left="7790" w:hanging="360"/>
      </w:pPr>
      <w:rPr>
        <w:rFonts w:hint="default"/>
        <w:lang w:val="en-au" w:eastAsia="en-au" w:bidi="en-au"/>
      </w:rPr>
    </w:lvl>
    <w:lvl w:ilvl="8">
      <w:start w:val="0"/>
      <w:numFmt w:val="bullet"/>
      <w:lvlText w:val="•"/>
      <w:lvlJc w:val="left"/>
      <w:pPr>
        <w:ind w:left="8715"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ListParagraph" w:type="paragraph">
    <w:name w:val="List Paragraph"/>
    <w:basedOn w:val="Normal"/>
    <w:uiPriority w:val="1"/>
    <w:qFormat/>
    <w:pPr>
      <w:spacing w:line="276" w:lineRule="exact"/>
      <w:ind w:left="1317" w:hanging="361"/>
      <w:jc w:val="both"/>
    </w:pPr>
    <w:rPr>
      <w:rFonts w:ascii="Calibri" w:hAnsi="Calibri" w:eastAsia="Calibri" w:cs="Calibri"/>
      <w:lang w:val="en-au" w:eastAsia="en-au" w:bidi="en-au"/>
    </w:rPr>
  </w:style>
  <w:style w:styleId="TableParagraph" w:type="paragraph">
    <w:name w:val="Table Paragraph"/>
    <w:basedOn w:val="Normal"/>
    <w:uiPriority w:val="1"/>
    <w:qFormat/>
    <w:pPr>
      <w:spacing w:before="11"/>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erms:created xsi:type="dcterms:W3CDTF">2020-03-05T03:06:53Z</dcterms:created>
  <dcterms:modified xsi:type="dcterms:W3CDTF">2020-03-05T03:06:53Z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2011-09-08T00:00:00Z</vt:filetime>
  </property>
  <property fmtid="{D5CDD505-2E9C-101B-9397-08002B2CF9AE}" pid="3" name="Creator">
    <vt:lpwstr>Microsoft® Office Word 2007</vt:lpwstr>
  </property>
  <property fmtid="{D5CDD505-2E9C-101B-9397-08002B2CF9AE}" pid="4" name="LastSaved">
    <vt:filetime>2020-03-05T00:00:00Z</vt:filetime>
  </property>
</Properties>
</file>