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76" w:lineRule="exact" w:before="156"/>
        <w:ind w:left="1722" w:right="0" w:firstLine="0"/>
        <w:jc w:val="left"/>
        <w:rPr>
          <w:rFonts w:ascii="Arial"/>
          <w:b/>
          <w:sz w:val="24"/>
        </w:rPr>
      </w:pPr>
      <w:r>
        <w:rPr/>
        <w:drawing>
          <wp:anchor distT="0" distB="0" distL="0" distR="0" allowOverlap="1" layoutInCell="1" locked="0" behindDoc="0" simplePos="0" relativeHeight="251659264">
            <wp:simplePos x="0" y="0"/>
            <wp:positionH relativeFrom="page">
              <wp:posOffset>940219</wp:posOffset>
            </wp:positionH>
            <wp:positionV relativeFrom="paragraph">
              <wp:posOffset>-341</wp:posOffset>
            </wp:positionV>
            <wp:extent cx="613882" cy="466805"/>
            <wp:effectExtent l="0" t="0" r="0" b="0"/>
            <wp:wrapNone/>
            <wp:docPr id="1" name="image1.png" descr="State Crest Black (Large).tif"/>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13882" cy="466805"/>
                    </a:xfrm>
                    <a:prstGeom prst="rect">
                      <a:avLst/>
                    </a:prstGeom>
                  </pic:spPr>
                </pic:pic>
              </a:graphicData>
            </a:graphic>
          </wp:anchor>
        </w:drawing>
      </w:r>
      <w:r>
        <w:rPr>
          <w:rFonts w:ascii="Arial"/>
          <w:sz w:val="24"/>
        </w:rPr>
        <w:t>Government of </w:t>
      </w:r>
      <w:r>
        <w:rPr>
          <w:rFonts w:ascii="Arial"/>
          <w:b/>
          <w:sz w:val="24"/>
        </w:rPr>
        <w:t>Western Australia</w:t>
      </w:r>
    </w:p>
    <w:p>
      <w:pPr>
        <w:spacing w:line="230" w:lineRule="exact" w:before="0"/>
        <w:ind w:left="1722" w:right="0" w:firstLine="0"/>
        <w:jc w:val="left"/>
        <w:rPr>
          <w:rFonts w:ascii="Arial"/>
          <w:b/>
          <w:sz w:val="20"/>
        </w:rPr>
      </w:pPr>
      <w:r>
        <w:rPr>
          <w:rFonts w:ascii="Arial"/>
          <w:b/>
          <w:sz w:val="20"/>
        </w:rPr>
        <w:t>Public Sector Commission</w:t>
      </w:r>
    </w:p>
    <w:p>
      <w:pPr>
        <w:pStyle w:val="BodyText"/>
        <w:spacing w:before="6"/>
        <w:rPr>
          <w:rFonts w:ascii="Arial"/>
          <w:b/>
          <w:sz w:val="17"/>
        </w:rPr>
      </w:pPr>
    </w:p>
    <w:p>
      <w:pPr>
        <w:spacing w:before="1"/>
        <w:ind w:left="1117" w:right="0" w:firstLine="0"/>
        <w:jc w:val="left"/>
        <w:rPr>
          <w:b/>
          <w:sz w:val="28"/>
        </w:rPr>
      </w:pPr>
      <w:r>
        <w:rPr>
          <w:b/>
          <w:sz w:val="28"/>
        </w:rPr>
        <w:t>Western Australian Public Sector Workforce Report (March 2010)</w:t>
      </w:r>
    </w:p>
    <w:p>
      <w:pPr>
        <w:pStyle w:val="BodyText"/>
        <w:spacing w:before="118"/>
        <w:ind w:left="238" w:right="125"/>
        <w:jc w:val="both"/>
      </w:pPr>
      <w:r>
        <w:rPr/>
        <w:t>In 2007/08, the Department of the Premier and Cabinet (DPC) introduced a new information system to improve workforce reporting on the Western Australian public sector.</w:t>
      </w:r>
      <w:r>
        <w:rPr>
          <w:vertAlign w:val="superscript"/>
        </w:rPr>
        <w:t>1</w:t>
      </w:r>
      <w:r>
        <w:rPr>
          <w:vertAlign w:val="baseline"/>
        </w:rPr>
        <w:t> This process is referred to as the </w:t>
      </w:r>
      <w:r>
        <w:rPr>
          <w:i/>
          <w:vertAlign w:val="baseline"/>
        </w:rPr>
        <w:t>Human Resource Minimum Obligatory Information Requirements </w:t>
      </w:r>
      <w:r>
        <w:rPr>
          <w:vertAlign w:val="baseline"/>
        </w:rPr>
        <w:t>(HR MOIR). The Public Sector Commission (PSC) was created in November 2008 and is continuing this process.</w:t>
      </w:r>
    </w:p>
    <w:p>
      <w:pPr>
        <w:pStyle w:val="BodyText"/>
        <w:spacing w:before="121"/>
        <w:ind w:left="238"/>
        <w:jc w:val="both"/>
      </w:pPr>
      <w:r>
        <w:rPr/>
        <w:t>This report provides information, as at 31 March 2010, on:</w:t>
      </w:r>
    </w:p>
    <w:p>
      <w:pPr>
        <w:pStyle w:val="ListParagraph"/>
        <w:numPr>
          <w:ilvl w:val="0"/>
          <w:numId w:val="1"/>
        </w:numPr>
        <w:tabs>
          <w:tab w:pos="959" w:val="left" w:leader="none"/>
        </w:tabs>
        <w:spacing w:line="275" w:lineRule="exact" w:before="106" w:after="0"/>
        <w:ind w:left="958" w:right="0" w:hanging="361"/>
        <w:jc w:val="both"/>
        <w:rPr>
          <w:sz w:val="22"/>
        </w:rPr>
      </w:pPr>
      <w:r>
        <w:rPr>
          <w:sz w:val="22"/>
        </w:rPr>
        <w:t>Headcount</w:t>
      </w:r>
      <w:r>
        <w:rPr>
          <w:position w:val="10"/>
          <w:sz w:val="13"/>
        </w:rPr>
        <w:t>2</w:t>
      </w:r>
      <w:r>
        <w:rPr>
          <w:sz w:val="22"/>
        </w:rPr>
        <w:t>- the number of employees in WA public sector</w:t>
      </w:r>
      <w:r>
        <w:rPr>
          <w:spacing w:val="-10"/>
          <w:sz w:val="22"/>
        </w:rPr>
        <w:t> </w:t>
      </w:r>
      <w:r>
        <w:rPr>
          <w:sz w:val="22"/>
        </w:rPr>
        <w:t>agencies;</w:t>
      </w:r>
    </w:p>
    <w:p>
      <w:pPr>
        <w:pStyle w:val="ListParagraph"/>
        <w:numPr>
          <w:ilvl w:val="0"/>
          <w:numId w:val="1"/>
        </w:numPr>
        <w:tabs>
          <w:tab w:pos="959" w:val="left" w:leader="none"/>
        </w:tabs>
        <w:spacing w:line="275" w:lineRule="exact" w:before="0" w:after="0"/>
        <w:ind w:left="958" w:right="0" w:hanging="361"/>
        <w:jc w:val="both"/>
        <w:rPr>
          <w:sz w:val="22"/>
        </w:rPr>
      </w:pPr>
      <w:r>
        <w:rPr>
          <w:sz w:val="22"/>
        </w:rPr>
        <w:t>Paid FTE</w:t>
      </w:r>
      <w:r>
        <w:rPr>
          <w:position w:val="10"/>
          <w:sz w:val="13"/>
        </w:rPr>
        <w:t>3</w:t>
      </w:r>
      <w:r>
        <w:rPr>
          <w:sz w:val="22"/>
        </w:rPr>
        <w:t>- full time equivalent (FTE) employees in WA public sector agencies;</w:t>
      </w:r>
      <w:r>
        <w:rPr>
          <w:spacing w:val="-17"/>
          <w:sz w:val="22"/>
        </w:rPr>
        <w:t> </w:t>
      </w:r>
      <w:r>
        <w:rPr>
          <w:sz w:val="22"/>
        </w:rPr>
        <w:t>and</w:t>
      </w:r>
    </w:p>
    <w:p>
      <w:pPr>
        <w:pStyle w:val="ListParagraph"/>
        <w:numPr>
          <w:ilvl w:val="0"/>
          <w:numId w:val="1"/>
        </w:numPr>
        <w:tabs>
          <w:tab w:pos="959" w:val="left" w:leader="none"/>
        </w:tabs>
        <w:spacing w:line="240" w:lineRule="auto" w:before="0" w:after="0"/>
        <w:ind w:left="958" w:right="125" w:hanging="360"/>
        <w:jc w:val="both"/>
        <w:rPr>
          <w:sz w:val="22"/>
        </w:rPr>
      </w:pPr>
      <w:r>
        <w:rPr>
          <w:sz w:val="22"/>
        </w:rPr>
        <w:t>Average Paid FTE</w:t>
      </w:r>
      <w:r>
        <w:rPr>
          <w:sz w:val="22"/>
          <w:vertAlign w:val="superscript"/>
        </w:rPr>
        <w:t>4</w:t>
      </w:r>
      <w:r>
        <w:rPr>
          <w:sz w:val="22"/>
          <w:vertAlign w:val="baseline"/>
        </w:rPr>
        <w:t>- Seasonally adjusted average full time equivalent (FTE) employees in WA public sector agencies.</w:t>
      </w:r>
    </w:p>
    <w:p>
      <w:pPr>
        <w:pStyle w:val="BodyText"/>
        <w:spacing w:before="121"/>
        <w:ind w:left="238" w:right="124"/>
        <w:jc w:val="both"/>
      </w:pPr>
      <w:r>
        <w:rPr/>
        <w:t>In accordance with the Premier’s Economic Statement in February 2009  and the Cabinet decision of    27 July 2009, an FTE ceiling has been imposed on public sector agencies. PSC is assisting the Department of Treasury and Finance (DTF) with the monitoring and reporting of this process. The March 2010 Workforce Report categorises agencies that are required to meet the FTE ceiling, and those not required to do so. Note, there are five agencies that are required to comply with an FTE ceiling that do not report HR MOIR data to PSC (refer Table</w:t>
      </w:r>
      <w:r>
        <w:rPr>
          <w:spacing w:val="-15"/>
        </w:rPr>
        <w:t> </w:t>
      </w:r>
      <w:r>
        <w:rPr/>
        <w:t>2).</w:t>
      </w:r>
    </w:p>
    <w:p>
      <w:pPr>
        <w:pStyle w:val="BodyText"/>
        <w:spacing w:before="122"/>
        <w:ind w:left="238" w:right="123"/>
        <w:jc w:val="both"/>
      </w:pPr>
      <w:r>
        <w:rPr/>
        <w:t>PSC’s FTE methodology is different from the methodology used by DTF to calculate agencies’ FTE ceilings. On 27 July 2009, Cabinet endorsed for the existing FTE Ceiling methodology to transition to PSC’s HR MOIR methodology by the end of 2009/10. PSC and DTF are working together to ensure that the monitoring of FTE variances will be comparable, and will also enable existing PSC and public sector agencies’ systems, processes and FTE definitions to continue to be</w:t>
      </w:r>
      <w:r>
        <w:rPr>
          <w:spacing w:val="-7"/>
        </w:rPr>
        <w:t> </w:t>
      </w:r>
      <w:r>
        <w:rPr/>
        <w:t>used.</w:t>
      </w:r>
    </w:p>
    <w:p>
      <w:pPr>
        <w:pStyle w:val="BodyText"/>
      </w:pPr>
    </w:p>
    <w:p>
      <w:pPr>
        <w:pStyle w:val="BodyText"/>
        <w:spacing w:before="7"/>
        <w:rPr>
          <w:sz w:val="19"/>
        </w:rPr>
      </w:pPr>
    </w:p>
    <w:p>
      <w:pPr>
        <w:pStyle w:val="BodyText"/>
        <w:ind w:left="238"/>
        <w:jc w:val="both"/>
      </w:pPr>
      <w:r>
        <w:rPr>
          <w:color w:val="933634"/>
        </w:rPr>
        <w:t>Table 1: Agencies Subject to a 2009/10 FTE Ceiling</w:t>
      </w:r>
    </w:p>
    <w:p>
      <w:pPr>
        <w:pStyle w:val="BodyText"/>
        <w:spacing w:before="4"/>
        <w:rPr>
          <w:sz w:val="10"/>
        </w:r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78"/>
        <w:gridCol w:w="1556"/>
        <w:gridCol w:w="1189"/>
        <w:gridCol w:w="1056"/>
      </w:tblGrid>
      <w:tr>
        <w:trPr>
          <w:trHeight w:val="486" w:hRule="atLeast"/>
        </w:trPr>
        <w:tc>
          <w:tcPr>
            <w:tcW w:w="5678" w:type="dxa"/>
            <w:tcBorders>
              <w:top w:val="single" w:sz="8" w:space="0" w:color="4F81BC"/>
              <w:bottom w:val="single" w:sz="8" w:space="0" w:color="4F81BC"/>
            </w:tcBorders>
          </w:tcPr>
          <w:p>
            <w:pPr>
              <w:pStyle w:val="TableParagraph"/>
              <w:spacing w:line="240" w:lineRule="auto" w:before="0"/>
              <w:jc w:val="left"/>
              <w:rPr>
                <w:rFonts w:ascii="Times New Roman"/>
                <w:sz w:val="20"/>
              </w:rPr>
            </w:pPr>
          </w:p>
        </w:tc>
        <w:tc>
          <w:tcPr>
            <w:tcW w:w="1556" w:type="dxa"/>
            <w:tcBorders>
              <w:top w:val="single" w:sz="8" w:space="0" w:color="4F81BC"/>
              <w:bottom w:val="single" w:sz="8" w:space="0" w:color="4F81BC"/>
            </w:tcBorders>
          </w:tcPr>
          <w:p>
            <w:pPr>
              <w:pStyle w:val="TableParagraph"/>
              <w:spacing w:line="243" w:lineRule="exact" w:before="0"/>
              <w:ind w:left="508"/>
              <w:jc w:val="left"/>
              <w:rPr>
                <w:b/>
                <w:sz w:val="20"/>
              </w:rPr>
            </w:pPr>
            <w:r>
              <w:rPr>
                <w:b/>
                <w:sz w:val="20"/>
              </w:rPr>
              <w:t>Headcount</w:t>
            </w:r>
          </w:p>
          <w:p>
            <w:pPr>
              <w:pStyle w:val="TableParagraph"/>
              <w:spacing w:line="223" w:lineRule="exact" w:before="0"/>
              <w:ind w:left="556"/>
              <w:jc w:val="left"/>
              <w:rPr>
                <w:b/>
                <w:sz w:val="20"/>
              </w:rPr>
            </w:pPr>
            <w:r>
              <w:rPr>
                <w:b/>
                <w:sz w:val="20"/>
              </w:rPr>
              <w:t>Mar</w:t>
            </w:r>
            <w:r>
              <w:rPr>
                <w:b/>
                <w:spacing w:val="-3"/>
                <w:sz w:val="20"/>
              </w:rPr>
              <w:t> </w:t>
            </w:r>
            <w:r>
              <w:rPr>
                <w:b/>
                <w:sz w:val="20"/>
              </w:rPr>
              <w:t>2010</w:t>
            </w:r>
            <w:r>
              <w:rPr>
                <w:b/>
                <w:sz w:val="20"/>
                <w:vertAlign w:val="superscript"/>
              </w:rPr>
              <w:t>2</w:t>
            </w:r>
          </w:p>
        </w:tc>
        <w:tc>
          <w:tcPr>
            <w:tcW w:w="1189" w:type="dxa"/>
            <w:tcBorders>
              <w:top w:val="single" w:sz="8" w:space="0" w:color="4F81BC"/>
              <w:bottom w:val="single" w:sz="8" w:space="0" w:color="4F81BC"/>
            </w:tcBorders>
          </w:tcPr>
          <w:p>
            <w:pPr>
              <w:pStyle w:val="TableParagraph"/>
              <w:spacing w:line="243" w:lineRule="exact" w:before="0"/>
              <w:ind w:left="308"/>
              <w:jc w:val="left"/>
              <w:rPr>
                <w:b/>
                <w:sz w:val="20"/>
              </w:rPr>
            </w:pPr>
            <w:r>
              <w:rPr>
                <w:b/>
                <w:sz w:val="20"/>
              </w:rPr>
              <w:t>Paid</w:t>
            </w:r>
            <w:r>
              <w:rPr>
                <w:b/>
                <w:spacing w:val="-5"/>
                <w:sz w:val="20"/>
              </w:rPr>
              <w:t> </w:t>
            </w:r>
            <w:r>
              <w:rPr>
                <w:b/>
                <w:sz w:val="20"/>
              </w:rPr>
              <w:t>FTE</w:t>
            </w:r>
          </w:p>
          <w:p>
            <w:pPr>
              <w:pStyle w:val="TableParagraph"/>
              <w:spacing w:line="223" w:lineRule="exact" w:before="0"/>
              <w:ind w:left="140"/>
              <w:jc w:val="left"/>
              <w:rPr>
                <w:b/>
                <w:sz w:val="20"/>
              </w:rPr>
            </w:pPr>
            <w:r>
              <w:rPr>
                <w:b/>
                <w:sz w:val="20"/>
              </w:rPr>
              <w:t>Mar</w:t>
            </w:r>
            <w:r>
              <w:rPr>
                <w:b/>
                <w:spacing w:val="-3"/>
                <w:sz w:val="20"/>
              </w:rPr>
              <w:t> </w:t>
            </w:r>
            <w:r>
              <w:rPr>
                <w:b/>
                <w:sz w:val="20"/>
              </w:rPr>
              <w:t>2010</w:t>
            </w:r>
            <w:r>
              <w:rPr>
                <w:b/>
                <w:sz w:val="20"/>
                <w:vertAlign w:val="superscript"/>
              </w:rPr>
              <w:t>3</w:t>
            </w:r>
          </w:p>
        </w:tc>
        <w:tc>
          <w:tcPr>
            <w:tcW w:w="1056" w:type="dxa"/>
            <w:tcBorders>
              <w:top w:val="single" w:sz="8" w:space="0" w:color="4F81BC"/>
              <w:bottom w:val="single" w:sz="8" w:space="0" w:color="4F81BC"/>
            </w:tcBorders>
          </w:tcPr>
          <w:p>
            <w:pPr>
              <w:pStyle w:val="TableParagraph"/>
              <w:spacing w:line="243" w:lineRule="exact" w:before="0"/>
              <w:ind w:left="269"/>
              <w:jc w:val="left"/>
              <w:rPr>
                <w:b/>
                <w:sz w:val="20"/>
              </w:rPr>
            </w:pPr>
            <w:r>
              <w:rPr>
                <w:b/>
                <w:sz w:val="20"/>
              </w:rPr>
              <w:t>Average</w:t>
            </w:r>
          </w:p>
          <w:p>
            <w:pPr>
              <w:pStyle w:val="TableParagraph"/>
              <w:spacing w:line="223" w:lineRule="exact" w:before="0"/>
              <w:ind w:left="187"/>
              <w:jc w:val="left"/>
              <w:rPr>
                <w:b/>
                <w:sz w:val="20"/>
              </w:rPr>
            </w:pPr>
            <w:r>
              <w:rPr>
                <w:b/>
                <w:sz w:val="20"/>
              </w:rPr>
              <w:t>Paid</w:t>
            </w:r>
            <w:r>
              <w:rPr>
                <w:b/>
                <w:spacing w:val="-6"/>
                <w:sz w:val="20"/>
              </w:rPr>
              <w:t> </w:t>
            </w:r>
            <w:r>
              <w:rPr>
                <w:b/>
                <w:sz w:val="20"/>
              </w:rPr>
              <w:t>FTE</w:t>
            </w:r>
            <w:r>
              <w:rPr>
                <w:b/>
                <w:sz w:val="20"/>
                <w:vertAlign w:val="superscript"/>
              </w:rPr>
              <w:t>4</w:t>
            </w:r>
          </w:p>
        </w:tc>
      </w:tr>
      <w:tr>
        <w:trPr>
          <w:trHeight w:val="301" w:hRule="atLeast"/>
        </w:trPr>
        <w:tc>
          <w:tcPr>
            <w:tcW w:w="5678" w:type="dxa"/>
            <w:tcBorders>
              <w:top w:val="single" w:sz="8" w:space="0" w:color="4F81BC"/>
            </w:tcBorders>
            <w:shd w:val="clear" w:color="auto" w:fill="D2DFED"/>
          </w:tcPr>
          <w:p>
            <w:pPr>
              <w:pStyle w:val="TableParagraph"/>
              <w:spacing w:before="56"/>
              <w:ind w:left="122"/>
              <w:jc w:val="left"/>
              <w:rPr>
                <w:sz w:val="20"/>
              </w:rPr>
            </w:pPr>
            <w:r>
              <w:rPr>
                <w:sz w:val="20"/>
              </w:rPr>
              <w:t>Department of Education</w:t>
            </w:r>
          </w:p>
        </w:tc>
        <w:tc>
          <w:tcPr>
            <w:tcW w:w="1556" w:type="dxa"/>
            <w:tcBorders>
              <w:top w:val="single" w:sz="8" w:space="0" w:color="4F81BC"/>
            </w:tcBorders>
            <w:shd w:val="clear" w:color="auto" w:fill="D2DFED"/>
          </w:tcPr>
          <w:p>
            <w:pPr>
              <w:pStyle w:val="TableParagraph"/>
              <w:spacing w:before="56"/>
              <w:ind w:right="138"/>
              <w:rPr>
                <w:sz w:val="20"/>
              </w:rPr>
            </w:pPr>
            <w:r>
              <w:rPr>
                <w:w w:val="95"/>
                <w:sz w:val="20"/>
              </w:rPr>
              <w:t>49333</w:t>
            </w:r>
          </w:p>
        </w:tc>
        <w:tc>
          <w:tcPr>
            <w:tcW w:w="1189" w:type="dxa"/>
            <w:tcBorders>
              <w:top w:val="single" w:sz="8" w:space="0" w:color="4F81BC"/>
            </w:tcBorders>
            <w:shd w:val="clear" w:color="auto" w:fill="D2DFED"/>
          </w:tcPr>
          <w:p>
            <w:pPr>
              <w:pStyle w:val="TableParagraph"/>
              <w:spacing w:before="56"/>
              <w:ind w:right="187"/>
              <w:rPr>
                <w:sz w:val="20"/>
              </w:rPr>
            </w:pPr>
            <w:r>
              <w:rPr>
                <w:w w:val="95"/>
                <w:sz w:val="20"/>
              </w:rPr>
              <w:t>33024</w:t>
            </w:r>
          </w:p>
        </w:tc>
        <w:tc>
          <w:tcPr>
            <w:tcW w:w="1056" w:type="dxa"/>
            <w:tcBorders>
              <w:top w:val="single" w:sz="8" w:space="0" w:color="4F81BC"/>
            </w:tcBorders>
            <w:shd w:val="clear" w:color="auto" w:fill="D2DFED"/>
          </w:tcPr>
          <w:p>
            <w:pPr>
              <w:pStyle w:val="TableParagraph"/>
              <w:spacing w:before="56"/>
              <w:ind w:right="107"/>
              <w:rPr>
                <w:sz w:val="20"/>
              </w:rPr>
            </w:pPr>
            <w:r>
              <w:rPr>
                <w:w w:val="95"/>
                <w:sz w:val="20"/>
              </w:rPr>
              <w:t>32758</w:t>
            </w:r>
          </w:p>
        </w:tc>
      </w:tr>
      <w:tr>
        <w:trPr>
          <w:trHeight w:val="300" w:hRule="atLeast"/>
        </w:trPr>
        <w:tc>
          <w:tcPr>
            <w:tcW w:w="5678" w:type="dxa"/>
          </w:tcPr>
          <w:p>
            <w:pPr>
              <w:pStyle w:val="TableParagraph"/>
              <w:ind w:left="122"/>
              <w:jc w:val="left"/>
              <w:rPr>
                <w:sz w:val="20"/>
              </w:rPr>
            </w:pPr>
            <w:r>
              <w:rPr>
                <w:sz w:val="20"/>
              </w:rPr>
              <w:t>Department of Health</w:t>
            </w:r>
            <w:r>
              <w:rPr>
                <w:sz w:val="20"/>
                <w:vertAlign w:val="superscript"/>
              </w:rPr>
              <w:t>5</w:t>
            </w:r>
          </w:p>
        </w:tc>
        <w:tc>
          <w:tcPr>
            <w:tcW w:w="1556" w:type="dxa"/>
          </w:tcPr>
          <w:p>
            <w:pPr>
              <w:pStyle w:val="TableParagraph"/>
              <w:ind w:right="138"/>
              <w:rPr>
                <w:sz w:val="20"/>
              </w:rPr>
            </w:pPr>
            <w:r>
              <w:rPr>
                <w:w w:val="95"/>
                <w:sz w:val="20"/>
              </w:rPr>
              <w:t>39827</w:t>
            </w:r>
          </w:p>
        </w:tc>
        <w:tc>
          <w:tcPr>
            <w:tcW w:w="1189" w:type="dxa"/>
          </w:tcPr>
          <w:p>
            <w:pPr>
              <w:pStyle w:val="TableParagraph"/>
              <w:ind w:right="187"/>
              <w:rPr>
                <w:sz w:val="20"/>
              </w:rPr>
            </w:pPr>
            <w:r>
              <w:rPr>
                <w:w w:val="95"/>
                <w:sz w:val="20"/>
              </w:rPr>
              <w:t>32121</w:t>
            </w:r>
          </w:p>
        </w:tc>
        <w:tc>
          <w:tcPr>
            <w:tcW w:w="1056" w:type="dxa"/>
          </w:tcPr>
          <w:p>
            <w:pPr>
              <w:pStyle w:val="TableParagraph"/>
              <w:ind w:right="107"/>
              <w:rPr>
                <w:sz w:val="20"/>
              </w:rPr>
            </w:pPr>
            <w:r>
              <w:rPr>
                <w:w w:val="95"/>
                <w:sz w:val="20"/>
              </w:rPr>
              <w:t>31303</w:t>
            </w:r>
          </w:p>
        </w:tc>
      </w:tr>
      <w:tr>
        <w:trPr>
          <w:trHeight w:val="300" w:hRule="atLeast"/>
        </w:trPr>
        <w:tc>
          <w:tcPr>
            <w:tcW w:w="5678" w:type="dxa"/>
            <w:shd w:val="clear" w:color="auto" w:fill="D2DFED"/>
          </w:tcPr>
          <w:p>
            <w:pPr>
              <w:pStyle w:val="TableParagraph"/>
              <w:ind w:left="122"/>
              <w:jc w:val="left"/>
              <w:rPr>
                <w:sz w:val="20"/>
              </w:rPr>
            </w:pPr>
            <w:r>
              <w:rPr>
                <w:sz w:val="20"/>
              </w:rPr>
              <w:t>Police Service (Western Australia Police) and Police Force</w:t>
            </w:r>
          </w:p>
        </w:tc>
        <w:tc>
          <w:tcPr>
            <w:tcW w:w="1556" w:type="dxa"/>
            <w:shd w:val="clear" w:color="auto" w:fill="D2DFED"/>
          </w:tcPr>
          <w:p>
            <w:pPr>
              <w:pStyle w:val="TableParagraph"/>
              <w:ind w:right="138"/>
              <w:rPr>
                <w:sz w:val="20"/>
              </w:rPr>
            </w:pPr>
            <w:r>
              <w:rPr>
                <w:w w:val="95"/>
                <w:sz w:val="20"/>
              </w:rPr>
              <w:t>8332</w:t>
            </w:r>
          </w:p>
        </w:tc>
        <w:tc>
          <w:tcPr>
            <w:tcW w:w="1189" w:type="dxa"/>
            <w:shd w:val="clear" w:color="auto" w:fill="D2DFED"/>
          </w:tcPr>
          <w:p>
            <w:pPr>
              <w:pStyle w:val="TableParagraph"/>
              <w:ind w:right="187"/>
              <w:rPr>
                <w:sz w:val="20"/>
              </w:rPr>
            </w:pPr>
            <w:r>
              <w:rPr>
                <w:w w:val="95"/>
                <w:sz w:val="20"/>
              </w:rPr>
              <w:t>7450</w:t>
            </w:r>
          </w:p>
        </w:tc>
        <w:tc>
          <w:tcPr>
            <w:tcW w:w="1056" w:type="dxa"/>
            <w:shd w:val="clear" w:color="auto" w:fill="D2DFED"/>
          </w:tcPr>
          <w:p>
            <w:pPr>
              <w:pStyle w:val="TableParagraph"/>
              <w:ind w:right="107"/>
              <w:rPr>
                <w:sz w:val="20"/>
              </w:rPr>
            </w:pPr>
            <w:r>
              <w:rPr>
                <w:w w:val="95"/>
                <w:sz w:val="20"/>
              </w:rPr>
              <w:t>7409</w:t>
            </w:r>
          </w:p>
        </w:tc>
      </w:tr>
      <w:tr>
        <w:trPr>
          <w:trHeight w:val="300" w:hRule="atLeast"/>
        </w:trPr>
        <w:tc>
          <w:tcPr>
            <w:tcW w:w="5678" w:type="dxa"/>
          </w:tcPr>
          <w:p>
            <w:pPr>
              <w:pStyle w:val="TableParagraph"/>
              <w:ind w:left="122"/>
              <w:jc w:val="left"/>
              <w:rPr>
                <w:sz w:val="20"/>
              </w:rPr>
            </w:pPr>
            <w:r>
              <w:rPr>
                <w:sz w:val="20"/>
              </w:rPr>
              <w:t>Department of Corrective Services</w:t>
            </w:r>
          </w:p>
        </w:tc>
        <w:tc>
          <w:tcPr>
            <w:tcW w:w="1556" w:type="dxa"/>
          </w:tcPr>
          <w:p>
            <w:pPr>
              <w:pStyle w:val="TableParagraph"/>
              <w:ind w:right="138"/>
              <w:rPr>
                <w:sz w:val="20"/>
              </w:rPr>
            </w:pPr>
            <w:r>
              <w:rPr>
                <w:w w:val="95"/>
                <w:sz w:val="20"/>
              </w:rPr>
              <w:t>4505</w:t>
            </w:r>
          </w:p>
        </w:tc>
        <w:tc>
          <w:tcPr>
            <w:tcW w:w="1189" w:type="dxa"/>
          </w:tcPr>
          <w:p>
            <w:pPr>
              <w:pStyle w:val="TableParagraph"/>
              <w:ind w:right="187"/>
              <w:rPr>
                <w:sz w:val="20"/>
              </w:rPr>
            </w:pPr>
            <w:r>
              <w:rPr>
                <w:w w:val="95"/>
                <w:sz w:val="20"/>
              </w:rPr>
              <w:t>4054</w:t>
            </w:r>
          </w:p>
        </w:tc>
        <w:tc>
          <w:tcPr>
            <w:tcW w:w="1056" w:type="dxa"/>
          </w:tcPr>
          <w:p>
            <w:pPr>
              <w:pStyle w:val="TableParagraph"/>
              <w:ind w:right="107"/>
              <w:rPr>
                <w:sz w:val="20"/>
              </w:rPr>
            </w:pPr>
            <w:r>
              <w:rPr>
                <w:w w:val="95"/>
                <w:sz w:val="20"/>
              </w:rPr>
              <w:t>3864</w:t>
            </w:r>
          </w:p>
        </w:tc>
      </w:tr>
      <w:tr>
        <w:trPr>
          <w:trHeight w:val="300" w:hRule="atLeast"/>
        </w:trPr>
        <w:tc>
          <w:tcPr>
            <w:tcW w:w="5678" w:type="dxa"/>
            <w:shd w:val="clear" w:color="auto" w:fill="D2DFED"/>
          </w:tcPr>
          <w:p>
            <w:pPr>
              <w:pStyle w:val="TableParagraph"/>
              <w:ind w:left="122"/>
              <w:jc w:val="left"/>
              <w:rPr>
                <w:sz w:val="20"/>
              </w:rPr>
            </w:pPr>
            <w:r>
              <w:rPr>
                <w:sz w:val="20"/>
              </w:rPr>
              <w:t>Department for Child Protection</w:t>
            </w:r>
          </w:p>
        </w:tc>
        <w:tc>
          <w:tcPr>
            <w:tcW w:w="1556" w:type="dxa"/>
            <w:shd w:val="clear" w:color="auto" w:fill="D2DFED"/>
          </w:tcPr>
          <w:p>
            <w:pPr>
              <w:pStyle w:val="TableParagraph"/>
              <w:ind w:right="138"/>
              <w:rPr>
                <w:sz w:val="20"/>
              </w:rPr>
            </w:pPr>
            <w:r>
              <w:rPr>
                <w:w w:val="95"/>
                <w:sz w:val="20"/>
              </w:rPr>
              <w:t>2196</w:t>
            </w:r>
          </w:p>
        </w:tc>
        <w:tc>
          <w:tcPr>
            <w:tcW w:w="1189" w:type="dxa"/>
            <w:shd w:val="clear" w:color="auto" w:fill="D2DFED"/>
          </w:tcPr>
          <w:p>
            <w:pPr>
              <w:pStyle w:val="TableParagraph"/>
              <w:ind w:right="187"/>
              <w:rPr>
                <w:sz w:val="20"/>
              </w:rPr>
            </w:pPr>
            <w:r>
              <w:rPr>
                <w:w w:val="95"/>
                <w:sz w:val="20"/>
              </w:rPr>
              <w:t>1905</w:t>
            </w:r>
          </w:p>
        </w:tc>
        <w:tc>
          <w:tcPr>
            <w:tcW w:w="1056" w:type="dxa"/>
            <w:shd w:val="clear" w:color="auto" w:fill="D2DFED"/>
          </w:tcPr>
          <w:p>
            <w:pPr>
              <w:pStyle w:val="TableParagraph"/>
              <w:ind w:right="107"/>
              <w:rPr>
                <w:sz w:val="20"/>
              </w:rPr>
            </w:pPr>
            <w:r>
              <w:rPr>
                <w:w w:val="95"/>
                <w:sz w:val="20"/>
              </w:rPr>
              <w:t>1863</w:t>
            </w:r>
          </w:p>
        </w:tc>
      </w:tr>
      <w:tr>
        <w:trPr>
          <w:trHeight w:val="300" w:hRule="atLeast"/>
        </w:trPr>
        <w:tc>
          <w:tcPr>
            <w:tcW w:w="5678" w:type="dxa"/>
          </w:tcPr>
          <w:p>
            <w:pPr>
              <w:pStyle w:val="TableParagraph"/>
              <w:ind w:left="122"/>
              <w:jc w:val="left"/>
              <w:rPr>
                <w:sz w:val="20"/>
              </w:rPr>
            </w:pPr>
            <w:r>
              <w:rPr>
                <w:sz w:val="20"/>
              </w:rPr>
              <w:t>Department of Environment and Conservation</w:t>
            </w:r>
          </w:p>
        </w:tc>
        <w:tc>
          <w:tcPr>
            <w:tcW w:w="1556" w:type="dxa"/>
          </w:tcPr>
          <w:p>
            <w:pPr>
              <w:pStyle w:val="TableParagraph"/>
              <w:ind w:right="138"/>
              <w:rPr>
                <w:sz w:val="20"/>
              </w:rPr>
            </w:pPr>
            <w:r>
              <w:rPr>
                <w:w w:val="95"/>
                <w:sz w:val="20"/>
              </w:rPr>
              <w:t>2192</w:t>
            </w:r>
          </w:p>
        </w:tc>
        <w:tc>
          <w:tcPr>
            <w:tcW w:w="1189" w:type="dxa"/>
          </w:tcPr>
          <w:p>
            <w:pPr>
              <w:pStyle w:val="TableParagraph"/>
              <w:ind w:right="187"/>
              <w:rPr>
                <w:sz w:val="20"/>
              </w:rPr>
            </w:pPr>
            <w:r>
              <w:rPr>
                <w:w w:val="95"/>
                <w:sz w:val="20"/>
              </w:rPr>
              <w:t>1867</w:t>
            </w:r>
          </w:p>
        </w:tc>
        <w:tc>
          <w:tcPr>
            <w:tcW w:w="1056" w:type="dxa"/>
          </w:tcPr>
          <w:p>
            <w:pPr>
              <w:pStyle w:val="TableParagraph"/>
              <w:ind w:right="107"/>
              <w:rPr>
                <w:sz w:val="20"/>
              </w:rPr>
            </w:pPr>
            <w:r>
              <w:rPr>
                <w:w w:val="95"/>
                <w:sz w:val="20"/>
              </w:rPr>
              <w:t>1902</w:t>
            </w:r>
          </w:p>
        </w:tc>
      </w:tr>
      <w:tr>
        <w:trPr>
          <w:trHeight w:val="300" w:hRule="atLeast"/>
        </w:trPr>
        <w:tc>
          <w:tcPr>
            <w:tcW w:w="5678" w:type="dxa"/>
            <w:shd w:val="clear" w:color="auto" w:fill="D2DFED"/>
          </w:tcPr>
          <w:p>
            <w:pPr>
              <w:pStyle w:val="TableParagraph"/>
              <w:ind w:left="122"/>
              <w:jc w:val="left"/>
              <w:rPr>
                <w:sz w:val="20"/>
              </w:rPr>
            </w:pPr>
            <w:r>
              <w:rPr>
                <w:sz w:val="20"/>
              </w:rPr>
              <w:t>Disability Services Commission</w:t>
            </w:r>
          </w:p>
        </w:tc>
        <w:tc>
          <w:tcPr>
            <w:tcW w:w="1556" w:type="dxa"/>
            <w:shd w:val="clear" w:color="auto" w:fill="D2DFED"/>
          </w:tcPr>
          <w:p>
            <w:pPr>
              <w:pStyle w:val="TableParagraph"/>
              <w:ind w:right="138"/>
              <w:rPr>
                <w:sz w:val="20"/>
              </w:rPr>
            </w:pPr>
            <w:r>
              <w:rPr>
                <w:w w:val="95"/>
                <w:sz w:val="20"/>
              </w:rPr>
              <w:t>1989</w:t>
            </w:r>
          </w:p>
        </w:tc>
        <w:tc>
          <w:tcPr>
            <w:tcW w:w="1189" w:type="dxa"/>
            <w:shd w:val="clear" w:color="auto" w:fill="D2DFED"/>
          </w:tcPr>
          <w:p>
            <w:pPr>
              <w:pStyle w:val="TableParagraph"/>
              <w:ind w:right="187"/>
              <w:rPr>
                <w:sz w:val="20"/>
              </w:rPr>
            </w:pPr>
            <w:r>
              <w:rPr>
                <w:w w:val="95"/>
                <w:sz w:val="20"/>
              </w:rPr>
              <w:t>1700</w:t>
            </w:r>
          </w:p>
        </w:tc>
        <w:tc>
          <w:tcPr>
            <w:tcW w:w="1056" w:type="dxa"/>
            <w:shd w:val="clear" w:color="auto" w:fill="D2DFED"/>
          </w:tcPr>
          <w:p>
            <w:pPr>
              <w:pStyle w:val="TableParagraph"/>
              <w:ind w:right="107"/>
              <w:rPr>
                <w:sz w:val="20"/>
              </w:rPr>
            </w:pPr>
            <w:r>
              <w:rPr>
                <w:w w:val="95"/>
                <w:sz w:val="20"/>
              </w:rPr>
              <w:t>1655</w:t>
            </w:r>
          </w:p>
        </w:tc>
      </w:tr>
      <w:tr>
        <w:trPr>
          <w:trHeight w:val="299" w:hRule="atLeast"/>
        </w:trPr>
        <w:tc>
          <w:tcPr>
            <w:tcW w:w="5678" w:type="dxa"/>
            <w:tcBorders>
              <w:bottom w:val="single" w:sz="8" w:space="0" w:color="4F81BC"/>
            </w:tcBorders>
          </w:tcPr>
          <w:p>
            <w:pPr>
              <w:pStyle w:val="TableParagraph"/>
              <w:spacing w:line="225" w:lineRule="exact"/>
              <w:ind w:left="122"/>
              <w:jc w:val="left"/>
              <w:rPr>
                <w:sz w:val="20"/>
              </w:rPr>
            </w:pPr>
            <w:r>
              <w:rPr>
                <w:sz w:val="20"/>
              </w:rPr>
              <w:t>Department of Treasury and Finance</w:t>
            </w:r>
          </w:p>
        </w:tc>
        <w:tc>
          <w:tcPr>
            <w:tcW w:w="1556" w:type="dxa"/>
            <w:tcBorders>
              <w:bottom w:val="single" w:sz="8" w:space="0" w:color="4F81BC"/>
            </w:tcBorders>
          </w:tcPr>
          <w:p>
            <w:pPr>
              <w:pStyle w:val="TableParagraph"/>
              <w:spacing w:line="225" w:lineRule="exact"/>
              <w:ind w:right="138"/>
              <w:rPr>
                <w:sz w:val="20"/>
              </w:rPr>
            </w:pPr>
            <w:r>
              <w:rPr>
                <w:w w:val="95"/>
                <w:sz w:val="20"/>
              </w:rPr>
              <w:t>1737</w:t>
            </w:r>
          </w:p>
        </w:tc>
        <w:tc>
          <w:tcPr>
            <w:tcW w:w="1189" w:type="dxa"/>
            <w:tcBorders>
              <w:bottom w:val="single" w:sz="8" w:space="0" w:color="4F81BC"/>
            </w:tcBorders>
          </w:tcPr>
          <w:p>
            <w:pPr>
              <w:pStyle w:val="TableParagraph"/>
              <w:spacing w:line="225" w:lineRule="exact"/>
              <w:ind w:right="187"/>
              <w:rPr>
                <w:sz w:val="20"/>
              </w:rPr>
            </w:pPr>
            <w:r>
              <w:rPr>
                <w:w w:val="95"/>
                <w:sz w:val="20"/>
              </w:rPr>
              <w:t>1642</w:t>
            </w:r>
          </w:p>
        </w:tc>
        <w:tc>
          <w:tcPr>
            <w:tcW w:w="1056" w:type="dxa"/>
            <w:tcBorders>
              <w:bottom w:val="single" w:sz="8" w:space="0" w:color="4F81BC"/>
            </w:tcBorders>
          </w:tcPr>
          <w:p>
            <w:pPr>
              <w:pStyle w:val="TableParagraph"/>
              <w:spacing w:line="225" w:lineRule="exact"/>
              <w:ind w:right="107"/>
              <w:rPr>
                <w:sz w:val="20"/>
              </w:rPr>
            </w:pPr>
            <w:r>
              <w:rPr>
                <w:w w:val="95"/>
                <w:sz w:val="20"/>
              </w:rPr>
              <w:t>1597</w:t>
            </w:r>
          </w:p>
        </w:tc>
      </w:tr>
    </w:tbl>
    <w:p>
      <w:pPr>
        <w:pStyle w:val="BodyText"/>
        <w:rPr>
          <w:sz w:val="20"/>
        </w:rPr>
      </w:pPr>
    </w:p>
    <w:p>
      <w:pPr>
        <w:pStyle w:val="BodyText"/>
        <w:spacing w:before="8"/>
        <w:rPr>
          <w:sz w:val="21"/>
        </w:rPr>
      </w:pPr>
      <w:r>
        <w:rPr/>
        <w:pict>
          <v:shape style="position:absolute;margin-left:70.944pt;margin-top:15.482979pt;width:144.050pt;height:.1pt;mso-position-horizontal-relative:page;mso-position-vertical-relative:paragraph;z-index:-251658240;mso-wrap-distance-left:0;mso-wrap-distance-right:0" coordorigin="1419,310" coordsize="2881,0" path="m1419,310l4299,310e" filled="false" stroked="true" strokeweight=".599980pt" strokecolor="#000000">
            <v:path arrowok="t"/>
            <v:stroke dashstyle="solid"/>
            <w10:wrap type="topAndBottom"/>
          </v:shape>
        </w:pict>
      </w:r>
    </w:p>
    <w:p>
      <w:pPr>
        <w:spacing w:before="46"/>
        <w:ind w:left="238" w:right="128" w:firstLine="0"/>
        <w:jc w:val="both"/>
        <w:rPr>
          <w:sz w:val="18"/>
        </w:rPr>
      </w:pPr>
      <w:r>
        <w:rPr>
          <w:rFonts w:ascii="Arial" w:hAnsi="Arial"/>
          <w:position w:val="10"/>
          <w:sz w:val="13"/>
        </w:rPr>
        <w:t>1 </w:t>
      </w:r>
      <w:r>
        <w:rPr>
          <w:sz w:val="18"/>
        </w:rPr>
        <w:t>To ensure that FTE across agencies is calculated using a standard approach, some methodological changes from previous  years were necessary. These changes resulted in a ‘break-in-series’ of quarterly workforce reports between June 2007 and June 2008. As a result of these changes, workforce data from June 2008 onwards may not be directly comparable to previous workforce</w:t>
      </w:r>
      <w:r>
        <w:rPr>
          <w:spacing w:val="-2"/>
          <w:sz w:val="18"/>
        </w:rPr>
        <w:t> </w:t>
      </w:r>
      <w:r>
        <w:rPr>
          <w:sz w:val="18"/>
        </w:rPr>
        <w:t>reports.</w:t>
      </w:r>
    </w:p>
    <w:p>
      <w:pPr>
        <w:spacing w:line="219" w:lineRule="exact" w:before="0"/>
        <w:ind w:left="238" w:right="0" w:firstLine="0"/>
        <w:jc w:val="both"/>
        <w:rPr>
          <w:sz w:val="18"/>
        </w:rPr>
      </w:pPr>
      <w:r>
        <w:rPr>
          <w:position w:val="9"/>
          <w:sz w:val="12"/>
        </w:rPr>
        <w:t>2 </w:t>
      </w:r>
      <w:r>
        <w:rPr>
          <w:sz w:val="18"/>
        </w:rPr>
        <w:t>‘Headcount’ is a snapshot of employees as at the pay day on, or prior to, 31 March 2010 and includes all permanent, fixed</w:t>
      </w:r>
    </w:p>
    <w:p>
      <w:pPr>
        <w:spacing w:line="203" w:lineRule="exact" w:before="0"/>
        <w:ind w:left="238" w:right="0" w:firstLine="0"/>
        <w:jc w:val="left"/>
        <w:rPr>
          <w:sz w:val="18"/>
        </w:rPr>
      </w:pPr>
      <w:r>
        <w:rPr>
          <w:sz w:val="18"/>
        </w:rPr>
        <w:t>term and paid casual employees during that pay period.</w:t>
      </w:r>
    </w:p>
    <w:p>
      <w:pPr>
        <w:spacing w:line="218" w:lineRule="exact" w:before="14"/>
        <w:ind w:left="238" w:right="0" w:firstLine="0"/>
        <w:jc w:val="left"/>
        <w:rPr>
          <w:sz w:val="18"/>
        </w:rPr>
      </w:pPr>
      <w:r>
        <w:rPr>
          <w:position w:val="9"/>
          <w:sz w:val="12"/>
        </w:rPr>
        <w:t>3 </w:t>
      </w:r>
      <w:r>
        <w:rPr>
          <w:sz w:val="18"/>
        </w:rPr>
        <w:t>‘Paid FTE’ is a snapshot of employees who were paid during the last pay period ending on, or prior to, 31 March 2010. This methodology may differ from those used by public sector agencies. As the quality of agency data is continuously being</w:t>
      </w:r>
    </w:p>
    <w:p>
      <w:pPr>
        <w:spacing w:line="204" w:lineRule="exact" w:before="6"/>
        <w:ind w:left="238" w:right="0" w:firstLine="0"/>
        <w:jc w:val="left"/>
        <w:rPr>
          <w:sz w:val="18"/>
        </w:rPr>
      </w:pPr>
      <w:r>
        <w:rPr>
          <w:sz w:val="18"/>
        </w:rPr>
        <w:t>reviewed, some adjustments in FTE figures may occur.</w:t>
      </w:r>
    </w:p>
    <w:p>
      <w:pPr>
        <w:spacing w:line="218" w:lineRule="exact" w:before="14"/>
        <w:ind w:left="238" w:right="0" w:firstLine="0"/>
        <w:jc w:val="left"/>
        <w:rPr>
          <w:sz w:val="18"/>
        </w:rPr>
      </w:pPr>
      <w:r>
        <w:rPr>
          <w:position w:val="9"/>
          <w:sz w:val="12"/>
        </w:rPr>
        <w:t>4 </w:t>
      </w:r>
      <w:r>
        <w:rPr>
          <w:sz w:val="18"/>
        </w:rPr>
        <w:t>‘Average Paid FTE’ data aims to address seasonal fluctuations that occur in some agencies from one quarter to the next, and is the averaged ‘Paid FTE’ of the sum of the current (March 2010) quarter and the preceding three quarters.</w:t>
      </w:r>
    </w:p>
    <w:p>
      <w:pPr>
        <w:spacing w:line="226" w:lineRule="exact" w:before="0"/>
        <w:ind w:left="238" w:right="0" w:firstLine="0"/>
        <w:jc w:val="left"/>
        <w:rPr>
          <w:sz w:val="18"/>
        </w:rPr>
      </w:pPr>
      <w:r>
        <w:rPr>
          <w:position w:val="9"/>
          <w:sz w:val="12"/>
        </w:rPr>
        <w:t>5 </w:t>
      </w:r>
      <w:r>
        <w:rPr>
          <w:sz w:val="18"/>
        </w:rPr>
        <w:t>Includes data from Drug and Alcohol Office.</w:t>
      </w:r>
    </w:p>
    <w:p>
      <w:pPr>
        <w:spacing w:after="0" w:line="226" w:lineRule="exact"/>
        <w:jc w:val="left"/>
        <w:rPr>
          <w:sz w:val="18"/>
        </w:rPr>
        <w:sectPr>
          <w:type w:val="continuous"/>
          <w:pgSz w:w="11910" w:h="16850"/>
          <w:pgMar w:top="1500" w:bottom="280" w:left="1180" w:right="1000"/>
        </w:sectPr>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26"/>
        <w:gridCol w:w="1408"/>
        <w:gridCol w:w="1188"/>
        <w:gridCol w:w="1055"/>
      </w:tblGrid>
      <w:tr>
        <w:trPr>
          <w:trHeight w:val="488" w:hRule="atLeast"/>
        </w:trPr>
        <w:tc>
          <w:tcPr>
            <w:tcW w:w="5826" w:type="dxa"/>
            <w:tcBorders>
              <w:top w:val="single" w:sz="8" w:space="0" w:color="4F81BC"/>
              <w:bottom w:val="single" w:sz="8" w:space="0" w:color="4F81BC"/>
            </w:tcBorders>
          </w:tcPr>
          <w:p>
            <w:pPr>
              <w:pStyle w:val="TableParagraph"/>
              <w:spacing w:line="240" w:lineRule="auto" w:before="0"/>
              <w:jc w:val="left"/>
              <w:rPr>
                <w:rFonts w:ascii="Times New Roman"/>
                <w:sz w:val="18"/>
              </w:rPr>
            </w:pPr>
          </w:p>
        </w:tc>
        <w:tc>
          <w:tcPr>
            <w:tcW w:w="1408" w:type="dxa"/>
            <w:tcBorders>
              <w:top w:val="single" w:sz="8" w:space="0" w:color="4F81BC"/>
              <w:bottom w:val="single" w:sz="8" w:space="0" w:color="4F81BC"/>
            </w:tcBorders>
          </w:tcPr>
          <w:p>
            <w:pPr>
              <w:pStyle w:val="TableParagraph"/>
              <w:spacing w:line="240" w:lineRule="atLeast" w:before="1"/>
              <w:ind w:left="408" w:right="118" w:hanging="48"/>
              <w:jc w:val="left"/>
              <w:rPr>
                <w:b/>
                <w:sz w:val="20"/>
              </w:rPr>
            </w:pPr>
            <w:r>
              <w:rPr>
                <w:b/>
                <w:sz w:val="20"/>
              </w:rPr>
              <w:t>Headcount Mar 2010</w:t>
            </w:r>
            <w:r>
              <w:rPr>
                <w:b/>
                <w:sz w:val="20"/>
                <w:vertAlign w:val="superscript"/>
              </w:rPr>
              <w:t>2</w:t>
            </w:r>
          </w:p>
        </w:tc>
        <w:tc>
          <w:tcPr>
            <w:tcW w:w="1188" w:type="dxa"/>
            <w:tcBorders>
              <w:top w:val="single" w:sz="8" w:space="0" w:color="4F81BC"/>
              <w:bottom w:val="single" w:sz="8" w:space="0" w:color="4F81BC"/>
            </w:tcBorders>
          </w:tcPr>
          <w:p>
            <w:pPr>
              <w:pStyle w:val="TableParagraph"/>
              <w:spacing w:line="240" w:lineRule="atLeast" w:before="1"/>
              <w:ind w:left="140" w:right="164" w:firstLine="168"/>
              <w:jc w:val="left"/>
              <w:rPr>
                <w:b/>
                <w:sz w:val="20"/>
              </w:rPr>
            </w:pPr>
            <w:r>
              <w:rPr>
                <w:b/>
                <w:sz w:val="20"/>
              </w:rPr>
              <w:t>Paid FTE Mar 2010</w:t>
            </w:r>
            <w:r>
              <w:rPr>
                <w:b/>
                <w:sz w:val="20"/>
                <w:vertAlign w:val="superscript"/>
              </w:rPr>
              <w:t>3</w:t>
            </w:r>
          </w:p>
        </w:tc>
        <w:tc>
          <w:tcPr>
            <w:tcW w:w="1055" w:type="dxa"/>
            <w:tcBorders>
              <w:top w:val="single" w:sz="8" w:space="0" w:color="4F81BC"/>
              <w:bottom w:val="single" w:sz="8" w:space="0" w:color="4F81BC"/>
            </w:tcBorders>
          </w:tcPr>
          <w:p>
            <w:pPr>
              <w:pStyle w:val="TableParagraph"/>
              <w:spacing w:line="240" w:lineRule="atLeast" w:before="1"/>
              <w:ind w:left="188" w:right="85" w:firstLine="81"/>
              <w:jc w:val="left"/>
              <w:rPr>
                <w:b/>
                <w:sz w:val="20"/>
              </w:rPr>
            </w:pPr>
            <w:r>
              <w:rPr>
                <w:b/>
                <w:w w:val="95"/>
                <w:sz w:val="20"/>
              </w:rPr>
              <w:t>Average </w:t>
            </w:r>
            <w:r>
              <w:rPr>
                <w:b/>
                <w:sz w:val="20"/>
              </w:rPr>
              <w:t>Paid FTE</w:t>
            </w:r>
            <w:r>
              <w:rPr>
                <w:b/>
                <w:sz w:val="20"/>
                <w:vertAlign w:val="superscript"/>
              </w:rPr>
              <w:t>4</w:t>
            </w:r>
          </w:p>
        </w:tc>
      </w:tr>
      <w:tr>
        <w:trPr>
          <w:trHeight w:val="302" w:hRule="atLeast"/>
        </w:trPr>
        <w:tc>
          <w:tcPr>
            <w:tcW w:w="5826" w:type="dxa"/>
            <w:tcBorders>
              <w:top w:val="single" w:sz="8" w:space="0" w:color="4F81BC"/>
            </w:tcBorders>
            <w:shd w:val="clear" w:color="auto" w:fill="D2DFED"/>
          </w:tcPr>
          <w:p>
            <w:pPr>
              <w:pStyle w:val="TableParagraph"/>
              <w:spacing w:before="56"/>
              <w:ind w:left="122"/>
              <w:jc w:val="left"/>
              <w:rPr>
                <w:sz w:val="20"/>
              </w:rPr>
            </w:pPr>
            <w:r>
              <w:rPr>
                <w:sz w:val="20"/>
              </w:rPr>
              <w:t>Department of the Attorney General</w:t>
            </w:r>
            <w:r>
              <w:rPr>
                <w:sz w:val="20"/>
                <w:vertAlign w:val="superscript"/>
              </w:rPr>
              <w:t>6</w:t>
            </w:r>
          </w:p>
        </w:tc>
        <w:tc>
          <w:tcPr>
            <w:tcW w:w="1408" w:type="dxa"/>
            <w:tcBorders>
              <w:top w:val="single" w:sz="8" w:space="0" w:color="4F81BC"/>
            </w:tcBorders>
            <w:shd w:val="clear" w:color="auto" w:fill="D2DFED"/>
          </w:tcPr>
          <w:p>
            <w:pPr>
              <w:pStyle w:val="TableParagraph"/>
              <w:spacing w:before="56"/>
              <w:ind w:right="138"/>
              <w:rPr>
                <w:sz w:val="20"/>
              </w:rPr>
            </w:pPr>
            <w:r>
              <w:rPr>
                <w:w w:val="95"/>
                <w:sz w:val="20"/>
              </w:rPr>
              <w:t>1776</w:t>
            </w:r>
          </w:p>
        </w:tc>
        <w:tc>
          <w:tcPr>
            <w:tcW w:w="1188" w:type="dxa"/>
            <w:tcBorders>
              <w:top w:val="single" w:sz="8" w:space="0" w:color="4F81BC"/>
            </w:tcBorders>
            <w:shd w:val="clear" w:color="auto" w:fill="D2DFED"/>
          </w:tcPr>
          <w:p>
            <w:pPr>
              <w:pStyle w:val="TableParagraph"/>
              <w:spacing w:before="56"/>
              <w:ind w:right="186"/>
              <w:rPr>
                <w:sz w:val="20"/>
              </w:rPr>
            </w:pPr>
            <w:r>
              <w:rPr>
                <w:w w:val="95"/>
                <w:sz w:val="20"/>
              </w:rPr>
              <w:t>1552</w:t>
            </w:r>
          </w:p>
        </w:tc>
        <w:tc>
          <w:tcPr>
            <w:tcW w:w="1055" w:type="dxa"/>
            <w:tcBorders>
              <w:top w:val="single" w:sz="8" w:space="0" w:color="4F81BC"/>
            </w:tcBorders>
            <w:shd w:val="clear" w:color="auto" w:fill="D2DFED"/>
          </w:tcPr>
          <w:p>
            <w:pPr>
              <w:pStyle w:val="TableParagraph"/>
              <w:spacing w:before="56"/>
              <w:ind w:right="105"/>
              <w:rPr>
                <w:sz w:val="20"/>
              </w:rPr>
            </w:pPr>
            <w:r>
              <w:rPr>
                <w:w w:val="95"/>
                <w:sz w:val="20"/>
              </w:rPr>
              <w:t>1530</w:t>
            </w:r>
          </w:p>
        </w:tc>
      </w:tr>
      <w:tr>
        <w:trPr>
          <w:trHeight w:val="300" w:hRule="atLeast"/>
        </w:trPr>
        <w:tc>
          <w:tcPr>
            <w:tcW w:w="5826" w:type="dxa"/>
          </w:tcPr>
          <w:p>
            <w:pPr>
              <w:pStyle w:val="TableParagraph"/>
              <w:ind w:left="122"/>
              <w:jc w:val="left"/>
              <w:rPr>
                <w:sz w:val="20"/>
              </w:rPr>
            </w:pPr>
            <w:r>
              <w:rPr>
                <w:sz w:val="20"/>
              </w:rPr>
              <w:t>Department of Agriculture and Food</w:t>
            </w:r>
          </w:p>
        </w:tc>
        <w:tc>
          <w:tcPr>
            <w:tcW w:w="1408" w:type="dxa"/>
          </w:tcPr>
          <w:p>
            <w:pPr>
              <w:pStyle w:val="TableParagraph"/>
              <w:ind w:right="138"/>
              <w:rPr>
                <w:sz w:val="20"/>
              </w:rPr>
            </w:pPr>
            <w:r>
              <w:rPr>
                <w:w w:val="95"/>
                <w:sz w:val="20"/>
              </w:rPr>
              <w:t>1489</w:t>
            </w:r>
          </w:p>
        </w:tc>
        <w:tc>
          <w:tcPr>
            <w:tcW w:w="1188" w:type="dxa"/>
          </w:tcPr>
          <w:p>
            <w:pPr>
              <w:pStyle w:val="TableParagraph"/>
              <w:ind w:right="186"/>
              <w:rPr>
                <w:sz w:val="20"/>
              </w:rPr>
            </w:pPr>
            <w:r>
              <w:rPr>
                <w:w w:val="95"/>
                <w:sz w:val="20"/>
              </w:rPr>
              <w:t>1347</w:t>
            </w:r>
          </w:p>
        </w:tc>
        <w:tc>
          <w:tcPr>
            <w:tcW w:w="1055" w:type="dxa"/>
          </w:tcPr>
          <w:p>
            <w:pPr>
              <w:pStyle w:val="TableParagraph"/>
              <w:ind w:right="105"/>
              <w:rPr>
                <w:sz w:val="20"/>
              </w:rPr>
            </w:pPr>
            <w:r>
              <w:rPr>
                <w:w w:val="95"/>
                <w:sz w:val="20"/>
              </w:rPr>
              <w:t>1392</w:t>
            </w:r>
          </w:p>
        </w:tc>
      </w:tr>
      <w:tr>
        <w:trPr>
          <w:trHeight w:val="300" w:hRule="atLeast"/>
        </w:trPr>
        <w:tc>
          <w:tcPr>
            <w:tcW w:w="5826" w:type="dxa"/>
            <w:shd w:val="clear" w:color="auto" w:fill="D2DFED"/>
          </w:tcPr>
          <w:p>
            <w:pPr>
              <w:pStyle w:val="TableParagraph"/>
              <w:ind w:left="122"/>
              <w:jc w:val="left"/>
              <w:rPr>
                <w:sz w:val="20"/>
              </w:rPr>
            </w:pPr>
            <w:r>
              <w:rPr>
                <w:sz w:val="20"/>
              </w:rPr>
              <w:t>Fire and Emergency Services Authority of Western Australia</w:t>
            </w:r>
          </w:p>
        </w:tc>
        <w:tc>
          <w:tcPr>
            <w:tcW w:w="1408" w:type="dxa"/>
            <w:shd w:val="clear" w:color="auto" w:fill="D2DFED"/>
          </w:tcPr>
          <w:p>
            <w:pPr>
              <w:pStyle w:val="TableParagraph"/>
              <w:ind w:right="138"/>
              <w:rPr>
                <w:sz w:val="20"/>
              </w:rPr>
            </w:pPr>
            <w:r>
              <w:rPr>
                <w:w w:val="95"/>
                <w:sz w:val="20"/>
              </w:rPr>
              <w:t>1344</w:t>
            </w:r>
          </w:p>
        </w:tc>
        <w:tc>
          <w:tcPr>
            <w:tcW w:w="1188" w:type="dxa"/>
            <w:shd w:val="clear" w:color="auto" w:fill="D2DFED"/>
          </w:tcPr>
          <w:p>
            <w:pPr>
              <w:pStyle w:val="TableParagraph"/>
              <w:ind w:right="186"/>
              <w:rPr>
                <w:sz w:val="20"/>
              </w:rPr>
            </w:pPr>
            <w:r>
              <w:rPr>
                <w:w w:val="95"/>
                <w:sz w:val="20"/>
              </w:rPr>
              <w:t>1301</w:t>
            </w:r>
          </w:p>
        </w:tc>
        <w:tc>
          <w:tcPr>
            <w:tcW w:w="1055" w:type="dxa"/>
            <w:shd w:val="clear" w:color="auto" w:fill="D2DFED"/>
          </w:tcPr>
          <w:p>
            <w:pPr>
              <w:pStyle w:val="TableParagraph"/>
              <w:ind w:right="105"/>
              <w:rPr>
                <w:sz w:val="20"/>
              </w:rPr>
            </w:pPr>
            <w:r>
              <w:rPr>
                <w:w w:val="95"/>
                <w:sz w:val="20"/>
              </w:rPr>
              <w:t>1299</w:t>
            </w:r>
          </w:p>
        </w:tc>
      </w:tr>
      <w:tr>
        <w:trPr>
          <w:trHeight w:val="300" w:hRule="atLeast"/>
        </w:trPr>
        <w:tc>
          <w:tcPr>
            <w:tcW w:w="5826" w:type="dxa"/>
          </w:tcPr>
          <w:p>
            <w:pPr>
              <w:pStyle w:val="TableParagraph"/>
              <w:ind w:left="122"/>
              <w:jc w:val="left"/>
              <w:rPr>
                <w:sz w:val="20"/>
              </w:rPr>
            </w:pPr>
            <w:r>
              <w:rPr>
                <w:sz w:val="20"/>
              </w:rPr>
              <w:t>Polytechnic West</w:t>
            </w:r>
          </w:p>
        </w:tc>
        <w:tc>
          <w:tcPr>
            <w:tcW w:w="1408" w:type="dxa"/>
          </w:tcPr>
          <w:p>
            <w:pPr>
              <w:pStyle w:val="TableParagraph"/>
              <w:ind w:right="138"/>
              <w:rPr>
                <w:sz w:val="20"/>
              </w:rPr>
            </w:pPr>
            <w:r>
              <w:rPr>
                <w:w w:val="95"/>
                <w:sz w:val="20"/>
              </w:rPr>
              <w:t>1562</w:t>
            </w:r>
          </w:p>
        </w:tc>
        <w:tc>
          <w:tcPr>
            <w:tcW w:w="1188" w:type="dxa"/>
          </w:tcPr>
          <w:p>
            <w:pPr>
              <w:pStyle w:val="TableParagraph"/>
              <w:ind w:right="186"/>
              <w:rPr>
                <w:sz w:val="20"/>
              </w:rPr>
            </w:pPr>
            <w:r>
              <w:rPr>
                <w:w w:val="95"/>
                <w:sz w:val="20"/>
              </w:rPr>
              <w:t>1174</w:t>
            </w:r>
          </w:p>
        </w:tc>
        <w:tc>
          <w:tcPr>
            <w:tcW w:w="1055" w:type="dxa"/>
          </w:tcPr>
          <w:p>
            <w:pPr>
              <w:pStyle w:val="TableParagraph"/>
              <w:ind w:right="105"/>
              <w:rPr>
                <w:sz w:val="20"/>
              </w:rPr>
            </w:pPr>
            <w:r>
              <w:rPr>
                <w:w w:val="95"/>
                <w:sz w:val="20"/>
              </w:rPr>
              <w:t>1079</w:t>
            </w:r>
          </w:p>
        </w:tc>
      </w:tr>
      <w:tr>
        <w:trPr>
          <w:trHeight w:val="300" w:hRule="atLeast"/>
        </w:trPr>
        <w:tc>
          <w:tcPr>
            <w:tcW w:w="5826" w:type="dxa"/>
            <w:shd w:val="clear" w:color="auto" w:fill="D2DFED"/>
          </w:tcPr>
          <w:p>
            <w:pPr>
              <w:pStyle w:val="TableParagraph"/>
              <w:ind w:left="122"/>
              <w:jc w:val="left"/>
              <w:rPr>
                <w:sz w:val="20"/>
              </w:rPr>
            </w:pPr>
            <w:r>
              <w:rPr>
                <w:sz w:val="20"/>
              </w:rPr>
              <w:t>Department of Transport</w:t>
            </w:r>
          </w:p>
        </w:tc>
        <w:tc>
          <w:tcPr>
            <w:tcW w:w="1408" w:type="dxa"/>
            <w:shd w:val="clear" w:color="auto" w:fill="D2DFED"/>
          </w:tcPr>
          <w:p>
            <w:pPr>
              <w:pStyle w:val="TableParagraph"/>
              <w:ind w:right="138"/>
              <w:rPr>
                <w:sz w:val="20"/>
              </w:rPr>
            </w:pPr>
            <w:r>
              <w:rPr>
                <w:w w:val="95"/>
                <w:sz w:val="20"/>
              </w:rPr>
              <w:t>1200</w:t>
            </w:r>
          </w:p>
        </w:tc>
        <w:tc>
          <w:tcPr>
            <w:tcW w:w="1188" w:type="dxa"/>
            <w:shd w:val="clear" w:color="auto" w:fill="D2DFED"/>
          </w:tcPr>
          <w:p>
            <w:pPr>
              <w:pStyle w:val="TableParagraph"/>
              <w:ind w:right="186"/>
              <w:rPr>
                <w:sz w:val="20"/>
              </w:rPr>
            </w:pPr>
            <w:r>
              <w:rPr>
                <w:w w:val="95"/>
                <w:sz w:val="20"/>
              </w:rPr>
              <w:t>1102</w:t>
            </w:r>
          </w:p>
        </w:tc>
        <w:tc>
          <w:tcPr>
            <w:tcW w:w="1055" w:type="dxa"/>
            <w:shd w:val="clear" w:color="auto" w:fill="D2DFED"/>
          </w:tcPr>
          <w:p>
            <w:pPr>
              <w:pStyle w:val="TableParagraph"/>
              <w:ind w:right="105"/>
              <w:rPr>
                <w:sz w:val="20"/>
              </w:rPr>
            </w:pPr>
            <w:r>
              <w:rPr>
                <w:w w:val="95"/>
                <w:sz w:val="20"/>
              </w:rPr>
              <w:t>1089</w:t>
            </w:r>
          </w:p>
        </w:tc>
      </w:tr>
      <w:tr>
        <w:trPr>
          <w:trHeight w:val="300" w:hRule="atLeast"/>
        </w:trPr>
        <w:tc>
          <w:tcPr>
            <w:tcW w:w="5826" w:type="dxa"/>
          </w:tcPr>
          <w:p>
            <w:pPr>
              <w:pStyle w:val="TableParagraph"/>
              <w:ind w:left="122"/>
              <w:jc w:val="left"/>
              <w:rPr>
                <w:sz w:val="20"/>
              </w:rPr>
            </w:pPr>
            <w:r>
              <w:rPr>
                <w:sz w:val="20"/>
              </w:rPr>
              <w:t>Commissioner of Main Roads</w:t>
            </w:r>
          </w:p>
        </w:tc>
        <w:tc>
          <w:tcPr>
            <w:tcW w:w="1408" w:type="dxa"/>
          </w:tcPr>
          <w:p>
            <w:pPr>
              <w:pStyle w:val="TableParagraph"/>
              <w:ind w:right="138"/>
              <w:rPr>
                <w:sz w:val="20"/>
              </w:rPr>
            </w:pPr>
            <w:r>
              <w:rPr>
                <w:w w:val="95"/>
                <w:sz w:val="20"/>
              </w:rPr>
              <w:t>1118</w:t>
            </w:r>
          </w:p>
        </w:tc>
        <w:tc>
          <w:tcPr>
            <w:tcW w:w="1188" w:type="dxa"/>
          </w:tcPr>
          <w:p>
            <w:pPr>
              <w:pStyle w:val="TableParagraph"/>
              <w:ind w:right="186"/>
              <w:rPr>
                <w:sz w:val="20"/>
              </w:rPr>
            </w:pPr>
            <w:r>
              <w:rPr>
                <w:w w:val="95"/>
                <w:sz w:val="20"/>
              </w:rPr>
              <w:t>1050</w:t>
            </w:r>
          </w:p>
        </w:tc>
        <w:tc>
          <w:tcPr>
            <w:tcW w:w="1055" w:type="dxa"/>
          </w:tcPr>
          <w:p>
            <w:pPr>
              <w:pStyle w:val="TableParagraph"/>
              <w:ind w:right="105"/>
              <w:rPr>
                <w:sz w:val="20"/>
              </w:rPr>
            </w:pPr>
            <w:r>
              <w:rPr>
                <w:w w:val="95"/>
                <w:sz w:val="20"/>
              </w:rPr>
              <w:t>1037</w:t>
            </w:r>
          </w:p>
        </w:tc>
      </w:tr>
      <w:tr>
        <w:trPr>
          <w:trHeight w:val="300" w:hRule="atLeast"/>
        </w:trPr>
        <w:tc>
          <w:tcPr>
            <w:tcW w:w="5826" w:type="dxa"/>
            <w:shd w:val="clear" w:color="auto" w:fill="D2DFED"/>
          </w:tcPr>
          <w:p>
            <w:pPr>
              <w:pStyle w:val="TableParagraph"/>
              <w:ind w:left="122"/>
              <w:jc w:val="left"/>
              <w:rPr>
                <w:sz w:val="20"/>
              </w:rPr>
            </w:pPr>
            <w:r>
              <w:rPr>
                <w:sz w:val="20"/>
              </w:rPr>
              <w:t>Central Institute of Technology</w:t>
            </w:r>
          </w:p>
        </w:tc>
        <w:tc>
          <w:tcPr>
            <w:tcW w:w="1408" w:type="dxa"/>
            <w:shd w:val="clear" w:color="auto" w:fill="D2DFED"/>
          </w:tcPr>
          <w:p>
            <w:pPr>
              <w:pStyle w:val="TableParagraph"/>
              <w:ind w:right="138"/>
              <w:rPr>
                <w:sz w:val="20"/>
              </w:rPr>
            </w:pPr>
            <w:r>
              <w:rPr>
                <w:w w:val="95"/>
                <w:sz w:val="20"/>
              </w:rPr>
              <w:t>1389</w:t>
            </w:r>
          </w:p>
        </w:tc>
        <w:tc>
          <w:tcPr>
            <w:tcW w:w="1188" w:type="dxa"/>
            <w:shd w:val="clear" w:color="auto" w:fill="D2DFED"/>
          </w:tcPr>
          <w:p>
            <w:pPr>
              <w:pStyle w:val="TableParagraph"/>
              <w:ind w:right="186"/>
              <w:rPr>
                <w:sz w:val="20"/>
              </w:rPr>
            </w:pPr>
            <w:r>
              <w:rPr>
                <w:w w:val="95"/>
                <w:sz w:val="20"/>
              </w:rPr>
              <w:t>1025</w:t>
            </w:r>
          </w:p>
        </w:tc>
        <w:tc>
          <w:tcPr>
            <w:tcW w:w="1055" w:type="dxa"/>
            <w:shd w:val="clear" w:color="auto" w:fill="D2DFED"/>
          </w:tcPr>
          <w:p>
            <w:pPr>
              <w:pStyle w:val="TableParagraph"/>
              <w:ind w:right="105"/>
              <w:rPr>
                <w:sz w:val="20"/>
              </w:rPr>
            </w:pPr>
            <w:r>
              <w:rPr>
                <w:w w:val="95"/>
                <w:sz w:val="20"/>
              </w:rPr>
              <w:t>946</w:t>
            </w:r>
          </w:p>
        </w:tc>
      </w:tr>
      <w:tr>
        <w:trPr>
          <w:trHeight w:val="300" w:hRule="atLeast"/>
        </w:trPr>
        <w:tc>
          <w:tcPr>
            <w:tcW w:w="5826" w:type="dxa"/>
          </w:tcPr>
          <w:p>
            <w:pPr>
              <w:pStyle w:val="TableParagraph"/>
              <w:ind w:left="122"/>
              <w:jc w:val="left"/>
              <w:rPr>
                <w:sz w:val="20"/>
              </w:rPr>
            </w:pPr>
            <w:r>
              <w:rPr>
                <w:sz w:val="20"/>
              </w:rPr>
              <w:t>Department of Commerce</w:t>
            </w:r>
          </w:p>
        </w:tc>
        <w:tc>
          <w:tcPr>
            <w:tcW w:w="1408" w:type="dxa"/>
          </w:tcPr>
          <w:p>
            <w:pPr>
              <w:pStyle w:val="TableParagraph"/>
              <w:ind w:right="138"/>
              <w:rPr>
                <w:sz w:val="20"/>
              </w:rPr>
            </w:pPr>
            <w:r>
              <w:rPr>
                <w:w w:val="95"/>
                <w:sz w:val="20"/>
              </w:rPr>
              <w:t>1055</w:t>
            </w:r>
          </w:p>
        </w:tc>
        <w:tc>
          <w:tcPr>
            <w:tcW w:w="1188" w:type="dxa"/>
          </w:tcPr>
          <w:p>
            <w:pPr>
              <w:pStyle w:val="TableParagraph"/>
              <w:ind w:right="186"/>
              <w:rPr>
                <w:sz w:val="20"/>
              </w:rPr>
            </w:pPr>
            <w:r>
              <w:rPr>
                <w:w w:val="95"/>
                <w:sz w:val="20"/>
              </w:rPr>
              <w:t>976</w:t>
            </w:r>
          </w:p>
        </w:tc>
        <w:tc>
          <w:tcPr>
            <w:tcW w:w="1055" w:type="dxa"/>
          </w:tcPr>
          <w:p>
            <w:pPr>
              <w:pStyle w:val="TableParagraph"/>
              <w:ind w:right="105"/>
              <w:rPr>
                <w:sz w:val="20"/>
              </w:rPr>
            </w:pPr>
            <w:r>
              <w:rPr>
                <w:w w:val="95"/>
                <w:sz w:val="20"/>
              </w:rPr>
              <w:t>981</w:t>
            </w:r>
          </w:p>
        </w:tc>
      </w:tr>
      <w:tr>
        <w:trPr>
          <w:trHeight w:val="300" w:hRule="atLeast"/>
        </w:trPr>
        <w:tc>
          <w:tcPr>
            <w:tcW w:w="5826" w:type="dxa"/>
            <w:shd w:val="clear" w:color="auto" w:fill="D2DFED"/>
          </w:tcPr>
          <w:p>
            <w:pPr>
              <w:pStyle w:val="TableParagraph"/>
              <w:ind w:left="122"/>
              <w:jc w:val="left"/>
              <w:rPr>
                <w:sz w:val="20"/>
              </w:rPr>
            </w:pPr>
            <w:r>
              <w:rPr>
                <w:sz w:val="20"/>
              </w:rPr>
              <w:t>Western Australian Land Information Authority (Landgate)</w:t>
            </w:r>
          </w:p>
        </w:tc>
        <w:tc>
          <w:tcPr>
            <w:tcW w:w="1408" w:type="dxa"/>
            <w:shd w:val="clear" w:color="auto" w:fill="D2DFED"/>
          </w:tcPr>
          <w:p>
            <w:pPr>
              <w:pStyle w:val="TableParagraph"/>
              <w:ind w:right="138"/>
              <w:rPr>
                <w:sz w:val="20"/>
              </w:rPr>
            </w:pPr>
            <w:r>
              <w:rPr>
                <w:w w:val="95"/>
                <w:sz w:val="20"/>
              </w:rPr>
              <w:t>939</w:t>
            </w:r>
          </w:p>
        </w:tc>
        <w:tc>
          <w:tcPr>
            <w:tcW w:w="1188" w:type="dxa"/>
            <w:shd w:val="clear" w:color="auto" w:fill="D2DFED"/>
          </w:tcPr>
          <w:p>
            <w:pPr>
              <w:pStyle w:val="TableParagraph"/>
              <w:ind w:right="186"/>
              <w:rPr>
                <w:sz w:val="20"/>
              </w:rPr>
            </w:pPr>
            <w:r>
              <w:rPr>
                <w:w w:val="95"/>
                <w:sz w:val="20"/>
              </w:rPr>
              <w:t>852</w:t>
            </w:r>
          </w:p>
        </w:tc>
        <w:tc>
          <w:tcPr>
            <w:tcW w:w="1055" w:type="dxa"/>
            <w:shd w:val="clear" w:color="auto" w:fill="D2DFED"/>
          </w:tcPr>
          <w:p>
            <w:pPr>
              <w:pStyle w:val="TableParagraph"/>
              <w:ind w:right="105"/>
              <w:rPr>
                <w:sz w:val="20"/>
              </w:rPr>
            </w:pPr>
            <w:r>
              <w:rPr>
                <w:w w:val="95"/>
                <w:sz w:val="20"/>
              </w:rPr>
              <w:t>872</w:t>
            </w:r>
          </w:p>
        </w:tc>
      </w:tr>
      <w:tr>
        <w:trPr>
          <w:trHeight w:val="300" w:hRule="atLeast"/>
        </w:trPr>
        <w:tc>
          <w:tcPr>
            <w:tcW w:w="5826" w:type="dxa"/>
          </w:tcPr>
          <w:p>
            <w:pPr>
              <w:pStyle w:val="TableParagraph"/>
              <w:ind w:left="122"/>
              <w:jc w:val="left"/>
              <w:rPr>
                <w:sz w:val="20"/>
              </w:rPr>
            </w:pPr>
            <w:r>
              <w:rPr>
                <w:sz w:val="20"/>
              </w:rPr>
              <w:t>Department of Mines and Petroleum</w:t>
            </w:r>
          </w:p>
        </w:tc>
        <w:tc>
          <w:tcPr>
            <w:tcW w:w="1408" w:type="dxa"/>
          </w:tcPr>
          <w:p>
            <w:pPr>
              <w:pStyle w:val="TableParagraph"/>
              <w:ind w:right="138"/>
              <w:rPr>
                <w:sz w:val="20"/>
              </w:rPr>
            </w:pPr>
            <w:r>
              <w:rPr>
                <w:w w:val="95"/>
                <w:sz w:val="20"/>
              </w:rPr>
              <w:t>774</w:t>
            </w:r>
          </w:p>
        </w:tc>
        <w:tc>
          <w:tcPr>
            <w:tcW w:w="1188" w:type="dxa"/>
          </w:tcPr>
          <w:p>
            <w:pPr>
              <w:pStyle w:val="TableParagraph"/>
              <w:ind w:right="186"/>
              <w:rPr>
                <w:sz w:val="20"/>
              </w:rPr>
            </w:pPr>
            <w:r>
              <w:rPr>
                <w:w w:val="95"/>
                <w:sz w:val="20"/>
              </w:rPr>
              <w:t>729</w:t>
            </w:r>
          </w:p>
        </w:tc>
        <w:tc>
          <w:tcPr>
            <w:tcW w:w="1055" w:type="dxa"/>
          </w:tcPr>
          <w:p>
            <w:pPr>
              <w:pStyle w:val="TableParagraph"/>
              <w:ind w:right="105"/>
              <w:rPr>
                <w:sz w:val="20"/>
              </w:rPr>
            </w:pPr>
            <w:r>
              <w:rPr>
                <w:w w:val="95"/>
                <w:sz w:val="20"/>
              </w:rPr>
              <w:t>721</w:t>
            </w:r>
          </w:p>
        </w:tc>
      </w:tr>
      <w:tr>
        <w:trPr>
          <w:trHeight w:val="300" w:hRule="atLeast"/>
        </w:trPr>
        <w:tc>
          <w:tcPr>
            <w:tcW w:w="5826" w:type="dxa"/>
            <w:shd w:val="clear" w:color="auto" w:fill="D2DFED"/>
          </w:tcPr>
          <w:p>
            <w:pPr>
              <w:pStyle w:val="TableParagraph"/>
              <w:ind w:left="122"/>
              <w:jc w:val="left"/>
              <w:rPr>
                <w:sz w:val="20"/>
              </w:rPr>
            </w:pPr>
            <w:r>
              <w:rPr>
                <w:sz w:val="20"/>
              </w:rPr>
              <w:t>Challenger Institute of Technology</w:t>
            </w:r>
          </w:p>
        </w:tc>
        <w:tc>
          <w:tcPr>
            <w:tcW w:w="1408" w:type="dxa"/>
            <w:shd w:val="clear" w:color="auto" w:fill="D2DFED"/>
          </w:tcPr>
          <w:p>
            <w:pPr>
              <w:pStyle w:val="TableParagraph"/>
              <w:ind w:right="138"/>
              <w:rPr>
                <w:sz w:val="20"/>
              </w:rPr>
            </w:pPr>
            <w:r>
              <w:rPr>
                <w:w w:val="95"/>
                <w:sz w:val="20"/>
              </w:rPr>
              <w:t>941</w:t>
            </w:r>
          </w:p>
        </w:tc>
        <w:tc>
          <w:tcPr>
            <w:tcW w:w="1188" w:type="dxa"/>
            <w:shd w:val="clear" w:color="auto" w:fill="D2DFED"/>
          </w:tcPr>
          <w:p>
            <w:pPr>
              <w:pStyle w:val="TableParagraph"/>
              <w:ind w:right="186"/>
              <w:rPr>
                <w:sz w:val="20"/>
              </w:rPr>
            </w:pPr>
            <w:r>
              <w:rPr>
                <w:w w:val="95"/>
                <w:sz w:val="20"/>
              </w:rPr>
              <w:t>701</w:t>
            </w:r>
          </w:p>
        </w:tc>
        <w:tc>
          <w:tcPr>
            <w:tcW w:w="1055" w:type="dxa"/>
            <w:shd w:val="clear" w:color="auto" w:fill="D2DFED"/>
          </w:tcPr>
          <w:p>
            <w:pPr>
              <w:pStyle w:val="TableParagraph"/>
              <w:ind w:right="105"/>
              <w:rPr>
                <w:sz w:val="20"/>
              </w:rPr>
            </w:pPr>
            <w:r>
              <w:rPr>
                <w:w w:val="95"/>
                <w:sz w:val="20"/>
              </w:rPr>
              <w:t>651</w:t>
            </w:r>
          </w:p>
        </w:tc>
      </w:tr>
      <w:tr>
        <w:trPr>
          <w:trHeight w:val="300" w:hRule="atLeast"/>
        </w:trPr>
        <w:tc>
          <w:tcPr>
            <w:tcW w:w="5826" w:type="dxa"/>
          </w:tcPr>
          <w:p>
            <w:pPr>
              <w:pStyle w:val="TableParagraph"/>
              <w:ind w:left="122"/>
              <w:jc w:val="left"/>
              <w:rPr>
                <w:sz w:val="20"/>
              </w:rPr>
            </w:pPr>
            <w:r>
              <w:rPr>
                <w:sz w:val="20"/>
              </w:rPr>
              <w:t>Department of Planning</w:t>
            </w:r>
          </w:p>
        </w:tc>
        <w:tc>
          <w:tcPr>
            <w:tcW w:w="1408" w:type="dxa"/>
          </w:tcPr>
          <w:p>
            <w:pPr>
              <w:pStyle w:val="TableParagraph"/>
              <w:ind w:right="138"/>
              <w:rPr>
                <w:sz w:val="20"/>
              </w:rPr>
            </w:pPr>
            <w:r>
              <w:rPr>
                <w:w w:val="95"/>
                <w:sz w:val="20"/>
              </w:rPr>
              <w:t>728</w:t>
            </w:r>
          </w:p>
        </w:tc>
        <w:tc>
          <w:tcPr>
            <w:tcW w:w="1188" w:type="dxa"/>
          </w:tcPr>
          <w:p>
            <w:pPr>
              <w:pStyle w:val="TableParagraph"/>
              <w:ind w:right="186"/>
              <w:rPr>
                <w:sz w:val="20"/>
              </w:rPr>
            </w:pPr>
            <w:r>
              <w:rPr>
                <w:w w:val="95"/>
                <w:sz w:val="20"/>
              </w:rPr>
              <w:t>676</w:t>
            </w:r>
          </w:p>
        </w:tc>
        <w:tc>
          <w:tcPr>
            <w:tcW w:w="1055" w:type="dxa"/>
          </w:tcPr>
          <w:p>
            <w:pPr>
              <w:pStyle w:val="TableParagraph"/>
              <w:ind w:right="105"/>
              <w:rPr>
                <w:sz w:val="20"/>
              </w:rPr>
            </w:pPr>
            <w:r>
              <w:rPr>
                <w:w w:val="95"/>
                <w:sz w:val="20"/>
              </w:rPr>
              <w:t>680</w:t>
            </w:r>
          </w:p>
        </w:tc>
      </w:tr>
      <w:tr>
        <w:trPr>
          <w:trHeight w:val="300" w:hRule="atLeast"/>
        </w:trPr>
        <w:tc>
          <w:tcPr>
            <w:tcW w:w="5826" w:type="dxa"/>
            <w:shd w:val="clear" w:color="auto" w:fill="D2DFED"/>
          </w:tcPr>
          <w:p>
            <w:pPr>
              <w:pStyle w:val="TableParagraph"/>
              <w:ind w:left="122"/>
              <w:jc w:val="left"/>
              <w:rPr>
                <w:sz w:val="20"/>
              </w:rPr>
            </w:pPr>
            <w:r>
              <w:rPr>
                <w:sz w:val="20"/>
              </w:rPr>
              <w:t>Department of Culture and the Arts</w:t>
            </w:r>
          </w:p>
        </w:tc>
        <w:tc>
          <w:tcPr>
            <w:tcW w:w="1408" w:type="dxa"/>
            <w:shd w:val="clear" w:color="auto" w:fill="D2DFED"/>
          </w:tcPr>
          <w:p>
            <w:pPr>
              <w:pStyle w:val="TableParagraph"/>
              <w:ind w:right="138"/>
              <w:rPr>
                <w:sz w:val="20"/>
              </w:rPr>
            </w:pPr>
            <w:r>
              <w:rPr>
                <w:w w:val="95"/>
                <w:sz w:val="20"/>
              </w:rPr>
              <w:t>779</w:t>
            </w:r>
          </w:p>
        </w:tc>
        <w:tc>
          <w:tcPr>
            <w:tcW w:w="1188" w:type="dxa"/>
            <w:shd w:val="clear" w:color="auto" w:fill="D2DFED"/>
          </w:tcPr>
          <w:p>
            <w:pPr>
              <w:pStyle w:val="TableParagraph"/>
              <w:ind w:right="186"/>
              <w:rPr>
                <w:sz w:val="20"/>
              </w:rPr>
            </w:pPr>
            <w:r>
              <w:rPr>
                <w:w w:val="95"/>
                <w:sz w:val="20"/>
              </w:rPr>
              <w:t>636</w:t>
            </w:r>
          </w:p>
        </w:tc>
        <w:tc>
          <w:tcPr>
            <w:tcW w:w="1055" w:type="dxa"/>
            <w:shd w:val="clear" w:color="auto" w:fill="D2DFED"/>
          </w:tcPr>
          <w:p>
            <w:pPr>
              <w:pStyle w:val="TableParagraph"/>
              <w:ind w:right="105"/>
              <w:rPr>
                <w:sz w:val="20"/>
              </w:rPr>
            </w:pPr>
            <w:r>
              <w:rPr>
                <w:w w:val="95"/>
                <w:sz w:val="20"/>
              </w:rPr>
              <w:t>648</w:t>
            </w:r>
          </w:p>
        </w:tc>
      </w:tr>
      <w:tr>
        <w:trPr>
          <w:trHeight w:val="300" w:hRule="atLeast"/>
        </w:trPr>
        <w:tc>
          <w:tcPr>
            <w:tcW w:w="5826" w:type="dxa"/>
          </w:tcPr>
          <w:p>
            <w:pPr>
              <w:pStyle w:val="TableParagraph"/>
              <w:spacing w:before="55"/>
              <w:ind w:left="122"/>
              <w:jc w:val="left"/>
              <w:rPr>
                <w:sz w:val="20"/>
              </w:rPr>
            </w:pPr>
            <w:r>
              <w:rPr>
                <w:sz w:val="20"/>
              </w:rPr>
              <w:t>Department of the Premier and Cabinet</w:t>
            </w:r>
            <w:r>
              <w:rPr>
                <w:sz w:val="20"/>
                <w:vertAlign w:val="superscript"/>
              </w:rPr>
              <w:t>7</w:t>
            </w:r>
          </w:p>
        </w:tc>
        <w:tc>
          <w:tcPr>
            <w:tcW w:w="1408" w:type="dxa"/>
          </w:tcPr>
          <w:p>
            <w:pPr>
              <w:pStyle w:val="TableParagraph"/>
              <w:spacing w:before="55"/>
              <w:ind w:right="138"/>
              <w:rPr>
                <w:sz w:val="20"/>
              </w:rPr>
            </w:pPr>
            <w:r>
              <w:rPr>
                <w:w w:val="95"/>
                <w:sz w:val="20"/>
              </w:rPr>
              <w:t>802</w:t>
            </w:r>
          </w:p>
        </w:tc>
        <w:tc>
          <w:tcPr>
            <w:tcW w:w="1188" w:type="dxa"/>
          </w:tcPr>
          <w:p>
            <w:pPr>
              <w:pStyle w:val="TableParagraph"/>
              <w:spacing w:before="55"/>
              <w:ind w:right="186"/>
              <w:rPr>
                <w:sz w:val="20"/>
              </w:rPr>
            </w:pPr>
            <w:r>
              <w:rPr>
                <w:w w:val="95"/>
                <w:sz w:val="20"/>
              </w:rPr>
              <w:t>622</w:t>
            </w:r>
          </w:p>
        </w:tc>
        <w:tc>
          <w:tcPr>
            <w:tcW w:w="1055" w:type="dxa"/>
          </w:tcPr>
          <w:p>
            <w:pPr>
              <w:pStyle w:val="TableParagraph"/>
              <w:spacing w:before="55"/>
              <w:ind w:right="105"/>
              <w:rPr>
                <w:sz w:val="20"/>
              </w:rPr>
            </w:pPr>
            <w:r>
              <w:rPr>
                <w:w w:val="95"/>
                <w:sz w:val="20"/>
              </w:rPr>
              <w:t>619</w:t>
            </w:r>
          </w:p>
        </w:tc>
      </w:tr>
      <w:tr>
        <w:trPr>
          <w:trHeight w:val="300" w:hRule="atLeast"/>
        </w:trPr>
        <w:tc>
          <w:tcPr>
            <w:tcW w:w="5826" w:type="dxa"/>
            <w:shd w:val="clear" w:color="auto" w:fill="D2DFED"/>
          </w:tcPr>
          <w:p>
            <w:pPr>
              <w:pStyle w:val="TableParagraph"/>
              <w:ind w:left="122"/>
              <w:jc w:val="left"/>
              <w:rPr>
                <w:sz w:val="20"/>
              </w:rPr>
            </w:pPr>
            <w:r>
              <w:rPr>
                <w:sz w:val="20"/>
              </w:rPr>
              <w:t>Department of Water</w:t>
            </w:r>
          </w:p>
        </w:tc>
        <w:tc>
          <w:tcPr>
            <w:tcW w:w="1408" w:type="dxa"/>
            <w:shd w:val="clear" w:color="auto" w:fill="D2DFED"/>
          </w:tcPr>
          <w:p>
            <w:pPr>
              <w:pStyle w:val="TableParagraph"/>
              <w:ind w:right="138"/>
              <w:rPr>
                <w:sz w:val="20"/>
              </w:rPr>
            </w:pPr>
            <w:r>
              <w:rPr>
                <w:w w:val="95"/>
                <w:sz w:val="20"/>
              </w:rPr>
              <w:t>622</w:t>
            </w:r>
          </w:p>
        </w:tc>
        <w:tc>
          <w:tcPr>
            <w:tcW w:w="1188" w:type="dxa"/>
            <w:shd w:val="clear" w:color="auto" w:fill="D2DFED"/>
          </w:tcPr>
          <w:p>
            <w:pPr>
              <w:pStyle w:val="TableParagraph"/>
              <w:ind w:right="186"/>
              <w:rPr>
                <w:sz w:val="20"/>
              </w:rPr>
            </w:pPr>
            <w:r>
              <w:rPr>
                <w:w w:val="95"/>
                <w:sz w:val="20"/>
              </w:rPr>
              <w:t>577</w:t>
            </w:r>
          </w:p>
        </w:tc>
        <w:tc>
          <w:tcPr>
            <w:tcW w:w="1055" w:type="dxa"/>
            <w:shd w:val="clear" w:color="auto" w:fill="D2DFED"/>
          </w:tcPr>
          <w:p>
            <w:pPr>
              <w:pStyle w:val="TableParagraph"/>
              <w:ind w:right="105"/>
              <w:rPr>
                <w:sz w:val="20"/>
              </w:rPr>
            </w:pPr>
            <w:r>
              <w:rPr>
                <w:w w:val="95"/>
                <w:sz w:val="20"/>
              </w:rPr>
              <w:t>596</w:t>
            </w:r>
          </w:p>
        </w:tc>
      </w:tr>
      <w:tr>
        <w:trPr>
          <w:trHeight w:val="300" w:hRule="atLeast"/>
        </w:trPr>
        <w:tc>
          <w:tcPr>
            <w:tcW w:w="5826" w:type="dxa"/>
          </w:tcPr>
          <w:p>
            <w:pPr>
              <w:pStyle w:val="TableParagraph"/>
              <w:ind w:left="122"/>
              <w:jc w:val="left"/>
              <w:rPr>
                <w:sz w:val="20"/>
              </w:rPr>
            </w:pPr>
            <w:r>
              <w:rPr>
                <w:sz w:val="20"/>
              </w:rPr>
              <w:t>Department of Training and Workforce Development</w:t>
            </w:r>
          </w:p>
        </w:tc>
        <w:tc>
          <w:tcPr>
            <w:tcW w:w="1408" w:type="dxa"/>
          </w:tcPr>
          <w:p>
            <w:pPr>
              <w:pStyle w:val="TableParagraph"/>
              <w:ind w:right="138"/>
              <w:rPr>
                <w:sz w:val="20"/>
              </w:rPr>
            </w:pPr>
            <w:r>
              <w:rPr>
                <w:w w:val="95"/>
                <w:sz w:val="20"/>
              </w:rPr>
              <w:t>560</w:t>
            </w:r>
          </w:p>
        </w:tc>
        <w:tc>
          <w:tcPr>
            <w:tcW w:w="1188" w:type="dxa"/>
          </w:tcPr>
          <w:p>
            <w:pPr>
              <w:pStyle w:val="TableParagraph"/>
              <w:ind w:right="186"/>
              <w:rPr>
                <w:sz w:val="20"/>
              </w:rPr>
            </w:pPr>
            <w:r>
              <w:rPr>
                <w:w w:val="95"/>
                <w:sz w:val="20"/>
              </w:rPr>
              <w:t>475</w:t>
            </w:r>
          </w:p>
        </w:tc>
        <w:tc>
          <w:tcPr>
            <w:tcW w:w="1055" w:type="dxa"/>
          </w:tcPr>
          <w:p>
            <w:pPr>
              <w:pStyle w:val="TableParagraph"/>
              <w:ind w:right="105"/>
              <w:rPr>
                <w:sz w:val="20"/>
              </w:rPr>
            </w:pPr>
            <w:r>
              <w:rPr>
                <w:w w:val="95"/>
                <w:sz w:val="20"/>
              </w:rPr>
              <w:t>479</w:t>
            </w:r>
          </w:p>
        </w:tc>
      </w:tr>
      <w:tr>
        <w:trPr>
          <w:trHeight w:val="300" w:hRule="atLeast"/>
        </w:trPr>
        <w:tc>
          <w:tcPr>
            <w:tcW w:w="5826" w:type="dxa"/>
            <w:shd w:val="clear" w:color="auto" w:fill="D2DFED"/>
          </w:tcPr>
          <w:p>
            <w:pPr>
              <w:pStyle w:val="TableParagraph"/>
              <w:ind w:left="122"/>
              <w:jc w:val="left"/>
              <w:rPr>
                <w:sz w:val="20"/>
              </w:rPr>
            </w:pPr>
            <w:r>
              <w:rPr>
                <w:sz w:val="20"/>
              </w:rPr>
              <w:t>Department of Fisheries</w:t>
            </w:r>
          </w:p>
        </w:tc>
        <w:tc>
          <w:tcPr>
            <w:tcW w:w="1408" w:type="dxa"/>
            <w:shd w:val="clear" w:color="auto" w:fill="D2DFED"/>
          </w:tcPr>
          <w:p>
            <w:pPr>
              <w:pStyle w:val="TableParagraph"/>
              <w:ind w:right="138"/>
              <w:rPr>
                <w:sz w:val="20"/>
              </w:rPr>
            </w:pPr>
            <w:r>
              <w:rPr>
                <w:w w:val="95"/>
                <w:sz w:val="20"/>
              </w:rPr>
              <w:t>442</w:t>
            </w:r>
          </w:p>
        </w:tc>
        <w:tc>
          <w:tcPr>
            <w:tcW w:w="1188" w:type="dxa"/>
            <w:shd w:val="clear" w:color="auto" w:fill="D2DFED"/>
          </w:tcPr>
          <w:p>
            <w:pPr>
              <w:pStyle w:val="TableParagraph"/>
              <w:ind w:right="186"/>
              <w:rPr>
                <w:sz w:val="20"/>
              </w:rPr>
            </w:pPr>
            <w:r>
              <w:rPr>
                <w:w w:val="95"/>
                <w:sz w:val="20"/>
              </w:rPr>
              <w:t>402</w:t>
            </w:r>
          </w:p>
        </w:tc>
        <w:tc>
          <w:tcPr>
            <w:tcW w:w="1055" w:type="dxa"/>
            <w:shd w:val="clear" w:color="auto" w:fill="D2DFED"/>
          </w:tcPr>
          <w:p>
            <w:pPr>
              <w:pStyle w:val="TableParagraph"/>
              <w:ind w:right="105"/>
              <w:rPr>
                <w:sz w:val="20"/>
              </w:rPr>
            </w:pPr>
            <w:r>
              <w:rPr>
                <w:w w:val="95"/>
                <w:sz w:val="20"/>
              </w:rPr>
              <w:t>414</w:t>
            </w:r>
          </w:p>
        </w:tc>
      </w:tr>
      <w:tr>
        <w:trPr>
          <w:trHeight w:val="299" w:hRule="atLeast"/>
        </w:trPr>
        <w:tc>
          <w:tcPr>
            <w:tcW w:w="5826" w:type="dxa"/>
          </w:tcPr>
          <w:p>
            <w:pPr>
              <w:pStyle w:val="TableParagraph"/>
              <w:ind w:left="122"/>
              <w:jc w:val="left"/>
              <w:rPr>
                <w:sz w:val="20"/>
              </w:rPr>
            </w:pPr>
            <w:r>
              <w:rPr>
                <w:sz w:val="20"/>
              </w:rPr>
              <w:t>South West Regional College of TAFE</w:t>
            </w:r>
          </w:p>
        </w:tc>
        <w:tc>
          <w:tcPr>
            <w:tcW w:w="1408" w:type="dxa"/>
          </w:tcPr>
          <w:p>
            <w:pPr>
              <w:pStyle w:val="TableParagraph"/>
              <w:ind w:right="138"/>
              <w:rPr>
                <w:sz w:val="20"/>
              </w:rPr>
            </w:pPr>
            <w:r>
              <w:rPr>
                <w:w w:val="95"/>
                <w:sz w:val="20"/>
              </w:rPr>
              <w:t>397</w:t>
            </w:r>
          </w:p>
        </w:tc>
        <w:tc>
          <w:tcPr>
            <w:tcW w:w="1188" w:type="dxa"/>
          </w:tcPr>
          <w:p>
            <w:pPr>
              <w:pStyle w:val="TableParagraph"/>
              <w:ind w:right="186"/>
              <w:rPr>
                <w:sz w:val="20"/>
              </w:rPr>
            </w:pPr>
            <w:r>
              <w:rPr>
                <w:w w:val="95"/>
                <w:sz w:val="20"/>
              </w:rPr>
              <w:t>287</w:t>
            </w:r>
          </w:p>
        </w:tc>
        <w:tc>
          <w:tcPr>
            <w:tcW w:w="1055" w:type="dxa"/>
          </w:tcPr>
          <w:p>
            <w:pPr>
              <w:pStyle w:val="TableParagraph"/>
              <w:ind w:right="105"/>
              <w:rPr>
                <w:sz w:val="20"/>
              </w:rPr>
            </w:pPr>
            <w:r>
              <w:rPr>
                <w:w w:val="95"/>
                <w:sz w:val="20"/>
              </w:rPr>
              <w:t>262</w:t>
            </w:r>
          </w:p>
        </w:tc>
      </w:tr>
      <w:tr>
        <w:trPr>
          <w:trHeight w:val="300" w:hRule="atLeast"/>
        </w:trPr>
        <w:tc>
          <w:tcPr>
            <w:tcW w:w="5826" w:type="dxa"/>
            <w:shd w:val="clear" w:color="auto" w:fill="D2DFED"/>
          </w:tcPr>
          <w:p>
            <w:pPr>
              <w:pStyle w:val="TableParagraph"/>
              <w:ind w:left="122"/>
              <w:jc w:val="left"/>
              <w:rPr>
                <w:sz w:val="20"/>
              </w:rPr>
            </w:pPr>
            <w:r>
              <w:rPr>
                <w:sz w:val="20"/>
              </w:rPr>
              <w:t>West Coast Institute of Training</w:t>
            </w:r>
          </w:p>
        </w:tc>
        <w:tc>
          <w:tcPr>
            <w:tcW w:w="1408" w:type="dxa"/>
            <w:shd w:val="clear" w:color="auto" w:fill="D2DFED"/>
          </w:tcPr>
          <w:p>
            <w:pPr>
              <w:pStyle w:val="TableParagraph"/>
              <w:ind w:right="138"/>
              <w:rPr>
                <w:sz w:val="20"/>
              </w:rPr>
            </w:pPr>
            <w:r>
              <w:rPr>
                <w:w w:val="95"/>
                <w:sz w:val="20"/>
              </w:rPr>
              <w:t>359</w:t>
            </w:r>
          </w:p>
        </w:tc>
        <w:tc>
          <w:tcPr>
            <w:tcW w:w="1188" w:type="dxa"/>
            <w:shd w:val="clear" w:color="auto" w:fill="D2DFED"/>
          </w:tcPr>
          <w:p>
            <w:pPr>
              <w:pStyle w:val="TableParagraph"/>
              <w:ind w:right="186"/>
              <w:rPr>
                <w:sz w:val="20"/>
              </w:rPr>
            </w:pPr>
            <w:r>
              <w:rPr>
                <w:w w:val="95"/>
                <w:sz w:val="20"/>
              </w:rPr>
              <w:t>269</w:t>
            </w:r>
          </w:p>
        </w:tc>
        <w:tc>
          <w:tcPr>
            <w:tcW w:w="1055" w:type="dxa"/>
            <w:shd w:val="clear" w:color="auto" w:fill="D2DFED"/>
          </w:tcPr>
          <w:p>
            <w:pPr>
              <w:pStyle w:val="TableParagraph"/>
              <w:ind w:right="105"/>
              <w:rPr>
                <w:sz w:val="20"/>
              </w:rPr>
            </w:pPr>
            <w:r>
              <w:rPr>
                <w:w w:val="95"/>
                <w:sz w:val="20"/>
              </w:rPr>
              <w:t>259</w:t>
            </w:r>
          </w:p>
        </w:tc>
      </w:tr>
      <w:tr>
        <w:trPr>
          <w:trHeight w:val="300" w:hRule="atLeast"/>
        </w:trPr>
        <w:tc>
          <w:tcPr>
            <w:tcW w:w="5826" w:type="dxa"/>
          </w:tcPr>
          <w:p>
            <w:pPr>
              <w:pStyle w:val="TableParagraph"/>
              <w:ind w:left="122"/>
              <w:jc w:val="left"/>
              <w:rPr>
                <w:sz w:val="20"/>
              </w:rPr>
            </w:pPr>
            <w:r>
              <w:rPr>
                <w:sz w:val="20"/>
              </w:rPr>
              <w:t>Office of the Director of Public Prosecutions</w:t>
            </w:r>
          </w:p>
        </w:tc>
        <w:tc>
          <w:tcPr>
            <w:tcW w:w="1408" w:type="dxa"/>
          </w:tcPr>
          <w:p>
            <w:pPr>
              <w:pStyle w:val="TableParagraph"/>
              <w:ind w:right="138"/>
              <w:rPr>
                <w:sz w:val="20"/>
              </w:rPr>
            </w:pPr>
            <w:r>
              <w:rPr>
                <w:w w:val="95"/>
                <w:sz w:val="20"/>
              </w:rPr>
              <w:t>264</w:t>
            </w:r>
          </w:p>
        </w:tc>
        <w:tc>
          <w:tcPr>
            <w:tcW w:w="1188" w:type="dxa"/>
          </w:tcPr>
          <w:p>
            <w:pPr>
              <w:pStyle w:val="TableParagraph"/>
              <w:ind w:right="186"/>
              <w:rPr>
                <w:sz w:val="20"/>
              </w:rPr>
            </w:pPr>
            <w:r>
              <w:rPr>
                <w:w w:val="95"/>
                <w:sz w:val="20"/>
              </w:rPr>
              <w:t>236</w:t>
            </w:r>
          </w:p>
        </w:tc>
        <w:tc>
          <w:tcPr>
            <w:tcW w:w="1055" w:type="dxa"/>
          </w:tcPr>
          <w:p>
            <w:pPr>
              <w:pStyle w:val="TableParagraph"/>
              <w:ind w:right="105"/>
              <w:rPr>
                <w:sz w:val="20"/>
              </w:rPr>
            </w:pPr>
            <w:r>
              <w:rPr>
                <w:w w:val="95"/>
                <w:sz w:val="20"/>
              </w:rPr>
              <w:t>227</w:t>
            </w:r>
          </w:p>
        </w:tc>
      </w:tr>
      <w:tr>
        <w:trPr>
          <w:trHeight w:val="300" w:hRule="atLeast"/>
        </w:trPr>
        <w:tc>
          <w:tcPr>
            <w:tcW w:w="5826" w:type="dxa"/>
            <w:shd w:val="clear" w:color="auto" w:fill="D2DFED"/>
          </w:tcPr>
          <w:p>
            <w:pPr>
              <w:pStyle w:val="TableParagraph"/>
              <w:ind w:left="122"/>
              <w:jc w:val="left"/>
              <w:rPr>
                <w:sz w:val="20"/>
              </w:rPr>
            </w:pPr>
            <w:r>
              <w:rPr>
                <w:sz w:val="20"/>
              </w:rPr>
              <w:t>Department for Communities</w:t>
            </w:r>
          </w:p>
        </w:tc>
        <w:tc>
          <w:tcPr>
            <w:tcW w:w="1408" w:type="dxa"/>
            <w:shd w:val="clear" w:color="auto" w:fill="D2DFED"/>
          </w:tcPr>
          <w:p>
            <w:pPr>
              <w:pStyle w:val="TableParagraph"/>
              <w:ind w:right="138"/>
              <w:rPr>
                <w:sz w:val="20"/>
              </w:rPr>
            </w:pPr>
            <w:r>
              <w:rPr>
                <w:w w:val="95"/>
                <w:sz w:val="20"/>
              </w:rPr>
              <w:t>281</w:t>
            </w:r>
          </w:p>
        </w:tc>
        <w:tc>
          <w:tcPr>
            <w:tcW w:w="1188" w:type="dxa"/>
            <w:shd w:val="clear" w:color="auto" w:fill="D2DFED"/>
          </w:tcPr>
          <w:p>
            <w:pPr>
              <w:pStyle w:val="TableParagraph"/>
              <w:ind w:right="186"/>
              <w:rPr>
                <w:sz w:val="20"/>
              </w:rPr>
            </w:pPr>
            <w:r>
              <w:rPr>
                <w:w w:val="95"/>
                <w:sz w:val="20"/>
              </w:rPr>
              <w:t>231</w:t>
            </w:r>
          </w:p>
        </w:tc>
        <w:tc>
          <w:tcPr>
            <w:tcW w:w="1055" w:type="dxa"/>
            <w:shd w:val="clear" w:color="auto" w:fill="D2DFED"/>
          </w:tcPr>
          <w:p>
            <w:pPr>
              <w:pStyle w:val="TableParagraph"/>
              <w:ind w:right="105"/>
              <w:rPr>
                <w:sz w:val="20"/>
              </w:rPr>
            </w:pPr>
            <w:r>
              <w:rPr>
                <w:w w:val="95"/>
                <w:sz w:val="20"/>
              </w:rPr>
              <w:t>226</w:t>
            </w:r>
          </w:p>
        </w:tc>
      </w:tr>
      <w:tr>
        <w:trPr>
          <w:trHeight w:val="300" w:hRule="atLeast"/>
        </w:trPr>
        <w:tc>
          <w:tcPr>
            <w:tcW w:w="5826" w:type="dxa"/>
          </w:tcPr>
          <w:p>
            <w:pPr>
              <w:pStyle w:val="TableParagraph"/>
              <w:ind w:left="122"/>
              <w:jc w:val="left"/>
              <w:rPr>
                <w:sz w:val="20"/>
              </w:rPr>
            </w:pPr>
            <w:r>
              <w:rPr>
                <w:sz w:val="20"/>
              </w:rPr>
              <w:t>Western Australian Sports Centre Trust</w:t>
            </w:r>
          </w:p>
        </w:tc>
        <w:tc>
          <w:tcPr>
            <w:tcW w:w="1408" w:type="dxa"/>
          </w:tcPr>
          <w:p>
            <w:pPr>
              <w:pStyle w:val="TableParagraph"/>
              <w:ind w:right="138"/>
              <w:rPr>
                <w:sz w:val="20"/>
              </w:rPr>
            </w:pPr>
            <w:r>
              <w:rPr>
                <w:w w:val="95"/>
                <w:sz w:val="20"/>
              </w:rPr>
              <w:t>604</w:t>
            </w:r>
          </w:p>
        </w:tc>
        <w:tc>
          <w:tcPr>
            <w:tcW w:w="1188" w:type="dxa"/>
          </w:tcPr>
          <w:p>
            <w:pPr>
              <w:pStyle w:val="TableParagraph"/>
              <w:ind w:right="186"/>
              <w:rPr>
                <w:sz w:val="20"/>
              </w:rPr>
            </w:pPr>
            <w:r>
              <w:rPr>
                <w:w w:val="95"/>
                <w:sz w:val="20"/>
              </w:rPr>
              <w:t>229</w:t>
            </w:r>
          </w:p>
        </w:tc>
        <w:tc>
          <w:tcPr>
            <w:tcW w:w="1055" w:type="dxa"/>
          </w:tcPr>
          <w:p>
            <w:pPr>
              <w:pStyle w:val="TableParagraph"/>
              <w:ind w:right="105"/>
              <w:rPr>
                <w:sz w:val="20"/>
              </w:rPr>
            </w:pPr>
            <w:r>
              <w:rPr>
                <w:w w:val="95"/>
                <w:sz w:val="20"/>
              </w:rPr>
              <w:t>192</w:t>
            </w:r>
          </w:p>
        </w:tc>
      </w:tr>
      <w:tr>
        <w:trPr>
          <w:trHeight w:val="300" w:hRule="atLeast"/>
        </w:trPr>
        <w:tc>
          <w:tcPr>
            <w:tcW w:w="5826" w:type="dxa"/>
            <w:shd w:val="clear" w:color="auto" w:fill="D2DFED"/>
          </w:tcPr>
          <w:p>
            <w:pPr>
              <w:pStyle w:val="TableParagraph"/>
              <w:ind w:left="122"/>
              <w:jc w:val="left"/>
              <w:rPr>
                <w:sz w:val="20"/>
              </w:rPr>
            </w:pPr>
            <w:r>
              <w:rPr>
                <w:sz w:val="20"/>
              </w:rPr>
              <w:t>Department of Regional Development and Lands</w:t>
            </w:r>
          </w:p>
        </w:tc>
        <w:tc>
          <w:tcPr>
            <w:tcW w:w="1408" w:type="dxa"/>
            <w:shd w:val="clear" w:color="auto" w:fill="D2DFED"/>
          </w:tcPr>
          <w:p>
            <w:pPr>
              <w:pStyle w:val="TableParagraph"/>
              <w:ind w:right="138"/>
              <w:rPr>
                <w:sz w:val="20"/>
              </w:rPr>
            </w:pPr>
            <w:r>
              <w:rPr>
                <w:w w:val="95"/>
                <w:sz w:val="20"/>
              </w:rPr>
              <w:t>217</w:t>
            </w:r>
          </w:p>
        </w:tc>
        <w:tc>
          <w:tcPr>
            <w:tcW w:w="1188" w:type="dxa"/>
            <w:shd w:val="clear" w:color="auto" w:fill="D2DFED"/>
          </w:tcPr>
          <w:p>
            <w:pPr>
              <w:pStyle w:val="TableParagraph"/>
              <w:ind w:right="186"/>
              <w:rPr>
                <w:sz w:val="20"/>
              </w:rPr>
            </w:pPr>
            <w:r>
              <w:rPr>
                <w:w w:val="95"/>
                <w:sz w:val="20"/>
              </w:rPr>
              <w:t>209</w:t>
            </w:r>
          </w:p>
        </w:tc>
        <w:tc>
          <w:tcPr>
            <w:tcW w:w="1055" w:type="dxa"/>
            <w:shd w:val="clear" w:color="auto" w:fill="D2DFED"/>
          </w:tcPr>
          <w:p>
            <w:pPr>
              <w:pStyle w:val="TableParagraph"/>
              <w:ind w:right="105"/>
              <w:rPr>
                <w:sz w:val="20"/>
              </w:rPr>
            </w:pPr>
            <w:r>
              <w:rPr>
                <w:w w:val="95"/>
                <w:sz w:val="20"/>
              </w:rPr>
              <w:t>194</w:t>
            </w:r>
          </w:p>
        </w:tc>
      </w:tr>
      <w:tr>
        <w:trPr>
          <w:trHeight w:val="300" w:hRule="atLeast"/>
        </w:trPr>
        <w:tc>
          <w:tcPr>
            <w:tcW w:w="5826" w:type="dxa"/>
          </w:tcPr>
          <w:p>
            <w:pPr>
              <w:pStyle w:val="TableParagraph"/>
              <w:ind w:left="122"/>
              <w:jc w:val="left"/>
              <w:rPr>
                <w:sz w:val="20"/>
              </w:rPr>
            </w:pPr>
            <w:r>
              <w:rPr>
                <w:sz w:val="20"/>
              </w:rPr>
              <w:t>Durack Institute of Technology</w:t>
            </w:r>
          </w:p>
        </w:tc>
        <w:tc>
          <w:tcPr>
            <w:tcW w:w="1408" w:type="dxa"/>
          </w:tcPr>
          <w:p>
            <w:pPr>
              <w:pStyle w:val="TableParagraph"/>
              <w:ind w:right="138"/>
              <w:rPr>
                <w:sz w:val="20"/>
              </w:rPr>
            </w:pPr>
            <w:r>
              <w:rPr>
                <w:w w:val="95"/>
                <w:sz w:val="20"/>
              </w:rPr>
              <w:t>247</w:t>
            </w:r>
          </w:p>
        </w:tc>
        <w:tc>
          <w:tcPr>
            <w:tcW w:w="1188" w:type="dxa"/>
          </w:tcPr>
          <w:p>
            <w:pPr>
              <w:pStyle w:val="TableParagraph"/>
              <w:ind w:right="186"/>
              <w:rPr>
                <w:sz w:val="20"/>
              </w:rPr>
            </w:pPr>
            <w:r>
              <w:rPr>
                <w:w w:val="95"/>
                <w:sz w:val="20"/>
              </w:rPr>
              <w:t>195</w:t>
            </w:r>
          </w:p>
        </w:tc>
        <w:tc>
          <w:tcPr>
            <w:tcW w:w="1055" w:type="dxa"/>
          </w:tcPr>
          <w:p>
            <w:pPr>
              <w:pStyle w:val="TableParagraph"/>
              <w:ind w:right="105"/>
              <w:rPr>
                <w:sz w:val="20"/>
              </w:rPr>
            </w:pPr>
            <w:r>
              <w:rPr>
                <w:w w:val="95"/>
                <w:sz w:val="20"/>
              </w:rPr>
              <w:t>192</w:t>
            </w:r>
          </w:p>
        </w:tc>
      </w:tr>
      <w:tr>
        <w:trPr>
          <w:trHeight w:val="300" w:hRule="atLeast"/>
        </w:trPr>
        <w:tc>
          <w:tcPr>
            <w:tcW w:w="5826" w:type="dxa"/>
            <w:shd w:val="clear" w:color="auto" w:fill="D2DFED"/>
          </w:tcPr>
          <w:p>
            <w:pPr>
              <w:pStyle w:val="TableParagraph"/>
              <w:ind w:left="122"/>
              <w:jc w:val="left"/>
              <w:rPr>
                <w:sz w:val="20"/>
              </w:rPr>
            </w:pPr>
            <w:r>
              <w:rPr>
                <w:sz w:val="20"/>
              </w:rPr>
              <w:t>Pilbara TAFE</w:t>
            </w:r>
          </w:p>
        </w:tc>
        <w:tc>
          <w:tcPr>
            <w:tcW w:w="1408" w:type="dxa"/>
            <w:shd w:val="clear" w:color="auto" w:fill="D2DFED"/>
          </w:tcPr>
          <w:p>
            <w:pPr>
              <w:pStyle w:val="TableParagraph"/>
              <w:ind w:right="138"/>
              <w:rPr>
                <w:sz w:val="20"/>
              </w:rPr>
            </w:pPr>
            <w:r>
              <w:rPr>
                <w:w w:val="95"/>
                <w:sz w:val="20"/>
              </w:rPr>
              <w:t>231</w:t>
            </w:r>
          </w:p>
        </w:tc>
        <w:tc>
          <w:tcPr>
            <w:tcW w:w="1188" w:type="dxa"/>
            <w:shd w:val="clear" w:color="auto" w:fill="D2DFED"/>
          </w:tcPr>
          <w:p>
            <w:pPr>
              <w:pStyle w:val="TableParagraph"/>
              <w:ind w:right="186"/>
              <w:rPr>
                <w:sz w:val="20"/>
              </w:rPr>
            </w:pPr>
            <w:r>
              <w:rPr>
                <w:w w:val="95"/>
                <w:sz w:val="20"/>
              </w:rPr>
              <w:t>192</w:t>
            </w:r>
          </w:p>
        </w:tc>
        <w:tc>
          <w:tcPr>
            <w:tcW w:w="1055" w:type="dxa"/>
            <w:shd w:val="clear" w:color="auto" w:fill="D2DFED"/>
          </w:tcPr>
          <w:p>
            <w:pPr>
              <w:pStyle w:val="TableParagraph"/>
              <w:ind w:right="105"/>
              <w:rPr>
                <w:sz w:val="20"/>
              </w:rPr>
            </w:pPr>
            <w:r>
              <w:rPr>
                <w:w w:val="95"/>
                <w:sz w:val="20"/>
              </w:rPr>
              <w:t>188</w:t>
            </w:r>
          </w:p>
        </w:tc>
      </w:tr>
      <w:tr>
        <w:trPr>
          <w:trHeight w:val="300" w:hRule="atLeast"/>
        </w:trPr>
        <w:tc>
          <w:tcPr>
            <w:tcW w:w="5826" w:type="dxa"/>
          </w:tcPr>
          <w:p>
            <w:pPr>
              <w:pStyle w:val="TableParagraph"/>
              <w:ind w:left="122"/>
              <w:jc w:val="left"/>
              <w:rPr>
                <w:sz w:val="20"/>
              </w:rPr>
            </w:pPr>
            <w:r>
              <w:rPr>
                <w:sz w:val="20"/>
              </w:rPr>
              <w:t>Great Southern Institute of Technology</w:t>
            </w:r>
          </w:p>
        </w:tc>
        <w:tc>
          <w:tcPr>
            <w:tcW w:w="1408" w:type="dxa"/>
          </w:tcPr>
          <w:p>
            <w:pPr>
              <w:pStyle w:val="TableParagraph"/>
              <w:ind w:right="138"/>
              <w:rPr>
                <w:sz w:val="20"/>
              </w:rPr>
            </w:pPr>
            <w:r>
              <w:rPr>
                <w:w w:val="95"/>
                <w:sz w:val="20"/>
              </w:rPr>
              <w:t>286</w:t>
            </w:r>
          </w:p>
        </w:tc>
        <w:tc>
          <w:tcPr>
            <w:tcW w:w="1188" w:type="dxa"/>
          </w:tcPr>
          <w:p>
            <w:pPr>
              <w:pStyle w:val="TableParagraph"/>
              <w:ind w:right="186"/>
              <w:rPr>
                <w:sz w:val="20"/>
              </w:rPr>
            </w:pPr>
            <w:r>
              <w:rPr>
                <w:w w:val="95"/>
                <w:sz w:val="20"/>
              </w:rPr>
              <w:t>185</w:t>
            </w:r>
          </w:p>
        </w:tc>
        <w:tc>
          <w:tcPr>
            <w:tcW w:w="1055" w:type="dxa"/>
          </w:tcPr>
          <w:p>
            <w:pPr>
              <w:pStyle w:val="TableParagraph"/>
              <w:ind w:right="105"/>
              <w:rPr>
                <w:sz w:val="20"/>
              </w:rPr>
            </w:pPr>
            <w:r>
              <w:rPr>
                <w:w w:val="95"/>
                <w:sz w:val="20"/>
              </w:rPr>
              <w:t>183</w:t>
            </w:r>
          </w:p>
        </w:tc>
      </w:tr>
      <w:tr>
        <w:trPr>
          <w:trHeight w:val="300" w:hRule="atLeast"/>
        </w:trPr>
        <w:tc>
          <w:tcPr>
            <w:tcW w:w="5826" w:type="dxa"/>
            <w:shd w:val="clear" w:color="auto" w:fill="D2DFED"/>
          </w:tcPr>
          <w:p>
            <w:pPr>
              <w:pStyle w:val="TableParagraph"/>
              <w:ind w:left="122"/>
              <w:jc w:val="left"/>
              <w:rPr>
                <w:sz w:val="20"/>
              </w:rPr>
            </w:pPr>
            <w:r>
              <w:rPr>
                <w:sz w:val="20"/>
              </w:rPr>
              <w:t>Department of Sport and Recreation</w:t>
            </w:r>
          </w:p>
        </w:tc>
        <w:tc>
          <w:tcPr>
            <w:tcW w:w="1408" w:type="dxa"/>
            <w:shd w:val="clear" w:color="auto" w:fill="D2DFED"/>
          </w:tcPr>
          <w:p>
            <w:pPr>
              <w:pStyle w:val="TableParagraph"/>
              <w:ind w:right="138"/>
              <w:rPr>
                <w:sz w:val="20"/>
              </w:rPr>
            </w:pPr>
            <w:r>
              <w:rPr>
                <w:w w:val="95"/>
                <w:sz w:val="20"/>
              </w:rPr>
              <w:t>235</w:t>
            </w:r>
          </w:p>
        </w:tc>
        <w:tc>
          <w:tcPr>
            <w:tcW w:w="1188" w:type="dxa"/>
            <w:shd w:val="clear" w:color="auto" w:fill="D2DFED"/>
          </w:tcPr>
          <w:p>
            <w:pPr>
              <w:pStyle w:val="TableParagraph"/>
              <w:ind w:right="186"/>
              <w:rPr>
                <w:sz w:val="20"/>
              </w:rPr>
            </w:pPr>
            <w:r>
              <w:rPr>
                <w:w w:val="95"/>
                <w:sz w:val="20"/>
              </w:rPr>
              <w:t>185</w:t>
            </w:r>
          </w:p>
        </w:tc>
        <w:tc>
          <w:tcPr>
            <w:tcW w:w="1055" w:type="dxa"/>
            <w:shd w:val="clear" w:color="auto" w:fill="D2DFED"/>
          </w:tcPr>
          <w:p>
            <w:pPr>
              <w:pStyle w:val="TableParagraph"/>
              <w:ind w:right="105"/>
              <w:rPr>
                <w:sz w:val="20"/>
              </w:rPr>
            </w:pPr>
            <w:r>
              <w:rPr>
                <w:w w:val="95"/>
                <w:sz w:val="20"/>
              </w:rPr>
              <w:t>175</w:t>
            </w:r>
          </w:p>
        </w:tc>
      </w:tr>
      <w:tr>
        <w:trPr>
          <w:trHeight w:val="300" w:hRule="atLeast"/>
        </w:trPr>
        <w:tc>
          <w:tcPr>
            <w:tcW w:w="5826" w:type="dxa"/>
          </w:tcPr>
          <w:p>
            <w:pPr>
              <w:pStyle w:val="TableParagraph"/>
              <w:ind w:left="122"/>
              <w:jc w:val="left"/>
              <w:rPr>
                <w:sz w:val="20"/>
              </w:rPr>
            </w:pPr>
            <w:r>
              <w:rPr>
                <w:sz w:val="20"/>
              </w:rPr>
              <w:t>Department of State Development</w:t>
            </w:r>
          </w:p>
        </w:tc>
        <w:tc>
          <w:tcPr>
            <w:tcW w:w="1408" w:type="dxa"/>
          </w:tcPr>
          <w:p>
            <w:pPr>
              <w:pStyle w:val="TableParagraph"/>
              <w:ind w:right="138"/>
              <w:rPr>
                <w:sz w:val="20"/>
              </w:rPr>
            </w:pPr>
            <w:r>
              <w:rPr>
                <w:w w:val="95"/>
                <w:sz w:val="20"/>
              </w:rPr>
              <w:t>183</w:t>
            </w:r>
          </w:p>
        </w:tc>
        <w:tc>
          <w:tcPr>
            <w:tcW w:w="1188" w:type="dxa"/>
          </w:tcPr>
          <w:p>
            <w:pPr>
              <w:pStyle w:val="TableParagraph"/>
              <w:ind w:right="186"/>
              <w:rPr>
                <w:sz w:val="20"/>
              </w:rPr>
            </w:pPr>
            <w:r>
              <w:rPr>
                <w:w w:val="95"/>
                <w:sz w:val="20"/>
              </w:rPr>
              <w:t>164</w:t>
            </w:r>
          </w:p>
        </w:tc>
        <w:tc>
          <w:tcPr>
            <w:tcW w:w="1055" w:type="dxa"/>
          </w:tcPr>
          <w:p>
            <w:pPr>
              <w:pStyle w:val="TableParagraph"/>
              <w:ind w:right="105"/>
              <w:rPr>
                <w:sz w:val="20"/>
              </w:rPr>
            </w:pPr>
            <w:r>
              <w:rPr>
                <w:w w:val="95"/>
                <w:sz w:val="20"/>
              </w:rPr>
              <w:t>160</w:t>
            </w:r>
          </w:p>
        </w:tc>
      </w:tr>
      <w:tr>
        <w:trPr>
          <w:trHeight w:val="300" w:hRule="atLeast"/>
        </w:trPr>
        <w:tc>
          <w:tcPr>
            <w:tcW w:w="5826" w:type="dxa"/>
            <w:shd w:val="clear" w:color="auto" w:fill="D2DFED"/>
          </w:tcPr>
          <w:p>
            <w:pPr>
              <w:pStyle w:val="TableParagraph"/>
              <w:ind w:left="122"/>
              <w:jc w:val="left"/>
              <w:rPr>
                <w:sz w:val="20"/>
              </w:rPr>
            </w:pPr>
            <w:r>
              <w:rPr>
                <w:sz w:val="20"/>
              </w:rPr>
              <w:t>Zoological Parks Authority</w:t>
            </w:r>
          </w:p>
        </w:tc>
        <w:tc>
          <w:tcPr>
            <w:tcW w:w="1408" w:type="dxa"/>
            <w:shd w:val="clear" w:color="auto" w:fill="D2DFED"/>
          </w:tcPr>
          <w:p>
            <w:pPr>
              <w:pStyle w:val="TableParagraph"/>
              <w:ind w:right="138"/>
              <w:rPr>
                <w:sz w:val="20"/>
              </w:rPr>
            </w:pPr>
            <w:r>
              <w:rPr>
                <w:w w:val="95"/>
                <w:sz w:val="20"/>
              </w:rPr>
              <w:t>219</w:t>
            </w:r>
          </w:p>
        </w:tc>
        <w:tc>
          <w:tcPr>
            <w:tcW w:w="1188" w:type="dxa"/>
            <w:shd w:val="clear" w:color="auto" w:fill="D2DFED"/>
          </w:tcPr>
          <w:p>
            <w:pPr>
              <w:pStyle w:val="TableParagraph"/>
              <w:ind w:right="186"/>
              <w:rPr>
                <w:sz w:val="20"/>
              </w:rPr>
            </w:pPr>
            <w:r>
              <w:rPr>
                <w:w w:val="95"/>
                <w:sz w:val="20"/>
              </w:rPr>
              <w:t>162</w:t>
            </w:r>
          </w:p>
        </w:tc>
        <w:tc>
          <w:tcPr>
            <w:tcW w:w="1055" w:type="dxa"/>
            <w:shd w:val="clear" w:color="auto" w:fill="D2DFED"/>
          </w:tcPr>
          <w:p>
            <w:pPr>
              <w:pStyle w:val="TableParagraph"/>
              <w:ind w:right="105"/>
              <w:rPr>
                <w:sz w:val="20"/>
              </w:rPr>
            </w:pPr>
            <w:r>
              <w:rPr>
                <w:w w:val="95"/>
                <w:sz w:val="20"/>
              </w:rPr>
              <w:t>162</w:t>
            </w:r>
          </w:p>
        </w:tc>
      </w:tr>
      <w:tr>
        <w:trPr>
          <w:trHeight w:val="300" w:hRule="atLeast"/>
        </w:trPr>
        <w:tc>
          <w:tcPr>
            <w:tcW w:w="5826" w:type="dxa"/>
          </w:tcPr>
          <w:p>
            <w:pPr>
              <w:pStyle w:val="TableParagraph"/>
              <w:ind w:left="122"/>
              <w:jc w:val="left"/>
              <w:rPr>
                <w:sz w:val="20"/>
              </w:rPr>
            </w:pPr>
            <w:r>
              <w:rPr>
                <w:sz w:val="20"/>
              </w:rPr>
              <w:t>Corruption and Crime Commission</w:t>
            </w:r>
          </w:p>
        </w:tc>
        <w:tc>
          <w:tcPr>
            <w:tcW w:w="1408" w:type="dxa"/>
          </w:tcPr>
          <w:p>
            <w:pPr>
              <w:pStyle w:val="TableParagraph"/>
              <w:ind w:right="138"/>
              <w:rPr>
                <w:sz w:val="20"/>
              </w:rPr>
            </w:pPr>
            <w:r>
              <w:rPr>
                <w:w w:val="95"/>
                <w:sz w:val="20"/>
              </w:rPr>
              <w:t>155</w:t>
            </w:r>
          </w:p>
        </w:tc>
        <w:tc>
          <w:tcPr>
            <w:tcW w:w="1188" w:type="dxa"/>
          </w:tcPr>
          <w:p>
            <w:pPr>
              <w:pStyle w:val="TableParagraph"/>
              <w:ind w:right="186"/>
              <w:rPr>
                <w:sz w:val="20"/>
              </w:rPr>
            </w:pPr>
            <w:r>
              <w:rPr>
                <w:w w:val="95"/>
                <w:sz w:val="20"/>
              </w:rPr>
              <w:t>150</w:t>
            </w:r>
          </w:p>
        </w:tc>
        <w:tc>
          <w:tcPr>
            <w:tcW w:w="1055" w:type="dxa"/>
          </w:tcPr>
          <w:p>
            <w:pPr>
              <w:pStyle w:val="TableParagraph"/>
              <w:ind w:right="105"/>
              <w:rPr>
                <w:sz w:val="20"/>
              </w:rPr>
            </w:pPr>
            <w:r>
              <w:rPr>
                <w:w w:val="95"/>
                <w:sz w:val="20"/>
              </w:rPr>
              <w:t>154</w:t>
            </w:r>
          </w:p>
        </w:tc>
      </w:tr>
      <w:tr>
        <w:trPr>
          <w:trHeight w:val="300" w:hRule="atLeast"/>
        </w:trPr>
        <w:tc>
          <w:tcPr>
            <w:tcW w:w="5826" w:type="dxa"/>
            <w:shd w:val="clear" w:color="auto" w:fill="D2DFED"/>
          </w:tcPr>
          <w:p>
            <w:pPr>
              <w:pStyle w:val="TableParagraph"/>
              <w:ind w:left="122"/>
              <w:jc w:val="left"/>
              <w:rPr>
                <w:sz w:val="20"/>
              </w:rPr>
            </w:pPr>
            <w:r>
              <w:rPr>
                <w:sz w:val="20"/>
              </w:rPr>
              <w:t>Department of Indigenous Affairs</w:t>
            </w:r>
          </w:p>
        </w:tc>
        <w:tc>
          <w:tcPr>
            <w:tcW w:w="1408" w:type="dxa"/>
            <w:shd w:val="clear" w:color="auto" w:fill="D2DFED"/>
          </w:tcPr>
          <w:p>
            <w:pPr>
              <w:pStyle w:val="TableParagraph"/>
              <w:ind w:right="138"/>
              <w:rPr>
                <w:sz w:val="20"/>
              </w:rPr>
            </w:pPr>
            <w:r>
              <w:rPr>
                <w:w w:val="95"/>
                <w:sz w:val="20"/>
              </w:rPr>
              <w:t>162</w:t>
            </w:r>
          </w:p>
        </w:tc>
        <w:tc>
          <w:tcPr>
            <w:tcW w:w="1188" w:type="dxa"/>
            <w:shd w:val="clear" w:color="auto" w:fill="D2DFED"/>
          </w:tcPr>
          <w:p>
            <w:pPr>
              <w:pStyle w:val="TableParagraph"/>
              <w:ind w:right="186"/>
              <w:rPr>
                <w:sz w:val="20"/>
              </w:rPr>
            </w:pPr>
            <w:r>
              <w:rPr>
                <w:w w:val="95"/>
                <w:sz w:val="20"/>
              </w:rPr>
              <w:t>147</w:t>
            </w:r>
          </w:p>
        </w:tc>
        <w:tc>
          <w:tcPr>
            <w:tcW w:w="1055" w:type="dxa"/>
            <w:shd w:val="clear" w:color="auto" w:fill="D2DFED"/>
          </w:tcPr>
          <w:p>
            <w:pPr>
              <w:pStyle w:val="TableParagraph"/>
              <w:ind w:right="105"/>
              <w:rPr>
                <w:sz w:val="20"/>
              </w:rPr>
            </w:pPr>
            <w:r>
              <w:rPr>
                <w:w w:val="95"/>
                <w:sz w:val="20"/>
              </w:rPr>
              <w:t>148</w:t>
            </w:r>
          </w:p>
        </w:tc>
      </w:tr>
      <w:tr>
        <w:trPr>
          <w:trHeight w:val="300" w:hRule="atLeast"/>
        </w:trPr>
        <w:tc>
          <w:tcPr>
            <w:tcW w:w="5826" w:type="dxa"/>
          </w:tcPr>
          <w:p>
            <w:pPr>
              <w:pStyle w:val="TableParagraph"/>
              <w:ind w:left="122"/>
              <w:jc w:val="left"/>
              <w:rPr>
                <w:sz w:val="20"/>
              </w:rPr>
            </w:pPr>
            <w:r>
              <w:rPr>
                <w:sz w:val="20"/>
              </w:rPr>
              <w:t>Western Australian Tourism Commission</w:t>
            </w:r>
          </w:p>
        </w:tc>
        <w:tc>
          <w:tcPr>
            <w:tcW w:w="1408" w:type="dxa"/>
          </w:tcPr>
          <w:p>
            <w:pPr>
              <w:pStyle w:val="TableParagraph"/>
              <w:ind w:right="138"/>
              <w:rPr>
                <w:sz w:val="20"/>
              </w:rPr>
            </w:pPr>
            <w:r>
              <w:rPr>
                <w:w w:val="95"/>
                <w:sz w:val="20"/>
              </w:rPr>
              <w:t>152</w:t>
            </w:r>
          </w:p>
        </w:tc>
        <w:tc>
          <w:tcPr>
            <w:tcW w:w="1188" w:type="dxa"/>
          </w:tcPr>
          <w:p>
            <w:pPr>
              <w:pStyle w:val="TableParagraph"/>
              <w:ind w:right="186"/>
              <w:rPr>
                <w:sz w:val="20"/>
              </w:rPr>
            </w:pPr>
            <w:r>
              <w:rPr>
                <w:w w:val="95"/>
                <w:sz w:val="20"/>
              </w:rPr>
              <w:t>138</w:t>
            </w:r>
          </w:p>
        </w:tc>
        <w:tc>
          <w:tcPr>
            <w:tcW w:w="1055" w:type="dxa"/>
          </w:tcPr>
          <w:p>
            <w:pPr>
              <w:pStyle w:val="TableParagraph"/>
              <w:ind w:right="105"/>
              <w:rPr>
                <w:sz w:val="20"/>
              </w:rPr>
            </w:pPr>
            <w:r>
              <w:rPr>
                <w:w w:val="95"/>
                <w:sz w:val="20"/>
              </w:rPr>
              <w:t>146</w:t>
            </w:r>
          </w:p>
        </w:tc>
      </w:tr>
      <w:tr>
        <w:trPr>
          <w:trHeight w:val="300" w:hRule="atLeast"/>
        </w:trPr>
        <w:tc>
          <w:tcPr>
            <w:tcW w:w="5826" w:type="dxa"/>
            <w:shd w:val="clear" w:color="auto" w:fill="D2DFED"/>
          </w:tcPr>
          <w:p>
            <w:pPr>
              <w:pStyle w:val="TableParagraph"/>
              <w:ind w:left="122"/>
              <w:jc w:val="left"/>
              <w:rPr>
                <w:sz w:val="20"/>
              </w:rPr>
            </w:pPr>
            <w:r>
              <w:rPr>
                <w:sz w:val="20"/>
              </w:rPr>
              <w:t>Botanic Gardens and Parks Authority</w:t>
            </w:r>
          </w:p>
        </w:tc>
        <w:tc>
          <w:tcPr>
            <w:tcW w:w="1408" w:type="dxa"/>
            <w:shd w:val="clear" w:color="auto" w:fill="D2DFED"/>
          </w:tcPr>
          <w:p>
            <w:pPr>
              <w:pStyle w:val="TableParagraph"/>
              <w:ind w:right="138"/>
              <w:rPr>
                <w:sz w:val="20"/>
              </w:rPr>
            </w:pPr>
            <w:r>
              <w:rPr>
                <w:w w:val="95"/>
                <w:sz w:val="20"/>
              </w:rPr>
              <w:t>154</w:t>
            </w:r>
          </w:p>
        </w:tc>
        <w:tc>
          <w:tcPr>
            <w:tcW w:w="1188" w:type="dxa"/>
            <w:shd w:val="clear" w:color="auto" w:fill="D2DFED"/>
          </w:tcPr>
          <w:p>
            <w:pPr>
              <w:pStyle w:val="TableParagraph"/>
              <w:ind w:right="186"/>
              <w:rPr>
                <w:sz w:val="20"/>
              </w:rPr>
            </w:pPr>
            <w:r>
              <w:rPr>
                <w:w w:val="95"/>
                <w:sz w:val="20"/>
              </w:rPr>
              <w:t>133</w:t>
            </w:r>
          </w:p>
        </w:tc>
        <w:tc>
          <w:tcPr>
            <w:tcW w:w="1055" w:type="dxa"/>
            <w:shd w:val="clear" w:color="auto" w:fill="D2DFED"/>
          </w:tcPr>
          <w:p>
            <w:pPr>
              <w:pStyle w:val="TableParagraph"/>
              <w:ind w:right="105"/>
              <w:rPr>
                <w:sz w:val="20"/>
              </w:rPr>
            </w:pPr>
            <w:r>
              <w:rPr>
                <w:w w:val="95"/>
                <w:sz w:val="20"/>
              </w:rPr>
              <w:t>131</w:t>
            </w:r>
          </w:p>
        </w:tc>
      </w:tr>
      <w:tr>
        <w:trPr>
          <w:trHeight w:val="300" w:hRule="atLeast"/>
        </w:trPr>
        <w:tc>
          <w:tcPr>
            <w:tcW w:w="5826" w:type="dxa"/>
          </w:tcPr>
          <w:p>
            <w:pPr>
              <w:pStyle w:val="TableParagraph"/>
              <w:ind w:left="122"/>
              <w:jc w:val="left"/>
              <w:rPr>
                <w:sz w:val="20"/>
              </w:rPr>
            </w:pPr>
            <w:r>
              <w:rPr>
                <w:sz w:val="20"/>
              </w:rPr>
              <w:t>Curriculum Council</w:t>
            </w:r>
          </w:p>
        </w:tc>
        <w:tc>
          <w:tcPr>
            <w:tcW w:w="1408" w:type="dxa"/>
          </w:tcPr>
          <w:p>
            <w:pPr>
              <w:pStyle w:val="TableParagraph"/>
              <w:ind w:right="138"/>
              <w:rPr>
                <w:sz w:val="20"/>
              </w:rPr>
            </w:pPr>
            <w:r>
              <w:rPr>
                <w:w w:val="95"/>
                <w:sz w:val="20"/>
              </w:rPr>
              <w:t>148</w:t>
            </w:r>
          </w:p>
        </w:tc>
        <w:tc>
          <w:tcPr>
            <w:tcW w:w="1188" w:type="dxa"/>
          </w:tcPr>
          <w:p>
            <w:pPr>
              <w:pStyle w:val="TableParagraph"/>
              <w:ind w:right="186"/>
              <w:rPr>
                <w:sz w:val="20"/>
              </w:rPr>
            </w:pPr>
            <w:r>
              <w:rPr>
                <w:w w:val="95"/>
                <w:sz w:val="20"/>
              </w:rPr>
              <w:t>128</w:t>
            </w:r>
          </w:p>
        </w:tc>
        <w:tc>
          <w:tcPr>
            <w:tcW w:w="1055" w:type="dxa"/>
          </w:tcPr>
          <w:p>
            <w:pPr>
              <w:pStyle w:val="TableParagraph"/>
              <w:ind w:right="105"/>
              <w:rPr>
                <w:sz w:val="20"/>
              </w:rPr>
            </w:pPr>
            <w:r>
              <w:rPr>
                <w:w w:val="95"/>
                <w:sz w:val="20"/>
              </w:rPr>
              <w:t>139</w:t>
            </w:r>
          </w:p>
        </w:tc>
      </w:tr>
      <w:tr>
        <w:trPr>
          <w:trHeight w:val="300" w:hRule="atLeast"/>
        </w:trPr>
        <w:tc>
          <w:tcPr>
            <w:tcW w:w="5826" w:type="dxa"/>
            <w:shd w:val="clear" w:color="auto" w:fill="D2DFED"/>
          </w:tcPr>
          <w:p>
            <w:pPr>
              <w:pStyle w:val="TableParagraph"/>
              <w:ind w:left="122"/>
              <w:jc w:val="left"/>
              <w:rPr>
                <w:sz w:val="20"/>
              </w:rPr>
            </w:pPr>
            <w:r>
              <w:rPr>
                <w:sz w:val="20"/>
              </w:rPr>
              <w:t>Kimberley TAFE</w:t>
            </w:r>
          </w:p>
        </w:tc>
        <w:tc>
          <w:tcPr>
            <w:tcW w:w="1408" w:type="dxa"/>
            <w:shd w:val="clear" w:color="auto" w:fill="D2DFED"/>
          </w:tcPr>
          <w:p>
            <w:pPr>
              <w:pStyle w:val="TableParagraph"/>
              <w:ind w:right="138"/>
              <w:rPr>
                <w:sz w:val="20"/>
              </w:rPr>
            </w:pPr>
            <w:r>
              <w:rPr>
                <w:w w:val="95"/>
                <w:sz w:val="20"/>
              </w:rPr>
              <w:t>148</w:t>
            </w:r>
          </w:p>
        </w:tc>
        <w:tc>
          <w:tcPr>
            <w:tcW w:w="1188" w:type="dxa"/>
            <w:shd w:val="clear" w:color="auto" w:fill="D2DFED"/>
          </w:tcPr>
          <w:p>
            <w:pPr>
              <w:pStyle w:val="TableParagraph"/>
              <w:ind w:right="186"/>
              <w:rPr>
                <w:sz w:val="20"/>
              </w:rPr>
            </w:pPr>
            <w:r>
              <w:rPr>
                <w:w w:val="95"/>
                <w:sz w:val="20"/>
              </w:rPr>
              <w:t>125</w:t>
            </w:r>
          </w:p>
        </w:tc>
        <w:tc>
          <w:tcPr>
            <w:tcW w:w="1055" w:type="dxa"/>
            <w:shd w:val="clear" w:color="auto" w:fill="D2DFED"/>
          </w:tcPr>
          <w:p>
            <w:pPr>
              <w:pStyle w:val="TableParagraph"/>
              <w:ind w:right="105"/>
              <w:rPr>
                <w:sz w:val="20"/>
              </w:rPr>
            </w:pPr>
            <w:r>
              <w:rPr>
                <w:w w:val="95"/>
                <w:sz w:val="20"/>
              </w:rPr>
              <w:t>123</w:t>
            </w:r>
          </w:p>
        </w:tc>
      </w:tr>
      <w:tr>
        <w:trPr>
          <w:trHeight w:val="300" w:hRule="atLeast"/>
        </w:trPr>
        <w:tc>
          <w:tcPr>
            <w:tcW w:w="5826" w:type="dxa"/>
          </w:tcPr>
          <w:p>
            <w:pPr>
              <w:pStyle w:val="TableParagraph"/>
              <w:ind w:left="122"/>
              <w:jc w:val="left"/>
              <w:rPr>
                <w:sz w:val="20"/>
              </w:rPr>
            </w:pPr>
            <w:r>
              <w:rPr>
                <w:sz w:val="20"/>
              </w:rPr>
              <w:t>C Y O'Connor College of TAFE</w:t>
            </w:r>
          </w:p>
        </w:tc>
        <w:tc>
          <w:tcPr>
            <w:tcW w:w="1408" w:type="dxa"/>
          </w:tcPr>
          <w:p>
            <w:pPr>
              <w:pStyle w:val="TableParagraph"/>
              <w:ind w:right="138"/>
              <w:rPr>
                <w:sz w:val="20"/>
              </w:rPr>
            </w:pPr>
            <w:r>
              <w:rPr>
                <w:w w:val="95"/>
                <w:sz w:val="20"/>
              </w:rPr>
              <w:t>170</w:t>
            </w:r>
          </w:p>
        </w:tc>
        <w:tc>
          <w:tcPr>
            <w:tcW w:w="1188" w:type="dxa"/>
          </w:tcPr>
          <w:p>
            <w:pPr>
              <w:pStyle w:val="TableParagraph"/>
              <w:ind w:right="186"/>
              <w:rPr>
                <w:sz w:val="20"/>
              </w:rPr>
            </w:pPr>
            <w:r>
              <w:rPr>
                <w:w w:val="95"/>
                <w:sz w:val="20"/>
              </w:rPr>
              <w:t>125</w:t>
            </w:r>
          </w:p>
        </w:tc>
        <w:tc>
          <w:tcPr>
            <w:tcW w:w="1055" w:type="dxa"/>
          </w:tcPr>
          <w:p>
            <w:pPr>
              <w:pStyle w:val="TableParagraph"/>
              <w:ind w:right="105"/>
              <w:rPr>
                <w:sz w:val="20"/>
              </w:rPr>
            </w:pPr>
            <w:r>
              <w:rPr>
                <w:w w:val="95"/>
                <w:sz w:val="20"/>
              </w:rPr>
              <w:t>120</w:t>
            </w:r>
          </w:p>
        </w:tc>
      </w:tr>
      <w:tr>
        <w:trPr>
          <w:trHeight w:val="300" w:hRule="atLeast"/>
        </w:trPr>
        <w:tc>
          <w:tcPr>
            <w:tcW w:w="5826" w:type="dxa"/>
            <w:shd w:val="clear" w:color="auto" w:fill="D2DFED"/>
          </w:tcPr>
          <w:p>
            <w:pPr>
              <w:pStyle w:val="TableParagraph"/>
              <w:ind w:left="122"/>
              <w:jc w:val="left"/>
              <w:rPr>
                <w:sz w:val="20"/>
              </w:rPr>
            </w:pPr>
            <w:r>
              <w:rPr>
                <w:sz w:val="20"/>
              </w:rPr>
              <w:t>Chemistry Centre (WA)</w:t>
            </w:r>
          </w:p>
        </w:tc>
        <w:tc>
          <w:tcPr>
            <w:tcW w:w="1408" w:type="dxa"/>
            <w:shd w:val="clear" w:color="auto" w:fill="D2DFED"/>
          </w:tcPr>
          <w:p>
            <w:pPr>
              <w:pStyle w:val="TableParagraph"/>
              <w:ind w:right="138"/>
              <w:rPr>
                <w:sz w:val="20"/>
              </w:rPr>
            </w:pPr>
            <w:r>
              <w:rPr>
                <w:w w:val="95"/>
                <w:sz w:val="20"/>
              </w:rPr>
              <w:t>125</w:t>
            </w:r>
          </w:p>
        </w:tc>
        <w:tc>
          <w:tcPr>
            <w:tcW w:w="1188" w:type="dxa"/>
            <w:shd w:val="clear" w:color="auto" w:fill="D2DFED"/>
          </w:tcPr>
          <w:p>
            <w:pPr>
              <w:pStyle w:val="TableParagraph"/>
              <w:ind w:right="186"/>
              <w:rPr>
                <w:sz w:val="20"/>
              </w:rPr>
            </w:pPr>
            <w:r>
              <w:rPr>
                <w:w w:val="95"/>
                <w:sz w:val="20"/>
              </w:rPr>
              <w:t>119</w:t>
            </w:r>
          </w:p>
        </w:tc>
        <w:tc>
          <w:tcPr>
            <w:tcW w:w="1055" w:type="dxa"/>
            <w:shd w:val="clear" w:color="auto" w:fill="D2DFED"/>
          </w:tcPr>
          <w:p>
            <w:pPr>
              <w:pStyle w:val="TableParagraph"/>
              <w:ind w:right="105"/>
              <w:rPr>
                <w:sz w:val="20"/>
              </w:rPr>
            </w:pPr>
            <w:r>
              <w:rPr>
                <w:w w:val="95"/>
                <w:sz w:val="20"/>
              </w:rPr>
              <w:t>116</w:t>
            </w:r>
          </w:p>
        </w:tc>
      </w:tr>
      <w:tr>
        <w:trPr>
          <w:trHeight w:val="300" w:hRule="atLeast"/>
        </w:trPr>
        <w:tc>
          <w:tcPr>
            <w:tcW w:w="5826" w:type="dxa"/>
          </w:tcPr>
          <w:p>
            <w:pPr>
              <w:pStyle w:val="TableParagraph"/>
              <w:spacing w:before="55"/>
              <w:ind w:left="122"/>
              <w:jc w:val="left"/>
              <w:rPr>
                <w:sz w:val="20"/>
              </w:rPr>
            </w:pPr>
            <w:r>
              <w:rPr>
                <w:sz w:val="20"/>
              </w:rPr>
              <w:t>Department of Racing, Gaming and Liquor</w:t>
            </w:r>
          </w:p>
        </w:tc>
        <w:tc>
          <w:tcPr>
            <w:tcW w:w="1408" w:type="dxa"/>
          </w:tcPr>
          <w:p>
            <w:pPr>
              <w:pStyle w:val="TableParagraph"/>
              <w:spacing w:before="55"/>
              <w:ind w:right="138"/>
              <w:rPr>
                <w:sz w:val="20"/>
              </w:rPr>
            </w:pPr>
            <w:r>
              <w:rPr>
                <w:w w:val="95"/>
                <w:sz w:val="20"/>
              </w:rPr>
              <w:t>124</w:t>
            </w:r>
          </w:p>
        </w:tc>
        <w:tc>
          <w:tcPr>
            <w:tcW w:w="1188" w:type="dxa"/>
          </w:tcPr>
          <w:p>
            <w:pPr>
              <w:pStyle w:val="TableParagraph"/>
              <w:spacing w:before="55"/>
              <w:ind w:right="186"/>
              <w:rPr>
                <w:sz w:val="20"/>
              </w:rPr>
            </w:pPr>
            <w:r>
              <w:rPr>
                <w:w w:val="95"/>
                <w:sz w:val="20"/>
              </w:rPr>
              <w:t>115</w:t>
            </w:r>
          </w:p>
        </w:tc>
        <w:tc>
          <w:tcPr>
            <w:tcW w:w="1055" w:type="dxa"/>
          </w:tcPr>
          <w:p>
            <w:pPr>
              <w:pStyle w:val="TableParagraph"/>
              <w:spacing w:before="55"/>
              <w:ind w:right="105"/>
              <w:rPr>
                <w:sz w:val="20"/>
              </w:rPr>
            </w:pPr>
            <w:r>
              <w:rPr>
                <w:w w:val="95"/>
                <w:sz w:val="20"/>
              </w:rPr>
              <w:t>112</w:t>
            </w:r>
          </w:p>
        </w:tc>
      </w:tr>
      <w:tr>
        <w:trPr>
          <w:trHeight w:val="300" w:hRule="atLeast"/>
        </w:trPr>
        <w:tc>
          <w:tcPr>
            <w:tcW w:w="5826" w:type="dxa"/>
            <w:shd w:val="clear" w:color="auto" w:fill="D2DFED"/>
          </w:tcPr>
          <w:p>
            <w:pPr>
              <w:pStyle w:val="TableParagraph"/>
              <w:ind w:left="122"/>
              <w:jc w:val="left"/>
              <w:rPr>
                <w:sz w:val="20"/>
              </w:rPr>
            </w:pPr>
            <w:r>
              <w:rPr>
                <w:sz w:val="20"/>
              </w:rPr>
              <w:t>Country High School Hostels Authority</w:t>
            </w:r>
          </w:p>
        </w:tc>
        <w:tc>
          <w:tcPr>
            <w:tcW w:w="1408" w:type="dxa"/>
            <w:shd w:val="clear" w:color="auto" w:fill="D2DFED"/>
          </w:tcPr>
          <w:p>
            <w:pPr>
              <w:pStyle w:val="TableParagraph"/>
              <w:ind w:right="138"/>
              <w:rPr>
                <w:sz w:val="20"/>
              </w:rPr>
            </w:pPr>
            <w:r>
              <w:rPr>
                <w:w w:val="95"/>
                <w:sz w:val="20"/>
              </w:rPr>
              <w:t>151</w:t>
            </w:r>
          </w:p>
        </w:tc>
        <w:tc>
          <w:tcPr>
            <w:tcW w:w="1188" w:type="dxa"/>
            <w:shd w:val="clear" w:color="auto" w:fill="D2DFED"/>
          </w:tcPr>
          <w:p>
            <w:pPr>
              <w:pStyle w:val="TableParagraph"/>
              <w:ind w:right="186"/>
              <w:rPr>
                <w:sz w:val="20"/>
              </w:rPr>
            </w:pPr>
            <w:r>
              <w:rPr>
                <w:w w:val="95"/>
                <w:sz w:val="20"/>
              </w:rPr>
              <w:t>115</w:t>
            </w:r>
          </w:p>
        </w:tc>
        <w:tc>
          <w:tcPr>
            <w:tcW w:w="1055" w:type="dxa"/>
            <w:shd w:val="clear" w:color="auto" w:fill="D2DFED"/>
          </w:tcPr>
          <w:p>
            <w:pPr>
              <w:pStyle w:val="TableParagraph"/>
              <w:ind w:right="105"/>
              <w:rPr>
                <w:sz w:val="20"/>
              </w:rPr>
            </w:pPr>
            <w:r>
              <w:rPr>
                <w:w w:val="95"/>
                <w:sz w:val="20"/>
              </w:rPr>
              <w:t>114</w:t>
            </w:r>
          </w:p>
        </w:tc>
      </w:tr>
      <w:tr>
        <w:trPr>
          <w:trHeight w:val="300" w:hRule="atLeast"/>
        </w:trPr>
        <w:tc>
          <w:tcPr>
            <w:tcW w:w="5826" w:type="dxa"/>
          </w:tcPr>
          <w:p>
            <w:pPr>
              <w:pStyle w:val="TableParagraph"/>
              <w:ind w:left="122"/>
              <w:jc w:val="left"/>
              <w:rPr>
                <w:sz w:val="20"/>
              </w:rPr>
            </w:pPr>
            <w:r>
              <w:rPr>
                <w:sz w:val="20"/>
              </w:rPr>
              <w:t>Department of Local Government</w:t>
            </w:r>
          </w:p>
        </w:tc>
        <w:tc>
          <w:tcPr>
            <w:tcW w:w="1408" w:type="dxa"/>
          </w:tcPr>
          <w:p>
            <w:pPr>
              <w:pStyle w:val="TableParagraph"/>
              <w:ind w:right="138"/>
              <w:rPr>
                <w:sz w:val="20"/>
              </w:rPr>
            </w:pPr>
            <w:r>
              <w:rPr>
                <w:w w:val="95"/>
                <w:sz w:val="20"/>
              </w:rPr>
              <w:t>114</w:t>
            </w:r>
          </w:p>
        </w:tc>
        <w:tc>
          <w:tcPr>
            <w:tcW w:w="1188" w:type="dxa"/>
          </w:tcPr>
          <w:p>
            <w:pPr>
              <w:pStyle w:val="TableParagraph"/>
              <w:ind w:right="186"/>
              <w:rPr>
                <w:sz w:val="20"/>
              </w:rPr>
            </w:pPr>
            <w:r>
              <w:rPr>
                <w:w w:val="95"/>
                <w:sz w:val="20"/>
              </w:rPr>
              <w:t>112</w:t>
            </w:r>
          </w:p>
        </w:tc>
        <w:tc>
          <w:tcPr>
            <w:tcW w:w="1055" w:type="dxa"/>
          </w:tcPr>
          <w:p>
            <w:pPr>
              <w:pStyle w:val="TableParagraph"/>
              <w:ind w:right="105"/>
              <w:rPr>
                <w:sz w:val="20"/>
              </w:rPr>
            </w:pPr>
            <w:r>
              <w:rPr>
                <w:w w:val="95"/>
                <w:sz w:val="20"/>
              </w:rPr>
              <w:t>117</w:t>
            </w:r>
          </w:p>
        </w:tc>
      </w:tr>
      <w:tr>
        <w:trPr>
          <w:trHeight w:val="300" w:hRule="atLeast"/>
        </w:trPr>
        <w:tc>
          <w:tcPr>
            <w:tcW w:w="5826" w:type="dxa"/>
            <w:shd w:val="clear" w:color="auto" w:fill="D2DFED"/>
          </w:tcPr>
          <w:p>
            <w:pPr>
              <w:pStyle w:val="TableParagraph"/>
              <w:ind w:left="122"/>
              <w:jc w:val="left"/>
              <w:rPr>
                <w:sz w:val="20"/>
              </w:rPr>
            </w:pPr>
            <w:r>
              <w:rPr>
                <w:sz w:val="20"/>
              </w:rPr>
              <w:t>Office of the Auditor General</w:t>
            </w:r>
          </w:p>
        </w:tc>
        <w:tc>
          <w:tcPr>
            <w:tcW w:w="1408" w:type="dxa"/>
            <w:shd w:val="clear" w:color="auto" w:fill="D2DFED"/>
          </w:tcPr>
          <w:p>
            <w:pPr>
              <w:pStyle w:val="TableParagraph"/>
              <w:ind w:right="138"/>
              <w:rPr>
                <w:sz w:val="20"/>
              </w:rPr>
            </w:pPr>
            <w:r>
              <w:rPr>
                <w:w w:val="95"/>
                <w:sz w:val="20"/>
              </w:rPr>
              <w:t>119</w:t>
            </w:r>
          </w:p>
        </w:tc>
        <w:tc>
          <w:tcPr>
            <w:tcW w:w="1188" w:type="dxa"/>
            <w:shd w:val="clear" w:color="auto" w:fill="D2DFED"/>
          </w:tcPr>
          <w:p>
            <w:pPr>
              <w:pStyle w:val="TableParagraph"/>
              <w:ind w:right="186"/>
              <w:rPr>
                <w:sz w:val="20"/>
              </w:rPr>
            </w:pPr>
            <w:r>
              <w:rPr>
                <w:w w:val="95"/>
                <w:sz w:val="20"/>
              </w:rPr>
              <w:t>111</w:t>
            </w:r>
          </w:p>
        </w:tc>
        <w:tc>
          <w:tcPr>
            <w:tcW w:w="1055" w:type="dxa"/>
            <w:shd w:val="clear" w:color="auto" w:fill="D2DFED"/>
          </w:tcPr>
          <w:p>
            <w:pPr>
              <w:pStyle w:val="TableParagraph"/>
              <w:ind w:right="105"/>
              <w:rPr>
                <w:sz w:val="20"/>
              </w:rPr>
            </w:pPr>
            <w:r>
              <w:rPr>
                <w:w w:val="95"/>
                <w:sz w:val="20"/>
              </w:rPr>
              <w:t>104</w:t>
            </w:r>
          </w:p>
        </w:tc>
      </w:tr>
      <w:tr>
        <w:trPr>
          <w:trHeight w:val="299" w:hRule="atLeast"/>
        </w:trPr>
        <w:tc>
          <w:tcPr>
            <w:tcW w:w="5826" w:type="dxa"/>
          </w:tcPr>
          <w:p>
            <w:pPr>
              <w:pStyle w:val="TableParagraph"/>
              <w:ind w:left="122"/>
              <w:jc w:val="left"/>
              <w:rPr>
                <w:sz w:val="20"/>
              </w:rPr>
            </w:pPr>
            <w:r>
              <w:rPr>
                <w:sz w:val="20"/>
              </w:rPr>
              <w:t>Public Sector Commission</w:t>
            </w:r>
          </w:p>
        </w:tc>
        <w:tc>
          <w:tcPr>
            <w:tcW w:w="1408" w:type="dxa"/>
          </w:tcPr>
          <w:p>
            <w:pPr>
              <w:pStyle w:val="TableParagraph"/>
              <w:ind w:right="138"/>
              <w:rPr>
                <w:sz w:val="20"/>
              </w:rPr>
            </w:pPr>
            <w:r>
              <w:rPr>
                <w:w w:val="95"/>
                <w:sz w:val="20"/>
              </w:rPr>
              <w:t>118</w:t>
            </w:r>
          </w:p>
        </w:tc>
        <w:tc>
          <w:tcPr>
            <w:tcW w:w="1188" w:type="dxa"/>
          </w:tcPr>
          <w:p>
            <w:pPr>
              <w:pStyle w:val="TableParagraph"/>
              <w:ind w:right="184"/>
              <w:rPr>
                <w:sz w:val="20"/>
              </w:rPr>
            </w:pPr>
            <w:r>
              <w:rPr>
                <w:w w:val="95"/>
                <w:sz w:val="20"/>
              </w:rPr>
              <w:t>97</w:t>
            </w:r>
          </w:p>
        </w:tc>
        <w:tc>
          <w:tcPr>
            <w:tcW w:w="1055" w:type="dxa"/>
          </w:tcPr>
          <w:p>
            <w:pPr>
              <w:pStyle w:val="TableParagraph"/>
              <w:ind w:right="103"/>
              <w:rPr>
                <w:sz w:val="20"/>
              </w:rPr>
            </w:pPr>
            <w:r>
              <w:rPr>
                <w:w w:val="95"/>
                <w:sz w:val="20"/>
              </w:rPr>
              <w:t>94</w:t>
            </w:r>
          </w:p>
        </w:tc>
      </w:tr>
      <w:tr>
        <w:trPr>
          <w:trHeight w:val="300" w:hRule="atLeast"/>
        </w:trPr>
        <w:tc>
          <w:tcPr>
            <w:tcW w:w="5826" w:type="dxa"/>
            <w:shd w:val="clear" w:color="auto" w:fill="D2DFED"/>
          </w:tcPr>
          <w:p>
            <w:pPr>
              <w:pStyle w:val="TableParagraph"/>
              <w:ind w:left="122"/>
              <w:jc w:val="left"/>
              <w:rPr>
                <w:sz w:val="20"/>
              </w:rPr>
            </w:pPr>
            <w:r>
              <w:rPr>
                <w:sz w:val="20"/>
              </w:rPr>
              <w:t>Office of the Environmental Protection Authority</w:t>
            </w:r>
          </w:p>
        </w:tc>
        <w:tc>
          <w:tcPr>
            <w:tcW w:w="1408" w:type="dxa"/>
            <w:shd w:val="clear" w:color="auto" w:fill="D2DFED"/>
          </w:tcPr>
          <w:p>
            <w:pPr>
              <w:pStyle w:val="TableParagraph"/>
              <w:ind w:right="136"/>
              <w:rPr>
                <w:sz w:val="20"/>
              </w:rPr>
            </w:pPr>
            <w:r>
              <w:rPr>
                <w:w w:val="95"/>
                <w:sz w:val="20"/>
              </w:rPr>
              <w:t>89</w:t>
            </w:r>
          </w:p>
        </w:tc>
        <w:tc>
          <w:tcPr>
            <w:tcW w:w="1188" w:type="dxa"/>
            <w:shd w:val="clear" w:color="auto" w:fill="D2DFED"/>
          </w:tcPr>
          <w:p>
            <w:pPr>
              <w:pStyle w:val="TableParagraph"/>
              <w:ind w:right="184"/>
              <w:rPr>
                <w:sz w:val="20"/>
              </w:rPr>
            </w:pPr>
            <w:r>
              <w:rPr>
                <w:w w:val="95"/>
                <w:sz w:val="20"/>
              </w:rPr>
              <w:t>85</w:t>
            </w:r>
          </w:p>
        </w:tc>
        <w:tc>
          <w:tcPr>
            <w:tcW w:w="1055" w:type="dxa"/>
            <w:shd w:val="clear" w:color="auto" w:fill="D2DFED"/>
          </w:tcPr>
          <w:p>
            <w:pPr>
              <w:pStyle w:val="TableParagraph"/>
              <w:ind w:right="103"/>
              <w:rPr>
                <w:sz w:val="20"/>
              </w:rPr>
            </w:pPr>
            <w:r>
              <w:rPr>
                <w:w w:val="95"/>
                <w:sz w:val="20"/>
              </w:rPr>
              <w:t>86</w:t>
            </w:r>
          </w:p>
        </w:tc>
      </w:tr>
      <w:tr>
        <w:trPr>
          <w:trHeight w:val="299" w:hRule="atLeast"/>
        </w:trPr>
        <w:tc>
          <w:tcPr>
            <w:tcW w:w="5826" w:type="dxa"/>
            <w:tcBorders>
              <w:bottom w:val="single" w:sz="8" w:space="0" w:color="4F81BC"/>
            </w:tcBorders>
          </w:tcPr>
          <w:p>
            <w:pPr>
              <w:pStyle w:val="TableParagraph"/>
              <w:spacing w:line="225" w:lineRule="exact"/>
              <w:ind w:left="122"/>
              <w:jc w:val="left"/>
              <w:rPr>
                <w:sz w:val="20"/>
              </w:rPr>
            </w:pPr>
            <w:r>
              <w:rPr>
                <w:sz w:val="20"/>
              </w:rPr>
              <w:t>Office of Energy</w:t>
            </w:r>
          </w:p>
        </w:tc>
        <w:tc>
          <w:tcPr>
            <w:tcW w:w="1408" w:type="dxa"/>
            <w:tcBorders>
              <w:bottom w:val="single" w:sz="8" w:space="0" w:color="4F81BC"/>
            </w:tcBorders>
          </w:tcPr>
          <w:p>
            <w:pPr>
              <w:pStyle w:val="TableParagraph"/>
              <w:spacing w:line="225" w:lineRule="exact"/>
              <w:ind w:right="136"/>
              <w:rPr>
                <w:sz w:val="20"/>
              </w:rPr>
            </w:pPr>
            <w:r>
              <w:rPr>
                <w:w w:val="95"/>
                <w:sz w:val="20"/>
              </w:rPr>
              <w:t>78</w:t>
            </w:r>
          </w:p>
        </w:tc>
        <w:tc>
          <w:tcPr>
            <w:tcW w:w="1188" w:type="dxa"/>
            <w:tcBorders>
              <w:bottom w:val="single" w:sz="8" w:space="0" w:color="4F81BC"/>
            </w:tcBorders>
          </w:tcPr>
          <w:p>
            <w:pPr>
              <w:pStyle w:val="TableParagraph"/>
              <w:spacing w:line="225" w:lineRule="exact"/>
              <w:ind w:right="184"/>
              <w:rPr>
                <w:sz w:val="20"/>
              </w:rPr>
            </w:pPr>
            <w:r>
              <w:rPr>
                <w:w w:val="95"/>
                <w:sz w:val="20"/>
              </w:rPr>
              <w:t>77</w:t>
            </w:r>
          </w:p>
        </w:tc>
        <w:tc>
          <w:tcPr>
            <w:tcW w:w="1055" w:type="dxa"/>
            <w:tcBorders>
              <w:bottom w:val="single" w:sz="8" w:space="0" w:color="4F81BC"/>
            </w:tcBorders>
          </w:tcPr>
          <w:p>
            <w:pPr>
              <w:pStyle w:val="TableParagraph"/>
              <w:spacing w:line="225" w:lineRule="exact"/>
              <w:ind w:right="103"/>
              <w:rPr>
                <w:sz w:val="20"/>
              </w:rPr>
            </w:pPr>
            <w:r>
              <w:rPr>
                <w:w w:val="95"/>
                <w:sz w:val="20"/>
              </w:rPr>
              <w:t>74</w:t>
            </w:r>
          </w:p>
        </w:tc>
      </w:tr>
    </w:tbl>
    <w:p>
      <w:pPr>
        <w:pStyle w:val="BodyText"/>
        <w:rPr>
          <w:sz w:val="20"/>
        </w:rPr>
      </w:pPr>
    </w:p>
    <w:p>
      <w:pPr>
        <w:pStyle w:val="BodyText"/>
        <w:spacing w:before="9"/>
        <w:rPr>
          <w:sz w:val="10"/>
        </w:rPr>
      </w:pPr>
      <w:r>
        <w:rPr/>
        <w:pict>
          <v:shape style="position:absolute;margin-left:70.944pt;margin-top:8.852979pt;width:144.050pt;height:.1pt;mso-position-horizontal-relative:page;mso-position-vertical-relative:paragraph;z-index:-251656192;mso-wrap-distance-left:0;mso-wrap-distance-right:0" coordorigin="1419,177" coordsize="2881,0" path="m1419,177l4299,177e" filled="false" stroked="true" strokeweight=".599980pt" strokecolor="#000000">
            <v:path arrowok="t"/>
            <v:stroke dashstyle="solid"/>
            <w10:wrap type="topAndBottom"/>
          </v:shape>
        </w:pict>
      </w:r>
    </w:p>
    <w:p>
      <w:pPr>
        <w:spacing w:line="237" w:lineRule="exact" w:before="47"/>
        <w:ind w:left="238" w:right="0" w:firstLine="0"/>
        <w:jc w:val="left"/>
        <w:rPr>
          <w:sz w:val="18"/>
        </w:rPr>
      </w:pPr>
      <w:r>
        <w:rPr>
          <w:position w:val="9"/>
          <w:sz w:val="12"/>
        </w:rPr>
        <w:t>6 </w:t>
      </w:r>
      <w:r>
        <w:rPr>
          <w:sz w:val="18"/>
        </w:rPr>
        <w:t>Includes data from the Public Trust Office and the Office of the Public Advocate.</w:t>
      </w:r>
    </w:p>
    <w:p>
      <w:pPr>
        <w:spacing w:line="237" w:lineRule="exact" w:before="0"/>
        <w:ind w:left="238" w:right="0" w:firstLine="0"/>
        <w:jc w:val="left"/>
        <w:rPr>
          <w:sz w:val="18"/>
        </w:rPr>
      </w:pPr>
      <w:r>
        <w:rPr>
          <w:position w:val="9"/>
          <w:sz w:val="12"/>
        </w:rPr>
        <w:t>7 </w:t>
      </w:r>
      <w:r>
        <w:rPr>
          <w:sz w:val="18"/>
        </w:rPr>
        <w:t>Includes data from Electorate Offices.</w:t>
      </w:r>
    </w:p>
    <w:p>
      <w:pPr>
        <w:spacing w:after="0" w:line="237" w:lineRule="exact"/>
        <w:jc w:val="left"/>
        <w:rPr>
          <w:sz w:val="18"/>
        </w:rPr>
        <w:sectPr>
          <w:pgSz w:w="11910" w:h="16850"/>
          <w:pgMar w:top="1120" w:bottom="280" w:left="1180" w:right="1000"/>
        </w:sect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34"/>
        <w:gridCol w:w="1199"/>
        <w:gridCol w:w="1202"/>
        <w:gridCol w:w="1024"/>
      </w:tblGrid>
      <w:tr>
        <w:trPr>
          <w:trHeight w:val="488" w:hRule="atLeast"/>
        </w:trPr>
        <w:tc>
          <w:tcPr>
            <w:tcW w:w="6034" w:type="dxa"/>
            <w:tcBorders>
              <w:top w:val="single" w:sz="8" w:space="0" w:color="4F81BC"/>
              <w:bottom w:val="single" w:sz="8" w:space="0" w:color="4F81BC"/>
            </w:tcBorders>
          </w:tcPr>
          <w:p>
            <w:pPr>
              <w:pStyle w:val="TableParagraph"/>
              <w:spacing w:line="240" w:lineRule="auto" w:before="0"/>
              <w:jc w:val="left"/>
              <w:rPr>
                <w:rFonts w:ascii="Times New Roman"/>
                <w:sz w:val="20"/>
              </w:rPr>
            </w:pPr>
          </w:p>
        </w:tc>
        <w:tc>
          <w:tcPr>
            <w:tcW w:w="1199" w:type="dxa"/>
            <w:tcBorders>
              <w:top w:val="single" w:sz="8" w:space="0" w:color="4F81BC"/>
              <w:bottom w:val="single" w:sz="8" w:space="0" w:color="4F81BC"/>
            </w:tcBorders>
          </w:tcPr>
          <w:p>
            <w:pPr>
              <w:pStyle w:val="TableParagraph"/>
              <w:spacing w:line="240" w:lineRule="atLeast" w:before="1"/>
              <w:ind w:left="193" w:right="124" w:hanging="48"/>
              <w:jc w:val="left"/>
              <w:rPr>
                <w:b/>
                <w:sz w:val="20"/>
              </w:rPr>
            </w:pPr>
            <w:r>
              <w:rPr>
                <w:b/>
                <w:sz w:val="20"/>
              </w:rPr>
              <w:t>Headcount Mar 2010</w:t>
            </w:r>
            <w:r>
              <w:rPr>
                <w:b/>
                <w:sz w:val="20"/>
                <w:vertAlign w:val="superscript"/>
              </w:rPr>
              <w:t>2</w:t>
            </w:r>
          </w:p>
        </w:tc>
        <w:tc>
          <w:tcPr>
            <w:tcW w:w="1202" w:type="dxa"/>
            <w:tcBorders>
              <w:top w:val="single" w:sz="8" w:space="0" w:color="4F81BC"/>
              <w:bottom w:val="single" w:sz="8" w:space="0" w:color="4F81BC"/>
            </w:tcBorders>
          </w:tcPr>
          <w:p>
            <w:pPr>
              <w:pStyle w:val="TableParagraph"/>
              <w:spacing w:line="240" w:lineRule="atLeast" w:before="1"/>
              <w:ind w:left="134" w:right="184" w:firstLine="168"/>
              <w:jc w:val="left"/>
              <w:rPr>
                <w:b/>
                <w:sz w:val="20"/>
              </w:rPr>
            </w:pPr>
            <w:r>
              <w:rPr>
                <w:b/>
                <w:sz w:val="20"/>
              </w:rPr>
              <w:t>Paid FTE Mar 2010</w:t>
            </w:r>
            <w:r>
              <w:rPr>
                <w:b/>
                <w:sz w:val="20"/>
                <w:vertAlign w:val="superscript"/>
              </w:rPr>
              <w:t>3</w:t>
            </w:r>
          </w:p>
        </w:tc>
        <w:tc>
          <w:tcPr>
            <w:tcW w:w="1024" w:type="dxa"/>
            <w:tcBorders>
              <w:top w:val="single" w:sz="8" w:space="0" w:color="4F81BC"/>
              <w:bottom w:val="single" w:sz="8" w:space="0" w:color="4F81BC"/>
            </w:tcBorders>
          </w:tcPr>
          <w:p>
            <w:pPr>
              <w:pStyle w:val="TableParagraph"/>
              <w:spacing w:line="240" w:lineRule="atLeast" w:before="1"/>
              <w:ind w:left="168" w:right="74" w:firstLine="81"/>
              <w:jc w:val="left"/>
              <w:rPr>
                <w:b/>
                <w:sz w:val="20"/>
              </w:rPr>
            </w:pPr>
            <w:r>
              <w:rPr>
                <w:b/>
                <w:w w:val="95"/>
                <w:sz w:val="20"/>
              </w:rPr>
              <w:t>Average </w:t>
            </w:r>
            <w:r>
              <w:rPr>
                <w:b/>
                <w:sz w:val="20"/>
              </w:rPr>
              <w:t>Paid FTE</w:t>
            </w:r>
            <w:r>
              <w:rPr>
                <w:b/>
                <w:sz w:val="20"/>
                <w:vertAlign w:val="superscript"/>
              </w:rPr>
              <w:t>4</w:t>
            </w:r>
          </w:p>
        </w:tc>
      </w:tr>
      <w:tr>
        <w:trPr>
          <w:trHeight w:val="302" w:hRule="atLeast"/>
        </w:trPr>
        <w:tc>
          <w:tcPr>
            <w:tcW w:w="6034" w:type="dxa"/>
            <w:tcBorders>
              <w:top w:val="single" w:sz="8" w:space="0" w:color="4F81BC"/>
            </w:tcBorders>
            <w:shd w:val="clear" w:color="auto" w:fill="D2DFED"/>
          </w:tcPr>
          <w:p>
            <w:pPr>
              <w:pStyle w:val="TableParagraph"/>
              <w:spacing w:before="56"/>
              <w:ind w:left="115"/>
              <w:jc w:val="left"/>
              <w:rPr>
                <w:sz w:val="20"/>
              </w:rPr>
            </w:pPr>
            <w:r>
              <w:rPr>
                <w:sz w:val="20"/>
              </w:rPr>
              <w:t>Small Business Development Corporation</w:t>
            </w:r>
          </w:p>
        </w:tc>
        <w:tc>
          <w:tcPr>
            <w:tcW w:w="1199" w:type="dxa"/>
            <w:tcBorders>
              <w:top w:val="single" w:sz="8" w:space="0" w:color="4F81BC"/>
            </w:tcBorders>
            <w:shd w:val="clear" w:color="auto" w:fill="D2DFED"/>
          </w:tcPr>
          <w:p>
            <w:pPr>
              <w:pStyle w:val="TableParagraph"/>
              <w:spacing w:before="56"/>
              <w:ind w:right="142"/>
              <w:rPr>
                <w:sz w:val="20"/>
              </w:rPr>
            </w:pPr>
            <w:r>
              <w:rPr>
                <w:w w:val="95"/>
                <w:sz w:val="20"/>
              </w:rPr>
              <w:t>66</w:t>
            </w:r>
          </w:p>
        </w:tc>
        <w:tc>
          <w:tcPr>
            <w:tcW w:w="1202" w:type="dxa"/>
            <w:tcBorders>
              <w:top w:val="single" w:sz="8" w:space="0" w:color="4F81BC"/>
            </w:tcBorders>
            <w:shd w:val="clear" w:color="auto" w:fill="D2DFED"/>
          </w:tcPr>
          <w:p>
            <w:pPr>
              <w:pStyle w:val="TableParagraph"/>
              <w:spacing w:before="56"/>
              <w:ind w:right="204"/>
              <w:rPr>
                <w:sz w:val="20"/>
              </w:rPr>
            </w:pPr>
            <w:r>
              <w:rPr>
                <w:w w:val="95"/>
                <w:sz w:val="20"/>
              </w:rPr>
              <w:t>59</w:t>
            </w:r>
          </w:p>
        </w:tc>
        <w:tc>
          <w:tcPr>
            <w:tcW w:w="1024" w:type="dxa"/>
            <w:tcBorders>
              <w:top w:val="single" w:sz="8" w:space="0" w:color="4F81BC"/>
            </w:tcBorders>
            <w:shd w:val="clear" w:color="auto" w:fill="D2DFED"/>
          </w:tcPr>
          <w:p>
            <w:pPr>
              <w:pStyle w:val="TableParagraph"/>
              <w:spacing w:before="56"/>
              <w:ind w:right="92"/>
              <w:rPr>
                <w:sz w:val="20"/>
              </w:rPr>
            </w:pPr>
            <w:r>
              <w:rPr>
                <w:w w:val="95"/>
                <w:sz w:val="20"/>
              </w:rPr>
              <w:t>62</w:t>
            </w:r>
          </w:p>
        </w:tc>
      </w:tr>
      <w:tr>
        <w:trPr>
          <w:trHeight w:val="300" w:hRule="atLeast"/>
        </w:trPr>
        <w:tc>
          <w:tcPr>
            <w:tcW w:w="6034" w:type="dxa"/>
          </w:tcPr>
          <w:p>
            <w:pPr>
              <w:pStyle w:val="TableParagraph"/>
              <w:ind w:left="115"/>
              <w:jc w:val="left"/>
              <w:rPr>
                <w:sz w:val="20"/>
              </w:rPr>
            </w:pPr>
            <w:r>
              <w:rPr>
                <w:sz w:val="20"/>
              </w:rPr>
              <w:t>Department of Education Services</w:t>
            </w:r>
          </w:p>
        </w:tc>
        <w:tc>
          <w:tcPr>
            <w:tcW w:w="1199" w:type="dxa"/>
          </w:tcPr>
          <w:p>
            <w:pPr>
              <w:pStyle w:val="TableParagraph"/>
              <w:ind w:right="142"/>
              <w:rPr>
                <w:sz w:val="20"/>
              </w:rPr>
            </w:pPr>
            <w:r>
              <w:rPr>
                <w:w w:val="95"/>
                <w:sz w:val="20"/>
              </w:rPr>
              <w:t>64</w:t>
            </w:r>
          </w:p>
        </w:tc>
        <w:tc>
          <w:tcPr>
            <w:tcW w:w="1202" w:type="dxa"/>
          </w:tcPr>
          <w:p>
            <w:pPr>
              <w:pStyle w:val="TableParagraph"/>
              <w:ind w:right="204"/>
              <w:rPr>
                <w:sz w:val="20"/>
              </w:rPr>
            </w:pPr>
            <w:r>
              <w:rPr>
                <w:w w:val="95"/>
                <w:sz w:val="20"/>
              </w:rPr>
              <w:t>57</w:t>
            </w:r>
          </w:p>
        </w:tc>
        <w:tc>
          <w:tcPr>
            <w:tcW w:w="1024" w:type="dxa"/>
          </w:tcPr>
          <w:p>
            <w:pPr>
              <w:pStyle w:val="TableParagraph"/>
              <w:ind w:right="92"/>
              <w:rPr>
                <w:sz w:val="20"/>
              </w:rPr>
            </w:pPr>
            <w:r>
              <w:rPr>
                <w:w w:val="95"/>
                <w:sz w:val="20"/>
              </w:rPr>
              <w:t>55</w:t>
            </w:r>
          </w:p>
        </w:tc>
      </w:tr>
      <w:tr>
        <w:trPr>
          <w:trHeight w:val="300" w:hRule="atLeast"/>
        </w:trPr>
        <w:tc>
          <w:tcPr>
            <w:tcW w:w="6034" w:type="dxa"/>
            <w:shd w:val="clear" w:color="auto" w:fill="D2DFED"/>
          </w:tcPr>
          <w:p>
            <w:pPr>
              <w:pStyle w:val="TableParagraph"/>
              <w:ind w:left="115"/>
              <w:jc w:val="left"/>
              <w:rPr>
                <w:sz w:val="20"/>
              </w:rPr>
            </w:pPr>
            <w:r>
              <w:rPr>
                <w:sz w:val="20"/>
              </w:rPr>
              <w:t>Swan River Trust</w:t>
            </w:r>
          </w:p>
        </w:tc>
        <w:tc>
          <w:tcPr>
            <w:tcW w:w="1199" w:type="dxa"/>
            <w:shd w:val="clear" w:color="auto" w:fill="D2DFED"/>
          </w:tcPr>
          <w:p>
            <w:pPr>
              <w:pStyle w:val="TableParagraph"/>
              <w:ind w:right="142"/>
              <w:rPr>
                <w:sz w:val="20"/>
              </w:rPr>
            </w:pPr>
            <w:r>
              <w:rPr>
                <w:w w:val="95"/>
                <w:sz w:val="20"/>
              </w:rPr>
              <w:t>57</w:t>
            </w:r>
          </w:p>
        </w:tc>
        <w:tc>
          <w:tcPr>
            <w:tcW w:w="1202" w:type="dxa"/>
            <w:shd w:val="clear" w:color="auto" w:fill="D2DFED"/>
          </w:tcPr>
          <w:p>
            <w:pPr>
              <w:pStyle w:val="TableParagraph"/>
              <w:ind w:right="204"/>
              <w:rPr>
                <w:sz w:val="20"/>
              </w:rPr>
            </w:pPr>
            <w:r>
              <w:rPr>
                <w:w w:val="95"/>
                <w:sz w:val="20"/>
              </w:rPr>
              <w:t>55</w:t>
            </w:r>
          </w:p>
        </w:tc>
        <w:tc>
          <w:tcPr>
            <w:tcW w:w="1024" w:type="dxa"/>
            <w:shd w:val="clear" w:color="auto" w:fill="D2DFED"/>
          </w:tcPr>
          <w:p>
            <w:pPr>
              <w:pStyle w:val="TableParagraph"/>
              <w:ind w:right="92"/>
              <w:rPr>
                <w:sz w:val="20"/>
              </w:rPr>
            </w:pPr>
            <w:r>
              <w:rPr>
                <w:w w:val="95"/>
                <w:sz w:val="20"/>
              </w:rPr>
              <w:t>51</w:t>
            </w:r>
          </w:p>
        </w:tc>
      </w:tr>
      <w:tr>
        <w:trPr>
          <w:trHeight w:val="300" w:hRule="atLeast"/>
        </w:trPr>
        <w:tc>
          <w:tcPr>
            <w:tcW w:w="6034" w:type="dxa"/>
          </w:tcPr>
          <w:p>
            <w:pPr>
              <w:pStyle w:val="TableParagraph"/>
              <w:ind w:left="115"/>
              <w:jc w:val="left"/>
              <w:rPr>
                <w:sz w:val="20"/>
              </w:rPr>
            </w:pPr>
            <w:r>
              <w:rPr>
                <w:sz w:val="20"/>
              </w:rPr>
              <w:t>Western Australian Electoral Commission</w:t>
            </w:r>
          </w:p>
        </w:tc>
        <w:tc>
          <w:tcPr>
            <w:tcW w:w="1199" w:type="dxa"/>
          </w:tcPr>
          <w:p>
            <w:pPr>
              <w:pStyle w:val="TableParagraph"/>
              <w:ind w:right="142"/>
              <w:rPr>
                <w:sz w:val="20"/>
              </w:rPr>
            </w:pPr>
            <w:r>
              <w:rPr>
                <w:w w:val="95"/>
                <w:sz w:val="20"/>
              </w:rPr>
              <w:t>60</w:t>
            </w:r>
          </w:p>
        </w:tc>
        <w:tc>
          <w:tcPr>
            <w:tcW w:w="1202" w:type="dxa"/>
          </w:tcPr>
          <w:p>
            <w:pPr>
              <w:pStyle w:val="TableParagraph"/>
              <w:ind w:right="204"/>
              <w:rPr>
                <w:sz w:val="20"/>
              </w:rPr>
            </w:pPr>
            <w:r>
              <w:rPr>
                <w:w w:val="95"/>
                <w:sz w:val="20"/>
              </w:rPr>
              <w:t>53</w:t>
            </w:r>
          </w:p>
        </w:tc>
        <w:tc>
          <w:tcPr>
            <w:tcW w:w="1024" w:type="dxa"/>
          </w:tcPr>
          <w:p>
            <w:pPr>
              <w:pStyle w:val="TableParagraph"/>
              <w:ind w:right="92"/>
              <w:rPr>
                <w:sz w:val="20"/>
              </w:rPr>
            </w:pPr>
            <w:r>
              <w:rPr>
                <w:w w:val="95"/>
                <w:sz w:val="20"/>
              </w:rPr>
              <w:t>63</w:t>
            </w:r>
          </w:p>
        </w:tc>
      </w:tr>
      <w:tr>
        <w:trPr>
          <w:trHeight w:val="487" w:hRule="atLeast"/>
        </w:trPr>
        <w:tc>
          <w:tcPr>
            <w:tcW w:w="6034" w:type="dxa"/>
            <w:shd w:val="clear" w:color="auto" w:fill="D2DFED"/>
          </w:tcPr>
          <w:p>
            <w:pPr>
              <w:pStyle w:val="TableParagraph"/>
              <w:spacing w:line="242" w:lineRule="exact" w:before="0"/>
              <w:ind w:left="115"/>
              <w:jc w:val="left"/>
              <w:rPr>
                <w:sz w:val="20"/>
              </w:rPr>
            </w:pPr>
            <w:r>
              <w:rPr>
                <w:sz w:val="20"/>
              </w:rPr>
              <w:t>Parliamentary Commissioner for Administrative Investigations</w:t>
            </w:r>
          </w:p>
          <w:p>
            <w:pPr>
              <w:pStyle w:val="TableParagraph"/>
              <w:spacing w:line="225" w:lineRule="exact" w:before="0"/>
              <w:ind w:left="115"/>
              <w:jc w:val="left"/>
              <w:rPr>
                <w:sz w:val="20"/>
              </w:rPr>
            </w:pPr>
            <w:r>
              <w:rPr>
                <w:sz w:val="20"/>
              </w:rPr>
              <w:t>(Ombudsman)</w:t>
            </w:r>
          </w:p>
        </w:tc>
        <w:tc>
          <w:tcPr>
            <w:tcW w:w="1199" w:type="dxa"/>
            <w:shd w:val="clear" w:color="auto" w:fill="D2DFED"/>
          </w:tcPr>
          <w:p>
            <w:pPr>
              <w:pStyle w:val="TableParagraph"/>
              <w:spacing w:line="240" w:lineRule="auto" w:before="9"/>
              <w:jc w:val="left"/>
              <w:rPr>
                <w:sz w:val="19"/>
              </w:rPr>
            </w:pPr>
          </w:p>
          <w:p>
            <w:pPr>
              <w:pStyle w:val="TableParagraph"/>
              <w:spacing w:before="0"/>
              <w:ind w:right="142"/>
              <w:rPr>
                <w:sz w:val="20"/>
              </w:rPr>
            </w:pPr>
            <w:r>
              <w:rPr>
                <w:w w:val="95"/>
                <w:sz w:val="20"/>
              </w:rPr>
              <w:t>53</w:t>
            </w:r>
          </w:p>
        </w:tc>
        <w:tc>
          <w:tcPr>
            <w:tcW w:w="1202" w:type="dxa"/>
            <w:shd w:val="clear" w:color="auto" w:fill="D2DFED"/>
          </w:tcPr>
          <w:p>
            <w:pPr>
              <w:pStyle w:val="TableParagraph"/>
              <w:spacing w:line="240" w:lineRule="auto" w:before="9"/>
              <w:jc w:val="left"/>
              <w:rPr>
                <w:sz w:val="19"/>
              </w:rPr>
            </w:pPr>
          </w:p>
          <w:p>
            <w:pPr>
              <w:pStyle w:val="TableParagraph"/>
              <w:spacing w:before="0"/>
              <w:ind w:right="204"/>
              <w:rPr>
                <w:sz w:val="20"/>
              </w:rPr>
            </w:pPr>
            <w:r>
              <w:rPr>
                <w:w w:val="95"/>
                <w:sz w:val="20"/>
              </w:rPr>
              <w:t>49</w:t>
            </w:r>
          </w:p>
        </w:tc>
        <w:tc>
          <w:tcPr>
            <w:tcW w:w="1024" w:type="dxa"/>
            <w:shd w:val="clear" w:color="auto" w:fill="D2DFED"/>
          </w:tcPr>
          <w:p>
            <w:pPr>
              <w:pStyle w:val="TableParagraph"/>
              <w:spacing w:line="240" w:lineRule="auto" w:before="9"/>
              <w:jc w:val="left"/>
              <w:rPr>
                <w:sz w:val="19"/>
              </w:rPr>
            </w:pPr>
          </w:p>
          <w:p>
            <w:pPr>
              <w:pStyle w:val="TableParagraph"/>
              <w:spacing w:before="0"/>
              <w:ind w:right="92"/>
              <w:rPr>
                <w:sz w:val="20"/>
              </w:rPr>
            </w:pPr>
            <w:r>
              <w:rPr>
                <w:w w:val="95"/>
                <w:sz w:val="20"/>
              </w:rPr>
              <w:t>44</w:t>
            </w:r>
          </w:p>
        </w:tc>
      </w:tr>
      <w:tr>
        <w:trPr>
          <w:trHeight w:val="299" w:hRule="atLeast"/>
        </w:trPr>
        <w:tc>
          <w:tcPr>
            <w:tcW w:w="6034" w:type="dxa"/>
          </w:tcPr>
          <w:p>
            <w:pPr>
              <w:pStyle w:val="TableParagraph"/>
              <w:ind w:left="115"/>
              <w:jc w:val="left"/>
              <w:rPr>
                <w:sz w:val="20"/>
              </w:rPr>
            </w:pPr>
            <w:r>
              <w:rPr>
                <w:sz w:val="20"/>
              </w:rPr>
              <w:t>Economic Regulation Authority</w:t>
            </w:r>
          </w:p>
        </w:tc>
        <w:tc>
          <w:tcPr>
            <w:tcW w:w="1199" w:type="dxa"/>
          </w:tcPr>
          <w:p>
            <w:pPr>
              <w:pStyle w:val="TableParagraph"/>
              <w:ind w:right="142"/>
              <w:rPr>
                <w:sz w:val="20"/>
              </w:rPr>
            </w:pPr>
            <w:r>
              <w:rPr>
                <w:w w:val="95"/>
                <w:sz w:val="20"/>
              </w:rPr>
              <w:t>54</w:t>
            </w:r>
          </w:p>
        </w:tc>
        <w:tc>
          <w:tcPr>
            <w:tcW w:w="1202" w:type="dxa"/>
          </w:tcPr>
          <w:p>
            <w:pPr>
              <w:pStyle w:val="TableParagraph"/>
              <w:ind w:right="204"/>
              <w:rPr>
                <w:sz w:val="20"/>
              </w:rPr>
            </w:pPr>
            <w:r>
              <w:rPr>
                <w:w w:val="95"/>
                <w:sz w:val="20"/>
              </w:rPr>
              <w:t>49</w:t>
            </w:r>
          </w:p>
        </w:tc>
        <w:tc>
          <w:tcPr>
            <w:tcW w:w="1024" w:type="dxa"/>
          </w:tcPr>
          <w:p>
            <w:pPr>
              <w:pStyle w:val="TableParagraph"/>
              <w:ind w:right="92"/>
              <w:rPr>
                <w:sz w:val="20"/>
              </w:rPr>
            </w:pPr>
            <w:r>
              <w:rPr>
                <w:w w:val="95"/>
                <w:sz w:val="20"/>
              </w:rPr>
              <w:t>47</w:t>
            </w:r>
          </w:p>
        </w:tc>
      </w:tr>
      <w:tr>
        <w:trPr>
          <w:trHeight w:val="489" w:hRule="atLeast"/>
        </w:trPr>
        <w:tc>
          <w:tcPr>
            <w:tcW w:w="6034" w:type="dxa"/>
            <w:shd w:val="clear" w:color="auto" w:fill="D2DFED"/>
          </w:tcPr>
          <w:p>
            <w:pPr>
              <w:pStyle w:val="TableParagraph"/>
              <w:spacing w:line="243" w:lineRule="exact" w:before="0"/>
              <w:ind w:left="115"/>
              <w:jc w:val="left"/>
              <w:rPr>
                <w:sz w:val="20"/>
              </w:rPr>
            </w:pPr>
            <w:r>
              <w:rPr>
                <w:sz w:val="20"/>
              </w:rPr>
              <w:t>Department of the Registrar Western Australian Industrial Relations</w:t>
            </w:r>
          </w:p>
          <w:p>
            <w:pPr>
              <w:pStyle w:val="TableParagraph"/>
              <w:spacing w:before="0"/>
              <w:ind w:left="115"/>
              <w:jc w:val="left"/>
              <w:rPr>
                <w:sz w:val="20"/>
              </w:rPr>
            </w:pPr>
            <w:r>
              <w:rPr>
                <w:sz w:val="20"/>
              </w:rPr>
              <w:t>Commission</w:t>
            </w:r>
          </w:p>
        </w:tc>
        <w:tc>
          <w:tcPr>
            <w:tcW w:w="1199" w:type="dxa"/>
            <w:shd w:val="clear" w:color="auto" w:fill="D2DFED"/>
          </w:tcPr>
          <w:p>
            <w:pPr>
              <w:pStyle w:val="TableParagraph"/>
              <w:spacing w:line="240" w:lineRule="auto" w:before="12"/>
              <w:jc w:val="left"/>
              <w:rPr>
                <w:sz w:val="19"/>
              </w:rPr>
            </w:pPr>
          </w:p>
          <w:p>
            <w:pPr>
              <w:pStyle w:val="TableParagraph"/>
              <w:spacing w:before="0"/>
              <w:ind w:right="142"/>
              <w:rPr>
                <w:sz w:val="20"/>
              </w:rPr>
            </w:pPr>
            <w:r>
              <w:rPr>
                <w:w w:val="95"/>
                <w:sz w:val="20"/>
              </w:rPr>
              <w:t>43</w:t>
            </w:r>
          </w:p>
        </w:tc>
        <w:tc>
          <w:tcPr>
            <w:tcW w:w="1202" w:type="dxa"/>
            <w:shd w:val="clear" w:color="auto" w:fill="D2DFED"/>
          </w:tcPr>
          <w:p>
            <w:pPr>
              <w:pStyle w:val="TableParagraph"/>
              <w:spacing w:line="240" w:lineRule="auto" w:before="12"/>
              <w:jc w:val="left"/>
              <w:rPr>
                <w:sz w:val="19"/>
              </w:rPr>
            </w:pPr>
          </w:p>
          <w:p>
            <w:pPr>
              <w:pStyle w:val="TableParagraph"/>
              <w:spacing w:before="0"/>
              <w:ind w:right="204"/>
              <w:rPr>
                <w:sz w:val="20"/>
              </w:rPr>
            </w:pPr>
            <w:r>
              <w:rPr>
                <w:w w:val="95"/>
                <w:sz w:val="20"/>
              </w:rPr>
              <w:t>40</w:t>
            </w:r>
          </w:p>
        </w:tc>
        <w:tc>
          <w:tcPr>
            <w:tcW w:w="1024" w:type="dxa"/>
            <w:shd w:val="clear" w:color="auto" w:fill="D2DFED"/>
          </w:tcPr>
          <w:p>
            <w:pPr>
              <w:pStyle w:val="TableParagraph"/>
              <w:spacing w:line="240" w:lineRule="auto" w:before="12"/>
              <w:jc w:val="left"/>
              <w:rPr>
                <w:sz w:val="19"/>
              </w:rPr>
            </w:pPr>
          </w:p>
          <w:p>
            <w:pPr>
              <w:pStyle w:val="TableParagraph"/>
              <w:spacing w:before="0"/>
              <w:ind w:right="92"/>
              <w:rPr>
                <w:sz w:val="20"/>
              </w:rPr>
            </w:pPr>
            <w:r>
              <w:rPr>
                <w:w w:val="95"/>
                <w:sz w:val="20"/>
              </w:rPr>
              <w:t>40</w:t>
            </w:r>
          </w:p>
        </w:tc>
      </w:tr>
      <w:tr>
        <w:trPr>
          <w:trHeight w:val="300" w:hRule="atLeast"/>
        </w:trPr>
        <w:tc>
          <w:tcPr>
            <w:tcW w:w="6034" w:type="dxa"/>
          </w:tcPr>
          <w:p>
            <w:pPr>
              <w:pStyle w:val="TableParagraph"/>
              <w:ind w:left="115"/>
              <w:jc w:val="left"/>
              <w:rPr>
                <w:sz w:val="20"/>
              </w:rPr>
            </w:pPr>
            <w:r>
              <w:rPr>
                <w:sz w:val="20"/>
              </w:rPr>
              <w:t>Office of the Public Sector Standards Commissioner</w:t>
            </w:r>
          </w:p>
        </w:tc>
        <w:tc>
          <w:tcPr>
            <w:tcW w:w="1199" w:type="dxa"/>
          </w:tcPr>
          <w:p>
            <w:pPr>
              <w:pStyle w:val="TableParagraph"/>
              <w:ind w:right="142"/>
              <w:rPr>
                <w:sz w:val="20"/>
              </w:rPr>
            </w:pPr>
            <w:r>
              <w:rPr>
                <w:w w:val="95"/>
                <w:sz w:val="20"/>
              </w:rPr>
              <w:t>36</w:t>
            </w:r>
          </w:p>
        </w:tc>
        <w:tc>
          <w:tcPr>
            <w:tcW w:w="1202" w:type="dxa"/>
          </w:tcPr>
          <w:p>
            <w:pPr>
              <w:pStyle w:val="TableParagraph"/>
              <w:ind w:right="204"/>
              <w:rPr>
                <w:sz w:val="20"/>
              </w:rPr>
            </w:pPr>
            <w:r>
              <w:rPr>
                <w:w w:val="95"/>
                <w:sz w:val="20"/>
              </w:rPr>
              <w:t>33</w:t>
            </w:r>
          </w:p>
        </w:tc>
        <w:tc>
          <w:tcPr>
            <w:tcW w:w="1024" w:type="dxa"/>
          </w:tcPr>
          <w:p>
            <w:pPr>
              <w:pStyle w:val="TableParagraph"/>
              <w:ind w:right="92"/>
              <w:rPr>
                <w:sz w:val="20"/>
              </w:rPr>
            </w:pPr>
            <w:r>
              <w:rPr>
                <w:w w:val="95"/>
                <w:sz w:val="20"/>
              </w:rPr>
              <w:t>33</w:t>
            </w:r>
          </w:p>
        </w:tc>
      </w:tr>
      <w:tr>
        <w:trPr>
          <w:trHeight w:val="300" w:hRule="atLeast"/>
        </w:trPr>
        <w:tc>
          <w:tcPr>
            <w:tcW w:w="6034" w:type="dxa"/>
            <w:shd w:val="clear" w:color="auto" w:fill="D2DFED"/>
          </w:tcPr>
          <w:p>
            <w:pPr>
              <w:pStyle w:val="TableParagraph"/>
              <w:ind w:left="115"/>
              <w:jc w:val="left"/>
              <w:rPr>
                <w:sz w:val="20"/>
              </w:rPr>
            </w:pPr>
            <w:r>
              <w:rPr>
                <w:sz w:val="20"/>
              </w:rPr>
              <w:t>Heritage Council of Western Australia</w:t>
            </w:r>
          </w:p>
        </w:tc>
        <w:tc>
          <w:tcPr>
            <w:tcW w:w="1199" w:type="dxa"/>
            <w:shd w:val="clear" w:color="auto" w:fill="D2DFED"/>
          </w:tcPr>
          <w:p>
            <w:pPr>
              <w:pStyle w:val="TableParagraph"/>
              <w:ind w:right="142"/>
              <w:rPr>
                <w:sz w:val="20"/>
              </w:rPr>
            </w:pPr>
            <w:r>
              <w:rPr>
                <w:w w:val="95"/>
                <w:sz w:val="20"/>
              </w:rPr>
              <w:t>33</w:t>
            </w:r>
          </w:p>
        </w:tc>
        <w:tc>
          <w:tcPr>
            <w:tcW w:w="1202" w:type="dxa"/>
            <w:shd w:val="clear" w:color="auto" w:fill="D2DFED"/>
          </w:tcPr>
          <w:p>
            <w:pPr>
              <w:pStyle w:val="TableParagraph"/>
              <w:ind w:right="204"/>
              <w:rPr>
                <w:sz w:val="20"/>
              </w:rPr>
            </w:pPr>
            <w:r>
              <w:rPr>
                <w:w w:val="95"/>
                <w:sz w:val="20"/>
              </w:rPr>
              <w:t>31</w:t>
            </w:r>
          </w:p>
        </w:tc>
        <w:tc>
          <w:tcPr>
            <w:tcW w:w="1024" w:type="dxa"/>
            <w:shd w:val="clear" w:color="auto" w:fill="D2DFED"/>
          </w:tcPr>
          <w:p>
            <w:pPr>
              <w:pStyle w:val="TableParagraph"/>
              <w:ind w:right="92"/>
              <w:rPr>
                <w:sz w:val="20"/>
              </w:rPr>
            </w:pPr>
            <w:r>
              <w:rPr>
                <w:w w:val="95"/>
                <w:sz w:val="20"/>
              </w:rPr>
              <w:t>27</w:t>
            </w:r>
          </w:p>
        </w:tc>
      </w:tr>
      <w:tr>
        <w:trPr>
          <w:trHeight w:val="300" w:hRule="atLeast"/>
        </w:trPr>
        <w:tc>
          <w:tcPr>
            <w:tcW w:w="6034" w:type="dxa"/>
          </w:tcPr>
          <w:p>
            <w:pPr>
              <w:pStyle w:val="TableParagraph"/>
              <w:ind w:left="115"/>
              <w:jc w:val="left"/>
              <w:rPr>
                <w:sz w:val="20"/>
              </w:rPr>
            </w:pPr>
            <w:r>
              <w:rPr>
                <w:sz w:val="20"/>
              </w:rPr>
              <w:t>The National Trust of Australia (W.A.)</w:t>
            </w:r>
          </w:p>
        </w:tc>
        <w:tc>
          <w:tcPr>
            <w:tcW w:w="1199" w:type="dxa"/>
          </w:tcPr>
          <w:p>
            <w:pPr>
              <w:pStyle w:val="TableParagraph"/>
              <w:ind w:right="142"/>
              <w:rPr>
                <w:sz w:val="20"/>
              </w:rPr>
            </w:pPr>
            <w:r>
              <w:rPr>
                <w:w w:val="95"/>
                <w:sz w:val="20"/>
              </w:rPr>
              <w:t>48</w:t>
            </w:r>
          </w:p>
        </w:tc>
        <w:tc>
          <w:tcPr>
            <w:tcW w:w="1202" w:type="dxa"/>
          </w:tcPr>
          <w:p>
            <w:pPr>
              <w:pStyle w:val="TableParagraph"/>
              <w:ind w:right="204"/>
              <w:rPr>
                <w:sz w:val="20"/>
              </w:rPr>
            </w:pPr>
            <w:r>
              <w:rPr>
                <w:w w:val="95"/>
                <w:sz w:val="20"/>
              </w:rPr>
              <w:t>31</w:t>
            </w:r>
          </w:p>
        </w:tc>
        <w:tc>
          <w:tcPr>
            <w:tcW w:w="1024" w:type="dxa"/>
          </w:tcPr>
          <w:p>
            <w:pPr>
              <w:pStyle w:val="TableParagraph"/>
              <w:ind w:right="92"/>
              <w:rPr>
                <w:sz w:val="20"/>
              </w:rPr>
            </w:pPr>
            <w:r>
              <w:rPr>
                <w:w w:val="95"/>
                <w:sz w:val="20"/>
              </w:rPr>
              <w:t>29</w:t>
            </w:r>
          </w:p>
        </w:tc>
      </w:tr>
      <w:tr>
        <w:trPr>
          <w:trHeight w:val="300" w:hRule="atLeast"/>
        </w:trPr>
        <w:tc>
          <w:tcPr>
            <w:tcW w:w="6034" w:type="dxa"/>
            <w:shd w:val="clear" w:color="auto" w:fill="D2DFED"/>
          </w:tcPr>
          <w:p>
            <w:pPr>
              <w:pStyle w:val="TableParagraph"/>
              <w:ind w:left="115"/>
              <w:jc w:val="left"/>
              <w:rPr>
                <w:sz w:val="20"/>
              </w:rPr>
            </w:pPr>
            <w:r>
              <w:rPr>
                <w:sz w:val="20"/>
              </w:rPr>
              <w:t>Commissioner for Equal Opportunity</w:t>
            </w:r>
          </w:p>
        </w:tc>
        <w:tc>
          <w:tcPr>
            <w:tcW w:w="1199" w:type="dxa"/>
            <w:shd w:val="clear" w:color="auto" w:fill="D2DFED"/>
          </w:tcPr>
          <w:p>
            <w:pPr>
              <w:pStyle w:val="TableParagraph"/>
              <w:ind w:right="142"/>
              <w:rPr>
                <w:sz w:val="20"/>
              </w:rPr>
            </w:pPr>
            <w:r>
              <w:rPr>
                <w:w w:val="95"/>
                <w:sz w:val="20"/>
              </w:rPr>
              <w:t>29</w:t>
            </w:r>
          </w:p>
        </w:tc>
        <w:tc>
          <w:tcPr>
            <w:tcW w:w="1202" w:type="dxa"/>
            <w:shd w:val="clear" w:color="auto" w:fill="D2DFED"/>
          </w:tcPr>
          <w:p>
            <w:pPr>
              <w:pStyle w:val="TableParagraph"/>
              <w:ind w:right="204"/>
              <w:rPr>
                <w:sz w:val="20"/>
              </w:rPr>
            </w:pPr>
            <w:r>
              <w:rPr>
                <w:w w:val="95"/>
                <w:sz w:val="20"/>
              </w:rPr>
              <w:t>27</w:t>
            </w:r>
          </w:p>
        </w:tc>
        <w:tc>
          <w:tcPr>
            <w:tcW w:w="1024" w:type="dxa"/>
            <w:shd w:val="clear" w:color="auto" w:fill="D2DFED"/>
          </w:tcPr>
          <w:p>
            <w:pPr>
              <w:pStyle w:val="TableParagraph"/>
              <w:ind w:right="92"/>
              <w:rPr>
                <w:sz w:val="20"/>
              </w:rPr>
            </w:pPr>
            <w:r>
              <w:rPr>
                <w:w w:val="95"/>
                <w:sz w:val="20"/>
              </w:rPr>
              <w:t>27</w:t>
            </w:r>
          </w:p>
        </w:tc>
      </w:tr>
      <w:tr>
        <w:trPr>
          <w:trHeight w:val="300" w:hRule="atLeast"/>
        </w:trPr>
        <w:tc>
          <w:tcPr>
            <w:tcW w:w="6034" w:type="dxa"/>
          </w:tcPr>
          <w:p>
            <w:pPr>
              <w:pStyle w:val="TableParagraph"/>
              <w:spacing w:before="55"/>
              <w:ind w:left="115"/>
              <w:jc w:val="left"/>
              <w:rPr>
                <w:sz w:val="20"/>
              </w:rPr>
            </w:pPr>
            <w:r>
              <w:rPr>
                <w:sz w:val="20"/>
              </w:rPr>
              <w:t>South West Development Commission</w:t>
            </w:r>
          </w:p>
        </w:tc>
        <w:tc>
          <w:tcPr>
            <w:tcW w:w="1199" w:type="dxa"/>
          </w:tcPr>
          <w:p>
            <w:pPr>
              <w:pStyle w:val="TableParagraph"/>
              <w:spacing w:before="55"/>
              <w:ind w:right="142"/>
              <w:rPr>
                <w:sz w:val="20"/>
              </w:rPr>
            </w:pPr>
            <w:r>
              <w:rPr>
                <w:w w:val="95"/>
                <w:sz w:val="20"/>
              </w:rPr>
              <w:t>23</w:t>
            </w:r>
          </w:p>
        </w:tc>
        <w:tc>
          <w:tcPr>
            <w:tcW w:w="1202" w:type="dxa"/>
          </w:tcPr>
          <w:p>
            <w:pPr>
              <w:pStyle w:val="TableParagraph"/>
              <w:spacing w:before="55"/>
              <w:ind w:right="204"/>
              <w:rPr>
                <w:sz w:val="20"/>
              </w:rPr>
            </w:pPr>
            <w:r>
              <w:rPr>
                <w:w w:val="95"/>
                <w:sz w:val="20"/>
              </w:rPr>
              <w:t>22</w:t>
            </w:r>
          </w:p>
        </w:tc>
        <w:tc>
          <w:tcPr>
            <w:tcW w:w="1024" w:type="dxa"/>
          </w:tcPr>
          <w:p>
            <w:pPr>
              <w:pStyle w:val="TableParagraph"/>
              <w:spacing w:before="55"/>
              <w:ind w:right="92"/>
              <w:rPr>
                <w:sz w:val="20"/>
              </w:rPr>
            </w:pPr>
            <w:r>
              <w:rPr>
                <w:w w:val="95"/>
                <w:sz w:val="20"/>
              </w:rPr>
              <w:t>22</w:t>
            </w:r>
          </w:p>
        </w:tc>
      </w:tr>
      <w:tr>
        <w:trPr>
          <w:trHeight w:val="300" w:hRule="atLeast"/>
        </w:trPr>
        <w:tc>
          <w:tcPr>
            <w:tcW w:w="6034" w:type="dxa"/>
            <w:shd w:val="clear" w:color="auto" w:fill="D2DFED"/>
          </w:tcPr>
          <w:p>
            <w:pPr>
              <w:pStyle w:val="TableParagraph"/>
              <w:ind w:left="115"/>
              <w:jc w:val="left"/>
              <w:rPr>
                <w:sz w:val="20"/>
              </w:rPr>
            </w:pPr>
            <w:r>
              <w:rPr>
                <w:sz w:val="20"/>
              </w:rPr>
              <w:t>Mid West Development Commission</w:t>
            </w:r>
          </w:p>
        </w:tc>
        <w:tc>
          <w:tcPr>
            <w:tcW w:w="1199" w:type="dxa"/>
            <w:shd w:val="clear" w:color="auto" w:fill="D2DFED"/>
          </w:tcPr>
          <w:p>
            <w:pPr>
              <w:pStyle w:val="TableParagraph"/>
              <w:ind w:right="142"/>
              <w:rPr>
                <w:sz w:val="20"/>
              </w:rPr>
            </w:pPr>
            <w:r>
              <w:rPr>
                <w:w w:val="95"/>
                <w:sz w:val="20"/>
              </w:rPr>
              <w:t>17</w:t>
            </w:r>
          </w:p>
        </w:tc>
        <w:tc>
          <w:tcPr>
            <w:tcW w:w="1202" w:type="dxa"/>
            <w:shd w:val="clear" w:color="auto" w:fill="D2DFED"/>
          </w:tcPr>
          <w:p>
            <w:pPr>
              <w:pStyle w:val="TableParagraph"/>
              <w:ind w:right="204"/>
              <w:rPr>
                <w:sz w:val="20"/>
              </w:rPr>
            </w:pPr>
            <w:r>
              <w:rPr>
                <w:w w:val="95"/>
                <w:sz w:val="20"/>
              </w:rPr>
              <w:t>16</w:t>
            </w:r>
          </w:p>
        </w:tc>
        <w:tc>
          <w:tcPr>
            <w:tcW w:w="1024" w:type="dxa"/>
            <w:shd w:val="clear" w:color="auto" w:fill="D2DFED"/>
          </w:tcPr>
          <w:p>
            <w:pPr>
              <w:pStyle w:val="TableParagraph"/>
              <w:ind w:right="92"/>
              <w:rPr>
                <w:sz w:val="20"/>
              </w:rPr>
            </w:pPr>
            <w:r>
              <w:rPr>
                <w:w w:val="95"/>
                <w:sz w:val="20"/>
              </w:rPr>
              <w:t>15</w:t>
            </w:r>
          </w:p>
        </w:tc>
      </w:tr>
      <w:tr>
        <w:trPr>
          <w:trHeight w:val="300" w:hRule="atLeast"/>
        </w:trPr>
        <w:tc>
          <w:tcPr>
            <w:tcW w:w="6034" w:type="dxa"/>
          </w:tcPr>
          <w:p>
            <w:pPr>
              <w:pStyle w:val="TableParagraph"/>
              <w:ind w:left="115"/>
              <w:jc w:val="left"/>
              <w:rPr>
                <w:sz w:val="20"/>
              </w:rPr>
            </w:pPr>
            <w:r>
              <w:rPr>
                <w:sz w:val="20"/>
              </w:rPr>
              <w:t>Office of the Inspector of Custodial Services</w:t>
            </w:r>
          </w:p>
        </w:tc>
        <w:tc>
          <w:tcPr>
            <w:tcW w:w="1199" w:type="dxa"/>
          </w:tcPr>
          <w:p>
            <w:pPr>
              <w:pStyle w:val="TableParagraph"/>
              <w:ind w:right="142"/>
              <w:rPr>
                <w:sz w:val="20"/>
              </w:rPr>
            </w:pPr>
            <w:r>
              <w:rPr>
                <w:w w:val="95"/>
                <w:sz w:val="20"/>
              </w:rPr>
              <w:t>16</w:t>
            </w:r>
          </w:p>
        </w:tc>
        <w:tc>
          <w:tcPr>
            <w:tcW w:w="1202" w:type="dxa"/>
          </w:tcPr>
          <w:p>
            <w:pPr>
              <w:pStyle w:val="TableParagraph"/>
              <w:ind w:right="204"/>
              <w:rPr>
                <w:sz w:val="20"/>
              </w:rPr>
            </w:pPr>
            <w:r>
              <w:rPr>
                <w:w w:val="95"/>
                <w:sz w:val="20"/>
              </w:rPr>
              <w:t>15</w:t>
            </w:r>
          </w:p>
        </w:tc>
        <w:tc>
          <w:tcPr>
            <w:tcW w:w="1024" w:type="dxa"/>
          </w:tcPr>
          <w:p>
            <w:pPr>
              <w:pStyle w:val="TableParagraph"/>
              <w:ind w:right="92"/>
              <w:rPr>
                <w:sz w:val="20"/>
              </w:rPr>
            </w:pPr>
            <w:r>
              <w:rPr>
                <w:w w:val="95"/>
                <w:sz w:val="20"/>
              </w:rPr>
              <w:t>14</w:t>
            </w:r>
          </w:p>
        </w:tc>
      </w:tr>
      <w:tr>
        <w:trPr>
          <w:trHeight w:val="300" w:hRule="atLeast"/>
        </w:trPr>
        <w:tc>
          <w:tcPr>
            <w:tcW w:w="6034" w:type="dxa"/>
            <w:shd w:val="clear" w:color="auto" w:fill="D2DFED"/>
          </w:tcPr>
          <w:p>
            <w:pPr>
              <w:pStyle w:val="TableParagraph"/>
              <w:ind w:left="115"/>
              <w:jc w:val="left"/>
              <w:rPr>
                <w:sz w:val="20"/>
              </w:rPr>
            </w:pPr>
            <w:r>
              <w:rPr>
                <w:sz w:val="20"/>
              </w:rPr>
              <w:t>Great Southern Development Commission</w:t>
            </w:r>
          </w:p>
        </w:tc>
        <w:tc>
          <w:tcPr>
            <w:tcW w:w="1199" w:type="dxa"/>
            <w:shd w:val="clear" w:color="auto" w:fill="D2DFED"/>
          </w:tcPr>
          <w:p>
            <w:pPr>
              <w:pStyle w:val="TableParagraph"/>
              <w:ind w:right="142"/>
              <w:rPr>
                <w:sz w:val="20"/>
              </w:rPr>
            </w:pPr>
            <w:r>
              <w:rPr>
                <w:w w:val="95"/>
                <w:sz w:val="20"/>
              </w:rPr>
              <w:t>15</w:t>
            </w:r>
          </w:p>
        </w:tc>
        <w:tc>
          <w:tcPr>
            <w:tcW w:w="1202" w:type="dxa"/>
            <w:shd w:val="clear" w:color="auto" w:fill="D2DFED"/>
          </w:tcPr>
          <w:p>
            <w:pPr>
              <w:pStyle w:val="TableParagraph"/>
              <w:ind w:right="204"/>
              <w:rPr>
                <w:sz w:val="20"/>
              </w:rPr>
            </w:pPr>
            <w:r>
              <w:rPr>
                <w:w w:val="95"/>
                <w:sz w:val="20"/>
              </w:rPr>
              <w:t>15</w:t>
            </w:r>
          </w:p>
        </w:tc>
        <w:tc>
          <w:tcPr>
            <w:tcW w:w="1024" w:type="dxa"/>
            <w:shd w:val="clear" w:color="auto" w:fill="D2DFED"/>
          </w:tcPr>
          <w:p>
            <w:pPr>
              <w:pStyle w:val="TableParagraph"/>
              <w:ind w:right="92"/>
              <w:rPr>
                <w:sz w:val="20"/>
              </w:rPr>
            </w:pPr>
            <w:r>
              <w:rPr>
                <w:w w:val="95"/>
                <w:sz w:val="20"/>
              </w:rPr>
              <w:t>14</w:t>
            </w:r>
          </w:p>
        </w:tc>
      </w:tr>
      <w:tr>
        <w:trPr>
          <w:trHeight w:val="300" w:hRule="atLeast"/>
        </w:trPr>
        <w:tc>
          <w:tcPr>
            <w:tcW w:w="6034" w:type="dxa"/>
          </w:tcPr>
          <w:p>
            <w:pPr>
              <w:pStyle w:val="TableParagraph"/>
              <w:ind w:left="115"/>
              <w:jc w:val="left"/>
              <w:rPr>
                <w:sz w:val="20"/>
              </w:rPr>
            </w:pPr>
            <w:r>
              <w:rPr>
                <w:sz w:val="20"/>
              </w:rPr>
              <w:t>Office of the Commissioner for Children and Young People</w:t>
            </w:r>
          </w:p>
        </w:tc>
        <w:tc>
          <w:tcPr>
            <w:tcW w:w="1199" w:type="dxa"/>
          </w:tcPr>
          <w:p>
            <w:pPr>
              <w:pStyle w:val="TableParagraph"/>
              <w:ind w:right="142"/>
              <w:rPr>
                <w:sz w:val="20"/>
              </w:rPr>
            </w:pPr>
            <w:r>
              <w:rPr>
                <w:w w:val="95"/>
                <w:sz w:val="20"/>
              </w:rPr>
              <w:t>17</w:t>
            </w:r>
          </w:p>
        </w:tc>
        <w:tc>
          <w:tcPr>
            <w:tcW w:w="1202" w:type="dxa"/>
          </w:tcPr>
          <w:p>
            <w:pPr>
              <w:pStyle w:val="TableParagraph"/>
              <w:ind w:right="204"/>
              <w:rPr>
                <w:sz w:val="20"/>
              </w:rPr>
            </w:pPr>
            <w:r>
              <w:rPr>
                <w:w w:val="95"/>
                <w:sz w:val="20"/>
              </w:rPr>
              <w:t>15</w:t>
            </w:r>
          </w:p>
        </w:tc>
        <w:tc>
          <w:tcPr>
            <w:tcW w:w="1024" w:type="dxa"/>
          </w:tcPr>
          <w:p>
            <w:pPr>
              <w:pStyle w:val="TableParagraph"/>
              <w:ind w:right="92"/>
              <w:rPr>
                <w:sz w:val="20"/>
              </w:rPr>
            </w:pPr>
            <w:r>
              <w:rPr>
                <w:w w:val="95"/>
                <w:sz w:val="20"/>
              </w:rPr>
              <w:t>14</w:t>
            </w:r>
          </w:p>
        </w:tc>
      </w:tr>
      <w:tr>
        <w:trPr>
          <w:trHeight w:val="300" w:hRule="atLeast"/>
        </w:trPr>
        <w:tc>
          <w:tcPr>
            <w:tcW w:w="6034" w:type="dxa"/>
            <w:shd w:val="clear" w:color="auto" w:fill="D2DFED"/>
          </w:tcPr>
          <w:p>
            <w:pPr>
              <w:pStyle w:val="TableParagraph"/>
              <w:ind w:left="115"/>
              <w:jc w:val="left"/>
              <w:rPr>
                <w:sz w:val="20"/>
              </w:rPr>
            </w:pPr>
            <w:r>
              <w:rPr>
                <w:sz w:val="20"/>
              </w:rPr>
              <w:t>Wheatbelt Development Commission</w:t>
            </w:r>
          </w:p>
        </w:tc>
        <w:tc>
          <w:tcPr>
            <w:tcW w:w="1199" w:type="dxa"/>
            <w:shd w:val="clear" w:color="auto" w:fill="D2DFED"/>
          </w:tcPr>
          <w:p>
            <w:pPr>
              <w:pStyle w:val="TableParagraph"/>
              <w:ind w:right="142"/>
              <w:rPr>
                <w:sz w:val="20"/>
              </w:rPr>
            </w:pPr>
            <w:r>
              <w:rPr>
                <w:w w:val="95"/>
                <w:sz w:val="20"/>
              </w:rPr>
              <w:t>16</w:t>
            </w:r>
          </w:p>
        </w:tc>
        <w:tc>
          <w:tcPr>
            <w:tcW w:w="1202" w:type="dxa"/>
            <w:shd w:val="clear" w:color="auto" w:fill="D2DFED"/>
          </w:tcPr>
          <w:p>
            <w:pPr>
              <w:pStyle w:val="TableParagraph"/>
              <w:ind w:right="204"/>
              <w:rPr>
                <w:sz w:val="20"/>
              </w:rPr>
            </w:pPr>
            <w:r>
              <w:rPr>
                <w:w w:val="95"/>
                <w:sz w:val="20"/>
              </w:rPr>
              <w:t>15</w:t>
            </w:r>
          </w:p>
        </w:tc>
        <w:tc>
          <w:tcPr>
            <w:tcW w:w="1024" w:type="dxa"/>
            <w:shd w:val="clear" w:color="auto" w:fill="D2DFED"/>
          </w:tcPr>
          <w:p>
            <w:pPr>
              <w:pStyle w:val="TableParagraph"/>
              <w:ind w:right="92"/>
              <w:rPr>
                <w:sz w:val="20"/>
              </w:rPr>
            </w:pPr>
            <w:r>
              <w:rPr>
                <w:w w:val="95"/>
                <w:sz w:val="20"/>
              </w:rPr>
              <w:t>15</w:t>
            </w:r>
          </w:p>
        </w:tc>
      </w:tr>
      <w:tr>
        <w:trPr>
          <w:trHeight w:val="300" w:hRule="atLeast"/>
        </w:trPr>
        <w:tc>
          <w:tcPr>
            <w:tcW w:w="6034" w:type="dxa"/>
          </w:tcPr>
          <w:p>
            <w:pPr>
              <w:pStyle w:val="TableParagraph"/>
              <w:ind w:left="115"/>
              <w:jc w:val="left"/>
              <w:rPr>
                <w:sz w:val="20"/>
              </w:rPr>
            </w:pPr>
            <w:r>
              <w:rPr>
                <w:sz w:val="20"/>
              </w:rPr>
              <w:t>Kimberley Development Commission</w:t>
            </w:r>
          </w:p>
        </w:tc>
        <w:tc>
          <w:tcPr>
            <w:tcW w:w="1199" w:type="dxa"/>
          </w:tcPr>
          <w:p>
            <w:pPr>
              <w:pStyle w:val="TableParagraph"/>
              <w:ind w:right="142"/>
              <w:rPr>
                <w:sz w:val="20"/>
              </w:rPr>
            </w:pPr>
            <w:r>
              <w:rPr>
                <w:w w:val="95"/>
                <w:sz w:val="20"/>
              </w:rPr>
              <w:t>15</w:t>
            </w:r>
          </w:p>
        </w:tc>
        <w:tc>
          <w:tcPr>
            <w:tcW w:w="1202" w:type="dxa"/>
          </w:tcPr>
          <w:p>
            <w:pPr>
              <w:pStyle w:val="TableParagraph"/>
              <w:ind w:right="204"/>
              <w:rPr>
                <w:sz w:val="20"/>
              </w:rPr>
            </w:pPr>
            <w:r>
              <w:rPr>
                <w:w w:val="95"/>
                <w:sz w:val="20"/>
              </w:rPr>
              <w:t>15</w:t>
            </w:r>
          </w:p>
        </w:tc>
        <w:tc>
          <w:tcPr>
            <w:tcW w:w="1024" w:type="dxa"/>
          </w:tcPr>
          <w:p>
            <w:pPr>
              <w:pStyle w:val="TableParagraph"/>
              <w:ind w:right="92"/>
              <w:rPr>
                <w:sz w:val="20"/>
              </w:rPr>
            </w:pPr>
            <w:r>
              <w:rPr>
                <w:w w:val="95"/>
                <w:sz w:val="20"/>
              </w:rPr>
              <w:t>13</w:t>
            </w:r>
          </w:p>
        </w:tc>
      </w:tr>
      <w:tr>
        <w:trPr>
          <w:trHeight w:val="300" w:hRule="atLeast"/>
        </w:trPr>
        <w:tc>
          <w:tcPr>
            <w:tcW w:w="6034" w:type="dxa"/>
            <w:shd w:val="clear" w:color="auto" w:fill="D2DFED"/>
          </w:tcPr>
          <w:p>
            <w:pPr>
              <w:pStyle w:val="TableParagraph"/>
              <w:ind w:left="115"/>
              <w:jc w:val="left"/>
              <w:rPr>
                <w:sz w:val="20"/>
              </w:rPr>
            </w:pPr>
            <w:r>
              <w:rPr>
                <w:sz w:val="20"/>
              </w:rPr>
              <w:t>Peel Development Commission</w:t>
            </w:r>
          </w:p>
        </w:tc>
        <w:tc>
          <w:tcPr>
            <w:tcW w:w="1199" w:type="dxa"/>
            <w:shd w:val="clear" w:color="auto" w:fill="D2DFED"/>
          </w:tcPr>
          <w:p>
            <w:pPr>
              <w:pStyle w:val="TableParagraph"/>
              <w:ind w:right="142"/>
              <w:rPr>
                <w:sz w:val="20"/>
              </w:rPr>
            </w:pPr>
            <w:r>
              <w:rPr>
                <w:w w:val="95"/>
                <w:sz w:val="20"/>
              </w:rPr>
              <w:t>15</w:t>
            </w:r>
          </w:p>
        </w:tc>
        <w:tc>
          <w:tcPr>
            <w:tcW w:w="1202" w:type="dxa"/>
            <w:shd w:val="clear" w:color="auto" w:fill="D2DFED"/>
          </w:tcPr>
          <w:p>
            <w:pPr>
              <w:pStyle w:val="TableParagraph"/>
              <w:ind w:right="204"/>
              <w:rPr>
                <w:sz w:val="20"/>
              </w:rPr>
            </w:pPr>
            <w:r>
              <w:rPr>
                <w:w w:val="95"/>
                <w:sz w:val="20"/>
              </w:rPr>
              <w:t>14</w:t>
            </w:r>
          </w:p>
        </w:tc>
        <w:tc>
          <w:tcPr>
            <w:tcW w:w="1024" w:type="dxa"/>
            <w:shd w:val="clear" w:color="auto" w:fill="D2DFED"/>
          </w:tcPr>
          <w:p>
            <w:pPr>
              <w:pStyle w:val="TableParagraph"/>
              <w:ind w:right="92"/>
              <w:rPr>
                <w:sz w:val="20"/>
              </w:rPr>
            </w:pPr>
            <w:r>
              <w:rPr>
                <w:w w:val="95"/>
                <w:sz w:val="20"/>
              </w:rPr>
              <w:t>13</w:t>
            </w:r>
          </w:p>
        </w:tc>
      </w:tr>
      <w:tr>
        <w:trPr>
          <w:trHeight w:val="300" w:hRule="atLeast"/>
        </w:trPr>
        <w:tc>
          <w:tcPr>
            <w:tcW w:w="6034" w:type="dxa"/>
          </w:tcPr>
          <w:p>
            <w:pPr>
              <w:pStyle w:val="TableParagraph"/>
              <w:ind w:left="115"/>
              <w:jc w:val="left"/>
              <w:rPr>
                <w:sz w:val="20"/>
              </w:rPr>
            </w:pPr>
            <w:r>
              <w:rPr>
                <w:sz w:val="20"/>
              </w:rPr>
              <w:t>Gascoyne Development Commission</w:t>
            </w:r>
          </w:p>
        </w:tc>
        <w:tc>
          <w:tcPr>
            <w:tcW w:w="1199" w:type="dxa"/>
          </w:tcPr>
          <w:p>
            <w:pPr>
              <w:pStyle w:val="TableParagraph"/>
              <w:ind w:right="142"/>
              <w:rPr>
                <w:sz w:val="20"/>
              </w:rPr>
            </w:pPr>
            <w:r>
              <w:rPr>
                <w:w w:val="95"/>
                <w:sz w:val="20"/>
              </w:rPr>
              <w:t>14</w:t>
            </w:r>
          </w:p>
        </w:tc>
        <w:tc>
          <w:tcPr>
            <w:tcW w:w="1202" w:type="dxa"/>
          </w:tcPr>
          <w:p>
            <w:pPr>
              <w:pStyle w:val="TableParagraph"/>
              <w:ind w:right="204"/>
              <w:rPr>
                <w:sz w:val="20"/>
              </w:rPr>
            </w:pPr>
            <w:r>
              <w:rPr>
                <w:w w:val="95"/>
                <w:sz w:val="20"/>
              </w:rPr>
              <w:t>13</w:t>
            </w:r>
          </w:p>
        </w:tc>
        <w:tc>
          <w:tcPr>
            <w:tcW w:w="1024" w:type="dxa"/>
          </w:tcPr>
          <w:p>
            <w:pPr>
              <w:pStyle w:val="TableParagraph"/>
              <w:ind w:right="92"/>
              <w:rPr>
                <w:sz w:val="20"/>
              </w:rPr>
            </w:pPr>
            <w:r>
              <w:rPr>
                <w:w w:val="95"/>
                <w:sz w:val="20"/>
              </w:rPr>
              <w:t>13</w:t>
            </w:r>
          </w:p>
        </w:tc>
      </w:tr>
      <w:tr>
        <w:trPr>
          <w:trHeight w:val="300" w:hRule="atLeast"/>
        </w:trPr>
        <w:tc>
          <w:tcPr>
            <w:tcW w:w="6034" w:type="dxa"/>
            <w:shd w:val="clear" w:color="auto" w:fill="D2DFED"/>
          </w:tcPr>
          <w:p>
            <w:pPr>
              <w:pStyle w:val="TableParagraph"/>
              <w:ind w:left="115"/>
              <w:jc w:val="left"/>
              <w:rPr>
                <w:sz w:val="20"/>
              </w:rPr>
            </w:pPr>
            <w:r>
              <w:rPr>
                <w:sz w:val="20"/>
              </w:rPr>
              <w:t>Goldfields-Esperance Development Commission</w:t>
            </w:r>
          </w:p>
        </w:tc>
        <w:tc>
          <w:tcPr>
            <w:tcW w:w="1199" w:type="dxa"/>
            <w:shd w:val="clear" w:color="auto" w:fill="D2DFED"/>
          </w:tcPr>
          <w:p>
            <w:pPr>
              <w:pStyle w:val="TableParagraph"/>
              <w:ind w:right="142"/>
              <w:rPr>
                <w:sz w:val="20"/>
              </w:rPr>
            </w:pPr>
            <w:r>
              <w:rPr>
                <w:w w:val="95"/>
                <w:sz w:val="20"/>
              </w:rPr>
              <w:t>13</w:t>
            </w:r>
          </w:p>
        </w:tc>
        <w:tc>
          <w:tcPr>
            <w:tcW w:w="1202" w:type="dxa"/>
            <w:shd w:val="clear" w:color="auto" w:fill="D2DFED"/>
          </w:tcPr>
          <w:p>
            <w:pPr>
              <w:pStyle w:val="TableParagraph"/>
              <w:ind w:right="204"/>
              <w:rPr>
                <w:sz w:val="20"/>
              </w:rPr>
            </w:pPr>
            <w:r>
              <w:rPr>
                <w:w w:val="95"/>
                <w:sz w:val="20"/>
              </w:rPr>
              <w:t>12</w:t>
            </w:r>
          </w:p>
        </w:tc>
        <w:tc>
          <w:tcPr>
            <w:tcW w:w="1024" w:type="dxa"/>
            <w:shd w:val="clear" w:color="auto" w:fill="D2DFED"/>
          </w:tcPr>
          <w:p>
            <w:pPr>
              <w:pStyle w:val="TableParagraph"/>
              <w:ind w:right="92"/>
              <w:rPr>
                <w:sz w:val="20"/>
              </w:rPr>
            </w:pPr>
            <w:r>
              <w:rPr>
                <w:w w:val="95"/>
                <w:sz w:val="20"/>
              </w:rPr>
              <w:t>12</w:t>
            </w:r>
          </w:p>
        </w:tc>
      </w:tr>
      <w:tr>
        <w:trPr>
          <w:trHeight w:val="300" w:hRule="atLeast"/>
        </w:trPr>
        <w:tc>
          <w:tcPr>
            <w:tcW w:w="6034" w:type="dxa"/>
          </w:tcPr>
          <w:p>
            <w:pPr>
              <w:pStyle w:val="TableParagraph"/>
              <w:ind w:left="115"/>
              <w:jc w:val="left"/>
              <w:rPr>
                <w:sz w:val="20"/>
              </w:rPr>
            </w:pPr>
            <w:r>
              <w:rPr>
                <w:sz w:val="20"/>
              </w:rPr>
              <w:t>Pilbara Development Commission</w:t>
            </w:r>
          </w:p>
        </w:tc>
        <w:tc>
          <w:tcPr>
            <w:tcW w:w="1199" w:type="dxa"/>
          </w:tcPr>
          <w:p>
            <w:pPr>
              <w:pStyle w:val="TableParagraph"/>
              <w:ind w:right="142"/>
              <w:rPr>
                <w:sz w:val="20"/>
              </w:rPr>
            </w:pPr>
            <w:r>
              <w:rPr>
                <w:w w:val="95"/>
                <w:sz w:val="20"/>
              </w:rPr>
              <w:t>10</w:t>
            </w:r>
          </w:p>
        </w:tc>
        <w:tc>
          <w:tcPr>
            <w:tcW w:w="1202" w:type="dxa"/>
          </w:tcPr>
          <w:p>
            <w:pPr>
              <w:pStyle w:val="TableParagraph"/>
              <w:ind w:right="204"/>
              <w:rPr>
                <w:sz w:val="20"/>
              </w:rPr>
            </w:pPr>
            <w:r>
              <w:rPr>
                <w:w w:val="95"/>
                <w:sz w:val="20"/>
              </w:rPr>
              <w:t>10</w:t>
            </w:r>
          </w:p>
        </w:tc>
        <w:tc>
          <w:tcPr>
            <w:tcW w:w="1024" w:type="dxa"/>
          </w:tcPr>
          <w:p>
            <w:pPr>
              <w:pStyle w:val="TableParagraph"/>
              <w:ind w:right="92"/>
              <w:rPr>
                <w:sz w:val="20"/>
              </w:rPr>
            </w:pPr>
            <w:r>
              <w:rPr>
                <w:w w:val="95"/>
                <w:sz w:val="20"/>
              </w:rPr>
              <w:t>11</w:t>
            </w:r>
          </w:p>
        </w:tc>
      </w:tr>
      <w:tr>
        <w:trPr>
          <w:trHeight w:val="300" w:hRule="atLeast"/>
        </w:trPr>
        <w:tc>
          <w:tcPr>
            <w:tcW w:w="6034" w:type="dxa"/>
            <w:shd w:val="clear" w:color="auto" w:fill="D2DFED"/>
          </w:tcPr>
          <w:p>
            <w:pPr>
              <w:pStyle w:val="TableParagraph"/>
              <w:ind w:left="115"/>
              <w:jc w:val="left"/>
              <w:rPr>
                <w:sz w:val="20"/>
              </w:rPr>
            </w:pPr>
            <w:r>
              <w:rPr>
                <w:sz w:val="20"/>
              </w:rPr>
              <w:t>Office of the Information Commissioner</w:t>
            </w:r>
          </w:p>
        </w:tc>
        <w:tc>
          <w:tcPr>
            <w:tcW w:w="1199" w:type="dxa"/>
            <w:shd w:val="clear" w:color="auto" w:fill="D2DFED"/>
          </w:tcPr>
          <w:p>
            <w:pPr>
              <w:pStyle w:val="TableParagraph"/>
              <w:ind w:right="142"/>
              <w:rPr>
                <w:sz w:val="20"/>
              </w:rPr>
            </w:pPr>
            <w:r>
              <w:rPr>
                <w:w w:val="95"/>
                <w:sz w:val="20"/>
              </w:rPr>
              <w:t>10</w:t>
            </w:r>
          </w:p>
        </w:tc>
        <w:tc>
          <w:tcPr>
            <w:tcW w:w="1202" w:type="dxa"/>
            <w:shd w:val="clear" w:color="auto" w:fill="D2DFED"/>
          </w:tcPr>
          <w:p>
            <w:pPr>
              <w:pStyle w:val="TableParagraph"/>
              <w:ind w:right="204"/>
              <w:rPr>
                <w:sz w:val="20"/>
              </w:rPr>
            </w:pPr>
            <w:r>
              <w:rPr>
                <w:w w:val="95"/>
                <w:sz w:val="20"/>
              </w:rPr>
              <w:t>10</w:t>
            </w:r>
          </w:p>
        </w:tc>
        <w:tc>
          <w:tcPr>
            <w:tcW w:w="1024" w:type="dxa"/>
            <w:shd w:val="clear" w:color="auto" w:fill="D2DFED"/>
          </w:tcPr>
          <w:p>
            <w:pPr>
              <w:pStyle w:val="TableParagraph"/>
              <w:ind w:right="92"/>
              <w:rPr>
                <w:sz w:val="20"/>
              </w:rPr>
            </w:pPr>
            <w:r>
              <w:rPr>
                <w:w w:val="99"/>
                <w:sz w:val="20"/>
              </w:rPr>
              <w:t>9</w:t>
            </w:r>
          </w:p>
        </w:tc>
      </w:tr>
      <w:tr>
        <w:trPr>
          <w:trHeight w:val="299" w:hRule="atLeast"/>
        </w:trPr>
        <w:tc>
          <w:tcPr>
            <w:tcW w:w="6034" w:type="dxa"/>
          </w:tcPr>
          <w:p>
            <w:pPr>
              <w:pStyle w:val="TableParagraph"/>
              <w:ind w:left="115"/>
              <w:jc w:val="left"/>
              <w:rPr>
                <w:sz w:val="20"/>
              </w:rPr>
            </w:pPr>
            <w:r>
              <w:rPr>
                <w:sz w:val="20"/>
              </w:rPr>
              <w:t>Law Reform Commission of Western Australia</w:t>
            </w:r>
          </w:p>
        </w:tc>
        <w:tc>
          <w:tcPr>
            <w:tcW w:w="1199" w:type="dxa"/>
          </w:tcPr>
          <w:p>
            <w:pPr>
              <w:pStyle w:val="TableParagraph"/>
              <w:ind w:right="142"/>
              <w:rPr>
                <w:sz w:val="20"/>
              </w:rPr>
            </w:pPr>
            <w:r>
              <w:rPr>
                <w:w w:val="99"/>
                <w:sz w:val="20"/>
              </w:rPr>
              <w:t>7</w:t>
            </w:r>
          </w:p>
        </w:tc>
        <w:tc>
          <w:tcPr>
            <w:tcW w:w="1202" w:type="dxa"/>
          </w:tcPr>
          <w:p>
            <w:pPr>
              <w:pStyle w:val="TableParagraph"/>
              <w:ind w:right="204"/>
              <w:rPr>
                <w:sz w:val="20"/>
              </w:rPr>
            </w:pPr>
            <w:r>
              <w:rPr>
                <w:w w:val="99"/>
                <w:sz w:val="20"/>
              </w:rPr>
              <w:t>3</w:t>
            </w:r>
          </w:p>
        </w:tc>
        <w:tc>
          <w:tcPr>
            <w:tcW w:w="1024" w:type="dxa"/>
          </w:tcPr>
          <w:p>
            <w:pPr>
              <w:pStyle w:val="TableParagraph"/>
              <w:ind w:right="92"/>
              <w:rPr>
                <w:sz w:val="20"/>
              </w:rPr>
            </w:pPr>
            <w:r>
              <w:rPr>
                <w:w w:val="99"/>
                <w:sz w:val="20"/>
              </w:rPr>
              <w:t>3</w:t>
            </w:r>
          </w:p>
        </w:tc>
      </w:tr>
      <w:tr>
        <w:trPr>
          <w:trHeight w:val="290" w:hRule="atLeast"/>
        </w:trPr>
        <w:tc>
          <w:tcPr>
            <w:tcW w:w="6034" w:type="dxa"/>
            <w:tcBorders>
              <w:bottom w:val="double" w:sz="1" w:space="0" w:color="000000"/>
            </w:tcBorders>
            <w:shd w:val="clear" w:color="auto" w:fill="D2DFED"/>
          </w:tcPr>
          <w:p>
            <w:pPr>
              <w:pStyle w:val="TableParagraph"/>
              <w:spacing w:line="215" w:lineRule="exact" w:before="55"/>
              <w:ind w:left="115"/>
              <w:jc w:val="left"/>
              <w:rPr>
                <w:sz w:val="20"/>
              </w:rPr>
            </w:pPr>
            <w:r>
              <w:rPr>
                <w:sz w:val="20"/>
              </w:rPr>
              <w:t>Salaries and Allowances Tribunal</w:t>
            </w:r>
          </w:p>
        </w:tc>
        <w:tc>
          <w:tcPr>
            <w:tcW w:w="1199" w:type="dxa"/>
            <w:tcBorders>
              <w:bottom w:val="double" w:sz="1" w:space="0" w:color="000000"/>
            </w:tcBorders>
            <w:shd w:val="clear" w:color="auto" w:fill="D2DFED"/>
          </w:tcPr>
          <w:p>
            <w:pPr>
              <w:pStyle w:val="TableParagraph"/>
              <w:spacing w:line="215" w:lineRule="exact" w:before="55"/>
              <w:ind w:right="142"/>
              <w:rPr>
                <w:sz w:val="20"/>
              </w:rPr>
            </w:pPr>
            <w:r>
              <w:rPr>
                <w:w w:val="99"/>
                <w:sz w:val="20"/>
              </w:rPr>
              <w:t>2</w:t>
            </w:r>
          </w:p>
        </w:tc>
        <w:tc>
          <w:tcPr>
            <w:tcW w:w="1202" w:type="dxa"/>
            <w:tcBorders>
              <w:bottom w:val="double" w:sz="1" w:space="0" w:color="000000"/>
            </w:tcBorders>
            <w:shd w:val="clear" w:color="auto" w:fill="D2DFED"/>
          </w:tcPr>
          <w:p>
            <w:pPr>
              <w:pStyle w:val="TableParagraph"/>
              <w:spacing w:line="215" w:lineRule="exact" w:before="55"/>
              <w:ind w:right="204"/>
              <w:rPr>
                <w:sz w:val="20"/>
              </w:rPr>
            </w:pPr>
            <w:r>
              <w:rPr>
                <w:w w:val="99"/>
                <w:sz w:val="20"/>
              </w:rPr>
              <w:t>2</w:t>
            </w:r>
          </w:p>
        </w:tc>
        <w:tc>
          <w:tcPr>
            <w:tcW w:w="1024" w:type="dxa"/>
            <w:tcBorders>
              <w:bottom w:val="double" w:sz="1" w:space="0" w:color="000000"/>
            </w:tcBorders>
            <w:shd w:val="clear" w:color="auto" w:fill="D2DFED"/>
          </w:tcPr>
          <w:p>
            <w:pPr>
              <w:pStyle w:val="TableParagraph"/>
              <w:spacing w:line="215" w:lineRule="exact" w:before="55"/>
              <w:ind w:right="92"/>
              <w:rPr>
                <w:sz w:val="20"/>
              </w:rPr>
            </w:pPr>
            <w:r>
              <w:rPr>
                <w:w w:val="99"/>
                <w:sz w:val="20"/>
              </w:rPr>
              <w:t>2</w:t>
            </w:r>
          </w:p>
        </w:tc>
      </w:tr>
      <w:tr>
        <w:trPr>
          <w:trHeight w:val="294" w:hRule="atLeast"/>
        </w:trPr>
        <w:tc>
          <w:tcPr>
            <w:tcW w:w="6034" w:type="dxa"/>
            <w:tcBorders>
              <w:top w:val="double" w:sz="1" w:space="0" w:color="000000"/>
              <w:bottom w:val="double" w:sz="1" w:space="0" w:color="000000"/>
            </w:tcBorders>
          </w:tcPr>
          <w:p>
            <w:pPr>
              <w:pStyle w:val="TableParagraph"/>
              <w:spacing w:line="240" w:lineRule="auto" w:before="8"/>
              <w:ind w:left="115"/>
              <w:jc w:val="left"/>
              <w:rPr>
                <w:b/>
                <w:i/>
                <w:sz w:val="20"/>
              </w:rPr>
            </w:pPr>
            <w:r>
              <w:rPr>
                <w:b/>
                <w:i/>
                <w:sz w:val="20"/>
              </w:rPr>
              <w:t>TOTAL</w:t>
            </w:r>
            <w:r>
              <w:rPr>
                <w:b/>
                <w:i/>
                <w:sz w:val="20"/>
                <w:vertAlign w:val="superscript"/>
              </w:rPr>
              <w:t>8</w:t>
            </w:r>
          </w:p>
        </w:tc>
        <w:tc>
          <w:tcPr>
            <w:tcW w:w="1199" w:type="dxa"/>
            <w:tcBorders>
              <w:top w:val="double" w:sz="1" w:space="0" w:color="000000"/>
              <w:bottom w:val="double" w:sz="1" w:space="0" w:color="000000"/>
            </w:tcBorders>
          </w:tcPr>
          <w:p>
            <w:pPr>
              <w:pStyle w:val="TableParagraph"/>
              <w:spacing w:line="240" w:lineRule="auto" w:before="8"/>
              <w:ind w:right="132"/>
              <w:rPr>
                <w:sz w:val="20"/>
              </w:rPr>
            </w:pPr>
            <w:r>
              <w:rPr>
                <w:w w:val="95"/>
                <w:sz w:val="20"/>
              </w:rPr>
              <w:t>133,894</w:t>
            </w:r>
          </w:p>
        </w:tc>
        <w:tc>
          <w:tcPr>
            <w:tcW w:w="1202" w:type="dxa"/>
            <w:tcBorders>
              <w:top w:val="double" w:sz="1" w:space="0" w:color="000000"/>
              <w:bottom w:val="double" w:sz="1" w:space="0" w:color="000000"/>
            </w:tcBorders>
          </w:tcPr>
          <w:p>
            <w:pPr>
              <w:pStyle w:val="TableParagraph"/>
              <w:spacing w:line="240" w:lineRule="auto" w:before="8"/>
              <w:ind w:right="167"/>
              <w:rPr>
                <w:sz w:val="20"/>
              </w:rPr>
            </w:pPr>
            <w:r>
              <w:rPr>
                <w:w w:val="95"/>
                <w:sz w:val="20"/>
              </w:rPr>
              <w:t>103,937</w:t>
            </w:r>
          </w:p>
        </w:tc>
        <w:tc>
          <w:tcPr>
            <w:tcW w:w="1024" w:type="dxa"/>
            <w:tcBorders>
              <w:top w:val="double" w:sz="1" w:space="0" w:color="000000"/>
              <w:bottom w:val="double" w:sz="1" w:space="0" w:color="000000"/>
            </w:tcBorders>
          </w:tcPr>
          <w:p>
            <w:pPr>
              <w:pStyle w:val="TableParagraph"/>
              <w:spacing w:line="240" w:lineRule="auto" w:before="8"/>
              <w:ind w:right="126"/>
              <w:rPr>
                <w:sz w:val="20"/>
              </w:rPr>
            </w:pPr>
            <w:r>
              <w:rPr>
                <w:sz w:val="20"/>
              </w:rPr>
              <w:t>102,234</w:t>
            </w:r>
          </w:p>
        </w:tc>
      </w:tr>
    </w:tbl>
    <w:p>
      <w:pPr>
        <w:pStyle w:val="BodyText"/>
        <w:rPr>
          <w:sz w:val="20"/>
        </w:rPr>
      </w:pPr>
    </w:p>
    <w:p>
      <w:pPr>
        <w:pStyle w:val="BodyText"/>
        <w:rPr>
          <w:sz w:val="20"/>
        </w:rPr>
      </w:pPr>
    </w:p>
    <w:p>
      <w:pPr>
        <w:pStyle w:val="BodyText"/>
        <w:rPr>
          <w:sz w:val="20"/>
        </w:rPr>
      </w:pPr>
    </w:p>
    <w:p>
      <w:pPr>
        <w:pStyle w:val="BodyText"/>
        <w:spacing w:before="10"/>
        <w:rPr>
          <w:sz w:val="21"/>
        </w:rPr>
      </w:pPr>
    </w:p>
    <w:p>
      <w:pPr>
        <w:pStyle w:val="BodyText"/>
        <w:spacing w:before="56"/>
        <w:ind w:left="238"/>
      </w:pPr>
      <w:r>
        <w:rPr>
          <w:color w:val="933634"/>
        </w:rPr>
        <w:t>Table 2: Agencies Subject to an FTE Ceiling, but not reporting HR MOIR Data to PSC.</w:t>
      </w:r>
    </w:p>
    <w:p>
      <w:pPr>
        <w:pStyle w:val="BodyText"/>
        <w:spacing w:before="3"/>
        <w:rPr>
          <w:sz w:val="24"/>
        </w:rPr>
      </w:pPr>
    </w:p>
    <w:tbl>
      <w:tblPr>
        <w:tblW w:w="0" w:type="auto"/>
        <w:jc w:val="left"/>
        <w:tblInd w:w="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95"/>
        <w:gridCol w:w="2170"/>
      </w:tblGrid>
      <w:tr>
        <w:trPr>
          <w:trHeight w:val="486" w:hRule="atLeast"/>
        </w:trPr>
        <w:tc>
          <w:tcPr>
            <w:tcW w:w="7195" w:type="dxa"/>
            <w:tcBorders>
              <w:top w:val="single" w:sz="4" w:space="0" w:color="000000"/>
              <w:left w:val="single" w:sz="4" w:space="0" w:color="000000"/>
              <w:bottom w:val="single" w:sz="4" w:space="0" w:color="000000"/>
            </w:tcBorders>
          </w:tcPr>
          <w:p>
            <w:pPr>
              <w:pStyle w:val="TableParagraph"/>
              <w:spacing w:line="240" w:lineRule="auto" w:before="0"/>
              <w:jc w:val="left"/>
              <w:rPr>
                <w:rFonts w:ascii="Times New Roman"/>
                <w:sz w:val="20"/>
              </w:rPr>
            </w:pPr>
          </w:p>
        </w:tc>
        <w:tc>
          <w:tcPr>
            <w:tcW w:w="2170" w:type="dxa"/>
            <w:tcBorders>
              <w:top w:val="single" w:sz="4" w:space="0" w:color="000000"/>
              <w:bottom w:val="single" w:sz="4" w:space="0" w:color="000000"/>
              <w:right w:val="single" w:sz="4" w:space="0" w:color="000000"/>
            </w:tcBorders>
          </w:tcPr>
          <w:p>
            <w:pPr>
              <w:pStyle w:val="TableParagraph"/>
              <w:spacing w:line="243" w:lineRule="exact" w:before="0"/>
              <w:ind w:right="96"/>
              <w:rPr>
                <w:b/>
                <w:sz w:val="20"/>
              </w:rPr>
            </w:pPr>
            <w:r>
              <w:rPr>
                <w:b/>
                <w:sz w:val="20"/>
              </w:rPr>
              <w:t>FTE</w:t>
            </w:r>
            <w:r>
              <w:rPr>
                <w:b/>
                <w:spacing w:val="-6"/>
                <w:sz w:val="20"/>
              </w:rPr>
              <w:t> </w:t>
            </w:r>
            <w:r>
              <w:rPr>
                <w:b/>
                <w:sz w:val="20"/>
              </w:rPr>
              <w:t>ceiling</w:t>
            </w:r>
          </w:p>
          <w:p>
            <w:pPr>
              <w:pStyle w:val="TableParagraph"/>
              <w:spacing w:line="223" w:lineRule="exact" w:before="0"/>
              <w:ind w:right="99"/>
              <w:rPr>
                <w:b/>
                <w:sz w:val="20"/>
              </w:rPr>
            </w:pPr>
            <w:r>
              <w:rPr>
                <w:b/>
                <w:spacing w:val="-1"/>
                <w:sz w:val="20"/>
              </w:rPr>
              <w:t>2009/10</w:t>
            </w:r>
          </w:p>
        </w:tc>
      </w:tr>
      <w:tr>
        <w:trPr>
          <w:trHeight w:val="285" w:hRule="atLeast"/>
        </w:trPr>
        <w:tc>
          <w:tcPr>
            <w:tcW w:w="7195" w:type="dxa"/>
            <w:tcBorders>
              <w:top w:val="single" w:sz="4" w:space="0" w:color="000000"/>
            </w:tcBorders>
            <w:shd w:val="clear" w:color="auto" w:fill="D2DFED"/>
          </w:tcPr>
          <w:p>
            <w:pPr>
              <w:pStyle w:val="TableParagraph"/>
              <w:spacing w:line="240" w:lineRule="auto" w:before="20"/>
              <w:ind w:left="120"/>
              <w:jc w:val="left"/>
              <w:rPr>
                <w:sz w:val="20"/>
              </w:rPr>
            </w:pPr>
            <w:r>
              <w:rPr>
                <w:sz w:val="20"/>
              </w:rPr>
              <w:t>Governor’s Establishment</w:t>
            </w:r>
          </w:p>
        </w:tc>
        <w:tc>
          <w:tcPr>
            <w:tcW w:w="2170" w:type="dxa"/>
            <w:tcBorders>
              <w:top w:val="single" w:sz="4" w:space="0" w:color="000000"/>
            </w:tcBorders>
            <w:shd w:val="clear" w:color="auto" w:fill="D2DFED"/>
          </w:tcPr>
          <w:p>
            <w:pPr>
              <w:pStyle w:val="TableParagraph"/>
              <w:spacing w:line="240" w:lineRule="auto" w:before="20"/>
              <w:ind w:right="101"/>
              <w:rPr>
                <w:sz w:val="20"/>
              </w:rPr>
            </w:pPr>
            <w:r>
              <w:rPr>
                <w:w w:val="95"/>
                <w:sz w:val="20"/>
              </w:rPr>
              <w:t>27</w:t>
            </w:r>
          </w:p>
        </w:tc>
      </w:tr>
      <w:tr>
        <w:trPr>
          <w:trHeight w:val="285" w:hRule="atLeast"/>
        </w:trPr>
        <w:tc>
          <w:tcPr>
            <w:tcW w:w="7195" w:type="dxa"/>
          </w:tcPr>
          <w:p>
            <w:pPr>
              <w:pStyle w:val="TableParagraph"/>
              <w:spacing w:line="240" w:lineRule="auto" w:before="20"/>
              <w:ind w:left="120"/>
              <w:jc w:val="left"/>
              <w:rPr>
                <w:sz w:val="20"/>
              </w:rPr>
            </w:pPr>
            <w:r>
              <w:rPr>
                <w:sz w:val="20"/>
              </w:rPr>
              <w:t>Legislative Assembly</w:t>
            </w:r>
          </w:p>
        </w:tc>
        <w:tc>
          <w:tcPr>
            <w:tcW w:w="2170" w:type="dxa"/>
          </w:tcPr>
          <w:p>
            <w:pPr>
              <w:pStyle w:val="TableParagraph"/>
              <w:spacing w:line="240" w:lineRule="auto" w:before="20"/>
              <w:ind w:right="101"/>
              <w:rPr>
                <w:sz w:val="20"/>
              </w:rPr>
            </w:pPr>
            <w:r>
              <w:rPr>
                <w:w w:val="95"/>
                <w:sz w:val="20"/>
              </w:rPr>
              <w:t>32</w:t>
            </w:r>
          </w:p>
        </w:tc>
      </w:tr>
      <w:tr>
        <w:trPr>
          <w:trHeight w:val="285" w:hRule="atLeast"/>
        </w:trPr>
        <w:tc>
          <w:tcPr>
            <w:tcW w:w="7195" w:type="dxa"/>
            <w:shd w:val="clear" w:color="auto" w:fill="D2DFED"/>
          </w:tcPr>
          <w:p>
            <w:pPr>
              <w:pStyle w:val="TableParagraph"/>
              <w:spacing w:line="240" w:lineRule="auto" w:before="20"/>
              <w:ind w:left="120"/>
              <w:jc w:val="left"/>
              <w:rPr>
                <w:sz w:val="20"/>
              </w:rPr>
            </w:pPr>
            <w:r>
              <w:rPr>
                <w:sz w:val="20"/>
              </w:rPr>
              <w:t>Legislative Council</w:t>
            </w:r>
          </w:p>
        </w:tc>
        <w:tc>
          <w:tcPr>
            <w:tcW w:w="2170" w:type="dxa"/>
            <w:shd w:val="clear" w:color="auto" w:fill="D2DFED"/>
          </w:tcPr>
          <w:p>
            <w:pPr>
              <w:pStyle w:val="TableParagraph"/>
              <w:spacing w:line="240" w:lineRule="auto" w:before="20"/>
              <w:ind w:right="101"/>
              <w:rPr>
                <w:sz w:val="20"/>
              </w:rPr>
            </w:pPr>
            <w:r>
              <w:rPr>
                <w:w w:val="95"/>
                <w:sz w:val="20"/>
              </w:rPr>
              <w:t>32</w:t>
            </w:r>
          </w:p>
        </w:tc>
      </w:tr>
      <w:tr>
        <w:trPr>
          <w:trHeight w:val="286" w:hRule="atLeast"/>
        </w:trPr>
        <w:tc>
          <w:tcPr>
            <w:tcW w:w="7195" w:type="dxa"/>
          </w:tcPr>
          <w:p>
            <w:pPr>
              <w:pStyle w:val="TableParagraph"/>
              <w:spacing w:line="240" w:lineRule="auto" w:before="19"/>
              <w:ind w:left="120"/>
              <w:jc w:val="left"/>
              <w:rPr>
                <w:sz w:val="20"/>
              </w:rPr>
            </w:pPr>
            <w:r>
              <w:rPr>
                <w:sz w:val="20"/>
              </w:rPr>
              <w:t>Parliamentary Inspector of the Corruption and Crime Commission</w:t>
            </w:r>
          </w:p>
        </w:tc>
        <w:tc>
          <w:tcPr>
            <w:tcW w:w="2170" w:type="dxa"/>
          </w:tcPr>
          <w:p>
            <w:pPr>
              <w:pStyle w:val="TableParagraph"/>
              <w:spacing w:line="240" w:lineRule="auto" w:before="19"/>
              <w:ind w:right="101"/>
              <w:rPr>
                <w:sz w:val="20"/>
              </w:rPr>
            </w:pPr>
            <w:r>
              <w:rPr>
                <w:w w:val="99"/>
                <w:sz w:val="20"/>
              </w:rPr>
              <w:t>2</w:t>
            </w:r>
          </w:p>
        </w:tc>
      </w:tr>
      <w:tr>
        <w:trPr>
          <w:trHeight w:val="282" w:hRule="atLeast"/>
        </w:trPr>
        <w:tc>
          <w:tcPr>
            <w:tcW w:w="7195" w:type="dxa"/>
            <w:tcBorders>
              <w:bottom w:val="double" w:sz="1" w:space="0" w:color="000000"/>
            </w:tcBorders>
            <w:shd w:val="clear" w:color="auto" w:fill="D2DFED"/>
          </w:tcPr>
          <w:p>
            <w:pPr>
              <w:pStyle w:val="TableParagraph"/>
              <w:spacing w:line="240" w:lineRule="auto" w:before="18"/>
              <w:ind w:left="120"/>
              <w:jc w:val="left"/>
              <w:rPr>
                <w:sz w:val="20"/>
              </w:rPr>
            </w:pPr>
            <w:r>
              <w:rPr>
                <w:sz w:val="20"/>
              </w:rPr>
              <w:t>Parliamentary Services</w:t>
            </w:r>
          </w:p>
        </w:tc>
        <w:tc>
          <w:tcPr>
            <w:tcW w:w="2170" w:type="dxa"/>
            <w:tcBorders>
              <w:bottom w:val="double" w:sz="1" w:space="0" w:color="000000"/>
            </w:tcBorders>
            <w:shd w:val="clear" w:color="auto" w:fill="D2DFED"/>
          </w:tcPr>
          <w:p>
            <w:pPr>
              <w:pStyle w:val="TableParagraph"/>
              <w:spacing w:line="240" w:lineRule="auto" w:before="18"/>
              <w:ind w:right="104"/>
              <w:rPr>
                <w:sz w:val="20"/>
              </w:rPr>
            </w:pPr>
            <w:r>
              <w:rPr>
                <w:w w:val="95"/>
                <w:sz w:val="20"/>
              </w:rPr>
              <w:t>102</w:t>
            </w:r>
          </w:p>
        </w:tc>
      </w:tr>
      <w:tr>
        <w:trPr>
          <w:trHeight w:val="286" w:hRule="atLeast"/>
        </w:trPr>
        <w:tc>
          <w:tcPr>
            <w:tcW w:w="7195" w:type="dxa"/>
            <w:tcBorders>
              <w:top w:val="double" w:sz="1" w:space="0" w:color="000000"/>
              <w:bottom w:val="double" w:sz="1" w:space="0" w:color="000000"/>
            </w:tcBorders>
          </w:tcPr>
          <w:p>
            <w:pPr>
              <w:pStyle w:val="TableParagraph"/>
              <w:spacing w:line="240" w:lineRule="auto" w:before="1"/>
              <w:ind w:left="120"/>
              <w:jc w:val="left"/>
              <w:rPr>
                <w:b/>
                <w:i/>
                <w:sz w:val="20"/>
              </w:rPr>
            </w:pPr>
            <w:r>
              <w:rPr>
                <w:b/>
                <w:i/>
                <w:sz w:val="20"/>
              </w:rPr>
              <w:t>TOTAL</w:t>
            </w:r>
          </w:p>
        </w:tc>
        <w:tc>
          <w:tcPr>
            <w:tcW w:w="2170" w:type="dxa"/>
            <w:tcBorders>
              <w:top w:val="double" w:sz="1" w:space="0" w:color="000000"/>
              <w:bottom w:val="double" w:sz="1" w:space="0" w:color="000000"/>
            </w:tcBorders>
          </w:tcPr>
          <w:p>
            <w:pPr>
              <w:pStyle w:val="TableParagraph"/>
              <w:spacing w:line="240" w:lineRule="auto" w:before="1"/>
              <w:ind w:right="104"/>
              <w:rPr>
                <w:sz w:val="20"/>
              </w:rPr>
            </w:pPr>
            <w:r>
              <w:rPr>
                <w:sz w:val="20"/>
              </w:rPr>
              <w:t>195</w:t>
            </w:r>
          </w:p>
        </w:tc>
      </w:tr>
    </w:tbl>
    <w:p>
      <w:pPr>
        <w:pStyle w:val="BodyText"/>
      </w:pPr>
    </w:p>
    <w:p>
      <w:pPr>
        <w:pStyle w:val="BodyText"/>
        <w:spacing w:before="5"/>
        <w:rPr>
          <w:sz w:val="29"/>
        </w:rPr>
      </w:pPr>
    </w:p>
    <w:p>
      <w:pPr>
        <w:tabs>
          <w:tab w:pos="8705" w:val="left" w:leader="none"/>
        </w:tabs>
        <w:spacing w:before="0"/>
        <w:ind w:left="238" w:right="0" w:firstLine="0"/>
        <w:jc w:val="left"/>
        <w:rPr>
          <w:b/>
          <w:sz w:val="24"/>
        </w:rPr>
      </w:pPr>
      <w:r>
        <w:rPr/>
        <w:pict>
          <v:group style="position:absolute;margin-left:69.503998pt;margin-top:-2.494196pt;width:479.05pt;height:1.45pt;mso-position-horizontal-relative:page;mso-position-vertical-relative:paragraph;z-index:251662336" coordorigin="1390,-50" coordsize="9581,29">
            <v:line style="position:absolute" from="1390,-45" to="10970,-45" stroked="true" strokeweight=".47998pt" strokecolor="#000000">
              <v:stroke dashstyle="solid"/>
            </v:line>
            <v:line style="position:absolute" from="1390,-26" to="10970,-26" stroked="true" strokeweight=".48004pt" strokecolor="#000000">
              <v:stroke dashstyle="solid"/>
            </v:line>
            <w10:wrap type="none"/>
          </v:group>
        </w:pict>
      </w:r>
      <w:r>
        <w:rPr/>
        <w:pict>
          <v:group style="position:absolute;margin-left:69.503998pt;margin-top:15.745804pt;width:479.05pt;height:1.45pt;mso-position-horizontal-relative:page;mso-position-vertical-relative:paragraph;z-index:251663360" coordorigin="1390,315" coordsize="9581,29">
            <v:line style="position:absolute" from="1390,339" to="10970,339" stroked="true" strokeweight=".48004pt" strokecolor="#000000">
              <v:stroke dashstyle="solid"/>
            </v:line>
            <v:line style="position:absolute" from="1390,320" to="10970,320" stroked="true" strokeweight=".47998pt" strokecolor="#000000">
              <v:stroke dashstyle="solid"/>
            </v:line>
            <w10:wrap type="none"/>
          </v:group>
        </w:pict>
      </w:r>
      <w:r>
        <w:rPr>
          <w:b/>
          <w:sz w:val="24"/>
        </w:rPr>
        <w:t>Sum of Average Paid FTE for agencies subject to</w:t>
      </w:r>
      <w:r>
        <w:rPr>
          <w:b/>
          <w:spacing w:val="-15"/>
          <w:sz w:val="24"/>
        </w:rPr>
        <w:t> </w:t>
      </w:r>
      <w:r>
        <w:rPr>
          <w:b/>
          <w:sz w:val="24"/>
        </w:rPr>
        <w:t>FTE</w:t>
      </w:r>
      <w:r>
        <w:rPr>
          <w:b/>
          <w:spacing w:val="-4"/>
          <w:sz w:val="24"/>
        </w:rPr>
        <w:t> </w:t>
      </w:r>
      <w:r>
        <w:rPr>
          <w:b/>
          <w:sz w:val="24"/>
        </w:rPr>
        <w:t>Ceiling</w:t>
        <w:tab/>
        <w:t>102,429</w:t>
      </w:r>
    </w:p>
    <w:p>
      <w:pPr>
        <w:pStyle w:val="BodyText"/>
        <w:rPr>
          <w:b/>
          <w:sz w:val="20"/>
        </w:rPr>
      </w:pPr>
    </w:p>
    <w:p>
      <w:pPr>
        <w:pStyle w:val="BodyText"/>
        <w:rPr>
          <w:b/>
          <w:sz w:val="20"/>
        </w:rPr>
      </w:pPr>
    </w:p>
    <w:p>
      <w:pPr>
        <w:pStyle w:val="BodyText"/>
        <w:spacing w:before="3"/>
        <w:rPr>
          <w:b/>
          <w:sz w:val="25"/>
        </w:rPr>
      </w:pPr>
      <w:r>
        <w:rPr/>
        <w:pict>
          <v:shape style="position:absolute;margin-left:70.944pt;margin-top:17.695551pt;width:144.050pt;height:.1pt;mso-position-horizontal-relative:page;mso-position-vertical-relative:paragraph;z-index:-251655168;mso-wrap-distance-left:0;mso-wrap-distance-right:0" coordorigin="1419,354" coordsize="2881,0" path="m1419,354l4299,354e" filled="false" stroked="true" strokeweight=".599980pt" strokecolor="#000000">
            <v:path arrowok="t"/>
            <v:stroke dashstyle="solid"/>
            <w10:wrap type="topAndBottom"/>
          </v:shape>
        </w:pict>
      </w:r>
    </w:p>
    <w:p>
      <w:pPr>
        <w:spacing w:before="47"/>
        <w:ind w:left="238" w:right="0" w:firstLine="0"/>
        <w:jc w:val="left"/>
        <w:rPr>
          <w:sz w:val="18"/>
        </w:rPr>
      </w:pPr>
      <w:r>
        <w:rPr>
          <w:position w:val="9"/>
          <w:sz w:val="12"/>
        </w:rPr>
        <w:t>8 </w:t>
      </w:r>
      <w:r>
        <w:rPr>
          <w:sz w:val="18"/>
        </w:rPr>
        <w:t>The sum may not equal the total due to rounding.</w:t>
      </w:r>
    </w:p>
    <w:p>
      <w:pPr>
        <w:spacing w:after="0"/>
        <w:jc w:val="left"/>
        <w:rPr>
          <w:sz w:val="18"/>
        </w:rPr>
        <w:sectPr>
          <w:pgSz w:w="11910" w:h="16850"/>
          <w:pgMar w:top="1120" w:bottom="280" w:left="1180" w:right="1000"/>
        </w:sectPr>
      </w:pPr>
    </w:p>
    <w:p>
      <w:pPr>
        <w:pStyle w:val="BodyText"/>
        <w:spacing w:before="26"/>
        <w:ind w:left="238"/>
      </w:pPr>
      <w:r>
        <w:rPr>
          <w:color w:val="933634"/>
        </w:rPr>
        <w:t>Table 3: Agencies Not Subject to an FTE Ceiling.</w:t>
      </w:r>
    </w:p>
    <w:p>
      <w:pPr>
        <w:pStyle w:val="BodyText"/>
        <w:spacing w:before="11"/>
      </w:pPr>
    </w:p>
    <w:tbl>
      <w:tblPr>
        <w:tblW w:w="0" w:type="auto"/>
        <w:jc w:val="left"/>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82"/>
        <w:gridCol w:w="1157"/>
        <w:gridCol w:w="1185"/>
        <w:gridCol w:w="1056"/>
      </w:tblGrid>
      <w:tr>
        <w:trPr>
          <w:trHeight w:val="489" w:hRule="atLeast"/>
        </w:trPr>
        <w:tc>
          <w:tcPr>
            <w:tcW w:w="6082" w:type="dxa"/>
            <w:tcBorders>
              <w:top w:val="single" w:sz="8" w:space="0" w:color="4F81BC"/>
              <w:bottom w:val="single" w:sz="8" w:space="0" w:color="4F81BC"/>
            </w:tcBorders>
          </w:tcPr>
          <w:p>
            <w:pPr>
              <w:pStyle w:val="TableParagraph"/>
              <w:spacing w:line="240" w:lineRule="auto" w:before="0"/>
              <w:jc w:val="left"/>
              <w:rPr>
                <w:rFonts w:ascii="Times New Roman"/>
                <w:sz w:val="18"/>
              </w:rPr>
            </w:pPr>
          </w:p>
        </w:tc>
        <w:tc>
          <w:tcPr>
            <w:tcW w:w="1157" w:type="dxa"/>
            <w:tcBorders>
              <w:top w:val="single" w:sz="8" w:space="0" w:color="4F81BC"/>
              <w:bottom w:val="single" w:sz="8" w:space="0" w:color="4F81BC"/>
            </w:tcBorders>
          </w:tcPr>
          <w:p>
            <w:pPr>
              <w:pStyle w:val="TableParagraph"/>
              <w:spacing w:line="243" w:lineRule="exact" w:before="1"/>
              <w:ind w:left="111"/>
              <w:jc w:val="left"/>
              <w:rPr>
                <w:b/>
                <w:sz w:val="20"/>
              </w:rPr>
            </w:pPr>
            <w:r>
              <w:rPr>
                <w:b/>
                <w:sz w:val="20"/>
              </w:rPr>
              <w:t>Headcount</w:t>
            </w:r>
          </w:p>
          <w:p>
            <w:pPr>
              <w:pStyle w:val="TableParagraph"/>
              <w:spacing w:line="224" w:lineRule="exact" w:before="0"/>
              <w:ind w:left="159"/>
              <w:jc w:val="left"/>
              <w:rPr>
                <w:b/>
                <w:sz w:val="20"/>
              </w:rPr>
            </w:pPr>
            <w:r>
              <w:rPr>
                <w:b/>
                <w:sz w:val="20"/>
              </w:rPr>
              <w:t>Mar</w:t>
            </w:r>
            <w:r>
              <w:rPr>
                <w:b/>
                <w:spacing w:val="-3"/>
                <w:sz w:val="20"/>
              </w:rPr>
              <w:t> </w:t>
            </w:r>
            <w:r>
              <w:rPr>
                <w:b/>
                <w:sz w:val="20"/>
              </w:rPr>
              <w:t>2010</w:t>
            </w:r>
            <w:r>
              <w:rPr>
                <w:b/>
                <w:sz w:val="20"/>
                <w:vertAlign w:val="superscript"/>
              </w:rPr>
              <w:t>2</w:t>
            </w:r>
          </w:p>
        </w:tc>
        <w:tc>
          <w:tcPr>
            <w:tcW w:w="1185" w:type="dxa"/>
            <w:tcBorders>
              <w:top w:val="single" w:sz="8" w:space="0" w:color="4F81BC"/>
              <w:bottom w:val="single" w:sz="8" w:space="0" w:color="4F81BC"/>
            </w:tcBorders>
          </w:tcPr>
          <w:p>
            <w:pPr>
              <w:pStyle w:val="TableParagraph"/>
              <w:spacing w:line="243" w:lineRule="exact" w:before="1"/>
              <w:ind w:left="303"/>
              <w:jc w:val="left"/>
              <w:rPr>
                <w:b/>
                <w:sz w:val="20"/>
              </w:rPr>
            </w:pPr>
            <w:r>
              <w:rPr>
                <w:b/>
                <w:sz w:val="20"/>
              </w:rPr>
              <w:t>Paid</w:t>
            </w:r>
            <w:r>
              <w:rPr>
                <w:b/>
                <w:spacing w:val="-5"/>
                <w:sz w:val="20"/>
              </w:rPr>
              <w:t> </w:t>
            </w:r>
            <w:r>
              <w:rPr>
                <w:b/>
                <w:sz w:val="20"/>
              </w:rPr>
              <w:t>FTE</w:t>
            </w:r>
          </w:p>
          <w:p>
            <w:pPr>
              <w:pStyle w:val="TableParagraph"/>
              <w:spacing w:line="224" w:lineRule="exact" w:before="0"/>
              <w:ind w:left="135"/>
              <w:jc w:val="left"/>
              <w:rPr>
                <w:b/>
                <w:sz w:val="20"/>
              </w:rPr>
            </w:pPr>
            <w:r>
              <w:rPr>
                <w:b/>
                <w:sz w:val="20"/>
              </w:rPr>
              <w:t>Mar</w:t>
            </w:r>
            <w:r>
              <w:rPr>
                <w:b/>
                <w:spacing w:val="-3"/>
                <w:sz w:val="20"/>
              </w:rPr>
              <w:t> </w:t>
            </w:r>
            <w:r>
              <w:rPr>
                <w:b/>
                <w:sz w:val="20"/>
              </w:rPr>
              <w:t>2010</w:t>
            </w:r>
            <w:r>
              <w:rPr>
                <w:b/>
                <w:sz w:val="20"/>
                <w:vertAlign w:val="superscript"/>
              </w:rPr>
              <w:t>3</w:t>
            </w:r>
          </w:p>
        </w:tc>
        <w:tc>
          <w:tcPr>
            <w:tcW w:w="1056" w:type="dxa"/>
            <w:tcBorders>
              <w:top w:val="single" w:sz="8" w:space="0" w:color="4F81BC"/>
              <w:bottom w:val="single" w:sz="8" w:space="0" w:color="4F81BC"/>
            </w:tcBorders>
          </w:tcPr>
          <w:p>
            <w:pPr>
              <w:pStyle w:val="TableParagraph"/>
              <w:spacing w:line="243" w:lineRule="exact" w:before="1"/>
              <w:ind w:left="268"/>
              <w:jc w:val="left"/>
              <w:rPr>
                <w:b/>
                <w:sz w:val="20"/>
              </w:rPr>
            </w:pPr>
            <w:r>
              <w:rPr>
                <w:b/>
                <w:sz w:val="20"/>
              </w:rPr>
              <w:t>Average</w:t>
            </w:r>
          </w:p>
          <w:p>
            <w:pPr>
              <w:pStyle w:val="TableParagraph"/>
              <w:spacing w:line="224" w:lineRule="exact" w:before="0"/>
              <w:ind w:left="186"/>
              <w:jc w:val="left"/>
              <w:rPr>
                <w:b/>
                <w:sz w:val="20"/>
              </w:rPr>
            </w:pPr>
            <w:r>
              <w:rPr>
                <w:b/>
                <w:sz w:val="20"/>
              </w:rPr>
              <w:t>Paid</w:t>
            </w:r>
            <w:r>
              <w:rPr>
                <w:b/>
                <w:spacing w:val="-6"/>
                <w:sz w:val="20"/>
              </w:rPr>
              <w:t> </w:t>
            </w:r>
            <w:r>
              <w:rPr>
                <w:b/>
                <w:sz w:val="20"/>
              </w:rPr>
              <w:t>FTE</w:t>
            </w:r>
            <w:r>
              <w:rPr>
                <w:b/>
                <w:sz w:val="20"/>
                <w:vertAlign w:val="superscript"/>
              </w:rPr>
              <w:t>4</w:t>
            </w:r>
          </w:p>
        </w:tc>
      </w:tr>
      <w:tr>
        <w:trPr>
          <w:trHeight w:val="316" w:hRule="atLeast"/>
        </w:trPr>
        <w:tc>
          <w:tcPr>
            <w:tcW w:w="6082" w:type="dxa"/>
            <w:tcBorders>
              <w:top w:val="single" w:sz="8" w:space="0" w:color="4F81BC"/>
            </w:tcBorders>
            <w:shd w:val="clear" w:color="auto" w:fill="D2DFED"/>
          </w:tcPr>
          <w:p>
            <w:pPr>
              <w:pStyle w:val="TableParagraph"/>
              <w:spacing w:before="70"/>
              <w:ind w:left="122"/>
              <w:jc w:val="left"/>
              <w:rPr>
                <w:sz w:val="20"/>
              </w:rPr>
            </w:pPr>
            <w:r>
              <w:rPr>
                <w:sz w:val="20"/>
              </w:rPr>
              <w:t>Electricity Networks Corporation (Western Power)</w:t>
            </w:r>
          </w:p>
        </w:tc>
        <w:tc>
          <w:tcPr>
            <w:tcW w:w="1157" w:type="dxa"/>
            <w:tcBorders>
              <w:top w:val="single" w:sz="8" w:space="0" w:color="4F81BC"/>
            </w:tcBorders>
            <w:shd w:val="clear" w:color="auto" w:fill="D2DFED"/>
          </w:tcPr>
          <w:p>
            <w:pPr>
              <w:pStyle w:val="TableParagraph"/>
              <w:spacing w:before="70"/>
              <w:ind w:right="136"/>
              <w:rPr>
                <w:sz w:val="20"/>
              </w:rPr>
            </w:pPr>
            <w:r>
              <w:rPr>
                <w:w w:val="95"/>
                <w:sz w:val="20"/>
              </w:rPr>
              <w:t>2943</w:t>
            </w:r>
          </w:p>
        </w:tc>
        <w:tc>
          <w:tcPr>
            <w:tcW w:w="1185" w:type="dxa"/>
            <w:tcBorders>
              <w:top w:val="single" w:sz="8" w:space="0" w:color="4F81BC"/>
            </w:tcBorders>
            <w:shd w:val="clear" w:color="auto" w:fill="D2DFED"/>
          </w:tcPr>
          <w:p>
            <w:pPr>
              <w:pStyle w:val="TableParagraph"/>
              <w:spacing w:before="70"/>
              <w:ind w:right="188"/>
              <w:rPr>
                <w:sz w:val="20"/>
              </w:rPr>
            </w:pPr>
            <w:r>
              <w:rPr>
                <w:w w:val="95"/>
                <w:sz w:val="20"/>
              </w:rPr>
              <w:t>2908</w:t>
            </w:r>
          </w:p>
        </w:tc>
        <w:tc>
          <w:tcPr>
            <w:tcW w:w="1056" w:type="dxa"/>
            <w:tcBorders>
              <w:top w:val="single" w:sz="8" w:space="0" w:color="4F81BC"/>
            </w:tcBorders>
            <w:shd w:val="clear" w:color="auto" w:fill="D2DFED"/>
          </w:tcPr>
          <w:p>
            <w:pPr>
              <w:pStyle w:val="TableParagraph"/>
              <w:spacing w:before="70"/>
              <w:ind w:right="108"/>
              <w:rPr>
                <w:sz w:val="20"/>
              </w:rPr>
            </w:pPr>
            <w:r>
              <w:rPr>
                <w:w w:val="95"/>
                <w:sz w:val="20"/>
              </w:rPr>
              <w:t>2832</w:t>
            </w:r>
          </w:p>
        </w:tc>
      </w:tr>
      <w:tr>
        <w:trPr>
          <w:trHeight w:val="300" w:hRule="atLeast"/>
        </w:trPr>
        <w:tc>
          <w:tcPr>
            <w:tcW w:w="6082" w:type="dxa"/>
          </w:tcPr>
          <w:p>
            <w:pPr>
              <w:pStyle w:val="TableParagraph"/>
              <w:ind w:left="122"/>
              <w:jc w:val="left"/>
              <w:rPr>
                <w:sz w:val="20"/>
              </w:rPr>
            </w:pPr>
            <w:r>
              <w:rPr>
                <w:sz w:val="20"/>
              </w:rPr>
              <w:t>Water Corporation</w:t>
            </w:r>
          </w:p>
        </w:tc>
        <w:tc>
          <w:tcPr>
            <w:tcW w:w="1157" w:type="dxa"/>
          </w:tcPr>
          <w:p>
            <w:pPr>
              <w:pStyle w:val="TableParagraph"/>
              <w:ind w:right="136"/>
              <w:rPr>
                <w:sz w:val="20"/>
              </w:rPr>
            </w:pPr>
            <w:r>
              <w:rPr>
                <w:w w:val="95"/>
                <w:sz w:val="20"/>
              </w:rPr>
              <w:t>3044</w:t>
            </w:r>
          </w:p>
        </w:tc>
        <w:tc>
          <w:tcPr>
            <w:tcW w:w="1185" w:type="dxa"/>
          </w:tcPr>
          <w:p>
            <w:pPr>
              <w:pStyle w:val="TableParagraph"/>
              <w:ind w:right="188"/>
              <w:rPr>
                <w:sz w:val="20"/>
              </w:rPr>
            </w:pPr>
            <w:r>
              <w:rPr>
                <w:w w:val="95"/>
                <w:sz w:val="20"/>
              </w:rPr>
              <w:t>2904</w:t>
            </w:r>
          </w:p>
        </w:tc>
        <w:tc>
          <w:tcPr>
            <w:tcW w:w="1056" w:type="dxa"/>
          </w:tcPr>
          <w:p>
            <w:pPr>
              <w:pStyle w:val="TableParagraph"/>
              <w:ind w:right="108"/>
              <w:rPr>
                <w:sz w:val="20"/>
              </w:rPr>
            </w:pPr>
            <w:r>
              <w:rPr>
                <w:w w:val="95"/>
                <w:sz w:val="20"/>
              </w:rPr>
              <w:t>2821</w:t>
            </w:r>
          </w:p>
        </w:tc>
      </w:tr>
      <w:tr>
        <w:trPr>
          <w:trHeight w:val="300" w:hRule="atLeast"/>
        </w:trPr>
        <w:tc>
          <w:tcPr>
            <w:tcW w:w="6082" w:type="dxa"/>
            <w:shd w:val="clear" w:color="auto" w:fill="D2DFED"/>
          </w:tcPr>
          <w:p>
            <w:pPr>
              <w:pStyle w:val="TableParagraph"/>
              <w:ind w:left="122"/>
              <w:jc w:val="left"/>
              <w:rPr>
                <w:sz w:val="20"/>
              </w:rPr>
            </w:pPr>
            <w:r>
              <w:rPr>
                <w:sz w:val="20"/>
              </w:rPr>
              <w:t>Public Transport Authority of Western Australia</w:t>
            </w:r>
          </w:p>
        </w:tc>
        <w:tc>
          <w:tcPr>
            <w:tcW w:w="1157" w:type="dxa"/>
            <w:shd w:val="clear" w:color="auto" w:fill="D2DFED"/>
          </w:tcPr>
          <w:p>
            <w:pPr>
              <w:pStyle w:val="TableParagraph"/>
              <w:ind w:right="136"/>
              <w:rPr>
                <w:sz w:val="20"/>
              </w:rPr>
            </w:pPr>
            <w:r>
              <w:rPr>
                <w:w w:val="95"/>
                <w:sz w:val="20"/>
              </w:rPr>
              <w:t>1430</w:t>
            </w:r>
          </w:p>
        </w:tc>
        <w:tc>
          <w:tcPr>
            <w:tcW w:w="1185" w:type="dxa"/>
            <w:shd w:val="clear" w:color="auto" w:fill="D2DFED"/>
          </w:tcPr>
          <w:p>
            <w:pPr>
              <w:pStyle w:val="TableParagraph"/>
              <w:ind w:right="188"/>
              <w:rPr>
                <w:sz w:val="20"/>
              </w:rPr>
            </w:pPr>
            <w:r>
              <w:rPr>
                <w:w w:val="95"/>
                <w:sz w:val="20"/>
              </w:rPr>
              <w:t>1371</w:t>
            </w:r>
          </w:p>
        </w:tc>
        <w:tc>
          <w:tcPr>
            <w:tcW w:w="1056" w:type="dxa"/>
            <w:shd w:val="clear" w:color="auto" w:fill="D2DFED"/>
          </w:tcPr>
          <w:p>
            <w:pPr>
              <w:pStyle w:val="TableParagraph"/>
              <w:ind w:right="108"/>
              <w:rPr>
                <w:sz w:val="20"/>
              </w:rPr>
            </w:pPr>
            <w:r>
              <w:rPr>
                <w:w w:val="95"/>
                <w:sz w:val="20"/>
              </w:rPr>
              <w:t>1340</w:t>
            </w:r>
          </w:p>
        </w:tc>
      </w:tr>
      <w:tr>
        <w:trPr>
          <w:trHeight w:val="300" w:hRule="atLeast"/>
        </w:trPr>
        <w:tc>
          <w:tcPr>
            <w:tcW w:w="6082" w:type="dxa"/>
          </w:tcPr>
          <w:p>
            <w:pPr>
              <w:pStyle w:val="TableParagraph"/>
              <w:ind w:left="122"/>
              <w:jc w:val="left"/>
              <w:rPr>
                <w:sz w:val="20"/>
              </w:rPr>
            </w:pPr>
            <w:r>
              <w:rPr>
                <w:sz w:val="20"/>
              </w:rPr>
              <w:t>Department of Housing</w:t>
            </w:r>
          </w:p>
        </w:tc>
        <w:tc>
          <w:tcPr>
            <w:tcW w:w="1157" w:type="dxa"/>
          </w:tcPr>
          <w:p>
            <w:pPr>
              <w:pStyle w:val="TableParagraph"/>
              <w:ind w:right="136"/>
              <w:rPr>
                <w:sz w:val="20"/>
              </w:rPr>
            </w:pPr>
            <w:r>
              <w:rPr>
                <w:w w:val="95"/>
                <w:sz w:val="20"/>
              </w:rPr>
              <w:t>1182</w:t>
            </w:r>
          </w:p>
        </w:tc>
        <w:tc>
          <w:tcPr>
            <w:tcW w:w="1185" w:type="dxa"/>
          </w:tcPr>
          <w:p>
            <w:pPr>
              <w:pStyle w:val="TableParagraph"/>
              <w:ind w:right="188"/>
              <w:rPr>
                <w:sz w:val="20"/>
              </w:rPr>
            </w:pPr>
            <w:r>
              <w:rPr>
                <w:w w:val="95"/>
                <w:sz w:val="20"/>
              </w:rPr>
              <w:t>1090</w:t>
            </w:r>
          </w:p>
        </w:tc>
        <w:tc>
          <w:tcPr>
            <w:tcW w:w="1056" w:type="dxa"/>
          </w:tcPr>
          <w:p>
            <w:pPr>
              <w:pStyle w:val="TableParagraph"/>
              <w:ind w:right="108"/>
              <w:rPr>
                <w:sz w:val="20"/>
              </w:rPr>
            </w:pPr>
            <w:r>
              <w:rPr>
                <w:w w:val="95"/>
                <w:sz w:val="20"/>
              </w:rPr>
              <w:t>1061</w:t>
            </w:r>
          </w:p>
        </w:tc>
      </w:tr>
      <w:tr>
        <w:trPr>
          <w:trHeight w:val="300" w:hRule="atLeast"/>
        </w:trPr>
        <w:tc>
          <w:tcPr>
            <w:tcW w:w="6082" w:type="dxa"/>
            <w:shd w:val="clear" w:color="auto" w:fill="D2DFED"/>
          </w:tcPr>
          <w:p>
            <w:pPr>
              <w:pStyle w:val="TableParagraph"/>
              <w:ind w:left="122"/>
              <w:jc w:val="left"/>
              <w:rPr>
                <w:sz w:val="20"/>
              </w:rPr>
            </w:pPr>
            <w:r>
              <w:rPr>
                <w:sz w:val="20"/>
              </w:rPr>
              <w:t>Electricity Generation Corporation (Verve Energy)</w:t>
            </w:r>
          </w:p>
        </w:tc>
        <w:tc>
          <w:tcPr>
            <w:tcW w:w="1157" w:type="dxa"/>
            <w:shd w:val="clear" w:color="auto" w:fill="D2DFED"/>
          </w:tcPr>
          <w:p>
            <w:pPr>
              <w:pStyle w:val="TableParagraph"/>
              <w:ind w:right="136"/>
              <w:rPr>
                <w:sz w:val="20"/>
              </w:rPr>
            </w:pPr>
            <w:r>
              <w:rPr>
                <w:w w:val="95"/>
                <w:sz w:val="20"/>
              </w:rPr>
              <w:t>608</w:t>
            </w:r>
          </w:p>
        </w:tc>
        <w:tc>
          <w:tcPr>
            <w:tcW w:w="1185" w:type="dxa"/>
            <w:shd w:val="clear" w:color="auto" w:fill="D2DFED"/>
          </w:tcPr>
          <w:p>
            <w:pPr>
              <w:pStyle w:val="TableParagraph"/>
              <w:ind w:right="188"/>
              <w:rPr>
                <w:sz w:val="20"/>
              </w:rPr>
            </w:pPr>
            <w:r>
              <w:rPr>
                <w:w w:val="95"/>
                <w:sz w:val="20"/>
              </w:rPr>
              <w:t>594</w:t>
            </w:r>
          </w:p>
        </w:tc>
        <w:tc>
          <w:tcPr>
            <w:tcW w:w="1056" w:type="dxa"/>
            <w:shd w:val="clear" w:color="auto" w:fill="D2DFED"/>
          </w:tcPr>
          <w:p>
            <w:pPr>
              <w:pStyle w:val="TableParagraph"/>
              <w:ind w:right="108"/>
              <w:rPr>
                <w:sz w:val="20"/>
              </w:rPr>
            </w:pPr>
            <w:r>
              <w:rPr>
                <w:w w:val="95"/>
                <w:sz w:val="20"/>
              </w:rPr>
              <w:t>588</w:t>
            </w:r>
          </w:p>
        </w:tc>
      </w:tr>
      <w:tr>
        <w:trPr>
          <w:trHeight w:val="300" w:hRule="atLeast"/>
        </w:trPr>
        <w:tc>
          <w:tcPr>
            <w:tcW w:w="6082" w:type="dxa"/>
          </w:tcPr>
          <w:p>
            <w:pPr>
              <w:pStyle w:val="TableParagraph"/>
              <w:ind w:left="122"/>
              <w:jc w:val="left"/>
              <w:rPr>
                <w:sz w:val="20"/>
              </w:rPr>
            </w:pPr>
            <w:r>
              <w:rPr>
                <w:sz w:val="20"/>
              </w:rPr>
              <w:t>Regional Power Corporation (Horizon Power)</w:t>
            </w:r>
          </w:p>
        </w:tc>
        <w:tc>
          <w:tcPr>
            <w:tcW w:w="1157" w:type="dxa"/>
          </w:tcPr>
          <w:p>
            <w:pPr>
              <w:pStyle w:val="TableParagraph"/>
              <w:ind w:right="136"/>
              <w:rPr>
                <w:sz w:val="20"/>
              </w:rPr>
            </w:pPr>
            <w:r>
              <w:rPr>
                <w:w w:val="95"/>
                <w:sz w:val="20"/>
              </w:rPr>
              <w:t>378</w:t>
            </w:r>
          </w:p>
        </w:tc>
        <w:tc>
          <w:tcPr>
            <w:tcW w:w="1185" w:type="dxa"/>
          </w:tcPr>
          <w:p>
            <w:pPr>
              <w:pStyle w:val="TableParagraph"/>
              <w:ind w:right="188"/>
              <w:rPr>
                <w:sz w:val="20"/>
              </w:rPr>
            </w:pPr>
            <w:r>
              <w:rPr>
                <w:w w:val="95"/>
                <w:sz w:val="20"/>
              </w:rPr>
              <w:t>371</w:t>
            </w:r>
          </w:p>
        </w:tc>
        <w:tc>
          <w:tcPr>
            <w:tcW w:w="1056" w:type="dxa"/>
          </w:tcPr>
          <w:p>
            <w:pPr>
              <w:pStyle w:val="TableParagraph"/>
              <w:ind w:right="108"/>
              <w:rPr>
                <w:sz w:val="20"/>
              </w:rPr>
            </w:pPr>
            <w:r>
              <w:rPr>
                <w:w w:val="95"/>
                <w:sz w:val="20"/>
              </w:rPr>
              <w:t>358</w:t>
            </w:r>
          </w:p>
        </w:tc>
      </w:tr>
      <w:tr>
        <w:trPr>
          <w:trHeight w:val="300" w:hRule="atLeast"/>
        </w:trPr>
        <w:tc>
          <w:tcPr>
            <w:tcW w:w="6082" w:type="dxa"/>
            <w:shd w:val="clear" w:color="auto" w:fill="D2DFED"/>
          </w:tcPr>
          <w:p>
            <w:pPr>
              <w:pStyle w:val="TableParagraph"/>
              <w:ind w:left="122"/>
              <w:jc w:val="left"/>
              <w:rPr>
                <w:sz w:val="20"/>
              </w:rPr>
            </w:pPr>
            <w:r>
              <w:rPr>
                <w:sz w:val="20"/>
              </w:rPr>
              <w:t>Insurance Commission of Western Australia</w:t>
            </w:r>
          </w:p>
        </w:tc>
        <w:tc>
          <w:tcPr>
            <w:tcW w:w="1157" w:type="dxa"/>
            <w:shd w:val="clear" w:color="auto" w:fill="D2DFED"/>
          </w:tcPr>
          <w:p>
            <w:pPr>
              <w:pStyle w:val="TableParagraph"/>
              <w:ind w:right="136"/>
              <w:rPr>
                <w:sz w:val="20"/>
              </w:rPr>
            </w:pPr>
            <w:r>
              <w:rPr>
                <w:w w:val="95"/>
                <w:sz w:val="20"/>
              </w:rPr>
              <w:t>374</w:t>
            </w:r>
          </w:p>
        </w:tc>
        <w:tc>
          <w:tcPr>
            <w:tcW w:w="1185" w:type="dxa"/>
            <w:shd w:val="clear" w:color="auto" w:fill="D2DFED"/>
          </w:tcPr>
          <w:p>
            <w:pPr>
              <w:pStyle w:val="TableParagraph"/>
              <w:ind w:right="188"/>
              <w:rPr>
                <w:sz w:val="20"/>
              </w:rPr>
            </w:pPr>
            <w:r>
              <w:rPr>
                <w:w w:val="95"/>
                <w:sz w:val="20"/>
              </w:rPr>
              <w:t>346</w:t>
            </w:r>
          </w:p>
        </w:tc>
        <w:tc>
          <w:tcPr>
            <w:tcW w:w="1056" w:type="dxa"/>
            <w:shd w:val="clear" w:color="auto" w:fill="D2DFED"/>
          </w:tcPr>
          <w:p>
            <w:pPr>
              <w:pStyle w:val="TableParagraph"/>
              <w:ind w:right="108"/>
              <w:rPr>
                <w:sz w:val="20"/>
              </w:rPr>
            </w:pPr>
            <w:r>
              <w:rPr>
                <w:w w:val="95"/>
                <w:sz w:val="20"/>
              </w:rPr>
              <w:t>343</w:t>
            </w:r>
          </w:p>
        </w:tc>
      </w:tr>
      <w:tr>
        <w:trPr>
          <w:trHeight w:val="300" w:hRule="atLeast"/>
        </w:trPr>
        <w:tc>
          <w:tcPr>
            <w:tcW w:w="6082" w:type="dxa"/>
          </w:tcPr>
          <w:p>
            <w:pPr>
              <w:pStyle w:val="TableParagraph"/>
              <w:ind w:left="122"/>
              <w:jc w:val="left"/>
              <w:rPr>
                <w:sz w:val="20"/>
              </w:rPr>
            </w:pPr>
            <w:r>
              <w:rPr>
                <w:sz w:val="20"/>
              </w:rPr>
              <w:t>Fremantle Port Authority</w:t>
            </w:r>
          </w:p>
        </w:tc>
        <w:tc>
          <w:tcPr>
            <w:tcW w:w="1157" w:type="dxa"/>
          </w:tcPr>
          <w:p>
            <w:pPr>
              <w:pStyle w:val="TableParagraph"/>
              <w:ind w:right="136"/>
              <w:rPr>
                <w:sz w:val="20"/>
              </w:rPr>
            </w:pPr>
            <w:r>
              <w:rPr>
                <w:w w:val="95"/>
                <w:sz w:val="20"/>
              </w:rPr>
              <w:t>316</w:t>
            </w:r>
          </w:p>
        </w:tc>
        <w:tc>
          <w:tcPr>
            <w:tcW w:w="1185" w:type="dxa"/>
          </w:tcPr>
          <w:p>
            <w:pPr>
              <w:pStyle w:val="TableParagraph"/>
              <w:ind w:right="188"/>
              <w:rPr>
                <w:sz w:val="20"/>
              </w:rPr>
            </w:pPr>
            <w:r>
              <w:rPr>
                <w:w w:val="95"/>
                <w:sz w:val="20"/>
              </w:rPr>
              <w:t>305</w:t>
            </w:r>
          </w:p>
        </w:tc>
        <w:tc>
          <w:tcPr>
            <w:tcW w:w="1056" w:type="dxa"/>
          </w:tcPr>
          <w:p>
            <w:pPr>
              <w:pStyle w:val="TableParagraph"/>
              <w:ind w:right="108"/>
              <w:rPr>
                <w:sz w:val="20"/>
              </w:rPr>
            </w:pPr>
            <w:r>
              <w:rPr>
                <w:w w:val="95"/>
                <w:sz w:val="20"/>
              </w:rPr>
              <w:t>305</w:t>
            </w:r>
          </w:p>
        </w:tc>
      </w:tr>
      <w:tr>
        <w:trPr>
          <w:trHeight w:val="300" w:hRule="atLeast"/>
        </w:trPr>
        <w:tc>
          <w:tcPr>
            <w:tcW w:w="6082" w:type="dxa"/>
            <w:shd w:val="clear" w:color="auto" w:fill="D2DFED"/>
          </w:tcPr>
          <w:p>
            <w:pPr>
              <w:pStyle w:val="TableParagraph"/>
              <w:ind w:left="122"/>
              <w:jc w:val="left"/>
              <w:rPr>
                <w:sz w:val="20"/>
              </w:rPr>
            </w:pPr>
            <w:r>
              <w:rPr>
                <w:sz w:val="20"/>
              </w:rPr>
              <w:t>Electricity Retail Corporation (Synergy)</w:t>
            </w:r>
          </w:p>
        </w:tc>
        <w:tc>
          <w:tcPr>
            <w:tcW w:w="1157" w:type="dxa"/>
            <w:shd w:val="clear" w:color="auto" w:fill="D2DFED"/>
          </w:tcPr>
          <w:p>
            <w:pPr>
              <w:pStyle w:val="TableParagraph"/>
              <w:ind w:right="136"/>
              <w:rPr>
                <w:sz w:val="20"/>
              </w:rPr>
            </w:pPr>
            <w:r>
              <w:rPr>
                <w:w w:val="95"/>
                <w:sz w:val="20"/>
              </w:rPr>
              <w:t>311</w:t>
            </w:r>
          </w:p>
        </w:tc>
        <w:tc>
          <w:tcPr>
            <w:tcW w:w="1185" w:type="dxa"/>
            <w:shd w:val="clear" w:color="auto" w:fill="D2DFED"/>
          </w:tcPr>
          <w:p>
            <w:pPr>
              <w:pStyle w:val="TableParagraph"/>
              <w:ind w:right="188"/>
              <w:rPr>
                <w:sz w:val="20"/>
              </w:rPr>
            </w:pPr>
            <w:r>
              <w:rPr>
                <w:w w:val="95"/>
                <w:sz w:val="20"/>
              </w:rPr>
              <w:t>291</w:t>
            </w:r>
          </w:p>
        </w:tc>
        <w:tc>
          <w:tcPr>
            <w:tcW w:w="1056" w:type="dxa"/>
            <w:shd w:val="clear" w:color="auto" w:fill="D2DFED"/>
          </w:tcPr>
          <w:p>
            <w:pPr>
              <w:pStyle w:val="TableParagraph"/>
              <w:ind w:right="108"/>
              <w:rPr>
                <w:sz w:val="20"/>
              </w:rPr>
            </w:pPr>
            <w:r>
              <w:rPr>
                <w:w w:val="95"/>
                <w:sz w:val="20"/>
              </w:rPr>
              <w:t>310</w:t>
            </w:r>
          </w:p>
        </w:tc>
      </w:tr>
      <w:tr>
        <w:trPr>
          <w:trHeight w:val="300" w:hRule="atLeast"/>
        </w:trPr>
        <w:tc>
          <w:tcPr>
            <w:tcW w:w="6082" w:type="dxa"/>
          </w:tcPr>
          <w:p>
            <w:pPr>
              <w:pStyle w:val="TableParagraph"/>
              <w:ind w:left="122"/>
              <w:jc w:val="left"/>
              <w:rPr>
                <w:sz w:val="20"/>
              </w:rPr>
            </w:pPr>
            <w:r>
              <w:rPr>
                <w:sz w:val="20"/>
              </w:rPr>
              <w:t>Legal Aid Commission of Western Australia</w:t>
            </w:r>
          </w:p>
        </w:tc>
        <w:tc>
          <w:tcPr>
            <w:tcW w:w="1157" w:type="dxa"/>
          </w:tcPr>
          <w:p>
            <w:pPr>
              <w:pStyle w:val="TableParagraph"/>
              <w:ind w:right="136"/>
              <w:rPr>
                <w:sz w:val="20"/>
              </w:rPr>
            </w:pPr>
            <w:r>
              <w:rPr>
                <w:w w:val="95"/>
                <w:sz w:val="20"/>
              </w:rPr>
              <w:t>323</w:t>
            </w:r>
          </w:p>
        </w:tc>
        <w:tc>
          <w:tcPr>
            <w:tcW w:w="1185" w:type="dxa"/>
          </w:tcPr>
          <w:p>
            <w:pPr>
              <w:pStyle w:val="TableParagraph"/>
              <w:ind w:right="188"/>
              <w:rPr>
                <w:sz w:val="20"/>
              </w:rPr>
            </w:pPr>
            <w:r>
              <w:rPr>
                <w:w w:val="95"/>
                <w:sz w:val="20"/>
              </w:rPr>
              <w:t>287</w:t>
            </w:r>
          </w:p>
        </w:tc>
        <w:tc>
          <w:tcPr>
            <w:tcW w:w="1056" w:type="dxa"/>
          </w:tcPr>
          <w:p>
            <w:pPr>
              <w:pStyle w:val="TableParagraph"/>
              <w:ind w:right="108"/>
              <w:rPr>
                <w:sz w:val="20"/>
              </w:rPr>
            </w:pPr>
            <w:r>
              <w:rPr>
                <w:w w:val="95"/>
                <w:sz w:val="20"/>
              </w:rPr>
              <w:t>281</w:t>
            </w:r>
          </w:p>
        </w:tc>
      </w:tr>
      <w:tr>
        <w:trPr>
          <w:trHeight w:val="300" w:hRule="atLeast"/>
        </w:trPr>
        <w:tc>
          <w:tcPr>
            <w:tcW w:w="6082" w:type="dxa"/>
            <w:shd w:val="clear" w:color="auto" w:fill="D2DFED"/>
          </w:tcPr>
          <w:p>
            <w:pPr>
              <w:pStyle w:val="TableParagraph"/>
              <w:ind w:left="122"/>
              <w:jc w:val="left"/>
              <w:rPr>
                <w:sz w:val="20"/>
              </w:rPr>
            </w:pPr>
            <w:r>
              <w:rPr>
                <w:sz w:val="20"/>
              </w:rPr>
              <w:t>Gold Corporation</w:t>
            </w:r>
          </w:p>
        </w:tc>
        <w:tc>
          <w:tcPr>
            <w:tcW w:w="1157" w:type="dxa"/>
            <w:shd w:val="clear" w:color="auto" w:fill="D2DFED"/>
          </w:tcPr>
          <w:p>
            <w:pPr>
              <w:pStyle w:val="TableParagraph"/>
              <w:ind w:right="136"/>
              <w:rPr>
                <w:sz w:val="20"/>
              </w:rPr>
            </w:pPr>
            <w:r>
              <w:rPr>
                <w:w w:val="95"/>
                <w:sz w:val="20"/>
              </w:rPr>
              <w:t>256</w:t>
            </w:r>
          </w:p>
        </w:tc>
        <w:tc>
          <w:tcPr>
            <w:tcW w:w="1185" w:type="dxa"/>
            <w:shd w:val="clear" w:color="auto" w:fill="D2DFED"/>
          </w:tcPr>
          <w:p>
            <w:pPr>
              <w:pStyle w:val="TableParagraph"/>
              <w:ind w:right="188"/>
              <w:rPr>
                <w:sz w:val="20"/>
              </w:rPr>
            </w:pPr>
            <w:r>
              <w:rPr>
                <w:w w:val="95"/>
                <w:sz w:val="20"/>
              </w:rPr>
              <w:t>238</w:t>
            </w:r>
          </w:p>
        </w:tc>
        <w:tc>
          <w:tcPr>
            <w:tcW w:w="1056" w:type="dxa"/>
            <w:shd w:val="clear" w:color="auto" w:fill="D2DFED"/>
          </w:tcPr>
          <w:p>
            <w:pPr>
              <w:pStyle w:val="TableParagraph"/>
              <w:ind w:right="108"/>
              <w:rPr>
                <w:sz w:val="20"/>
              </w:rPr>
            </w:pPr>
            <w:r>
              <w:rPr>
                <w:w w:val="95"/>
                <w:sz w:val="20"/>
              </w:rPr>
              <w:t>237</w:t>
            </w:r>
          </w:p>
        </w:tc>
      </w:tr>
      <w:tr>
        <w:trPr>
          <w:trHeight w:val="300" w:hRule="atLeast"/>
        </w:trPr>
        <w:tc>
          <w:tcPr>
            <w:tcW w:w="6082" w:type="dxa"/>
          </w:tcPr>
          <w:p>
            <w:pPr>
              <w:pStyle w:val="TableParagraph"/>
              <w:spacing w:before="55"/>
              <w:ind w:left="122"/>
              <w:jc w:val="left"/>
              <w:rPr>
                <w:sz w:val="20"/>
              </w:rPr>
            </w:pPr>
            <w:r>
              <w:rPr>
                <w:sz w:val="20"/>
              </w:rPr>
              <w:t>Government Employees Superannuation Board (GESB)</w:t>
            </w:r>
          </w:p>
        </w:tc>
        <w:tc>
          <w:tcPr>
            <w:tcW w:w="1157" w:type="dxa"/>
          </w:tcPr>
          <w:p>
            <w:pPr>
              <w:pStyle w:val="TableParagraph"/>
              <w:spacing w:before="55"/>
              <w:ind w:right="136"/>
              <w:rPr>
                <w:sz w:val="20"/>
              </w:rPr>
            </w:pPr>
            <w:r>
              <w:rPr>
                <w:w w:val="95"/>
                <w:sz w:val="20"/>
              </w:rPr>
              <w:t>257</w:t>
            </w:r>
          </w:p>
        </w:tc>
        <w:tc>
          <w:tcPr>
            <w:tcW w:w="1185" w:type="dxa"/>
          </w:tcPr>
          <w:p>
            <w:pPr>
              <w:pStyle w:val="TableParagraph"/>
              <w:spacing w:before="55"/>
              <w:ind w:right="188"/>
              <w:rPr>
                <w:sz w:val="20"/>
              </w:rPr>
            </w:pPr>
            <w:r>
              <w:rPr>
                <w:w w:val="95"/>
                <w:sz w:val="20"/>
              </w:rPr>
              <w:t>237</w:t>
            </w:r>
          </w:p>
        </w:tc>
        <w:tc>
          <w:tcPr>
            <w:tcW w:w="1056" w:type="dxa"/>
          </w:tcPr>
          <w:p>
            <w:pPr>
              <w:pStyle w:val="TableParagraph"/>
              <w:spacing w:before="55"/>
              <w:ind w:right="108"/>
              <w:rPr>
                <w:sz w:val="20"/>
              </w:rPr>
            </w:pPr>
            <w:r>
              <w:rPr>
                <w:w w:val="95"/>
                <w:sz w:val="20"/>
              </w:rPr>
              <w:t>242</w:t>
            </w:r>
          </w:p>
        </w:tc>
      </w:tr>
      <w:tr>
        <w:trPr>
          <w:trHeight w:val="300" w:hRule="atLeast"/>
        </w:trPr>
        <w:tc>
          <w:tcPr>
            <w:tcW w:w="6082" w:type="dxa"/>
            <w:shd w:val="clear" w:color="auto" w:fill="D2DFED"/>
          </w:tcPr>
          <w:p>
            <w:pPr>
              <w:pStyle w:val="TableParagraph"/>
              <w:ind w:left="122"/>
              <w:jc w:val="left"/>
              <w:rPr>
                <w:sz w:val="20"/>
              </w:rPr>
            </w:pPr>
            <w:r>
              <w:rPr>
                <w:sz w:val="20"/>
              </w:rPr>
              <w:t>Forest Products Commission</w:t>
            </w:r>
          </w:p>
        </w:tc>
        <w:tc>
          <w:tcPr>
            <w:tcW w:w="1157" w:type="dxa"/>
            <w:shd w:val="clear" w:color="auto" w:fill="D2DFED"/>
          </w:tcPr>
          <w:p>
            <w:pPr>
              <w:pStyle w:val="TableParagraph"/>
              <w:ind w:right="136"/>
              <w:rPr>
                <w:sz w:val="20"/>
              </w:rPr>
            </w:pPr>
            <w:r>
              <w:rPr>
                <w:w w:val="95"/>
                <w:sz w:val="20"/>
              </w:rPr>
              <w:t>231</w:t>
            </w:r>
          </w:p>
        </w:tc>
        <w:tc>
          <w:tcPr>
            <w:tcW w:w="1185" w:type="dxa"/>
            <w:shd w:val="clear" w:color="auto" w:fill="D2DFED"/>
          </w:tcPr>
          <w:p>
            <w:pPr>
              <w:pStyle w:val="TableParagraph"/>
              <w:ind w:right="188"/>
              <w:rPr>
                <w:sz w:val="20"/>
              </w:rPr>
            </w:pPr>
            <w:r>
              <w:rPr>
                <w:w w:val="95"/>
                <w:sz w:val="20"/>
              </w:rPr>
              <w:t>209</w:t>
            </w:r>
          </w:p>
        </w:tc>
        <w:tc>
          <w:tcPr>
            <w:tcW w:w="1056" w:type="dxa"/>
            <w:shd w:val="clear" w:color="auto" w:fill="D2DFED"/>
          </w:tcPr>
          <w:p>
            <w:pPr>
              <w:pStyle w:val="TableParagraph"/>
              <w:ind w:right="108"/>
              <w:rPr>
                <w:sz w:val="20"/>
              </w:rPr>
            </w:pPr>
            <w:r>
              <w:rPr>
                <w:w w:val="95"/>
                <w:sz w:val="20"/>
              </w:rPr>
              <w:t>247</w:t>
            </w:r>
          </w:p>
        </w:tc>
      </w:tr>
      <w:tr>
        <w:trPr>
          <w:trHeight w:val="300" w:hRule="atLeast"/>
        </w:trPr>
        <w:tc>
          <w:tcPr>
            <w:tcW w:w="6082" w:type="dxa"/>
          </w:tcPr>
          <w:p>
            <w:pPr>
              <w:pStyle w:val="TableParagraph"/>
              <w:ind w:left="122"/>
              <w:jc w:val="left"/>
              <w:rPr>
                <w:sz w:val="20"/>
              </w:rPr>
            </w:pPr>
            <w:r>
              <w:rPr>
                <w:sz w:val="20"/>
              </w:rPr>
              <w:t>Lotteries Commission (Lotterywest)</w:t>
            </w:r>
          </w:p>
        </w:tc>
        <w:tc>
          <w:tcPr>
            <w:tcW w:w="1157" w:type="dxa"/>
          </w:tcPr>
          <w:p>
            <w:pPr>
              <w:pStyle w:val="TableParagraph"/>
              <w:ind w:right="136"/>
              <w:rPr>
                <w:sz w:val="20"/>
              </w:rPr>
            </w:pPr>
            <w:r>
              <w:rPr>
                <w:w w:val="95"/>
                <w:sz w:val="20"/>
              </w:rPr>
              <w:t>206</w:t>
            </w:r>
          </w:p>
        </w:tc>
        <w:tc>
          <w:tcPr>
            <w:tcW w:w="1185" w:type="dxa"/>
          </w:tcPr>
          <w:p>
            <w:pPr>
              <w:pStyle w:val="TableParagraph"/>
              <w:ind w:right="188"/>
              <w:rPr>
                <w:sz w:val="20"/>
              </w:rPr>
            </w:pPr>
            <w:r>
              <w:rPr>
                <w:w w:val="95"/>
                <w:sz w:val="20"/>
              </w:rPr>
              <w:t>193</w:t>
            </w:r>
          </w:p>
        </w:tc>
        <w:tc>
          <w:tcPr>
            <w:tcW w:w="1056" w:type="dxa"/>
          </w:tcPr>
          <w:p>
            <w:pPr>
              <w:pStyle w:val="TableParagraph"/>
              <w:ind w:right="108"/>
              <w:rPr>
                <w:sz w:val="20"/>
              </w:rPr>
            </w:pPr>
            <w:r>
              <w:rPr>
                <w:w w:val="95"/>
                <w:sz w:val="20"/>
              </w:rPr>
              <w:t>191</w:t>
            </w:r>
          </w:p>
        </w:tc>
      </w:tr>
      <w:tr>
        <w:trPr>
          <w:trHeight w:val="300" w:hRule="atLeast"/>
        </w:trPr>
        <w:tc>
          <w:tcPr>
            <w:tcW w:w="6082" w:type="dxa"/>
            <w:shd w:val="clear" w:color="auto" w:fill="D2DFED"/>
          </w:tcPr>
          <w:p>
            <w:pPr>
              <w:pStyle w:val="TableParagraph"/>
              <w:ind w:left="122"/>
              <w:jc w:val="left"/>
              <w:rPr>
                <w:sz w:val="20"/>
              </w:rPr>
            </w:pPr>
            <w:r>
              <w:rPr>
                <w:sz w:val="20"/>
              </w:rPr>
              <w:t>Western Australian Land Authority (LandCorp)</w:t>
            </w:r>
          </w:p>
        </w:tc>
        <w:tc>
          <w:tcPr>
            <w:tcW w:w="1157" w:type="dxa"/>
            <w:shd w:val="clear" w:color="auto" w:fill="D2DFED"/>
          </w:tcPr>
          <w:p>
            <w:pPr>
              <w:pStyle w:val="TableParagraph"/>
              <w:ind w:right="136"/>
              <w:rPr>
                <w:sz w:val="20"/>
              </w:rPr>
            </w:pPr>
            <w:r>
              <w:rPr>
                <w:w w:val="95"/>
                <w:sz w:val="20"/>
              </w:rPr>
              <w:t>197</w:t>
            </w:r>
          </w:p>
        </w:tc>
        <w:tc>
          <w:tcPr>
            <w:tcW w:w="1185" w:type="dxa"/>
            <w:shd w:val="clear" w:color="auto" w:fill="D2DFED"/>
          </w:tcPr>
          <w:p>
            <w:pPr>
              <w:pStyle w:val="TableParagraph"/>
              <w:ind w:right="188"/>
              <w:rPr>
                <w:sz w:val="20"/>
              </w:rPr>
            </w:pPr>
            <w:r>
              <w:rPr>
                <w:w w:val="95"/>
                <w:sz w:val="20"/>
              </w:rPr>
              <w:t>190</w:t>
            </w:r>
          </w:p>
        </w:tc>
        <w:tc>
          <w:tcPr>
            <w:tcW w:w="1056" w:type="dxa"/>
            <w:shd w:val="clear" w:color="auto" w:fill="D2DFED"/>
          </w:tcPr>
          <w:p>
            <w:pPr>
              <w:pStyle w:val="TableParagraph"/>
              <w:ind w:right="108"/>
              <w:rPr>
                <w:sz w:val="20"/>
              </w:rPr>
            </w:pPr>
            <w:r>
              <w:rPr>
                <w:w w:val="95"/>
                <w:sz w:val="20"/>
              </w:rPr>
              <w:t>185</w:t>
            </w:r>
          </w:p>
        </w:tc>
      </w:tr>
      <w:tr>
        <w:trPr>
          <w:trHeight w:val="300" w:hRule="atLeast"/>
        </w:trPr>
        <w:tc>
          <w:tcPr>
            <w:tcW w:w="6082" w:type="dxa"/>
          </w:tcPr>
          <w:p>
            <w:pPr>
              <w:pStyle w:val="TableParagraph"/>
              <w:ind w:left="122"/>
              <w:jc w:val="left"/>
              <w:rPr>
                <w:sz w:val="20"/>
              </w:rPr>
            </w:pPr>
            <w:r>
              <w:rPr>
                <w:sz w:val="20"/>
              </w:rPr>
              <w:t>WorkCover Western Australia Authority</w:t>
            </w:r>
          </w:p>
        </w:tc>
        <w:tc>
          <w:tcPr>
            <w:tcW w:w="1157" w:type="dxa"/>
          </w:tcPr>
          <w:p>
            <w:pPr>
              <w:pStyle w:val="TableParagraph"/>
              <w:ind w:right="136"/>
              <w:rPr>
                <w:sz w:val="20"/>
              </w:rPr>
            </w:pPr>
            <w:r>
              <w:rPr>
                <w:w w:val="95"/>
                <w:sz w:val="20"/>
              </w:rPr>
              <w:t>158</w:t>
            </w:r>
          </w:p>
        </w:tc>
        <w:tc>
          <w:tcPr>
            <w:tcW w:w="1185" w:type="dxa"/>
          </w:tcPr>
          <w:p>
            <w:pPr>
              <w:pStyle w:val="TableParagraph"/>
              <w:ind w:right="188"/>
              <w:rPr>
                <w:sz w:val="20"/>
              </w:rPr>
            </w:pPr>
            <w:r>
              <w:rPr>
                <w:w w:val="95"/>
                <w:sz w:val="20"/>
              </w:rPr>
              <w:t>144</w:t>
            </w:r>
          </w:p>
        </w:tc>
        <w:tc>
          <w:tcPr>
            <w:tcW w:w="1056" w:type="dxa"/>
          </w:tcPr>
          <w:p>
            <w:pPr>
              <w:pStyle w:val="TableParagraph"/>
              <w:ind w:right="108"/>
              <w:rPr>
                <w:sz w:val="20"/>
              </w:rPr>
            </w:pPr>
            <w:r>
              <w:rPr>
                <w:w w:val="95"/>
                <w:sz w:val="20"/>
              </w:rPr>
              <w:t>137</w:t>
            </w:r>
          </w:p>
        </w:tc>
      </w:tr>
      <w:tr>
        <w:trPr>
          <w:trHeight w:val="300" w:hRule="atLeast"/>
        </w:trPr>
        <w:tc>
          <w:tcPr>
            <w:tcW w:w="6082" w:type="dxa"/>
            <w:shd w:val="clear" w:color="auto" w:fill="D2DFED"/>
          </w:tcPr>
          <w:p>
            <w:pPr>
              <w:pStyle w:val="TableParagraph"/>
              <w:ind w:left="122"/>
              <w:jc w:val="left"/>
              <w:rPr>
                <w:sz w:val="20"/>
              </w:rPr>
            </w:pPr>
            <w:r>
              <w:rPr>
                <w:sz w:val="20"/>
              </w:rPr>
              <w:t>Metropolitan Cemeteries Board</w:t>
            </w:r>
          </w:p>
        </w:tc>
        <w:tc>
          <w:tcPr>
            <w:tcW w:w="1157" w:type="dxa"/>
            <w:shd w:val="clear" w:color="auto" w:fill="D2DFED"/>
          </w:tcPr>
          <w:p>
            <w:pPr>
              <w:pStyle w:val="TableParagraph"/>
              <w:ind w:right="136"/>
              <w:rPr>
                <w:sz w:val="20"/>
              </w:rPr>
            </w:pPr>
            <w:r>
              <w:rPr>
                <w:w w:val="95"/>
                <w:sz w:val="20"/>
              </w:rPr>
              <w:t>139</w:t>
            </w:r>
          </w:p>
        </w:tc>
        <w:tc>
          <w:tcPr>
            <w:tcW w:w="1185" w:type="dxa"/>
            <w:shd w:val="clear" w:color="auto" w:fill="D2DFED"/>
          </w:tcPr>
          <w:p>
            <w:pPr>
              <w:pStyle w:val="TableParagraph"/>
              <w:ind w:right="188"/>
              <w:rPr>
                <w:sz w:val="20"/>
              </w:rPr>
            </w:pPr>
            <w:r>
              <w:rPr>
                <w:w w:val="95"/>
                <w:sz w:val="20"/>
              </w:rPr>
              <w:t>119</w:t>
            </w:r>
          </w:p>
        </w:tc>
        <w:tc>
          <w:tcPr>
            <w:tcW w:w="1056" w:type="dxa"/>
            <w:shd w:val="clear" w:color="auto" w:fill="D2DFED"/>
          </w:tcPr>
          <w:p>
            <w:pPr>
              <w:pStyle w:val="TableParagraph"/>
              <w:ind w:right="108"/>
              <w:rPr>
                <w:sz w:val="20"/>
              </w:rPr>
            </w:pPr>
            <w:r>
              <w:rPr>
                <w:w w:val="95"/>
                <w:sz w:val="20"/>
              </w:rPr>
              <w:t>121</w:t>
            </w:r>
          </w:p>
        </w:tc>
      </w:tr>
      <w:tr>
        <w:trPr>
          <w:trHeight w:val="300" w:hRule="atLeast"/>
        </w:trPr>
        <w:tc>
          <w:tcPr>
            <w:tcW w:w="6082" w:type="dxa"/>
          </w:tcPr>
          <w:p>
            <w:pPr>
              <w:pStyle w:val="TableParagraph"/>
              <w:ind w:left="122"/>
              <w:jc w:val="left"/>
              <w:rPr>
                <w:sz w:val="20"/>
              </w:rPr>
            </w:pPr>
            <w:r>
              <w:rPr>
                <w:sz w:val="20"/>
              </w:rPr>
              <w:t>Rottnest Island Authority</w:t>
            </w:r>
          </w:p>
        </w:tc>
        <w:tc>
          <w:tcPr>
            <w:tcW w:w="1157" w:type="dxa"/>
          </w:tcPr>
          <w:p>
            <w:pPr>
              <w:pStyle w:val="TableParagraph"/>
              <w:ind w:right="136"/>
              <w:rPr>
                <w:sz w:val="20"/>
              </w:rPr>
            </w:pPr>
            <w:r>
              <w:rPr>
                <w:w w:val="95"/>
                <w:sz w:val="20"/>
              </w:rPr>
              <w:t>137</w:t>
            </w:r>
          </w:p>
        </w:tc>
        <w:tc>
          <w:tcPr>
            <w:tcW w:w="1185" w:type="dxa"/>
          </w:tcPr>
          <w:p>
            <w:pPr>
              <w:pStyle w:val="TableParagraph"/>
              <w:ind w:right="188"/>
              <w:rPr>
                <w:sz w:val="20"/>
              </w:rPr>
            </w:pPr>
            <w:r>
              <w:rPr>
                <w:w w:val="95"/>
                <w:sz w:val="20"/>
              </w:rPr>
              <w:t>117</w:t>
            </w:r>
          </w:p>
        </w:tc>
        <w:tc>
          <w:tcPr>
            <w:tcW w:w="1056" w:type="dxa"/>
          </w:tcPr>
          <w:p>
            <w:pPr>
              <w:pStyle w:val="TableParagraph"/>
              <w:ind w:right="108"/>
              <w:rPr>
                <w:sz w:val="20"/>
              </w:rPr>
            </w:pPr>
            <w:r>
              <w:rPr>
                <w:w w:val="95"/>
                <w:sz w:val="20"/>
              </w:rPr>
              <w:t>122</w:t>
            </w:r>
          </w:p>
        </w:tc>
      </w:tr>
      <w:tr>
        <w:trPr>
          <w:trHeight w:val="300" w:hRule="atLeast"/>
        </w:trPr>
        <w:tc>
          <w:tcPr>
            <w:tcW w:w="6082" w:type="dxa"/>
            <w:shd w:val="clear" w:color="auto" w:fill="D2DFED"/>
          </w:tcPr>
          <w:p>
            <w:pPr>
              <w:pStyle w:val="TableParagraph"/>
              <w:ind w:left="122"/>
              <w:jc w:val="left"/>
              <w:rPr>
                <w:sz w:val="20"/>
              </w:rPr>
            </w:pPr>
            <w:r>
              <w:rPr>
                <w:sz w:val="20"/>
              </w:rPr>
              <w:t>Esperance Port Authority</w:t>
            </w:r>
          </w:p>
        </w:tc>
        <w:tc>
          <w:tcPr>
            <w:tcW w:w="1157" w:type="dxa"/>
            <w:shd w:val="clear" w:color="auto" w:fill="D2DFED"/>
          </w:tcPr>
          <w:p>
            <w:pPr>
              <w:pStyle w:val="TableParagraph"/>
              <w:ind w:right="136"/>
              <w:rPr>
                <w:sz w:val="20"/>
              </w:rPr>
            </w:pPr>
            <w:r>
              <w:rPr>
                <w:w w:val="95"/>
                <w:sz w:val="20"/>
              </w:rPr>
              <w:t>105</w:t>
            </w:r>
          </w:p>
        </w:tc>
        <w:tc>
          <w:tcPr>
            <w:tcW w:w="1185" w:type="dxa"/>
            <w:shd w:val="clear" w:color="auto" w:fill="D2DFED"/>
          </w:tcPr>
          <w:p>
            <w:pPr>
              <w:pStyle w:val="TableParagraph"/>
              <w:ind w:right="188"/>
              <w:rPr>
                <w:sz w:val="20"/>
              </w:rPr>
            </w:pPr>
            <w:r>
              <w:rPr>
                <w:w w:val="95"/>
                <w:sz w:val="20"/>
              </w:rPr>
              <w:t>104</w:t>
            </w:r>
          </w:p>
        </w:tc>
        <w:tc>
          <w:tcPr>
            <w:tcW w:w="1056" w:type="dxa"/>
            <w:shd w:val="clear" w:color="auto" w:fill="D2DFED"/>
          </w:tcPr>
          <w:p>
            <w:pPr>
              <w:pStyle w:val="TableParagraph"/>
              <w:ind w:right="108"/>
              <w:rPr>
                <w:sz w:val="20"/>
              </w:rPr>
            </w:pPr>
            <w:r>
              <w:rPr>
                <w:w w:val="95"/>
                <w:sz w:val="20"/>
              </w:rPr>
              <w:t>107</w:t>
            </w:r>
          </w:p>
        </w:tc>
      </w:tr>
      <w:tr>
        <w:trPr>
          <w:trHeight w:val="487" w:hRule="atLeast"/>
        </w:trPr>
        <w:tc>
          <w:tcPr>
            <w:tcW w:w="6082" w:type="dxa"/>
          </w:tcPr>
          <w:p>
            <w:pPr>
              <w:pStyle w:val="TableParagraph"/>
              <w:spacing w:line="242" w:lineRule="exact" w:before="0"/>
              <w:ind w:left="122"/>
              <w:jc w:val="left"/>
              <w:rPr>
                <w:sz w:val="20"/>
              </w:rPr>
            </w:pPr>
            <w:r>
              <w:rPr>
                <w:sz w:val="20"/>
              </w:rPr>
              <w:t>Builders’ Registration Board of Western Australia and Painters’</w:t>
            </w:r>
          </w:p>
          <w:p>
            <w:pPr>
              <w:pStyle w:val="TableParagraph"/>
              <w:spacing w:line="225" w:lineRule="exact" w:before="0"/>
              <w:ind w:left="122"/>
              <w:jc w:val="left"/>
              <w:rPr>
                <w:sz w:val="20"/>
              </w:rPr>
            </w:pPr>
            <w:r>
              <w:rPr>
                <w:sz w:val="20"/>
              </w:rPr>
              <w:t>Registration Board</w:t>
            </w:r>
          </w:p>
        </w:tc>
        <w:tc>
          <w:tcPr>
            <w:tcW w:w="1157" w:type="dxa"/>
          </w:tcPr>
          <w:p>
            <w:pPr>
              <w:pStyle w:val="TableParagraph"/>
              <w:spacing w:line="240" w:lineRule="auto" w:before="121"/>
              <w:ind w:right="133"/>
              <w:rPr>
                <w:sz w:val="20"/>
              </w:rPr>
            </w:pPr>
            <w:r>
              <w:rPr>
                <w:w w:val="95"/>
                <w:sz w:val="20"/>
              </w:rPr>
              <w:t>71</w:t>
            </w:r>
          </w:p>
        </w:tc>
        <w:tc>
          <w:tcPr>
            <w:tcW w:w="1185" w:type="dxa"/>
          </w:tcPr>
          <w:p>
            <w:pPr>
              <w:pStyle w:val="TableParagraph"/>
              <w:spacing w:line="240" w:lineRule="auto" w:before="121"/>
              <w:ind w:right="186"/>
              <w:rPr>
                <w:sz w:val="20"/>
              </w:rPr>
            </w:pPr>
            <w:r>
              <w:rPr>
                <w:w w:val="95"/>
                <w:sz w:val="20"/>
              </w:rPr>
              <w:t>64</w:t>
            </w:r>
          </w:p>
        </w:tc>
        <w:tc>
          <w:tcPr>
            <w:tcW w:w="1056" w:type="dxa"/>
          </w:tcPr>
          <w:p>
            <w:pPr>
              <w:pStyle w:val="TableParagraph"/>
              <w:spacing w:line="240" w:lineRule="auto" w:before="121"/>
              <w:ind w:right="106"/>
              <w:rPr>
                <w:sz w:val="20"/>
              </w:rPr>
            </w:pPr>
            <w:r>
              <w:rPr>
                <w:w w:val="95"/>
                <w:sz w:val="20"/>
              </w:rPr>
              <w:t>64</w:t>
            </w:r>
          </w:p>
        </w:tc>
      </w:tr>
      <w:tr>
        <w:trPr>
          <w:trHeight w:val="300" w:hRule="atLeast"/>
        </w:trPr>
        <w:tc>
          <w:tcPr>
            <w:tcW w:w="6082" w:type="dxa"/>
            <w:shd w:val="clear" w:color="auto" w:fill="D2DFED"/>
          </w:tcPr>
          <w:p>
            <w:pPr>
              <w:pStyle w:val="TableParagraph"/>
              <w:ind w:left="122"/>
              <w:jc w:val="left"/>
              <w:rPr>
                <w:sz w:val="20"/>
              </w:rPr>
            </w:pPr>
            <w:r>
              <w:rPr>
                <w:sz w:val="20"/>
              </w:rPr>
              <w:t>Animal Resources Authority</w:t>
            </w:r>
          </w:p>
        </w:tc>
        <w:tc>
          <w:tcPr>
            <w:tcW w:w="1157" w:type="dxa"/>
            <w:shd w:val="clear" w:color="auto" w:fill="D2DFED"/>
          </w:tcPr>
          <w:p>
            <w:pPr>
              <w:pStyle w:val="TableParagraph"/>
              <w:ind w:right="133"/>
              <w:rPr>
                <w:sz w:val="20"/>
              </w:rPr>
            </w:pPr>
            <w:r>
              <w:rPr>
                <w:w w:val="95"/>
                <w:sz w:val="20"/>
              </w:rPr>
              <w:t>72</w:t>
            </w:r>
          </w:p>
        </w:tc>
        <w:tc>
          <w:tcPr>
            <w:tcW w:w="1185" w:type="dxa"/>
            <w:shd w:val="clear" w:color="auto" w:fill="D2DFED"/>
          </w:tcPr>
          <w:p>
            <w:pPr>
              <w:pStyle w:val="TableParagraph"/>
              <w:ind w:right="186"/>
              <w:rPr>
                <w:sz w:val="20"/>
              </w:rPr>
            </w:pPr>
            <w:r>
              <w:rPr>
                <w:w w:val="95"/>
                <w:sz w:val="20"/>
              </w:rPr>
              <w:t>61</w:t>
            </w:r>
          </w:p>
        </w:tc>
        <w:tc>
          <w:tcPr>
            <w:tcW w:w="1056" w:type="dxa"/>
            <w:shd w:val="clear" w:color="auto" w:fill="D2DFED"/>
          </w:tcPr>
          <w:p>
            <w:pPr>
              <w:pStyle w:val="TableParagraph"/>
              <w:ind w:right="106"/>
              <w:rPr>
                <w:sz w:val="20"/>
              </w:rPr>
            </w:pPr>
            <w:r>
              <w:rPr>
                <w:w w:val="95"/>
                <w:sz w:val="20"/>
              </w:rPr>
              <w:t>59</w:t>
            </w:r>
          </w:p>
        </w:tc>
      </w:tr>
      <w:tr>
        <w:trPr>
          <w:trHeight w:val="300" w:hRule="atLeast"/>
        </w:trPr>
        <w:tc>
          <w:tcPr>
            <w:tcW w:w="6082" w:type="dxa"/>
          </w:tcPr>
          <w:p>
            <w:pPr>
              <w:pStyle w:val="TableParagraph"/>
              <w:ind w:left="122"/>
              <w:jc w:val="left"/>
              <w:rPr>
                <w:sz w:val="20"/>
              </w:rPr>
            </w:pPr>
            <w:r>
              <w:rPr>
                <w:sz w:val="20"/>
              </w:rPr>
              <w:t>Western Australian Treasury Corporation</w:t>
            </w:r>
          </w:p>
        </w:tc>
        <w:tc>
          <w:tcPr>
            <w:tcW w:w="1157" w:type="dxa"/>
          </w:tcPr>
          <w:p>
            <w:pPr>
              <w:pStyle w:val="TableParagraph"/>
              <w:ind w:right="133"/>
              <w:rPr>
                <w:sz w:val="20"/>
              </w:rPr>
            </w:pPr>
            <w:r>
              <w:rPr>
                <w:w w:val="95"/>
                <w:sz w:val="20"/>
              </w:rPr>
              <w:t>62</w:t>
            </w:r>
          </w:p>
        </w:tc>
        <w:tc>
          <w:tcPr>
            <w:tcW w:w="1185" w:type="dxa"/>
          </w:tcPr>
          <w:p>
            <w:pPr>
              <w:pStyle w:val="TableParagraph"/>
              <w:ind w:right="186"/>
              <w:rPr>
                <w:sz w:val="20"/>
              </w:rPr>
            </w:pPr>
            <w:r>
              <w:rPr>
                <w:w w:val="95"/>
                <w:sz w:val="20"/>
              </w:rPr>
              <w:t>59</w:t>
            </w:r>
          </w:p>
        </w:tc>
        <w:tc>
          <w:tcPr>
            <w:tcW w:w="1056" w:type="dxa"/>
          </w:tcPr>
          <w:p>
            <w:pPr>
              <w:pStyle w:val="TableParagraph"/>
              <w:ind w:right="106"/>
              <w:rPr>
                <w:sz w:val="20"/>
              </w:rPr>
            </w:pPr>
            <w:r>
              <w:rPr>
                <w:w w:val="95"/>
                <w:sz w:val="20"/>
              </w:rPr>
              <w:t>59</w:t>
            </w:r>
          </w:p>
        </w:tc>
      </w:tr>
      <w:tr>
        <w:trPr>
          <w:trHeight w:val="490" w:hRule="atLeast"/>
        </w:trPr>
        <w:tc>
          <w:tcPr>
            <w:tcW w:w="6082" w:type="dxa"/>
            <w:shd w:val="clear" w:color="auto" w:fill="D2DFED"/>
          </w:tcPr>
          <w:p>
            <w:pPr>
              <w:pStyle w:val="TableParagraph"/>
              <w:spacing w:line="243" w:lineRule="exact" w:before="0"/>
              <w:ind w:left="122"/>
              <w:jc w:val="left"/>
              <w:rPr>
                <w:sz w:val="20"/>
              </w:rPr>
            </w:pPr>
            <w:r>
              <w:rPr>
                <w:sz w:val="20"/>
              </w:rPr>
              <w:t>East Perth Redevelopment Authority and Subiaco Redevelopment</w:t>
            </w:r>
          </w:p>
          <w:p>
            <w:pPr>
              <w:pStyle w:val="TableParagraph"/>
              <w:spacing w:before="1"/>
              <w:ind w:left="122"/>
              <w:jc w:val="left"/>
              <w:rPr>
                <w:sz w:val="20"/>
              </w:rPr>
            </w:pPr>
            <w:r>
              <w:rPr>
                <w:sz w:val="20"/>
              </w:rPr>
              <w:t>Authority</w:t>
            </w:r>
          </w:p>
        </w:tc>
        <w:tc>
          <w:tcPr>
            <w:tcW w:w="1157" w:type="dxa"/>
            <w:shd w:val="clear" w:color="auto" w:fill="D2DFED"/>
          </w:tcPr>
          <w:p>
            <w:pPr>
              <w:pStyle w:val="TableParagraph"/>
              <w:spacing w:line="240" w:lineRule="auto" w:before="0"/>
              <w:jc w:val="left"/>
              <w:rPr>
                <w:sz w:val="20"/>
              </w:rPr>
            </w:pPr>
          </w:p>
          <w:p>
            <w:pPr>
              <w:pStyle w:val="TableParagraph"/>
              <w:spacing w:before="0"/>
              <w:ind w:right="133"/>
              <w:rPr>
                <w:sz w:val="20"/>
              </w:rPr>
            </w:pPr>
            <w:r>
              <w:rPr>
                <w:w w:val="95"/>
                <w:sz w:val="20"/>
              </w:rPr>
              <w:t>59</w:t>
            </w:r>
          </w:p>
        </w:tc>
        <w:tc>
          <w:tcPr>
            <w:tcW w:w="1185" w:type="dxa"/>
            <w:shd w:val="clear" w:color="auto" w:fill="D2DFED"/>
          </w:tcPr>
          <w:p>
            <w:pPr>
              <w:pStyle w:val="TableParagraph"/>
              <w:spacing w:line="240" w:lineRule="auto" w:before="0"/>
              <w:jc w:val="left"/>
              <w:rPr>
                <w:sz w:val="20"/>
              </w:rPr>
            </w:pPr>
          </w:p>
          <w:p>
            <w:pPr>
              <w:pStyle w:val="TableParagraph"/>
              <w:spacing w:before="0"/>
              <w:ind w:right="186"/>
              <w:rPr>
                <w:sz w:val="20"/>
              </w:rPr>
            </w:pPr>
            <w:r>
              <w:rPr>
                <w:w w:val="95"/>
                <w:sz w:val="20"/>
              </w:rPr>
              <w:t>54</w:t>
            </w:r>
          </w:p>
        </w:tc>
        <w:tc>
          <w:tcPr>
            <w:tcW w:w="1056" w:type="dxa"/>
            <w:shd w:val="clear" w:color="auto" w:fill="D2DFED"/>
          </w:tcPr>
          <w:p>
            <w:pPr>
              <w:pStyle w:val="TableParagraph"/>
              <w:spacing w:line="240" w:lineRule="auto" w:before="0"/>
              <w:jc w:val="left"/>
              <w:rPr>
                <w:sz w:val="20"/>
              </w:rPr>
            </w:pPr>
          </w:p>
          <w:p>
            <w:pPr>
              <w:pStyle w:val="TableParagraph"/>
              <w:spacing w:before="0"/>
              <w:ind w:right="106"/>
              <w:rPr>
                <w:sz w:val="20"/>
              </w:rPr>
            </w:pPr>
            <w:r>
              <w:rPr>
                <w:w w:val="95"/>
                <w:sz w:val="20"/>
              </w:rPr>
              <w:t>51</w:t>
            </w:r>
          </w:p>
        </w:tc>
      </w:tr>
      <w:tr>
        <w:trPr>
          <w:trHeight w:val="300" w:hRule="atLeast"/>
        </w:trPr>
        <w:tc>
          <w:tcPr>
            <w:tcW w:w="6082" w:type="dxa"/>
          </w:tcPr>
          <w:p>
            <w:pPr>
              <w:pStyle w:val="TableParagraph"/>
              <w:ind w:left="122"/>
              <w:jc w:val="left"/>
              <w:rPr>
                <w:sz w:val="20"/>
              </w:rPr>
            </w:pPr>
            <w:r>
              <w:rPr>
                <w:sz w:val="20"/>
              </w:rPr>
              <w:t>Geraldton Port Authority</w:t>
            </w:r>
          </w:p>
        </w:tc>
        <w:tc>
          <w:tcPr>
            <w:tcW w:w="1157" w:type="dxa"/>
          </w:tcPr>
          <w:p>
            <w:pPr>
              <w:pStyle w:val="TableParagraph"/>
              <w:ind w:right="133"/>
              <w:rPr>
                <w:sz w:val="20"/>
              </w:rPr>
            </w:pPr>
            <w:r>
              <w:rPr>
                <w:w w:val="95"/>
                <w:sz w:val="20"/>
              </w:rPr>
              <w:t>54</w:t>
            </w:r>
          </w:p>
        </w:tc>
        <w:tc>
          <w:tcPr>
            <w:tcW w:w="1185" w:type="dxa"/>
          </w:tcPr>
          <w:p>
            <w:pPr>
              <w:pStyle w:val="TableParagraph"/>
              <w:ind w:right="186"/>
              <w:rPr>
                <w:sz w:val="20"/>
              </w:rPr>
            </w:pPr>
            <w:r>
              <w:rPr>
                <w:w w:val="95"/>
                <w:sz w:val="20"/>
              </w:rPr>
              <w:t>52</w:t>
            </w:r>
          </w:p>
        </w:tc>
        <w:tc>
          <w:tcPr>
            <w:tcW w:w="1056" w:type="dxa"/>
          </w:tcPr>
          <w:p>
            <w:pPr>
              <w:pStyle w:val="TableParagraph"/>
              <w:ind w:right="106"/>
              <w:rPr>
                <w:sz w:val="20"/>
              </w:rPr>
            </w:pPr>
            <w:r>
              <w:rPr>
                <w:w w:val="95"/>
                <w:sz w:val="20"/>
              </w:rPr>
              <w:t>55</w:t>
            </w:r>
          </w:p>
        </w:tc>
      </w:tr>
      <w:tr>
        <w:trPr>
          <w:trHeight w:val="300" w:hRule="atLeast"/>
        </w:trPr>
        <w:tc>
          <w:tcPr>
            <w:tcW w:w="6082" w:type="dxa"/>
            <w:shd w:val="clear" w:color="auto" w:fill="D2DFED"/>
          </w:tcPr>
          <w:p>
            <w:pPr>
              <w:pStyle w:val="TableParagraph"/>
              <w:ind w:left="122"/>
              <w:jc w:val="left"/>
              <w:rPr>
                <w:sz w:val="20"/>
              </w:rPr>
            </w:pPr>
            <w:r>
              <w:rPr>
                <w:sz w:val="20"/>
              </w:rPr>
              <w:t>Legal Practice Board</w:t>
            </w:r>
          </w:p>
        </w:tc>
        <w:tc>
          <w:tcPr>
            <w:tcW w:w="1157" w:type="dxa"/>
            <w:shd w:val="clear" w:color="auto" w:fill="D2DFED"/>
          </w:tcPr>
          <w:p>
            <w:pPr>
              <w:pStyle w:val="TableParagraph"/>
              <w:ind w:right="133"/>
              <w:rPr>
                <w:sz w:val="20"/>
              </w:rPr>
            </w:pPr>
            <w:r>
              <w:rPr>
                <w:w w:val="95"/>
                <w:sz w:val="20"/>
              </w:rPr>
              <w:t>57</w:t>
            </w:r>
          </w:p>
        </w:tc>
        <w:tc>
          <w:tcPr>
            <w:tcW w:w="1185" w:type="dxa"/>
            <w:shd w:val="clear" w:color="auto" w:fill="D2DFED"/>
          </w:tcPr>
          <w:p>
            <w:pPr>
              <w:pStyle w:val="TableParagraph"/>
              <w:ind w:right="186"/>
              <w:rPr>
                <w:sz w:val="20"/>
              </w:rPr>
            </w:pPr>
            <w:r>
              <w:rPr>
                <w:w w:val="95"/>
                <w:sz w:val="20"/>
              </w:rPr>
              <w:t>49</w:t>
            </w:r>
          </w:p>
        </w:tc>
        <w:tc>
          <w:tcPr>
            <w:tcW w:w="1056" w:type="dxa"/>
            <w:shd w:val="clear" w:color="auto" w:fill="D2DFED"/>
          </w:tcPr>
          <w:p>
            <w:pPr>
              <w:pStyle w:val="TableParagraph"/>
              <w:ind w:right="106"/>
              <w:rPr>
                <w:sz w:val="20"/>
              </w:rPr>
            </w:pPr>
            <w:r>
              <w:rPr>
                <w:w w:val="95"/>
                <w:sz w:val="20"/>
              </w:rPr>
              <w:t>47</w:t>
            </w:r>
          </w:p>
        </w:tc>
      </w:tr>
      <w:tr>
        <w:trPr>
          <w:trHeight w:val="300" w:hRule="atLeast"/>
        </w:trPr>
        <w:tc>
          <w:tcPr>
            <w:tcW w:w="6082" w:type="dxa"/>
          </w:tcPr>
          <w:p>
            <w:pPr>
              <w:pStyle w:val="TableParagraph"/>
              <w:ind w:left="122"/>
              <w:jc w:val="left"/>
              <w:rPr>
                <w:sz w:val="20"/>
              </w:rPr>
            </w:pPr>
            <w:r>
              <w:rPr>
                <w:sz w:val="20"/>
              </w:rPr>
              <w:t>Western Australian Institute of Sport</w:t>
            </w:r>
          </w:p>
        </w:tc>
        <w:tc>
          <w:tcPr>
            <w:tcW w:w="1157" w:type="dxa"/>
          </w:tcPr>
          <w:p>
            <w:pPr>
              <w:pStyle w:val="TableParagraph"/>
              <w:ind w:right="133"/>
              <w:rPr>
                <w:sz w:val="20"/>
              </w:rPr>
            </w:pPr>
            <w:r>
              <w:rPr>
                <w:w w:val="95"/>
                <w:sz w:val="20"/>
              </w:rPr>
              <w:t>52</w:t>
            </w:r>
          </w:p>
        </w:tc>
        <w:tc>
          <w:tcPr>
            <w:tcW w:w="1185" w:type="dxa"/>
          </w:tcPr>
          <w:p>
            <w:pPr>
              <w:pStyle w:val="TableParagraph"/>
              <w:ind w:right="186"/>
              <w:rPr>
                <w:sz w:val="20"/>
              </w:rPr>
            </w:pPr>
            <w:r>
              <w:rPr>
                <w:w w:val="95"/>
                <w:sz w:val="20"/>
              </w:rPr>
              <w:t>48</w:t>
            </w:r>
          </w:p>
        </w:tc>
        <w:tc>
          <w:tcPr>
            <w:tcW w:w="1056" w:type="dxa"/>
          </w:tcPr>
          <w:p>
            <w:pPr>
              <w:pStyle w:val="TableParagraph"/>
              <w:ind w:right="106"/>
              <w:rPr>
                <w:sz w:val="20"/>
              </w:rPr>
            </w:pPr>
            <w:r>
              <w:rPr>
                <w:w w:val="95"/>
                <w:sz w:val="20"/>
              </w:rPr>
              <w:t>47</w:t>
            </w:r>
          </w:p>
        </w:tc>
      </w:tr>
      <w:tr>
        <w:trPr>
          <w:trHeight w:val="300" w:hRule="atLeast"/>
        </w:trPr>
        <w:tc>
          <w:tcPr>
            <w:tcW w:w="6082" w:type="dxa"/>
            <w:shd w:val="clear" w:color="auto" w:fill="D2DFED"/>
          </w:tcPr>
          <w:p>
            <w:pPr>
              <w:pStyle w:val="TableParagraph"/>
              <w:ind w:left="122"/>
              <w:jc w:val="left"/>
              <w:rPr>
                <w:sz w:val="20"/>
              </w:rPr>
            </w:pPr>
            <w:r>
              <w:rPr>
                <w:sz w:val="20"/>
              </w:rPr>
              <w:t>Western Australian Greyhound Racing Association</w:t>
            </w:r>
          </w:p>
        </w:tc>
        <w:tc>
          <w:tcPr>
            <w:tcW w:w="1157" w:type="dxa"/>
            <w:shd w:val="clear" w:color="auto" w:fill="D2DFED"/>
          </w:tcPr>
          <w:p>
            <w:pPr>
              <w:pStyle w:val="TableParagraph"/>
              <w:ind w:right="133"/>
              <w:rPr>
                <w:sz w:val="20"/>
              </w:rPr>
            </w:pPr>
            <w:r>
              <w:rPr>
                <w:w w:val="95"/>
                <w:sz w:val="20"/>
              </w:rPr>
              <w:t>45</w:t>
            </w:r>
          </w:p>
        </w:tc>
        <w:tc>
          <w:tcPr>
            <w:tcW w:w="1185" w:type="dxa"/>
            <w:shd w:val="clear" w:color="auto" w:fill="D2DFED"/>
          </w:tcPr>
          <w:p>
            <w:pPr>
              <w:pStyle w:val="TableParagraph"/>
              <w:ind w:right="186"/>
              <w:rPr>
                <w:sz w:val="20"/>
              </w:rPr>
            </w:pPr>
            <w:r>
              <w:rPr>
                <w:w w:val="95"/>
                <w:sz w:val="20"/>
              </w:rPr>
              <w:t>43</w:t>
            </w:r>
          </w:p>
        </w:tc>
        <w:tc>
          <w:tcPr>
            <w:tcW w:w="1056" w:type="dxa"/>
            <w:shd w:val="clear" w:color="auto" w:fill="D2DFED"/>
          </w:tcPr>
          <w:p>
            <w:pPr>
              <w:pStyle w:val="TableParagraph"/>
              <w:ind w:right="106"/>
              <w:rPr>
                <w:sz w:val="20"/>
              </w:rPr>
            </w:pPr>
            <w:r>
              <w:rPr>
                <w:w w:val="95"/>
                <w:sz w:val="20"/>
              </w:rPr>
              <w:t>43</w:t>
            </w:r>
          </w:p>
        </w:tc>
      </w:tr>
      <w:tr>
        <w:trPr>
          <w:trHeight w:val="300" w:hRule="atLeast"/>
        </w:trPr>
        <w:tc>
          <w:tcPr>
            <w:tcW w:w="6082" w:type="dxa"/>
          </w:tcPr>
          <w:p>
            <w:pPr>
              <w:pStyle w:val="TableParagraph"/>
              <w:ind w:left="122"/>
              <w:jc w:val="left"/>
              <w:rPr>
                <w:sz w:val="20"/>
              </w:rPr>
            </w:pPr>
            <w:r>
              <w:rPr>
                <w:sz w:val="20"/>
              </w:rPr>
              <w:t>Broome Port Authority</w:t>
            </w:r>
          </w:p>
        </w:tc>
        <w:tc>
          <w:tcPr>
            <w:tcW w:w="1157" w:type="dxa"/>
          </w:tcPr>
          <w:p>
            <w:pPr>
              <w:pStyle w:val="TableParagraph"/>
              <w:ind w:right="133"/>
              <w:rPr>
                <w:sz w:val="20"/>
              </w:rPr>
            </w:pPr>
            <w:r>
              <w:rPr>
                <w:w w:val="95"/>
                <w:sz w:val="20"/>
              </w:rPr>
              <w:t>66</w:t>
            </w:r>
          </w:p>
        </w:tc>
        <w:tc>
          <w:tcPr>
            <w:tcW w:w="1185" w:type="dxa"/>
          </w:tcPr>
          <w:p>
            <w:pPr>
              <w:pStyle w:val="TableParagraph"/>
              <w:ind w:right="186"/>
              <w:rPr>
                <w:sz w:val="20"/>
              </w:rPr>
            </w:pPr>
            <w:r>
              <w:rPr>
                <w:w w:val="95"/>
                <w:sz w:val="20"/>
              </w:rPr>
              <w:t>42</w:t>
            </w:r>
          </w:p>
        </w:tc>
        <w:tc>
          <w:tcPr>
            <w:tcW w:w="1056" w:type="dxa"/>
          </w:tcPr>
          <w:p>
            <w:pPr>
              <w:pStyle w:val="TableParagraph"/>
              <w:ind w:right="106"/>
              <w:rPr>
                <w:sz w:val="20"/>
              </w:rPr>
            </w:pPr>
            <w:r>
              <w:rPr>
                <w:w w:val="95"/>
                <w:sz w:val="20"/>
              </w:rPr>
              <w:t>48</w:t>
            </w:r>
          </w:p>
        </w:tc>
      </w:tr>
      <w:tr>
        <w:trPr>
          <w:trHeight w:val="300" w:hRule="atLeast"/>
        </w:trPr>
        <w:tc>
          <w:tcPr>
            <w:tcW w:w="6082" w:type="dxa"/>
            <w:shd w:val="clear" w:color="auto" w:fill="D2DFED"/>
          </w:tcPr>
          <w:p>
            <w:pPr>
              <w:pStyle w:val="TableParagraph"/>
              <w:ind w:left="122"/>
              <w:jc w:val="left"/>
              <w:rPr>
                <w:sz w:val="20"/>
              </w:rPr>
            </w:pPr>
            <w:r>
              <w:rPr>
                <w:sz w:val="20"/>
              </w:rPr>
              <w:t>Port Hedland Port Authority</w:t>
            </w:r>
          </w:p>
        </w:tc>
        <w:tc>
          <w:tcPr>
            <w:tcW w:w="1157" w:type="dxa"/>
            <w:shd w:val="clear" w:color="auto" w:fill="D2DFED"/>
          </w:tcPr>
          <w:p>
            <w:pPr>
              <w:pStyle w:val="TableParagraph"/>
              <w:ind w:right="133"/>
              <w:rPr>
                <w:sz w:val="20"/>
              </w:rPr>
            </w:pPr>
            <w:r>
              <w:rPr>
                <w:w w:val="95"/>
                <w:sz w:val="20"/>
              </w:rPr>
              <w:t>42</w:t>
            </w:r>
          </w:p>
        </w:tc>
        <w:tc>
          <w:tcPr>
            <w:tcW w:w="1185" w:type="dxa"/>
            <w:shd w:val="clear" w:color="auto" w:fill="D2DFED"/>
          </w:tcPr>
          <w:p>
            <w:pPr>
              <w:pStyle w:val="TableParagraph"/>
              <w:ind w:right="186"/>
              <w:rPr>
                <w:sz w:val="20"/>
              </w:rPr>
            </w:pPr>
            <w:r>
              <w:rPr>
                <w:w w:val="95"/>
                <w:sz w:val="20"/>
              </w:rPr>
              <w:t>42</w:t>
            </w:r>
          </w:p>
        </w:tc>
        <w:tc>
          <w:tcPr>
            <w:tcW w:w="1056" w:type="dxa"/>
            <w:shd w:val="clear" w:color="auto" w:fill="D2DFED"/>
          </w:tcPr>
          <w:p>
            <w:pPr>
              <w:pStyle w:val="TableParagraph"/>
              <w:ind w:right="106"/>
              <w:rPr>
                <w:sz w:val="20"/>
              </w:rPr>
            </w:pPr>
            <w:r>
              <w:rPr>
                <w:w w:val="95"/>
                <w:sz w:val="20"/>
              </w:rPr>
              <w:t>38</w:t>
            </w:r>
          </w:p>
        </w:tc>
      </w:tr>
      <w:tr>
        <w:trPr>
          <w:trHeight w:val="300" w:hRule="atLeast"/>
        </w:trPr>
        <w:tc>
          <w:tcPr>
            <w:tcW w:w="6082" w:type="dxa"/>
          </w:tcPr>
          <w:p>
            <w:pPr>
              <w:pStyle w:val="TableParagraph"/>
              <w:ind w:left="122"/>
              <w:jc w:val="left"/>
              <w:rPr>
                <w:sz w:val="20"/>
              </w:rPr>
            </w:pPr>
            <w:r>
              <w:rPr>
                <w:sz w:val="20"/>
              </w:rPr>
              <w:t>Western Australian College of Teaching</w:t>
            </w:r>
          </w:p>
        </w:tc>
        <w:tc>
          <w:tcPr>
            <w:tcW w:w="1157" w:type="dxa"/>
          </w:tcPr>
          <w:p>
            <w:pPr>
              <w:pStyle w:val="TableParagraph"/>
              <w:ind w:right="133"/>
              <w:rPr>
                <w:sz w:val="20"/>
              </w:rPr>
            </w:pPr>
            <w:r>
              <w:rPr>
                <w:w w:val="95"/>
                <w:sz w:val="20"/>
              </w:rPr>
              <w:t>44</w:t>
            </w:r>
          </w:p>
        </w:tc>
        <w:tc>
          <w:tcPr>
            <w:tcW w:w="1185" w:type="dxa"/>
          </w:tcPr>
          <w:p>
            <w:pPr>
              <w:pStyle w:val="TableParagraph"/>
              <w:ind w:right="186"/>
              <w:rPr>
                <w:sz w:val="20"/>
              </w:rPr>
            </w:pPr>
            <w:r>
              <w:rPr>
                <w:w w:val="95"/>
                <w:sz w:val="20"/>
              </w:rPr>
              <w:t>37</w:t>
            </w:r>
          </w:p>
        </w:tc>
        <w:tc>
          <w:tcPr>
            <w:tcW w:w="1056" w:type="dxa"/>
          </w:tcPr>
          <w:p>
            <w:pPr>
              <w:pStyle w:val="TableParagraph"/>
              <w:ind w:right="106"/>
              <w:rPr>
                <w:sz w:val="20"/>
              </w:rPr>
            </w:pPr>
            <w:r>
              <w:rPr>
                <w:w w:val="95"/>
                <w:sz w:val="20"/>
              </w:rPr>
              <w:t>39</w:t>
            </w:r>
          </w:p>
        </w:tc>
      </w:tr>
      <w:tr>
        <w:trPr>
          <w:trHeight w:val="300" w:hRule="atLeast"/>
        </w:trPr>
        <w:tc>
          <w:tcPr>
            <w:tcW w:w="6082" w:type="dxa"/>
            <w:shd w:val="clear" w:color="auto" w:fill="D2DFED"/>
          </w:tcPr>
          <w:p>
            <w:pPr>
              <w:pStyle w:val="TableParagraph"/>
              <w:ind w:left="122"/>
              <w:jc w:val="left"/>
              <w:rPr>
                <w:sz w:val="20"/>
              </w:rPr>
            </w:pPr>
            <w:r>
              <w:rPr>
                <w:sz w:val="20"/>
              </w:rPr>
              <w:t>Dampier Port Authority</w:t>
            </w:r>
          </w:p>
        </w:tc>
        <w:tc>
          <w:tcPr>
            <w:tcW w:w="1157" w:type="dxa"/>
            <w:shd w:val="clear" w:color="auto" w:fill="D2DFED"/>
          </w:tcPr>
          <w:p>
            <w:pPr>
              <w:pStyle w:val="TableParagraph"/>
              <w:ind w:right="133"/>
              <w:rPr>
                <w:sz w:val="20"/>
              </w:rPr>
            </w:pPr>
            <w:r>
              <w:rPr>
                <w:w w:val="95"/>
                <w:sz w:val="20"/>
              </w:rPr>
              <w:t>34</w:t>
            </w:r>
          </w:p>
        </w:tc>
        <w:tc>
          <w:tcPr>
            <w:tcW w:w="1185" w:type="dxa"/>
            <w:shd w:val="clear" w:color="auto" w:fill="D2DFED"/>
          </w:tcPr>
          <w:p>
            <w:pPr>
              <w:pStyle w:val="TableParagraph"/>
              <w:ind w:right="186"/>
              <w:rPr>
                <w:sz w:val="20"/>
              </w:rPr>
            </w:pPr>
            <w:r>
              <w:rPr>
                <w:w w:val="95"/>
                <w:sz w:val="20"/>
              </w:rPr>
              <w:t>34</w:t>
            </w:r>
          </w:p>
        </w:tc>
        <w:tc>
          <w:tcPr>
            <w:tcW w:w="1056" w:type="dxa"/>
            <w:shd w:val="clear" w:color="auto" w:fill="D2DFED"/>
          </w:tcPr>
          <w:p>
            <w:pPr>
              <w:pStyle w:val="TableParagraph"/>
              <w:ind w:right="106"/>
              <w:rPr>
                <w:sz w:val="20"/>
              </w:rPr>
            </w:pPr>
            <w:r>
              <w:rPr>
                <w:w w:val="95"/>
                <w:sz w:val="20"/>
              </w:rPr>
              <w:t>31</w:t>
            </w:r>
          </w:p>
        </w:tc>
      </w:tr>
      <w:tr>
        <w:trPr>
          <w:trHeight w:val="300" w:hRule="atLeast"/>
        </w:trPr>
        <w:tc>
          <w:tcPr>
            <w:tcW w:w="6082" w:type="dxa"/>
          </w:tcPr>
          <w:p>
            <w:pPr>
              <w:pStyle w:val="TableParagraph"/>
              <w:ind w:left="122"/>
              <w:jc w:val="left"/>
              <w:rPr>
                <w:sz w:val="20"/>
              </w:rPr>
            </w:pPr>
            <w:r>
              <w:rPr>
                <w:sz w:val="20"/>
              </w:rPr>
              <w:t>Bunbury Water Board (Aqwest)</w:t>
            </w:r>
          </w:p>
        </w:tc>
        <w:tc>
          <w:tcPr>
            <w:tcW w:w="1157" w:type="dxa"/>
          </w:tcPr>
          <w:p>
            <w:pPr>
              <w:pStyle w:val="TableParagraph"/>
              <w:ind w:right="133"/>
              <w:rPr>
                <w:sz w:val="20"/>
              </w:rPr>
            </w:pPr>
            <w:r>
              <w:rPr>
                <w:w w:val="95"/>
                <w:sz w:val="20"/>
              </w:rPr>
              <w:t>35</w:t>
            </w:r>
          </w:p>
        </w:tc>
        <w:tc>
          <w:tcPr>
            <w:tcW w:w="1185" w:type="dxa"/>
          </w:tcPr>
          <w:p>
            <w:pPr>
              <w:pStyle w:val="TableParagraph"/>
              <w:ind w:right="186"/>
              <w:rPr>
                <w:sz w:val="20"/>
              </w:rPr>
            </w:pPr>
            <w:r>
              <w:rPr>
                <w:w w:val="95"/>
                <w:sz w:val="20"/>
              </w:rPr>
              <w:t>34</w:t>
            </w:r>
          </w:p>
        </w:tc>
        <w:tc>
          <w:tcPr>
            <w:tcW w:w="1056" w:type="dxa"/>
          </w:tcPr>
          <w:p>
            <w:pPr>
              <w:pStyle w:val="TableParagraph"/>
              <w:ind w:right="106"/>
              <w:rPr>
                <w:sz w:val="20"/>
              </w:rPr>
            </w:pPr>
            <w:r>
              <w:rPr>
                <w:w w:val="95"/>
                <w:sz w:val="20"/>
              </w:rPr>
              <w:t>33</w:t>
            </w:r>
          </w:p>
        </w:tc>
      </w:tr>
      <w:tr>
        <w:trPr>
          <w:trHeight w:val="300" w:hRule="atLeast"/>
        </w:trPr>
        <w:tc>
          <w:tcPr>
            <w:tcW w:w="6082" w:type="dxa"/>
            <w:shd w:val="clear" w:color="auto" w:fill="D2DFED"/>
          </w:tcPr>
          <w:p>
            <w:pPr>
              <w:pStyle w:val="TableParagraph"/>
              <w:ind w:left="122"/>
              <w:jc w:val="left"/>
              <w:rPr>
                <w:sz w:val="20"/>
              </w:rPr>
            </w:pPr>
            <w:r>
              <w:rPr>
                <w:sz w:val="20"/>
              </w:rPr>
              <w:t>Nurses and Midwives Board of Western Australia</w:t>
            </w:r>
          </w:p>
        </w:tc>
        <w:tc>
          <w:tcPr>
            <w:tcW w:w="1157" w:type="dxa"/>
            <w:shd w:val="clear" w:color="auto" w:fill="D2DFED"/>
          </w:tcPr>
          <w:p>
            <w:pPr>
              <w:pStyle w:val="TableParagraph"/>
              <w:ind w:right="133"/>
              <w:rPr>
                <w:sz w:val="20"/>
              </w:rPr>
            </w:pPr>
            <w:r>
              <w:rPr>
                <w:w w:val="95"/>
                <w:sz w:val="20"/>
              </w:rPr>
              <w:t>37</w:t>
            </w:r>
          </w:p>
        </w:tc>
        <w:tc>
          <w:tcPr>
            <w:tcW w:w="1185" w:type="dxa"/>
            <w:shd w:val="clear" w:color="auto" w:fill="D2DFED"/>
          </w:tcPr>
          <w:p>
            <w:pPr>
              <w:pStyle w:val="TableParagraph"/>
              <w:ind w:right="186"/>
              <w:rPr>
                <w:sz w:val="20"/>
              </w:rPr>
            </w:pPr>
            <w:r>
              <w:rPr>
                <w:w w:val="95"/>
                <w:sz w:val="20"/>
              </w:rPr>
              <w:t>33</w:t>
            </w:r>
          </w:p>
        </w:tc>
        <w:tc>
          <w:tcPr>
            <w:tcW w:w="1056" w:type="dxa"/>
            <w:shd w:val="clear" w:color="auto" w:fill="D2DFED"/>
          </w:tcPr>
          <w:p>
            <w:pPr>
              <w:pStyle w:val="TableParagraph"/>
              <w:ind w:right="106"/>
              <w:rPr>
                <w:sz w:val="20"/>
              </w:rPr>
            </w:pPr>
            <w:r>
              <w:rPr>
                <w:w w:val="95"/>
                <w:sz w:val="20"/>
              </w:rPr>
              <w:t>30</w:t>
            </w:r>
          </w:p>
        </w:tc>
      </w:tr>
      <w:tr>
        <w:trPr>
          <w:trHeight w:val="300" w:hRule="atLeast"/>
        </w:trPr>
        <w:tc>
          <w:tcPr>
            <w:tcW w:w="6082" w:type="dxa"/>
          </w:tcPr>
          <w:p>
            <w:pPr>
              <w:pStyle w:val="TableParagraph"/>
              <w:ind w:left="122"/>
              <w:jc w:val="left"/>
              <w:rPr>
                <w:sz w:val="20"/>
              </w:rPr>
            </w:pPr>
            <w:r>
              <w:rPr>
                <w:sz w:val="20"/>
              </w:rPr>
              <w:t>Independent Market Operator</w:t>
            </w:r>
          </w:p>
        </w:tc>
        <w:tc>
          <w:tcPr>
            <w:tcW w:w="1157" w:type="dxa"/>
          </w:tcPr>
          <w:p>
            <w:pPr>
              <w:pStyle w:val="TableParagraph"/>
              <w:ind w:right="133"/>
              <w:rPr>
                <w:sz w:val="20"/>
              </w:rPr>
            </w:pPr>
            <w:r>
              <w:rPr>
                <w:w w:val="95"/>
                <w:sz w:val="20"/>
              </w:rPr>
              <w:t>31</w:t>
            </w:r>
          </w:p>
        </w:tc>
        <w:tc>
          <w:tcPr>
            <w:tcW w:w="1185" w:type="dxa"/>
          </w:tcPr>
          <w:p>
            <w:pPr>
              <w:pStyle w:val="TableParagraph"/>
              <w:ind w:right="186"/>
              <w:rPr>
                <w:sz w:val="20"/>
              </w:rPr>
            </w:pPr>
            <w:r>
              <w:rPr>
                <w:w w:val="95"/>
                <w:sz w:val="20"/>
              </w:rPr>
              <w:t>30</w:t>
            </w:r>
          </w:p>
        </w:tc>
        <w:tc>
          <w:tcPr>
            <w:tcW w:w="1056" w:type="dxa"/>
          </w:tcPr>
          <w:p>
            <w:pPr>
              <w:pStyle w:val="TableParagraph"/>
              <w:ind w:right="106"/>
              <w:rPr>
                <w:sz w:val="20"/>
              </w:rPr>
            </w:pPr>
            <w:r>
              <w:rPr>
                <w:w w:val="95"/>
                <w:sz w:val="20"/>
              </w:rPr>
              <w:t>30</w:t>
            </w:r>
          </w:p>
        </w:tc>
      </w:tr>
      <w:tr>
        <w:trPr>
          <w:trHeight w:val="300" w:hRule="atLeast"/>
        </w:trPr>
        <w:tc>
          <w:tcPr>
            <w:tcW w:w="6082" w:type="dxa"/>
            <w:shd w:val="clear" w:color="auto" w:fill="D2DFED"/>
          </w:tcPr>
          <w:p>
            <w:pPr>
              <w:pStyle w:val="TableParagraph"/>
              <w:spacing w:before="55"/>
              <w:ind w:left="122"/>
              <w:jc w:val="left"/>
              <w:rPr>
                <w:sz w:val="20"/>
              </w:rPr>
            </w:pPr>
            <w:r>
              <w:rPr>
                <w:sz w:val="20"/>
              </w:rPr>
              <w:t>Busselton Water Board</w:t>
            </w:r>
          </w:p>
        </w:tc>
        <w:tc>
          <w:tcPr>
            <w:tcW w:w="1157" w:type="dxa"/>
            <w:shd w:val="clear" w:color="auto" w:fill="D2DFED"/>
          </w:tcPr>
          <w:p>
            <w:pPr>
              <w:pStyle w:val="TableParagraph"/>
              <w:spacing w:before="55"/>
              <w:ind w:right="133"/>
              <w:rPr>
                <w:sz w:val="20"/>
              </w:rPr>
            </w:pPr>
            <w:r>
              <w:rPr>
                <w:w w:val="95"/>
                <w:sz w:val="20"/>
              </w:rPr>
              <w:t>29</w:t>
            </w:r>
          </w:p>
        </w:tc>
        <w:tc>
          <w:tcPr>
            <w:tcW w:w="1185" w:type="dxa"/>
            <w:shd w:val="clear" w:color="auto" w:fill="D2DFED"/>
          </w:tcPr>
          <w:p>
            <w:pPr>
              <w:pStyle w:val="TableParagraph"/>
              <w:spacing w:before="55"/>
              <w:ind w:right="186"/>
              <w:rPr>
                <w:sz w:val="20"/>
              </w:rPr>
            </w:pPr>
            <w:r>
              <w:rPr>
                <w:w w:val="95"/>
                <w:sz w:val="20"/>
              </w:rPr>
              <w:t>28</w:t>
            </w:r>
          </w:p>
        </w:tc>
        <w:tc>
          <w:tcPr>
            <w:tcW w:w="1056" w:type="dxa"/>
            <w:shd w:val="clear" w:color="auto" w:fill="D2DFED"/>
          </w:tcPr>
          <w:p>
            <w:pPr>
              <w:pStyle w:val="TableParagraph"/>
              <w:spacing w:before="55"/>
              <w:ind w:right="106"/>
              <w:rPr>
                <w:sz w:val="20"/>
              </w:rPr>
            </w:pPr>
            <w:r>
              <w:rPr>
                <w:w w:val="95"/>
                <w:sz w:val="20"/>
              </w:rPr>
              <w:t>29</w:t>
            </w:r>
          </w:p>
        </w:tc>
      </w:tr>
      <w:tr>
        <w:trPr>
          <w:trHeight w:val="300" w:hRule="atLeast"/>
        </w:trPr>
        <w:tc>
          <w:tcPr>
            <w:tcW w:w="6082" w:type="dxa"/>
          </w:tcPr>
          <w:p>
            <w:pPr>
              <w:pStyle w:val="TableParagraph"/>
              <w:ind w:left="122"/>
              <w:jc w:val="left"/>
              <w:rPr>
                <w:sz w:val="20"/>
              </w:rPr>
            </w:pPr>
            <w:r>
              <w:rPr>
                <w:sz w:val="20"/>
              </w:rPr>
              <w:t>Perth Market Authority</w:t>
            </w:r>
          </w:p>
        </w:tc>
        <w:tc>
          <w:tcPr>
            <w:tcW w:w="1157" w:type="dxa"/>
          </w:tcPr>
          <w:p>
            <w:pPr>
              <w:pStyle w:val="TableParagraph"/>
              <w:ind w:right="133"/>
              <w:rPr>
                <w:sz w:val="20"/>
              </w:rPr>
            </w:pPr>
            <w:r>
              <w:rPr>
                <w:w w:val="95"/>
                <w:sz w:val="20"/>
              </w:rPr>
              <w:t>43</w:t>
            </w:r>
          </w:p>
        </w:tc>
        <w:tc>
          <w:tcPr>
            <w:tcW w:w="1185" w:type="dxa"/>
          </w:tcPr>
          <w:p>
            <w:pPr>
              <w:pStyle w:val="TableParagraph"/>
              <w:ind w:right="186"/>
              <w:rPr>
                <w:sz w:val="20"/>
              </w:rPr>
            </w:pPr>
            <w:r>
              <w:rPr>
                <w:w w:val="95"/>
                <w:sz w:val="20"/>
              </w:rPr>
              <w:t>23</w:t>
            </w:r>
          </w:p>
        </w:tc>
        <w:tc>
          <w:tcPr>
            <w:tcW w:w="1056" w:type="dxa"/>
          </w:tcPr>
          <w:p>
            <w:pPr>
              <w:pStyle w:val="TableParagraph"/>
              <w:ind w:right="106"/>
              <w:rPr>
                <w:sz w:val="20"/>
              </w:rPr>
            </w:pPr>
            <w:r>
              <w:rPr>
                <w:w w:val="95"/>
                <w:sz w:val="20"/>
              </w:rPr>
              <w:t>20</w:t>
            </w:r>
          </w:p>
        </w:tc>
      </w:tr>
      <w:tr>
        <w:trPr>
          <w:trHeight w:val="299" w:hRule="atLeast"/>
        </w:trPr>
        <w:tc>
          <w:tcPr>
            <w:tcW w:w="6082" w:type="dxa"/>
            <w:shd w:val="clear" w:color="auto" w:fill="D2DFED"/>
          </w:tcPr>
          <w:p>
            <w:pPr>
              <w:pStyle w:val="TableParagraph"/>
              <w:ind w:left="122"/>
              <w:jc w:val="left"/>
              <w:rPr>
                <w:sz w:val="20"/>
              </w:rPr>
            </w:pPr>
            <w:r>
              <w:rPr>
                <w:sz w:val="20"/>
              </w:rPr>
              <w:t>Bunbury Port Authority</w:t>
            </w:r>
          </w:p>
        </w:tc>
        <w:tc>
          <w:tcPr>
            <w:tcW w:w="1157" w:type="dxa"/>
            <w:shd w:val="clear" w:color="auto" w:fill="D2DFED"/>
          </w:tcPr>
          <w:p>
            <w:pPr>
              <w:pStyle w:val="TableParagraph"/>
              <w:ind w:right="133"/>
              <w:rPr>
                <w:sz w:val="20"/>
              </w:rPr>
            </w:pPr>
            <w:r>
              <w:rPr>
                <w:w w:val="95"/>
                <w:sz w:val="20"/>
              </w:rPr>
              <w:t>23</w:t>
            </w:r>
          </w:p>
        </w:tc>
        <w:tc>
          <w:tcPr>
            <w:tcW w:w="1185" w:type="dxa"/>
            <w:shd w:val="clear" w:color="auto" w:fill="D2DFED"/>
          </w:tcPr>
          <w:p>
            <w:pPr>
              <w:pStyle w:val="TableParagraph"/>
              <w:ind w:right="186"/>
              <w:rPr>
                <w:sz w:val="20"/>
              </w:rPr>
            </w:pPr>
            <w:r>
              <w:rPr>
                <w:w w:val="95"/>
                <w:sz w:val="20"/>
              </w:rPr>
              <w:t>22</w:t>
            </w:r>
          </w:p>
        </w:tc>
        <w:tc>
          <w:tcPr>
            <w:tcW w:w="1056" w:type="dxa"/>
            <w:shd w:val="clear" w:color="auto" w:fill="D2DFED"/>
          </w:tcPr>
          <w:p>
            <w:pPr>
              <w:pStyle w:val="TableParagraph"/>
              <w:ind w:right="106"/>
              <w:rPr>
                <w:sz w:val="20"/>
              </w:rPr>
            </w:pPr>
            <w:r>
              <w:rPr>
                <w:w w:val="95"/>
                <w:sz w:val="20"/>
              </w:rPr>
              <w:t>21</w:t>
            </w:r>
          </w:p>
        </w:tc>
      </w:tr>
      <w:tr>
        <w:trPr>
          <w:trHeight w:val="300" w:hRule="atLeast"/>
        </w:trPr>
        <w:tc>
          <w:tcPr>
            <w:tcW w:w="6082" w:type="dxa"/>
          </w:tcPr>
          <w:p>
            <w:pPr>
              <w:pStyle w:val="TableParagraph"/>
              <w:ind w:left="122"/>
              <w:jc w:val="left"/>
              <w:rPr>
                <w:sz w:val="20"/>
              </w:rPr>
            </w:pPr>
            <w:r>
              <w:rPr>
                <w:sz w:val="20"/>
              </w:rPr>
              <w:t>Albany Port Authority</w:t>
            </w:r>
          </w:p>
        </w:tc>
        <w:tc>
          <w:tcPr>
            <w:tcW w:w="1157" w:type="dxa"/>
          </w:tcPr>
          <w:p>
            <w:pPr>
              <w:pStyle w:val="TableParagraph"/>
              <w:ind w:right="133"/>
              <w:rPr>
                <w:sz w:val="20"/>
              </w:rPr>
            </w:pPr>
            <w:r>
              <w:rPr>
                <w:w w:val="95"/>
                <w:sz w:val="20"/>
              </w:rPr>
              <w:t>22</w:t>
            </w:r>
          </w:p>
        </w:tc>
        <w:tc>
          <w:tcPr>
            <w:tcW w:w="1185" w:type="dxa"/>
          </w:tcPr>
          <w:p>
            <w:pPr>
              <w:pStyle w:val="TableParagraph"/>
              <w:ind w:right="186"/>
              <w:rPr>
                <w:sz w:val="20"/>
              </w:rPr>
            </w:pPr>
            <w:r>
              <w:rPr>
                <w:w w:val="95"/>
                <w:sz w:val="20"/>
              </w:rPr>
              <w:t>22</w:t>
            </w:r>
          </w:p>
        </w:tc>
        <w:tc>
          <w:tcPr>
            <w:tcW w:w="1056" w:type="dxa"/>
          </w:tcPr>
          <w:p>
            <w:pPr>
              <w:pStyle w:val="TableParagraph"/>
              <w:ind w:right="106"/>
              <w:rPr>
                <w:sz w:val="20"/>
              </w:rPr>
            </w:pPr>
            <w:r>
              <w:rPr>
                <w:w w:val="95"/>
                <w:sz w:val="20"/>
              </w:rPr>
              <w:t>21</w:t>
            </w:r>
          </w:p>
        </w:tc>
      </w:tr>
      <w:tr>
        <w:trPr>
          <w:trHeight w:val="299" w:hRule="atLeast"/>
        </w:trPr>
        <w:tc>
          <w:tcPr>
            <w:tcW w:w="6082" w:type="dxa"/>
            <w:shd w:val="clear" w:color="auto" w:fill="D2DFED"/>
          </w:tcPr>
          <w:p>
            <w:pPr>
              <w:pStyle w:val="TableParagraph"/>
              <w:ind w:left="122"/>
              <w:jc w:val="left"/>
              <w:rPr>
                <w:sz w:val="20"/>
              </w:rPr>
            </w:pPr>
            <w:r>
              <w:rPr>
                <w:sz w:val="20"/>
              </w:rPr>
              <w:t>Office of Health Review</w:t>
            </w:r>
          </w:p>
        </w:tc>
        <w:tc>
          <w:tcPr>
            <w:tcW w:w="1157" w:type="dxa"/>
            <w:shd w:val="clear" w:color="auto" w:fill="D2DFED"/>
          </w:tcPr>
          <w:p>
            <w:pPr>
              <w:pStyle w:val="TableParagraph"/>
              <w:ind w:right="133"/>
              <w:rPr>
                <w:sz w:val="20"/>
              </w:rPr>
            </w:pPr>
            <w:r>
              <w:rPr>
                <w:w w:val="95"/>
                <w:sz w:val="20"/>
              </w:rPr>
              <w:t>18</w:t>
            </w:r>
          </w:p>
        </w:tc>
        <w:tc>
          <w:tcPr>
            <w:tcW w:w="1185" w:type="dxa"/>
            <w:shd w:val="clear" w:color="auto" w:fill="D2DFED"/>
          </w:tcPr>
          <w:p>
            <w:pPr>
              <w:pStyle w:val="TableParagraph"/>
              <w:ind w:right="186"/>
              <w:rPr>
                <w:sz w:val="20"/>
              </w:rPr>
            </w:pPr>
            <w:r>
              <w:rPr>
                <w:w w:val="95"/>
                <w:sz w:val="20"/>
              </w:rPr>
              <w:t>15</w:t>
            </w:r>
          </w:p>
        </w:tc>
        <w:tc>
          <w:tcPr>
            <w:tcW w:w="1056" w:type="dxa"/>
            <w:shd w:val="clear" w:color="auto" w:fill="D2DFED"/>
          </w:tcPr>
          <w:p>
            <w:pPr>
              <w:pStyle w:val="TableParagraph"/>
              <w:ind w:right="106"/>
              <w:rPr>
                <w:sz w:val="20"/>
              </w:rPr>
            </w:pPr>
            <w:r>
              <w:rPr>
                <w:w w:val="95"/>
                <w:sz w:val="20"/>
              </w:rPr>
              <w:t>13</w:t>
            </w:r>
          </w:p>
        </w:tc>
      </w:tr>
      <w:tr>
        <w:trPr>
          <w:trHeight w:val="300" w:hRule="atLeast"/>
        </w:trPr>
        <w:tc>
          <w:tcPr>
            <w:tcW w:w="6082" w:type="dxa"/>
          </w:tcPr>
          <w:p>
            <w:pPr>
              <w:pStyle w:val="TableParagraph"/>
              <w:ind w:left="122"/>
              <w:jc w:val="left"/>
              <w:rPr>
                <w:sz w:val="20"/>
              </w:rPr>
            </w:pPr>
            <w:r>
              <w:rPr>
                <w:sz w:val="20"/>
              </w:rPr>
              <w:t>Western Australian Health Promotion Foundation (Healthway)</w:t>
            </w:r>
          </w:p>
        </w:tc>
        <w:tc>
          <w:tcPr>
            <w:tcW w:w="1157" w:type="dxa"/>
          </w:tcPr>
          <w:p>
            <w:pPr>
              <w:pStyle w:val="TableParagraph"/>
              <w:ind w:right="133"/>
              <w:rPr>
                <w:sz w:val="20"/>
              </w:rPr>
            </w:pPr>
            <w:r>
              <w:rPr>
                <w:w w:val="95"/>
                <w:sz w:val="20"/>
              </w:rPr>
              <w:t>16</w:t>
            </w:r>
          </w:p>
        </w:tc>
        <w:tc>
          <w:tcPr>
            <w:tcW w:w="1185" w:type="dxa"/>
          </w:tcPr>
          <w:p>
            <w:pPr>
              <w:pStyle w:val="TableParagraph"/>
              <w:ind w:right="186"/>
              <w:rPr>
                <w:sz w:val="20"/>
              </w:rPr>
            </w:pPr>
            <w:r>
              <w:rPr>
                <w:w w:val="95"/>
                <w:sz w:val="20"/>
              </w:rPr>
              <w:t>15</w:t>
            </w:r>
          </w:p>
        </w:tc>
        <w:tc>
          <w:tcPr>
            <w:tcW w:w="1056" w:type="dxa"/>
          </w:tcPr>
          <w:p>
            <w:pPr>
              <w:pStyle w:val="TableParagraph"/>
              <w:ind w:right="106"/>
              <w:rPr>
                <w:sz w:val="20"/>
              </w:rPr>
            </w:pPr>
            <w:r>
              <w:rPr>
                <w:w w:val="95"/>
                <w:sz w:val="20"/>
              </w:rPr>
              <w:t>15</w:t>
            </w:r>
          </w:p>
        </w:tc>
      </w:tr>
      <w:tr>
        <w:trPr>
          <w:trHeight w:val="299" w:hRule="atLeast"/>
        </w:trPr>
        <w:tc>
          <w:tcPr>
            <w:tcW w:w="6082" w:type="dxa"/>
            <w:shd w:val="clear" w:color="auto" w:fill="D2DFED"/>
          </w:tcPr>
          <w:p>
            <w:pPr>
              <w:pStyle w:val="TableParagraph"/>
              <w:ind w:left="122"/>
              <w:jc w:val="left"/>
              <w:rPr>
                <w:sz w:val="20"/>
              </w:rPr>
            </w:pPr>
            <w:r>
              <w:rPr>
                <w:sz w:val="20"/>
              </w:rPr>
              <w:t>Building and Construction Industry Training Board</w:t>
            </w:r>
          </w:p>
        </w:tc>
        <w:tc>
          <w:tcPr>
            <w:tcW w:w="1157" w:type="dxa"/>
            <w:shd w:val="clear" w:color="auto" w:fill="D2DFED"/>
          </w:tcPr>
          <w:p>
            <w:pPr>
              <w:pStyle w:val="TableParagraph"/>
              <w:ind w:right="133"/>
              <w:rPr>
                <w:sz w:val="20"/>
              </w:rPr>
            </w:pPr>
            <w:r>
              <w:rPr>
                <w:w w:val="95"/>
                <w:sz w:val="20"/>
              </w:rPr>
              <w:t>15</w:t>
            </w:r>
          </w:p>
        </w:tc>
        <w:tc>
          <w:tcPr>
            <w:tcW w:w="1185" w:type="dxa"/>
            <w:shd w:val="clear" w:color="auto" w:fill="D2DFED"/>
          </w:tcPr>
          <w:p>
            <w:pPr>
              <w:pStyle w:val="TableParagraph"/>
              <w:ind w:right="186"/>
              <w:rPr>
                <w:sz w:val="20"/>
              </w:rPr>
            </w:pPr>
            <w:r>
              <w:rPr>
                <w:w w:val="95"/>
                <w:sz w:val="20"/>
              </w:rPr>
              <w:t>14</w:t>
            </w:r>
          </w:p>
        </w:tc>
        <w:tc>
          <w:tcPr>
            <w:tcW w:w="1056" w:type="dxa"/>
            <w:shd w:val="clear" w:color="auto" w:fill="D2DFED"/>
          </w:tcPr>
          <w:p>
            <w:pPr>
              <w:pStyle w:val="TableParagraph"/>
              <w:ind w:right="106"/>
              <w:rPr>
                <w:sz w:val="20"/>
              </w:rPr>
            </w:pPr>
            <w:r>
              <w:rPr>
                <w:w w:val="95"/>
                <w:sz w:val="20"/>
              </w:rPr>
              <w:t>12</w:t>
            </w:r>
          </w:p>
        </w:tc>
      </w:tr>
      <w:tr>
        <w:trPr>
          <w:trHeight w:val="300" w:hRule="atLeast"/>
        </w:trPr>
        <w:tc>
          <w:tcPr>
            <w:tcW w:w="6082" w:type="dxa"/>
          </w:tcPr>
          <w:p>
            <w:pPr>
              <w:pStyle w:val="TableParagraph"/>
              <w:ind w:left="122"/>
              <w:jc w:val="left"/>
              <w:rPr>
                <w:sz w:val="20"/>
              </w:rPr>
            </w:pPr>
            <w:r>
              <w:rPr>
                <w:sz w:val="20"/>
              </w:rPr>
              <w:t>Keep Australia Beautiful Council (W.A.)</w:t>
            </w:r>
          </w:p>
        </w:tc>
        <w:tc>
          <w:tcPr>
            <w:tcW w:w="1157" w:type="dxa"/>
          </w:tcPr>
          <w:p>
            <w:pPr>
              <w:pStyle w:val="TableParagraph"/>
              <w:ind w:right="133"/>
              <w:rPr>
                <w:sz w:val="20"/>
              </w:rPr>
            </w:pPr>
            <w:r>
              <w:rPr>
                <w:w w:val="95"/>
                <w:sz w:val="20"/>
              </w:rPr>
              <w:t>14</w:t>
            </w:r>
          </w:p>
        </w:tc>
        <w:tc>
          <w:tcPr>
            <w:tcW w:w="1185" w:type="dxa"/>
          </w:tcPr>
          <w:p>
            <w:pPr>
              <w:pStyle w:val="TableParagraph"/>
              <w:ind w:right="186"/>
              <w:rPr>
                <w:sz w:val="20"/>
              </w:rPr>
            </w:pPr>
            <w:r>
              <w:rPr>
                <w:w w:val="95"/>
                <w:sz w:val="20"/>
              </w:rPr>
              <w:t>12</w:t>
            </w:r>
          </w:p>
        </w:tc>
        <w:tc>
          <w:tcPr>
            <w:tcW w:w="1056" w:type="dxa"/>
          </w:tcPr>
          <w:p>
            <w:pPr>
              <w:pStyle w:val="TableParagraph"/>
              <w:ind w:right="106"/>
              <w:rPr>
                <w:sz w:val="20"/>
              </w:rPr>
            </w:pPr>
            <w:r>
              <w:rPr>
                <w:w w:val="95"/>
                <w:sz w:val="20"/>
              </w:rPr>
              <w:t>11</w:t>
            </w:r>
          </w:p>
        </w:tc>
      </w:tr>
      <w:tr>
        <w:trPr>
          <w:trHeight w:val="299" w:hRule="atLeast"/>
        </w:trPr>
        <w:tc>
          <w:tcPr>
            <w:tcW w:w="6082" w:type="dxa"/>
            <w:shd w:val="clear" w:color="auto" w:fill="D2DFED"/>
          </w:tcPr>
          <w:p>
            <w:pPr>
              <w:pStyle w:val="TableParagraph"/>
              <w:ind w:left="122"/>
              <w:jc w:val="left"/>
              <w:rPr>
                <w:sz w:val="20"/>
              </w:rPr>
            </w:pPr>
            <w:r>
              <w:rPr>
                <w:sz w:val="20"/>
              </w:rPr>
              <w:t>Potato Marketing Corporation of Western Australia</w:t>
            </w:r>
          </w:p>
        </w:tc>
        <w:tc>
          <w:tcPr>
            <w:tcW w:w="1157" w:type="dxa"/>
            <w:shd w:val="clear" w:color="auto" w:fill="D2DFED"/>
          </w:tcPr>
          <w:p>
            <w:pPr>
              <w:pStyle w:val="TableParagraph"/>
              <w:ind w:right="133"/>
              <w:rPr>
                <w:sz w:val="20"/>
              </w:rPr>
            </w:pPr>
            <w:r>
              <w:rPr>
                <w:w w:val="95"/>
                <w:sz w:val="20"/>
              </w:rPr>
              <w:t>12</w:t>
            </w:r>
          </w:p>
        </w:tc>
        <w:tc>
          <w:tcPr>
            <w:tcW w:w="1185" w:type="dxa"/>
            <w:shd w:val="clear" w:color="auto" w:fill="D2DFED"/>
          </w:tcPr>
          <w:p>
            <w:pPr>
              <w:pStyle w:val="TableParagraph"/>
              <w:ind w:right="186"/>
              <w:rPr>
                <w:sz w:val="20"/>
              </w:rPr>
            </w:pPr>
            <w:r>
              <w:rPr>
                <w:w w:val="95"/>
                <w:sz w:val="20"/>
              </w:rPr>
              <w:t>11</w:t>
            </w:r>
          </w:p>
        </w:tc>
        <w:tc>
          <w:tcPr>
            <w:tcW w:w="1056" w:type="dxa"/>
            <w:shd w:val="clear" w:color="auto" w:fill="D2DFED"/>
          </w:tcPr>
          <w:p>
            <w:pPr>
              <w:pStyle w:val="TableParagraph"/>
              <w:ind w:right="106"/>
              <w:rPr>
                <w:sz w:val="20"/>
              </w:rPr>
            </w:pPr>
            <w:r>
              <w:rPr>
                <w:w w:val="95"/>
                <w:sz w:val="20"/>
              </w:rPr>
              <w:t>11</w:t>
            </w:r>
          </w:p>
        </w:tc>
      </w:tr>
      <w:tr>
        <w:trPr>
          <w:trHeight w:val="299" w:hRule="atLeast"/>
        </w:trPr>
        <w:tc>
          <w:tcPr>
            <w:tcW w:w="6082" w:type="dxa"/>
            <w:tcBorders>
              <w:bottom w:val="single" w:sz="8" w:space="0" w:color="4F81BC"/>
            </w:tcBorders>
          </w:tcPr>
          <w:p>
            <w:pPr>
              <w:pStyle w:val="TableParagraph"/>
              <w:spacing w:line="225" w:lineRule="exact"/>
              <w:ind w:left="122"/>
              <w:jc w:val="left"/>
              <w:rPr>
                <w:sz w:val="20"/>
              </w:rPr>
            </w:pPr>
            <w:r>
              <w:rPr>
                <w:sz w:val="20"/>
              </w:rPr>
              <w:t>Western Australian Meat Industry Authority</w:t>
            </w:r>
          </w:p>
        </w:tc>
        <w:tc>
          <w:tcPr>
            <w:tcW w:w="1157" w:type="dxa"/>
            <w:tcBorders>
              <w:bottom w:val="single" w:sz="8" w:space="0" w:color="4F81BC"/>
            </w:tcBorders>
          </w:tcPr>
          <w:p>
            <w:pPr>
              <w:pStyle w:val="TableParagraph"/>
              <w:spacing w:line="225" w:lineRule="exact"/>
              <w:ind w:right="133"/>
              <w:rPr>
                <w:sz w:val="20"/>
              </w:rPr>
            </w:pPr>
            <w:r>
              <w:rPr>
                <w:w w:val="95"/>
                <w:sz w:val="20"/>
              </w:rPr>
              <w:t>14</w:t>
            </w:r>
          </w:p>
        </w:tc>
        <w:tc>
          <w:tcPr>
            <w:tcW w:w="1185" w:type="dxa"/>
            <w:tcBorders>
              <w:bottom w:val="single" w:sz="8" w:space="0" w:color="4F81BC"/>
            </w:tcBorders>
          </w:tcPr>
          <w:p>
            <w:pPr>
              <w:pStyle w:val="TableParagraph"/>
              <w:spacing w:line="225" w:lineRule="exact"/>
              <w:ind w:right="186"/>
              <w:rPr>
                <w:sz w:val="20"/>
              </w:rPr>
            </w:pPr>
            <w:r>
              <w:rPr>
                <w:w w:val="95"/>
                <w:sz w:val="20"/>
              </w:rPr>
              <w:t>10</w:t>
            </w:r>
          </w:p>
        </w:tc>
        <w:tc>
          <w:tcPr>
            <w:tcW w:w="1056" w:type="dxa"/>
            <w:tcBorders>
              <w:bottom w:val="single" w:sz="8" w:space="0" w:color="4F81BC"/>
            </w:tcBorders>
          </w:tcPr>
          <w:p>
            <w:pPr>
              <w:pStyle w:val="TableParagraph"/>
              <w:spacing w:line="225" w:lineRule="exact"/>
              <w:ind w:right="106"/>
              <w:rPr>
                <w:sz w:val="20"/>
              </w:rPr>
            </w:pPr>
            <w:r>
              <w:rPr>
                <w:w w:val="95"/>
                <w:sz w:val="20"/>
              </w:rPr>
              <w:t>10</w:t>
            </w:r>
          </w:p>
        </w:tc>
      </w:tr>
    </w:tbl>
    <w:p>
      <w:pPr>
        <w:spacing w:after="0" w:line="225" w:lineRule="exact"/>
        <w:rPr>
          <w:sz w:val="20"/>
        </w:rPr>
        <w:sectPr>
          <w:pgSz w:w="11910" w:h="16850"/>
          <w:pgMar w:top="1100" w:bottom="280" w:left="1180" w:right="1000"/>
        </w:sect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73"/>
        <w:gridCol w:w="1611"/>
        <w:gridCol w:w="984"/>
        <w:gridCol w:w="1104"/>
      </w:tblGrid>
      <w:tr>
        <w:trPr>
          <w:trHeight w:val="301" w:hRule="atLeast"/>
        </w:trPr>
        <w:tc>
          <w:tcPr>
            <w:tcW w:w="5773" w:type="dxa"/>
            <w:tcBorders>
              <w:top w:val="single" w:sz="8" w:space="0" w:color="4F81BC"/>
            </w:tcBorders>
            <w:shd w:val="clear" w:color="auto" w:fill="D2DFED"/>
          </w:tcPr>
          <w:p>
            <w:pPr>
              <w:pStyle w:val="TableParagraph"/>
              <w:spacing w:before="56"/>
              <w:ind w:left="115"/>
              <w:jc w:val="left"/>
              <w:rPr>
                <w:sz w:val="20"/>
              </w:rPr>
            </w:pPr>
            <w:r>
              <w:rPr>
                <w:sz w:val="20"/>
              </w:rPr>
              <w:t>Midland Redevelopment Authority</w:t>
            </w:r>
          </w:p>
        </w:tc>
        <w:tc>
          <w:tcPr>
            <w:tcW w:w="1611" w:type="dxa"/>
            <w:tcBorders>
              <w:top w:val="single" w:sz="8" w:space="0" w:color="4F81BC"/>
            </w:tcBorders>
            <w:shd w:val="clear" w:color="auto" w:fill="D2DFED"/>
          </w:tcPr>
          <w:p>
            <w:pPr>
              <w:pStyle w:val="TableParagraph"/>
              <w:spacing w:before="56"/>
              <w:ind w:right="286"/>
              <w:rPr>
                <w:sz w:val="20"/>
              </w:rPr>
            </w:pPr>
            <w:r>
              <w:rPr>
                <w:w w:val="95"/>
                <w:sz w:val="20"/>
              </w:rPr>
              <w:t>11</w:t>
            </w:r>
          </w:p>
        </w:tc>
        <w:tc>
          <w:tcPr>
            <w:tcW w:w="984" w:type="dxa"/>
            <w:tcBorders>
              <w:top w:val="single" w:sz="8" w:space="0" w:color="4F81BC"/>
            </w:tcBorders>
            <w:shd w:val="clear" w:color="auto" w:fill="D2DFED"/>
          </w:tcPr>
          <w:p>
            <w:pPr>
              <w:pStyle w:val="TableParagraph"/>
              <w:spacing w:before="56"/>
              <w:ind w:right="137"/>
              <w:rPr>
                <w:sz w:val="20"/>
              </w:rPr>
            </w:pPr>
            <w:r>
              <w:rPr>
                <w:w w:val="95"/>
                <w:sz w:val="20"/>
              </w:rPr>
              <w:t>10</w:t>
            </w:r>
          </w:p>
        </w:tc>
        <w:tc>
          <w:tcPr>
            <w:tcW w:w="1104" w:type="dxa"/>
            <w:tcBorders>
              <w:top w:val="single" w:sz="8" w:space="0" w:color="4F81BC"/>
            </w:tcBorders>
            <w:shd w:val="clear" w:color="auto" w:fill="D2DFED"/>
          </w:tcPr>
          <w:p>
            <w:pPr>
              <w:pStyle w:val="TableParagraph"/>
              <w:spacing w:before="56"/>
              <w:ind w:right="105"/>
              <w:rPr>
                <w:sz w:val="20"/>
              </w:rPr>
            </w:pPr>
            <w:r>
              <w:rPr>
                <w:w w:val="95"/>
                <w:sz w:val="20"/>
              </w:rPr>
              <w:t>10</w:t>
            </w:r>
          </w:p>
        </w:tc>
      </w:tr>
      <w:tr>
        <w:trPr>
          <w:trHeight w:val="300" w:hRule="atLeast"/>
        </w:trPr>
        <w:tc>
          <w:tcPr>
            <w:tcW w:w="5773" w:type="dxa"/>
          </w:tcPr>
          <w:p>
            <w:pPr>
              <w:pStyle w:val="TableParagraph"/>
              <w:ind w:left="115"/>
              <w:jc w:val="left"/>
              <w:rPr>
                <w:sz w:val="20"/>
              </w:rPr>
            </w:pPr>
            <w:r>
              <w:rPr>
                <w:sz w:val="20"/>
              </w:rPr>
              <w:t>Pharmaceutical Council of Western Australia</w:t>
            </w:r>
          </w:p>
        </w:tc>
        <w:tc>
          <w:tcPr>
            <w:tcW w:w="1611" w:type="dxa"/>
          </w:tcPr>
          <w:p>
            <w:pPr>
              <w:pStyle w:val="TableParagraph"/>
              <w:ind w:right="286"/>
              <w:rPr>
                <w:sz w:val="20"/>
              </w:rPr>
            </w:pPr>
            <w:r>
              <w:rPr>
                <w:w w:val="95"/>
                <w:sz w:val="20"/>
              </w:rPr>
              <w:t>10</w:t>
            </w:r>
          </w:p>
        </w:tc>
        <w:tc>
          <w:tcPr>
            <w:tcW w:w="984" w:type="dxa"/>
          </w:tcPr>
          <w:p>
            <w:pPr>
              <w:pStyle w:val="TableParagraph"/>
              <w:ind w:right="137"/>
              <w:rPr>
                <w:sz w:val="20"/>
              </w:rPr>
            </w:pPr>
            <w:r>
              <w:rPr>
                <w:w w:val="99"/>
                <w:sz w:val="20"/>
              </w:rPr>
              <w:t>8</w:t>
            </w:r>
          </w:p>
        </w:tc>
        <w:tc>
          <w:tcPr>
            <w:tcW w:w="1104" w:type="dxa"/>
          </w:tcPr>
          <w:p>
            <w:pPr>
              <w:pStyle w:val="TableParagraph"/>
              <w:ind w:right="105"/>
              <w:rPr>
                <w:sz w:val="20"/>
              </w:rPr>
            </w:pPr>
            <w:r>
              <w:rPr>
                <w:w w:val="99"/>
                <w:sz w:val="20"/>
              </w:rPr>
              <w:t>8</w:t>
            </w:r>
          </w:p>
        </w:tc>
      </w:tr>
      <w:tr>
        <w:trPr>
          <w:trHeight w:val="300" w:hRule="atLeast"/>
        </w:trPr>
        <w:tc>
          <w:tcPr>
            <w:tcW w:w="5773" w:type="dxa"/>
            <w:shd w:val="clear" w:color="auto" w:fill="D2DFED"/>
          </w:tcPr>
          <w:p>
            <w:pPr>
              <w:pStyle w:val="TableParagraph"/>
              <w:ind w:left="115"/>
              <w:jc w:val="left"/>
              <w:rPr>
                <w:sz w:val="20"/>
              </w:rPr>
            </w:pPr>
            <w:r>
              <w:rPr>
                <w:sz w:val="20"/>
              </w:rPr>
              <w:t>Hairdressers Registration Board of Western Australia</w:t>
            </w:r>
          </w:p>
        </w:tc>
        <w:tc>
          <w:tcPr>
            <w:tcW w:w="1611" w:type="dxa"/>
            <w:shd w:val="clear" w:color="auto" w:fill="D2DFED"/>
          </w:tcPr>
          <w:p>
            <w:pPr>
              <w:pStyle w:val="TableParagraph"/>
              <w:ind w:right="285"/>
              <w:rPr>
                <w:sz w:val="20"/>
              </w:rPr>
            </w:pPr>
            <w:r>
              <w:rPr>
                <w:w w:val="99"/>
                <w:sz w:val="20"/>
              </w:rPr>
              <w:t>7</w:t>
            </w:r>
          </w:p>
        </w:tc>
        <w:tc>
          <w:tcPr>
            <w:tcW w:w="984" w:type="dxa"/>
            <w:shd w:val="clear" w:color="auto" w:fill="D2DFED"/>
          </w:tcPr>
          <w:p>
            <w:pPr>
              <w:pStyle w:val="TableParagraph"/>
              <w:ind w:right="137"/>
              <w:rPr>
                <w:sz w:val="20"/>
              </w:rPr>
            </w:pPr>
            <w:r>
              <w:rPr>
                <w:w w:val="99"/>
                <w:sz w:val="20"/>
              </w:rPr>
              <w:t>7</w:t>
            </w:r>
          </w:p>
        </w:tc>
        <w:tc>
          <w:tcPr>
            <w:tcW w:w="1104" w:type="dxa"/>
            <w:shd w:val="clear" w:color="auto" w:fill="D2DFED"/>
          </w:tcPr>
          <w:p>
            <w:pPr>
              <w:pStyle w:val="TableParagraph"/>
              <w:ind w:right="105"/>
              <w:rPr>
                <w:sz w:val="20"/>
              </w:rPr>
            </w:pPr>
            <w:r>
              <w:rPr>
                <w:w w:val="99"/>
                <w:sz w:val="20"/>
              </w:rPr>
              <w:t>7</w:t>
            </w:r>
          </w:p>
        </w:tc>
      </w:tr>
      <w:tr>
        <w:trPr>
          <w:trHeight w:val="299" w:hRule="atLeast"/>
        </w:trPr>
        <w:tc>
          <w:tcPr>
            <w:tcW w:w="5773" w:type="dxa"/>
          </w:tcPr>
          <w:p>
            <w:pPr>
              <w:pStyle w:val="TableParagraph"/>
              <w:ind w:left="115"/>
              <w:jc w:val="left"/>
              <w:rPr>
                <w:sz w:val="20"/>
              </w:rPr>
            </w:pPr>
            <w:r>
              <w:rPr>
                <w:sz w:val="20"/>
              </w:rPr>
              <w:t>Burswood Park Board</w:t>
            </w:r>
          </w:p>
        </w:tc>
        <w:tc>
          <w:tcPr>
            <w:tcW w:w="1611" w:type="dxa"/>
          </w:tcPr>
          <w:p>
            <w:pPr>
              <w:pStyle w:val="TableParagraph"/>
              <w:ind w:right="285"/>
              <w:rPr>
                <w:sz w:val="20"/>
              </w:rPr>
            </w:pPr>
            <w:r>
              <w:rPr>
                <w:w w:val="99"/>
                <w:sz w:val="20"/>
              </w:rPr>
              <w:t>6</w:t>
            </w:r>
          </w:p>
        </w:tc>
        <w:tc>
          <w:tcPr>
            <w:tcW w:w="984" w:type="dxa"/>
          </w:tcPr>
          <w:p>
            <w:pPr>
              <w:pStyle w:val="TableParagraph"/>
              <w:ind w:right="137"/>
              <w:rPr>
                <w:sz w:val="20"/>
              </w:rPr>
            </w:pPr>
            <w:r>
              <w:rPr>
                <w:w w:val="99"/>
                <w:sz w:val="20"/>
              </w:rPr>
              <w:t>6</w:t>
            </w:r>
          </w:p>
        </w:tc>
        <w:tc>
          <w:tcPr>
            <w:tcW w:w="1104" w:type="dxa"/>
          </w:tcPr>
          <w:p>
            <w:pPr>
              <w:pStyle w:val="TableParagraph"/>
              <w:ind w:right="105"/>
              <w:rPr>
                <w:sz w:val="20"/>
              </w:rPr>
            </w:pPr>
            <w:r>
              <w:rPr>
                <w:w w:val="99"/>
                <w:sz w:val="20"/>
              </w:rPr>
              <w:t>6</w:t>
            </w:r>
          </w:p>
        </w:tc>
      </w:tr>
      <w:tr>
        <w:trPr>
          <w:trHeight w:val="300" w:hRule="atLeast"/>
        </w:trPr>
        <w:tc>
          <w:tcPr>
            <w:tcW w:w="5773" w:type="dxa"/>
            <w:shd w:val="clear" w:color="auto" w:fill="D2DFED"/>
          </w:tcPr>
          <w:p>
            <w:pPr>
              <w:pStyle w:val="TableParagraph"/>
              <w:ind w:left="115"/>
              <w:jc w:val="left"/>
              <w:rPr>
                <w:sz w:val="20"/>
              </w:rPr>
            </w:pPr>
            <w:r>
              <w:rPr>
                <w:sz w:val="20"/>
              </w:rPr>
              <w:t>Veterinary Surgeons’ Board</w:t>
            </w:r>
          </w:p>
        </w:tc>
        <w:tc>
          <w:tcPr>
            <w:tcW w:w="1611" w:type="dxa"/>
            <w:shd w:val="clear" w:color="auto" w:fill="D2DFED"/>
          </w:tcPr>
          <w:p>
            <w:pPr>
              <w:pStyle w:val="TableParagraph"/>
              <w:ind w:right="285"/>
              <w:rPr>
                <w:sz w:val="20"/>
              </w:rPr>
            </w:pPr>
            <w:r>
              <w:rPr>
                <w:w w:val="99"/>
                <w:sz w:val="20"/>
              </w:rPr>
              <w:t>6</w:t>
            </w:r>
          </w:p>
        </w:tc>
        <w:tc>
          <w:tcPr>
            <w:tcW w:w="984" w:type="dxa"/>
            <w:shd w:val="clear" w:color="auto" w:fill="D2DFED"/>
          </w:tcPr>
          <w:p>
            <w:pPr>
              <w:pStyle w:val="TableParagraph"/>
              <w:ind w:right="137"/>
              <w:rPr>
                <w:sz w:val="20"/>
              </w:rPr>
            </w:pPr>
            <w:r>
              <w:rPr>
                <w:w w:val="99"/>
                <w:sz w:val="20"/>
              </w:rPr>
              <w:t>4</w:t>
            </w:r>
          </w:p>
        </w:tc>
        <w:tc>
          <w:tcPr>
            <w:tcW w:w="1104" w:type="dxa"/>
            <w:shd w:val="clear" w:color="auto" w:fill="D2DFED"/>
          </w:tcPr>
          <w:p>
            <w:pPr>
              <w:pStyle w:val="TableParagraph"/>
              <w:ind w:right="105"/>
              <w:rPr>
                <w:sz w:val="20"/>
              </w:rPr>
            </w:pPr>
            <w:r>
              <w:rPr>
                <w:w w:val="99"/>
                <w:sz w:val="20"/>
              </w:rPr>
              <w:t>4</w:t>
            </w:r>
          </w:p>
        </w:tc>
      </w:tr>
      <w:tr>
        <w:trPr>
          <w:trHeight w:val="299" w:hRule="atLeast"/>
        </w:trPr>
        <w:tc>
          <w:tcPr>
            <w:tcW w:w="5773" w:type="dxa"/>
          </w:tcPr>
          <w:p>
            <w:pPr>
              <w:pStyle w:val="TableParagraph"/>
              <w:ind w:left="115"/>
              <w:jc w:val="left"/>
              <w:rPr>
                <w:sz w:val="20"/>
              </w:rPr>
            </w:pPr>
            <w:r>
              <w:rPr>
                <w:sz w:val="20"/>
              </w:rPr>
              <w:t>Architects Board of Western Australia</w:t>
            </w:r>
          </w:p>
        </w:tc>
        <w:tc>
          <w:tcPr>
            <w:tcW w:w="1611" w:type="dxa"/>
          </w:tcPr>
          <w:p>
            <w:pPr>
              <w:pStyle w:val="TableParagraph"/>
              <w:ind w:right="285"/>
              <w:rPr>
                <w:sz w:val="20"/>
              </w:rPr>
            </w:pPr>
            <w:r>
              <w:rPr>
                <w:w w:val="99"/>
                <w:sz w:val="20"/>
              </w:rPr>
              <w:t>3</w:t>
            </w:r>
          </w:p>
        </w:tc>
        <w:tc>
          <w:tcPr>
            <w:tcW w:w="984" w:type="dxa"/>
          </w:tcPr>
          <w:p>
            <w:pPr>
              <w:pStyle w:val="TableParagraph"/>
              <w:ind w:right="137"/>
              <w:rPr>
                <w:sz w:val="20"/>
              </w:rPr>
            </w:pPr>
            <w:r>
              <w:rPr>
                <w:w w:val="99"/>
                <w:sz w:val="20"/>
              </w:rPr>
              <w:t>2</w:t>
            </w:r>
          </w:p>
        </w:tc>
        <w:tc>
          <w:tcPr>
            <w:tcW w:w="1104" w:type="dxa"/>
          </w:tcPr>
          <w:p>
            <w:pPr>
              <w:pStyle w:val="TableParagraph"/>
              <w:ind w:right="105"/>
              <w:rPr>
                <w:sz w:val="20"/>
              </w:rPr>
            </w:pPr>
            <w:r>
              <w:rPr>
                <w:w w:val="99"/>
                <w:sz w:val="20"/>
              </w:rPr>
              <w:t>2</w:t>
            </w:r>
          </w:p>
        </w:tc>
      </w:tr>
      <w:tr>
        <w:trPr>
          <w:trHeight w:val="323" w:hRule="atLeast"/>
        </w:trPr>
        <w:tc>
          <w:tcPr>
            <w:tcW w:w="5773" w:type="dxa"/>
            <w:tcBorders>
              <w:bottom w:val="double" w:sz="1" w:space="0" w:color="000000"/>
            </w:tcBorders>
            <w:shd w:val="clear" w:color="auto" w:fill="D2DFED"/>
          </w:tcPr>
          <w:p>
            <w:pPr>
              <w:pStyle w:val="TableParagraph"/>
              <w:spacing w:line="225" w:lineRule="exact" w:before="68"/>
              <w:ind w:left="115"/>
              <w:jc w:val="left"/>
              <w:rPr>
                <w:sz w:val="20"/>
              </w:rPr>
            </w:pPr>
            <w:r>
              <w:rPr>
                <w:sz w:val="20"/>
              </w:rPr>
              <w:t>Minerals and Energy Research Institute of Western Australia</w:t>
            </w:r>
          </w:p>
        </w:tc>
        <w:tc>
          <w:tcPr>
            <w:tcW w:w="1611" w:type="dxa"/>
            <w:tcBorders>
              <w:bottom w:val="double" w:sz="1" w:space="0" w:color="000000"/>
            </w:tcBorders>
            <w:shd w:val="clear" w:color="auto" w:fill="D2DFED"/>
          </w:tcPr>
          <w:p>
            <w:pPr>
              <w:pStyle w:val="TableParagraph"/>
              <w:spacing w:line="225" w:lineRule="exact" w:before="68"/>
              <w:ind w:right="285"/>
              <w:rPr>
                <w:sz w:val="20"/>
              </w:rPr>
            </w:pPr>
            <w:r>
              <w:rPr>
                <w:w w:val="99"/>
                <w:sz w:val="20"/>
              </w:rPr>
              <w:t>4</w:t>
            </w:r>
          </w:p>
        </w:tc>
        <w:tc>
          <w:tcPr>
            <w:tcW w:w="984" w:type="dxa"/>
            <w:tcBorders>
              <w:bottom w:val="double" w:sz="1" w:space="0" w:color="000000"/>
            </w:tcBorders>
            <w:shd w:val="clear" w:color="auto" w:fill="D2DFED"/>
          </w:tcPr>
          <w:p>
            <w:pPr>
              <w:pStyle w:val="TableParagraph"/>
              <w:spacing w:line="225" w:lineRule="exact" w:before="68"/>
              <w:ind w:right="137"/>
              <w:rPr>
                <w:sz w:val="20"/>
              </w:rPr>
            </w:pPr>
            <w:r>
              <w:rPr>
                <w:w w:val="99"/>
                <w:sz w:val="20"/>
              </w:rPr>
              <w:t>2</w:t>
            </w:r>
          </w:p>
        </w:tc>
        <w:tc>
          <w:tcPr>
            <w:tcW w:w="1104" w:type="dxa"/>
            <w:tcBorders>
              <w:bottom w:val="single" w:sz="4" w:space="0" w:color="000000"/>
            </w:tcBorders>
            <w:shd w:val="clear" w:color="auto" w:fill="D2DFED"/>
          </w:tcPr>
          <w:p>
            <w:pPr>
              <w:pStyle w:val="TableParagraph"/>
              <w:spacing w:line="235" w:lineRule="exact" w:before="68"/>
              <w:ind w:right="105"/>
              <w:rPr>
                <w:sz w:val="20"/>
              </w:rPr>
            </w:pPr>
            <w:r>
              <w:rPr>
                <w:w w:val="99"/>
                <w:sz w:val="20"/>
              </w:rPr>
              <w:t>2</w:t>
            </w:r>
          </w:p>
        </w:tc>
      </w:tr>
      <w:tr>
        <w:trPr>
          <w:trHeight w:val="277" w:hRule="atLeast"/>
        </w:trPr>
        <w:tc>
          <w:tcPr>
            <w:tcW w:w="5773" w:type="dxa"/>
            <w:tcBorders>
              <w:top w:val="double" w:sz="1" w:space="0" w:color="000000"/>
              <w:bottom w:val="double" w:sz="1" w:space="0" w:color="000000"/>
            </w:tcBorders>
          </w:tcPr>
          <w:p>
            <w:pPr>
              <w:pStyle w:val="TableParagraph"/>
              <w:spacing w:line="240" w:lineRule="auto" w:before="1"/>
              <w:ind w:left="115"/>
              <w:jc w:val="left"/>
              <w:rPr>
                <w:b/>
                <w:i/>
                <w:sz w:val="20"/>
              </w:rPr>
            </w:pPr>
            <w:r>
              <w:rPr>
                <w:b/>
                <w:i/>
                <w:sz w:val="20"/>
              </w:rPr>
              <w:t>TOTAL</w:t>
            </w:r>
          </w:p>
        </w:tc>
        <w:tc>
          <w:tcPr>
            <w:tcW w:w="1611" w:type="dxa"/>
            <w:tcBorders>
              <w:top w:val="double" w:sz="1" w:space="0" w:color="000000"/>
              <w:bottom w:val="double" w:sz="1" w:space="0" w:color="000000"/>
            </w:tcBorders>
          </w:tcPr>
          <w:p>
            <w:pPr>
              <w:pStyle w:val="TableParagraph"/>
              <w:spacing w:line="240" w:lineRule="auto" w:before="1"/>
              <w:ind w:right="288"/>
              <w:rPr>
                <w:sz w:val="20"/>
              </w:rPr>
            </w:pPr>
            <w:r>
              <w:rPr>
                <w:sz w:val="20"/>
              </w:rPr>
              <w:t>13,609</w:t>
            </w:r>
          </w:p>
        </w:tc>
        <w:tc>
          <w:tcPr>
            <w:tcW w:w="984" w:type="dxa"/>
            <w:tcBorders>
              <w:top w:val="double" w:sz="1" w:space="0" w:color="000000"/>
              <w:bottom w:val="double" w:sz="1" w:space="0" w:color="000000"/>
            </w:tcBorders>
          </w:tcPr>
          <w:p>
            <w:pPr>
              <w:pStyle w:val="TableParagraph"/>
              <w:spacing w:line="240" w:lineRule="auto" w:before="1"/>
              <w:ind w:right="139"/>
              <w:rPr>
                <w:sz w:val="20"/>
              </w:rPr>
            </w:pPr>
            <w:r>
              <w:rPr>
                <w:sz w:val="20"/>
              </w:rPr>
              <w:t>12,910</w:t>
            </w:r>
          </w:p>
        </w:tc>
        <w:tc>
          <w:tcPr>
            <w:tcW w:w="1104" w:type="dxa"/>
            <w:tcBorders>
              <w:top w:val="single" w:sz="4" w:space="0" w:color="000000"/>
              <w:bottom w:val="double" w:sz="1" w:space="0" w:color="000000"/>
            </w:tcBorders>
          </w:tcPr>
          <w:p>
            <w:pPr>
              <w:pStyle w:val="TableParagraph"/>
              <w:spacing w:line="236" w:lineRule="exact" w:before="0"/>
              <w:ind w:right="108"/>
              <w:rPr>
                <w:sz w:val="20"/>
              </w:rPr>
            </w:pPr>
            <w:r>
              <w:rPr>
                <w:sz w:val="20"/>
              </w:rPr>
              <w:t>12,704</w:t>
            </w:r>
          </w:p>
        </w:tc>
      </w:tr>
    </w:tbl>
    <w:p>
      <w:pPr>
        <w:pStyle w:val="BodyText"/>
        <w:rPr>
          <w:sz w:val="20"/>
        </w:rPr>
      </w:pPr>
    </w:p>
    <w:p>
      <w:pPr>
        <w:pStyle w:val="BodyText"/>
        <w:rPr>
          <w:sz w:val="20"/>
        </w:rPr>
      </w:pPr>
    </w:p>
    <w:p>
      <w:pPr>
        <w:pStyle w:val="BodyText"/>
        <w:rPr>
          <w:sz w:val="20"/>
        </w:rPr>
      </w:pPr>
    </w:p>
    <w:p>
      <w:pPr>
        <w:pStyle w:val="BodyText"/>
        <w:spacing w:before="6" w:after="1"/>
        <w:rPr>
          <w:sz w:val="11"/>
        </w:r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20"/>
        <w:gridCol w:w="3150"/>
        <w:gridCol w:w="1071"/>
      </w:tblGrid>
      <w:tr>
        <w:trPr>
          <w:trHeight w:val="294" w:hRule="atLeast"/>
        </w:trPr>
        <w:tc>
          <w:tcPr>
            <w:tcW w:w="4120" w:type="dxa"/>
            <w:tcBorders>
              <w:top w:val="double" w:sz="1" w:space="0" w:color="000000"/>
              <w:bottom w:val="double" w:sz="1" w:space="0" w:color="000000"/>
            </w:tcBorders>
          </w:tcPr>
          <w:p>
            <w:pPr>
              <w:pStyle w:val="TableParagraph"/>
              <w:spacing w:line="274" w:lineRule="exact" w:before="0"/>
              <w:ind w:left="115"/>
              <w:jc w:val="left"/>
              <w:rPr>
                <w:b/>
                <w:sz w:val="24"/>
              </w:rPr>
            </w:pPr>
            <w:r>
              <w:rPr>
                <w:b/>
                <w:sz w:val="24"/>
              </w:rPr>
              <w:t>TOTAL (HR MOIR)</w:t>
            </w:r>
          </w:p>
        </w:tc>
        <w:tc>
          <w:tcPr>
            <w:tcW w:w="3150" w:type="dxa"/>
            <w:tcBorders>
              <w:top w:val="double" w:sz="1" w:space="0" w:color="000000"/>
              <w:bottom w:val="double" w:sz="1" w:space="0" w:color="000000"/>
            </w:tcBorders>
          </w:tcPr>
          <w:p>
            <w:pPr>
              <w:pStyle w:val="TableParagraph"/>
              <w:spacing w:line="274" w:lineRule="exact" w:before="0"/>
              <w:ind w:right="168"/>
              <w:rPr>
                <w:b/>
                <w:sz w:val="24"/>
              </w:rPr>
            </w:pPr>
            <w:r>
              <w:rPr>
                <w:b/>
                <w:sz w:val="24"/>
              </w:rPr>
              <w:t>147,503</w:t>
            </w:r>
          </w:p>
        </w:tc>
        <w:tc>
          <w:tcPr>
            <w:tcW w:w="1071" w:type="dxa"/>
            <w:tcBorders>
              <w:top w:val="double" w:sz="1" w:space="0" w:color="000000"/>
              <w:bottom w:val="double" w:sz="1" w:space="0" w:color="000000"/>
            </w:tcBorders>
          </w:tcPr>
          <w:p>
            <w:pPr>
              <w:pStyle w:val="TableParagraph"/>
              <w:spacing w:line="274" w:lineRule="exact" w:before="0"/>
              <w:ind w:left="169"/>
              <w:jc w:val="left"/>
              <w:rPr>
                <w:b/>
                <w:sz w:val="24"/>
              </w:rPr>
            </w:pPr>
            <w:r>
              <w:rPr>
                <w:b/>
                <w:sz w:val="24"/>
              </w:rPr>
              <w:t>116,847</w:t>
            </w:r>
          </w:p>
        </w:tc>
      </w:tr>
    </w:tbl>
    <w:sectPr>
      <w:pgSz w:w="11910" w:h="16850"/>
      <w:pgMar w:top="1120" w:bottom="280" w:left="118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58" w:hanging="360"/>
        <w:jc w:val="left"/>
      </w:pPr>
      <w:rPr>
        <w:rFonts w:hint="default" w:ascii="Calibri" w:hAnsi="Calibri" w:eastAsia="Calibri" w:cs="Calibri"/>
        <w:w w:val="100"/>
        <w:sz w:val="22"/>
        <w:szCs w:val="22"/>
        <w:lang w:val="en-au" w:eastAsia="en-au" w:bidi="en-au"/>
      </w:rPr>
    </w:lvl>
    <w:lvl w:ilvl="1">
      <w:start w:val="0"/>
      <w:numFmt w:val="bullet"/>
      <w:lvlText w:val="•"/>
      <w:lvlJc w:val="left"/>
      <w:pPr>
        <w:ind w:left="1836" w:hanging="360"/>
      </w:pPr>
      <w:rPr>
        <w:rFonts w:hint="default"/>
        <w:lang w:val="en-au" w:eastAsia="en-au" w:bidi="en-au"/>
      </w:rPr>
    </w:lvl>
    <w:lvl w:ilvl="2">
      <w:start w:val="0"/>
      <w:numFmt w:val="bullet"/>
      <w:lvlText w:val="•"/>
      <w:lvlJc w:val="left"/>
      <w:pPr>
        <w:ind w:left="2712" w:hanging="360"/>
      </w:pPr>
      <w:rPr>
        <w:rFonts w:hint="default"/>
        <w:lang w:val="en-au" w:eastAsia="en-au" w:bidi="en-au"/>
      </w:rPr>
    </w:lvl>
    <w:lvl w:ilvl="3">
      <w:start w:val="0"/>
      <w:numFmt w:val="bullet"/>
      <w:lvlText w:val="•"/>
      <w:lvlJc w:val="left"/>
      <w:pPr>
        <w:ind w:left="3589" w:hanging="360"/>
      </w:pPr>
      <w:rPr>
        <w:rFonts w:hint="default"/>
        <w:lang w:val="en-au" w:eastAsia="en-au" w:bidi="en-au"/>
      </w:rPr>
    </w:lvl>
    <w:lvl w:ilvl="4">
      <w:start w:val="0"/>
      <w:numFmt w:val="bullet"/>
      <w:lvlText w:val="•"/>
      <w:lvlJc w:val="left"/>
      <w:pPr>
        <w:ind w:left="4465" w:hanging="360"/>
      </w:pPr>
      <w:rPr>
        <w:rFonts w:hint="default"/>
        <w:lang w:val="en-au" w:eastAsia="en-au" w:bidi="en-au"/>
      </w:rPr>
    </w:lvl>
    <w:lvl w:ilvl="5">
      <w:start w:val="0"/>
      <w:numFmt w:val="bullet"/>
      <w:lvlText w:val="•"/>
      <w:lvlJc w:val="left"/>
      <w:pPr>
        <w:ind w:left="5342" w:hanging="360"/>
      </w:pPr>
      <w:rPr>
        <w:rFonts w:hint="default"/>
        <w:lang w:val="en-au" w:eastAsia="en-au" w:bidi="en-au"/>
      </w:rPr>
    </w:lvl>
    <w:lvl w:ilvl="6">
      <w:start w:val="0"/>
      <w:numFmt w:val="bullet"/>
      <w:lvlText w:val="•"/>
      <w:lvlJc w:val="left"/>
      <w:pPr>
        <w:ind w:left="6218" w:hanging="360"/>
      </w:pPr>
      <w:rPr>
        <w:rFonts w:hint="default"/>
        <w:lang w:val="en-au" w:eastAsia="en-au" w:bidi="en-au"/>
      </w:rPr>
    </w:lvl>
    <w:lvl w:ilvl="7">
      <w:start w:val="0"/>
      <w:numFmt w:val="bullet"/>
      <w:lvlText w:val="•"/>
      <w:lvlJc w:val="left"/>
      <w:pPr>
        <w:ind w:left="7094" w:hanging="360"/>
      </w:pPr>
      <w:rPr>
        <w:rFonts w:hint="default"/>
        <w:lang w:val="en-au" w:eastAsia="en-au" w:bidi="en-au"/>
      </w:rPr>
    </w:lvl>
    <w:lvl w:ilvl="8">
      <w:start w:val="0"/>
      <w:numFmt w:val="bullet"/>
      <w:lvlText w:val="•"/>
      <w:lvlJc w:val="left"/>
      <w:pPr>
        <w:ind w:left="7971" w:hanging="360"/>
      </w:pPr>
      <w:rPr>
        <w:rFonts w:hint="default"/>
        <w:lang w:val="en-au" w:eastAsia="en-au" w:bidi="en-a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au" w:eastAsia="en-au" w:bidi="en-au"/>
    </w:rPr>
  </w:style>
  <w:style w:styleId="BodyText" w:type="paragraph">
    <w:name w:val="Body Text"/>
    <w:basedOn w:val="Normal"/>
    <w:uiPriority w:val="1"/>
    <w:qFormat/>
    <w:pPr/>
    <w:rPr>
      <w:rFonts w:ascii="Calibri" w:hAnsi="Calibri" w:eastAsia="Calibri" w:cs="Calibri"/>
      <w:sz w:val="22"/>
      <w:szCs w:val="22"/>
      <w:lang w:val="en-au" w:eastAsia="en-au" w:bidi="en-au"/>
    </w:rPr>
  </w:style>
  <w:style w:styleId="ListParagraph" w:type="paragraph">
    <w:name w:val="List Paragraph"/>
    <w:basedOn w:val="Normal"/>
    <w:uiPriority w:val="1"/>
    <w:qFormat/>
    <w:pPr>
      <w:spacing w:line="275" w:lineRule="exact"/>
      <w:ind w:left="958" w:hanging="361"/>
      <w:jc w:val="both"/>
    </w:pPr>
    <w:rPr>
      <w:rFonts w:ascii="Calibri" w:hAnsi="Calibri" w:eastAsia="Calibri" w:cs="Calibri"/>
      <w:lang w:val="en-au" w:eastAsia="en-au" w:bidi="en-au"/>
    </w:rPr>
  </w:style>
  <w:style w:styleId="TableParagraph" w:type="paragraph">
    <w:name w:val="Table Paragraph"/>
    <w:basedOn w:val="Normal"/>
    <w:uiPriority w:val="1"/>
    <w:qFormat/>
    <w:pPr>
      <w:spacing w:before="54" w:line="226" w:lineRule="exact"/>
      <w:jc w:val="right"/>
    </w:pPr>
    <w:rPr>
      <w:rFonts w:ascii="Calibri" w:hAnsi="Calibri" w:eastAsia="Calibri" w:cs="Calibri"/>
      <w:lang w:val="en-au" w:eastAsia="en-au" w:bidi="en-a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spsailasavona</dc:creator>
  <dcterms:created xsi:type="dcterms:W3CDTF">2020-03-05T03:12:48Z</dcterms:created>
  <dcterms:modified xsi:type="dcterms:W3CDTF">2020-03-05T03:12:48Z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2010-07-15T00:00:00Z</vt:filetime>
  </property>
  <property fmtid="{D5CDD505-2E9C-101B-9397-08002B2CF9AE}" pid="3" name="Creator">
    <vt:lpwstr>Microsoft® Office Word 2007</vt:lpwstr>
  </property>
  <property fmtid="{D5CDD505-2E9C-101B-9397-08002B2CF9AE}" pid="4" name="LastSaved">
    <vt:filetime>2020-03-05T00:00:00Z</vt:filetime>
  </property>
</Properties>
</file>