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0pt;margin-top:.299988pt;width:594.899970pt;height:841.249896pt;mso-position-horizontal-relative:page;mso-position-vertical-relative:page;z-index:-52048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71"/>
        <w:ind w:left="118" w:right="0"/>
        <w:jc w:val="left"/>
      </w:pPr>
      <w:r>
        <w:rPr>
          <w:w w:val="100"/>
        </w:rPr>
        <w:t>`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7"/>
      </w:tblGrid>
      <w:tr>
        <w:trPr>
          <w:trHeight w:val="2734" w:hRule="exact"/>
        </w:trPr>
        <w:tc>
          <w:tcPr>
            <w:tcW w:w="9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632" w:lineRule="exact"/>
              <w:ind w:left="1970" w:right="0" w:hanging="1740"/>
              <w:jc w:val="left"/>
              <w:rPr>
                <w:rFonts w:ascii="Arial" w:hAnsi="Arial" w:cs="Arial" w:eastAsia="Arial"/>
                <w:sz w:val="56"/>
                <w:szCs w:val="56"/>
              </w:rPr>
            </w:pPr>
            <w:r>
              <w:rPr>
                <w:rFonts w:ascii="Arial"/>
                <w:b/>
                <w:color w:val="003767"/>
                <w:sz w:val="56"/>
              </w:rPr>
              <w:t>Western Australian public</w:t>
            </w:r>
            <w:r>
              <w:rPr>
                <w:rFonts w:ascii="Arial"/>
                <w:b/>
                <w:color w:val="003767"/>
                <w:spacing w:val="-8"/>
                <w:sz w:val="56"/>
              </w:rPr>
              <w:t> </w:t>
            </w:r>
            <w:r>
              <w:rPr>
                <w:rFonts w:ascii="Arial"/>
                <w:b/>
                <w:color w:val="003767"/>
                <w:sz w:val="56"/>
              </w:rPr>
              <w:t>sector</w:t>
            </w:r>
            <w:r>
              <w:rPr>
                <w:rFonts w:ascii="Arial"/>
                <w:sz w:val="56"/>
              </w:rPr>
            </w:r>
          </w:p>
          <w:p>
            <w:pPr>
              <w:pStyle w:val="TableParagraph"/>
              <w:spacing w:line="240" w:lineRule="auto" w:before="95"/>
              <w:ind w:left="1970" w:right="0"/>
              <w:jc w:val="left"/>
              <w:rPr>
                <w:rFonts w:ascii="Arial" w:hAnsi="Arial" w:cs="Arial" w:eastAsia="Arial"/>
                <w:sz w:val="56"/>
                <w:szCs w:val="56"/>
              </w:rPr>
            </w:pPr>
            <w:r>
              <w:rPr>
                <w:rFonts w:ascii="Arial"/>
                <w:b/>
                <w:color w:val="003767"/>
                <w:sz w:val="56"/>
              </w:rPr>
              <w:t>quarterly workforce</w:t>
            </w:r>
            <w:r>
              <w:rPr>
                <w:rFonts w:ascii="Arial"/>
                <w:b/>
                <w:color w:val="003767"/>
                <w:spacing w:val="-6"/>
                <w:sz w:val="56"/>
              </w:rPr>
              <w:t> </w:t>
            </w:r>
            <w:r>
              <w:rPr>
                <w:rFonts w:ascii="Arial"/>
                <w:b/>
                <w:color w:val="003767"/>
                <w:sz w:val="56"/>
              </w:rPr>
              <w:t>report</w:t>
            </w:r>
            <w:r>
              <w:rPr>
                <w:rFonts w:ascii="Arial"/>
                <w:sz w:val="56"/>
              </w:rPr>
            </w:r>
          </w:p>
        </w:tc>
      </w:tr>
      <w:tr>
        <w:trPr>
          <w:trHeight w:val="1994" w:hRule="exact"/>
        </w:trPr>
        <w:tc>
          <w:tcPr>
            <w:tcW w:w="9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56"/>
                <w:szCs w:val="5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57"/>
                <w:szCs w:val="57"/>
              </w:rPr>
            </w:pPr>
          </w:p>
          <w:p>
            <w:pPr>
              <w:pStyle w:val="TableParagraph"/>
              <w:spacing w:line="240" w:lineRule="auto"/>
              <w:ind w:left="4835" w:right="0"/>
              <w:jc w:val="left"/>
              <w:rPr>
                <w:rFonts w:ascii="Arial" w:hAnsi="Arial" w:cs="Arial" w:eastAsia="Arial"/>
                <w:sz w:val="56"/>
                <w:szCs w:val="56"/>
              </w:rPr>
            </w:pPr>
            <w:r>
              <w:rPr>
                <w:rFonts w:ascii="Arial"/>
                <w:color w:val="003767"/>
                <w:sz w:val="56"/>
              </w:rPr>
              <w:t>September</w:t>
            </w:r>
            <w:r>
              <w:rPr>
                <w:rFonts w:ascii="Arial"/>
                <w:color w:val="003767"/>
                <w:spacing w:val="-2"/>
                <w:sz w:val="56"/>
              </w:rPr>
              <w:t> </w:t>
            </w:r>
            <w:r>
              <w:rPr>
                <w:rFonts w:ascii="Arial"/>
                <w:color w:val="003767"/>
                <w:sz w:val="56"/>
              </w:rPr>
              <w:t>2015</w:t>
            </w:r>
            <w:r>
              <w:rPr>
                <w:rFonts w:ascii="Arial"/>
                <w:sz w:val="5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56"/>
          <w:szCs w:val="56"/>
        </w:rPr>
        <w:sectPr>
          <w:type w:val="continuous"/>
          <w:pgSz w:w="11910" w:h="16850"/>
          <w:pgMar w:top="1600" w:bottom="280" w:left="1300" w:right="10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0pt;width:595.35pt;height:842.05pt;mso-position-horizontal-relative:page;mso-position-vertical-relative:page;z-index:-52000" coordorigin="0,0" coordsize="11907,16841">
            <v:shape style="position:absolute;left:0;top:0;width:11907;height:16841" coordorigin="0,0" coordsize="11907,16841" path="m0,16841l11906,16841,11906,0,0,0,0,16841e" filled="true" fillcolor="#dddedf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before="71"/>
        <w:ind w:left="1418" w:right="180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color w:val="003767"/>
          <w:sz w:val="23"/>
        </w:rPr>
        <w:t>Enquiries:</w:t>
      </w:r>
      <w:r>
        <w:rPr>
          <w:rFonts w:ascii="Arial"/>
          <w:sz w:val="23"/>
        </w:rPr>
      </w:r>
    </w:p>
    <w:p>
      <w:pPr>
        <w:spacing w:line="278" w:lineRule="auto" w:before="160"/>
        <w:ind w:left="1418" w:right="180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Information Systems, Evaluation and Reporting</w:t>
      </w:r>
      <w:r>
        <w:rPr>
          <w:rFonts w:ascii="Arial"/>
          <w:sz w:val="23"/>
        </w:rPr>
        <w:t>, Public Sector</w:t>
      </w:r>
      <w:r>
        <w:rPr>
          <w:rFonts w:ascii="Arial"/>
          <w:spacing w:val="-21"/>
          <w:sz w:val="23"/>
        </w:rPr>
        <w:t> </w:t>
      </w:r>
      <w:r>
        <w:rPr>
          <w:rFonts w:ascii="Arial"/>
          <w:sz w:val="23"/>
        </w:rPr>
        <w:t>Commission</w:t>
      </w:r>
      <w:r>
        <w:rPr>
          <w:rFonts w:ascii="Arial"/>
          <w:w w:val="100"/>
          <w:sz w:val="23"/>
        </w:rPr>
        <w:t> </w:t>
      </w:r>
      <w:r>
        <w:rPr>
          <w:rFonts w:ascii="Arial"/>
          <w:sz w:val="23"/>
        </w:rPr>
        <w:t>Dumas House, 2 Havelock Street, West Perth</w:t>
      </w:r>
      <w:r>
        <w:rPr>
          <w:rFonts w:ascii="Arial"/>
          <w:spacing w:val="-20"/>
          <w:sz w:val="23"/>
        </w:rPr>
        <w:t> </w:t>
      </w:r>
      <w:r>
        <w:rPr>
          <w:rFonts w:ascii="Arial"/>
          <w:sz w:val="23"/>
        </w:rPr>
        <w:t>6005</w:t>
      </w:r>
    </w:p>
    <w:p>
      <w:pPr>
        <w:pStyle w:val="Heading1"/>
        <w:spacing w:line="273" w:lineRule="auto"/>
        <w:ind w:right="5390"/>
        <w:jc w:val="left"/>
      </w:pPr>
      <w:r>
        <w:rPr/>
        <w:t>Locked Bag 3002, West Perth </w:t>
      </w:r>
      <w:r>
        <w:rPr>
          <w:spacing w:val="3"/>
        </w:rPr>
        <w:t>WA</w:t>
      </w:r>
      <w:r>
        <w:rPr>
          <w:spacing w:val="-14"/>
        </w:rPr>
        <w:t> </w:t>
      </w:r>
      <w:r>
        <w:rPr/>
        <w:t>6872</w:t>
      </w:r>
      <w:r>
        <w:rPr>
          <w:spacing w:val="-1"/>
          <w:w w:val="100"/>
        </w:rPr>
        <w:t> </w:t>
      </w:r>
      <w:r>
        <w:rPr/>
        <w:t>Telephone: (08) 6552 8509  Fax: (08) 6552</w:t>
      </w:r>
      <w:r>
        <w:rPr>
          <w:spacing w:val="-12"/>
        </w:rPr>
        <w:t> </w:t>
      </w:r>
      <w:r>
        <w:rPr/>
        <w:t>8710</w:t>
      </w:r>
    </w:p>
    <w:p>
      <w:pPr>
        <w:spacing w:line="276" w:lineRule="auto" w:before="4"/>
        <w:ind w:left="1418" w:right="539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Email:</w:t>
      </w:r>
      <w:r>
        <w:rPr>
          <w:rFonts w:ascii="Arial"/>
          <w:spacing w:val="-11"/>
          <w:sz w:val="23"/>
        </w:rPr>
        <w:t> </w:t>
      </w:r>
      <w:r>
        <w:rPr>
          <w:rFonts w:ascii="Arial"/>
          <w:color w:val="0000FF"/>
          <w:spacing w:val="-11"/>
          <w:sz w:val="23"/>
        </w:rPr>
      </w:r>
      <w:hyperlink r:id="rId6">
        <w:r>
          <w:rPr>
            <w:rFonts w:ascii="Arial"/>
            <w:color w:val="0000FF"/>
            <w:sz w:val="23"/>
            <w:u w:val="single" w:color="0000FF"/>
          </w:rPr>
          <w:t>stateadministrator@psc.wa.gov.au</w:t>
        </w:r>
        <w:r>
          <w:rPr>
            <w:rFonts w:ascii="Arial"/>
            <w:color w:val="0000FF"/>
            <w:spacing w:val="-1"/>
            <w:w w:val="100"/>
            <w:sz w:val="23"/>
          </w:rPr>
        </w:r>
      </w:hyperlink>
      <w:r>
        <w:rPr>
          <w:rFonts w:ascii="Arial"/>
          <w:color w:val="0000FF"/>
          <w:spacing w:val="-1"/>
          <w:w w:val="100"/>
          <w:sz w:val="23"/>
        </w:rPr>
        <w:t> </w:t>
      </w:r>
      <w:r>
        <w:rPr>
          <w:rFonts w:ascii="Arial"/>
          <w:sz w:val="23"/>
        </w:rPr>
        <w:t>Website:</w:t>
      </w:r>
      <w:r>
        <w:rPr>
          <w:rFonts w:ascii="Arial"/>
          <w:spacing w:val="-16"/>
          <w:sz w:val="23"/>
        </w:rPr>
        <w:t> </w:t>
      </w:r>
      <w:hyperlink r:id="rId7">
        <w:r>
          <w:rPr>
            <w:rFonts w:ascii="Arial"/>
            <w:color w:val="0000FF"/>
            <w:spacing w:val="-16"/>
            <w:sz w:val="23"/>
          </w:rPr>
        </w:r>
        <w:r>
          <w:rPr>
            <w:rFonts w:ascii="Arial"/>
            <w:color w:val="0000FF"/>
            <w:sz w:val="23"/>
            <w:u w:val="single" w:color="0000FF"/>
          </w:rPr>
          <w:t>www.publicsector.wa.gov.au</w:t>
        </w:r>
        <w:r>
          <w:rPr>
            <w:rFonts w:ascii="Arial"/>
            <w:color w:val="0000FF"/>
            <w:sz w:val="23"/>
          </w:rPr>
        </w:r>
        <w:r>
          <w:rPr>
            <w:rFonts w:ascii="Arial"/>
            <w:sz w:val="23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z w:val="17"/>
        </w:rPr>
        <w:t>© State of Western Australia</w:t>
      </w:r>
      <w:r>
        <w:rPr>
          <w:rFonts w:ascii="Arial" w:hAnsi="Arial"/>
          <w:b/>
          <w:spacing w:val="-19"/>
          <w:sz w:val="17"/>
        </w:rPr>
        <w:t> </w:t>
      </w:r>
      <w:r>
        <w:rPr>
          <w:rFonts w:ascii="Arial" w:hAnsi="Arial"/>
          <w:b/>
          <w:sz w:val="17"/>
        </w:rPr>
        <w:t>2015</w:t>
      </w:r>
      <w:r>
        <w:rPr>
          <w:rFonts w:ascii="Arial" w:hAns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73" w:lineRule="auto" w:before="0"/>
        <w:ind w:left="1418" w:right="141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There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is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no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objection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this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publication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being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copied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in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whole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part,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provided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there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is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due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acknowledgement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2"/>
          <w:sz w:val="17"/>
        </w:rPr>
        <w:t> any</w:t>
      </w:r>
      <w:r>
        <w:rPr>
          <w:rFonts w:ascii="Arial"/>
          <w:spacing w:val="-2"/>
          <w:w w:val="100"/>
          <w:sz w:val="17"/>
        </w:rPr>
        <w:t> </w:t>
      </w:r>
      <w:r>
        <w:rPr>
          <w:rFonts w:ascii="Arial"/>
          <w:sz w:val="17"/>
        </w:rPr>
        <w:t>material quoted or reproduced from the</w:t>
      </w:r>
      <w:r>
        <w:rPr>
          <w:rFonts w:ascii="Arial"/>
          <w:spacing w:val="-34"/>
          <w:sz w:val="17"/>
        </w:rPr>
        <w:t> </w:t>
      </w:r>
      <w:r>
        <w:rPr>
          <w:rFonts w:ascii="Arial"/>
          <w:sz w:val="17"/>
        </w:rPr>
        <w:t>publication.</w:t>
      </w:r>
    </w:p>
    <w:p>
      <w:pPr>
        <w:spacing w:before="123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Published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by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Public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Sector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Commission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(Western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Australia),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December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2015.</w:t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Copies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this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report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are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available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on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Public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Sector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Commission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website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at</w:t>
      </w:r>
      <w:r>
        <w:rPr>
          <w:rFonts w:ascii="Arial"/>
          <w:spacing w:val="-4"/>
          <w:sz w:val="17"/>
        </w:rPr>
        <w:t> </w:t>
      </w:r>
      <w:r>
        <w:rPr>
          <w:rFonts w:ascii="Arial"/>
          <w:color w:val="0000FF"/>
          <w:spacing w:val="-4"/>
          <w:sz w:val="17"/>
        </w:rPr>
      </w:r>
      <w:hyperlink r:id="rId7">
        <w:r>
          <w:rPr>
            <w:rFonts w:ascii="Arial"/>
            <w:color w:val="0000FF"/>
            <w:sz w:val="17"/>
            <w:u w:val="single" w:color="0000FF"/>
          </w:rPr>
          <w:t>www.publicsector.wa.gov.au</w:t>
        </w:r>
        <w:r>
          <w:rPr>
            <w:rFonts w:ascii="Arial"/>
            <w:color w:val="0000FF"/>
            <w:sz w:val="17"/>
          </w:rPr>
        </w:r>
        <w:r>
          <w:rPr>
            <w:rFonts w:ascii="Arial"/>
            <w:sz w:val="17"/>
          </w:rPr>
        </w:r>
      </w:hyperlink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before="78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Disclaimer</w:t>
      </w:r>
      <w:r>
        <w:rPr>
          <w:rFonts w:asci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76" w:lineRule="auto" w:before="0"/>
        <w:ind w:left="1418" w:right="141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The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Western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Australian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Government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is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committed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quality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service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its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customers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makes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every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attempt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ensure</w:t>
      </w:r>
      <w:r>
        <w:rPr>
          <w:rFonts w:ascii="Arial"/>
          <w:w w:val="100"/>
          <w:sz w:val="17"/>
        </w:rPr>
        <w:t> </w:t>
      </w:r>
      <w:r>
        <w:rPr>
          <w:rFonts w:ascii="Arial"/>
          <w:sz w:val="17"/>
        </w:rPr>
        <w:t>accuracy,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currency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reliability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data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contained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in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these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documents.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However,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changes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in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circumstances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after</w:t>
      </w:r>
      <w:r>
        <w:rPr>
          <w:rFonts w:ascii="Arial"/>
          <w:spacing w:val="-2"/>
          <w:w w:val="100"/>
          <w:sz w:val="17"/>
        </w:rPr>
        <w:t> </w:t>
      </w:r>
      <w:r>
        <w:rPr>
          <w:rFonts w:ascii="Arial"/>
          <w:sz w:val="17"/>
        </w:rPr>
        <w:t>time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publication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may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impact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quality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this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information.</w:t>
      </w:r>
    </w:p>
    <w:p>
      <w:pPr>
        <w:spacing w:before="121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Confirmation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information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may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be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sought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from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originating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bodies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departments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providing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information.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Accessibility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418" w:right="180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0pt;margin-top:40.498177pt;width:594.599859pt;height:73.499838pt;mso-position-horizontal-relative:page;mso-position-vertical-relative:paragraph;z-index:-52024" type="#_x0000_t75" stroked="false">
            <v:imagedata r:id="rId8" o:title=""/>
          </v:shape>
        </w:pict>
      </w:r>
      <w:r>
        <w:rPr>
          <w:rFonts w:ascii="Arial"/>
          <w:sz w:val="17"/>
        </w:rPr>
        <w:t>Copies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this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document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z w:val="17"/>
        </w:rPr>
        <w:t>are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available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in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alternative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formats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upon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request.</w:t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1910" w:h="16850"/>
          <w:pgMar w:top="1600" w:bottom="0" w:left="0" w:right="0"/>
        </w:sectPr>
      </w:pPr>
    </w:p>
    <w:p>
      <w:pPr>
        <w:spacing w:before="42"/>
        <w:ind w:left="1418" w:right="1414" w:firstLine="0"/>
        <w:jc w:val="left"/>
        <w:rPr>
          <w:rFonts w:ascii="Arial" w:hAnsi="Arial" w:cs="Arial" w:eastAsia="Arial"/>
          <w:sz w:val="31"/>
          <w:szCs w:val="31"/>
        </w:rPr>
      </w:pPr>
      <w:bookmarkStart w:name="Western Australian public sector quarter" w:id="1"/>
      <w:bookmarkEnd w:id="1"/>
      <w:r>
        <w:rPr/>
      </w:r>
      <w:r>
        <w:rPr>
          <w:rFonts w:ascii="Arial" w:hAnsi="Arial" w:cs="Arial" w:eastAsia="Arial"/>
          <w:b/>
          <w:bCs/>
          <w:color w:val="6D6E70"/>
          <w:sz w:val="31"/>
          <w:szCs w:val="31"/>
        </w:rPr>
        <w:t>Western Australian public sector quarterly workforce report</w:t>
      </w:r>
      <w:r>
        <w:rPr>
          <w:rFonts w:ascii="Arial" w:hAnsi="Arial" w:cs="Arial" w:eastAsia="Arial"/>
          <w:b/>
          <w:bCs/>
          <w:color w:val="6D6E70"/>
          <w:spacing w:val="-25"/>
          <w:sz w:val="31"/>
          <w:szCs w:val="31"/>
        </w:rPr>
        <w:t> </w:t>
      </w:r>
      <w:r>
        <w:rPr>
          <w:rFonts w:ascii="Arial" w:hAnsi="Arial" w:cs="Arial" w:eastAsia="Arial"/>
          <w:b/>
          <w:bCs/>
          <w:color w:val="6D6E70"/>
          <w:sz w:val="31"/>
          <w:szCs w:val="31"/>
        </w:rPr>
        <w:t>–</w:t>
      </w:r>
      <w:r>
        <w:rPr>
          <w:rFonts w:ascii="Arial" w:hAnsi="Arial" w:cs="Arial" w:eastAsia="Arial"/>
          <w:b/>
          <w:bCs/>
          <w:color w:val="6D6E70"/>
          <w:w w:val="99"/>
          <w:sz w:val="31"/>
          <w:szCs w:val="31"/>
        </w:rPr>
        <w:t> </w:t>
      </w:r>
      <w:r>
        <w:rPr>
          <w:rFonts w:ascii="Arial" w:hAnsi="Arial" w:cs="Arial" w:eastAsia="Arial"/>
          <w:b/>
          <w:bCs/>
          <w:color w:val="6D6E70"/>
          <w:sz w:val="31"/>
          <w:szCs w:val="31"/>
        </w:rPr>
        <w:t>September</w:t>
      </w:r>
      <w:r>
        <w:rPr>
          <w:rFonts w:ascii="Arial" w:hAnsi="Arial" w:cs="Arial" w:eastAsia="Arial"/>
          <w:b/>
          <w:bCs/>
          <w:color w:val="6D6E70"/>
          <w:spacing w:val="-5"/>
          <w:sz w:val="31"/>
          <w:szCs w:val="31"/>
        </w:rPr>
        <w:t> </w:t>
      </w:r>
      <w:r>
        <w:rPr>
          <w:rFonts w:ascii="Arial" w:hAnsi="Arial" w:cs="Arial" w:eastAsia="Arial"/>
          <w:b/>
          <w:bCs/>
          <w:color w:val="6D6E70"/>
          <w:sz w:val="31"/>
          <w:szCs w:val="31"/>
        </w:rPr>
        <w:t>2015</w:t>
      </w:r>
      <w:r>
        <w:rPr>
          <w:rFonts w:ascii="Arial" w:hAnsi="Arial" w:cs="Arial" w:eastAsia="Arial"/>
          <w:sz w:val="31"/>
          <w:szCs w:val="31"/>
        </w:rPr>
      </w:r>
    </w:p>
    <w:p>
      <w:pPr>
        <w:pStyle w:val="Heading1"/>
        <w:spacing w:line="276" w:lineRule="auto" w:before="122"/>
        <w:ind w:right="1444"/>
        <w:jc w:val="left"/>
      </w:pPr>
      <w:r>
        <w:rPr/>
        <w:t>This report provides information about Western Australia’s public sector</w:t>
      </w:r>
      <w:r>
        <w:rPr>
          <w:spacing w:val="-11"/>
        </w:rPr>
        <w:t> </w:t>
      </w:r>
      <w:r>
        <w:rPr/>
        <w:t>workforce</w:t>
      </w:r>
      <w:r>
        <w:rPr>
          <w:w w:val="100"/>
        </w:rPr>
        <w:t> </w:t>
      </w:r>
      <w:r>
        <w:rPr/>
        <w:t>staffing levels as at the last pay fortnight of September 2015. The report relies</w:t>
      </w:r>
      <w:r>
        <w:rPr>
          <w:spacing w:val="-12"/>
        </w:rPr>
        <w:t> </w:t>
      </w:r>
      <w:r>
        <w:rPr/>
        <w:t>on</w:t>
      </w:r>
      <w:r>
        <w:rPr>
          <w:spacing w:val="-1"/>
          <w:w w:val="100"/>
        </w:rPr>
        <w:t> </w:t>
      </w:r>
      <w:r>
        <w:rPr/>
        <w:t>workforce data provided to the Public Sector Commission by public sector entities</w:t>
      </w:r>
      <w:r>
        <w:rPr>
          <w:spacing w:val="-27"/>
        </w:rPr>
        <w:t> </w:t>
      </w:r>
      <w:r>
        <w:rPr/>
        <w:t>under</w:t>
      </w:r>
      <w:r>
        <w:rPr>
          <w:spacing w:val="-1"/>
          <w:w w:val="100"/>
        </w:rPr>
        <w:t> </w:t>
      </w:r>
      <w:r>
        <w:rPr/>
        <w:t>the </w:t>
      </w:r>
      <w:r>
        <w:rPr>
          <w:rFonts w:ascii="Arial" w:hAnsi="Arial" w:cs="Arial" w:eastAsia="Arial"/>
          <w:i/>
        </w:rPr>
        <w:t>Human Resource Minimum Obligatory Information Requirement</w:t>
      </w:r>
      <w:r>
        <w:rPr>
          <w:rFonts w:ascii="Arial" w:hAnsi="Arial" w:cs="Arial" w:eastAsia="Arial"/>
          <w:i/>
          <w:spacing w:val="-21"/>
        </w:rPr>
        <w:t> </w:t>
      </w:r>
      <w:r>
        <w:rPr/>
        <w:t>(HRMOIR).</w:t>
      </w:r>
    </w:p>
    <w:p>
      <w:pPr>
        <w:spacing w:before="124"/>
        <w:ind w:left="1418" w:right="180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Staffing levels are broken down</w:t>
      </w:r>
      <w:r>
        <w:rPr>
          <w:rFonts w:ascii="Arial"/>
          <w:spacing w:val="-16"/>
          <w:sz w:val="23"/>
        </w:rPr>
        <w:t> </w:t>
      </w:r>
      <w:r>
        <w:rPr>
          <w:rFonts w:ascii="Arial"/>
          <w:sz w:val="23"/>
        </w:rPr>
        <w:t>into:</w:t>
      </w:r>
    </w:p>
    <w:p>
      <w:pPr>
        <w:pStyle w:val="ListParagraph"/>
        <w:numPr>
          <w:ilvl w:val="0"/>
          <w:numId w:val="1"/>
        </w:numPr>
        <w:tabs>
          <w:tab w:pos="1702" w:val="left" w:leader="none"/>
        </w:tabs>
        <w:spacing w:line="240" w:lineRule="auto" w:before="159" w:after="0"/>
        <w:ind w:left="1701" w:right="1800" w:hanging="28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Headcount</w:t>
      </w:r>
      <w:hyperlink w:history="true" w:anchor="_bookmark0">
        <w:r>
          <w:rPr>
            <w:rFonts w:ascii="Arial"/>
            <w:position w:val="7"/>
            <w:sz w:val="15"/>
          </w:rPr>
          <w:t>1</w:t>
        </w:r>
      </w:hyperlink>
      <w:r>
        <w:rPr>
          <w:rFonts w:ascii="Arial"/>
          <w:position w:val="7"/>
          <w:sz w:val="15"/>
        </w:rPr>
        <w:t> </w:t>
      </w:r>
      <w:r>
        <w:rPr>
          <w:rFonts w:ascii="Arial"/>
          <w:sz w:val="23"/>
        </w:rPr>
        <w:t>- the number of</w:t>
      </w:r>
      <w:r>
        <w:rPr>
          <w:rFonts w:ascii="Arial"/>
          <w:spacing w:val="-17"/>
          <w:sz w:val="23"/>
        </w:rPr>
        <w:t> </w:t>
      </w:r>
      <w:r>
        <w:rPr>
          <w:rFonts w:ascii="Arial"/>
          <w:sz w:val="23"/>
        </w:rPr>
        <w:t>employees</w:t>
      </w:r>
    </w:p>
    <w:p>
      <w:pPr>
        <w:pStyle w:val="ListParagraph"/>
        <w:numPr>
          <w:ilvl w:val="0"/>
          <w:numId w:val="1"/>
        </w:numPr>
        <w:tabs>
          <w:tab w:pos="1702" w:val="left" w:leader="none"/>
        </w:tabs>
        <w:spacing w:line="240" w:lineRule="auto" w:before="119" w:after="0"/>
        <w:ind w:left="1701" w:right="1800" w:hanging="28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Paid FTE</w:t>
      </w:r>
      <w:hyperlink w:history="true" w:anchor="_bookmark1">
        <w:r>
          <w:rPr>
            <w:rFonts w:ascii="Arial"/>
            <w:position w:val="7"/>
            <w:sz w:val="15"/>
          </w:rPr>
          <w:t>2</w:t>
        </w:r>
      </w:hyperlink>
      <w:r>
        <w:rPr>
          <w:rFonts w:ascii="Arial"/>
          <w:position w:val="7"/>
          <w:sz w:val="15"/>
        </w:rPr>
        <w:t> </w:t>
      </w:r>
      <w:r>
        <w:rPr>
          <w:rFonts w:ascii="Arial"/>
          <w:sz w:val="23"/>
        </w:rPr>
        <w:t>- the number of full-time equivalents</w:t>
      </w:r>
      <w:r>
        <w:rPr>
          <w:rFonts w:ascii="Arial"/>
          <w:spacing w:val="-23"/>
          <w:sz w:val="23"/>
        </w:rPr>
        <w:t> </w:t>
      </w:r>
      <w:r>
        <w:rPr>
          <w:rFonts w:ascii="Arial"/>
          <w:sz w:val="23"/>
        </w:rPr>
        <w:t>(FTE).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1414"/>
        <w:jc w:val="left"/>
        <w:rPr>
          <w:b w:val="0"/>
          <w:bCs w:val="0"/>
        </w:rPr>
      </w:pPr>
      <w:r>
        <w:rPr/>
        <w:t>Table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Western Australian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sector</w:t>
      </w:r>
      <w:r>
        <w:rPr>
          <w:spacing w:val="-6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headcount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FTE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2012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24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1"/>
        <w:gridCol w:w="2321"/>
        <w:gridCol w:w="2323"/>
      </w:tblGrid>
      <w:tr>
        <w:trPr>
          <w:trHeight w:val="598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/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37"/>
              <w:ind w:left="56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Headcount</w:t>
            </w:r>
            <w:r>
              <w:rPr>
                <w:rFonts w:ascii="Arial"/>
                <w:sz w:val="23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37"/>
              <w:ind w:left="66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 </w:t>
            </w:r>
            <w:r>
              <w:rPr>
                <w:rFonts w:ascii="Arial"/>
                <w:b/>
                <w:color w:val="FFFFFF"/>
                <w:sz w:val="23"/>
              </w:rPr>
              <w:t>FTE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427" w:hRule="exact"/>
        </w:trPr>
        <w:tc>
          <w:tcPr>
            <w:tcW w:w="2321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September</w:t>
            </w:r>
            <w:r>
              <w:rPr>
                <w:rFonts w:ascii="Arial"/>
                <w:spacing w:val="-7"/>
                <w:sz w:val="23"/>
              </w:rPr>
              <w:t> </w:t>
            </w:r>
            <w:r>
              <w:rPr>
                <w:rFonts w:ascii="Arial"/>
                <w:sz w:val="23"/>
              </w:rPr>
              <w:t>2012</w:t>
            </w:r>
          </w:p>
        </w:tc>
        <w:tc>
          <w:tcPr>
            <w:tcW w:w="2321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137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409</w:t>
            </w:r>
          </w:p>
        </w:tc>
        <w:tc>
          <w:tcPr>
            <w:tcW w:w="2323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165</w:t>
            </w:r>
          </w:p>
        </w:tc>
      </w:tr>
      <w:tr>
        <w:trPr>
          <w:trHeight w:val="446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December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2012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136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012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344</w:t>
            </w:r>
          </w:p>
        </w:tc>
      </w:tr>
      <w:tr>
        <w:trPr>
          <w:trHeight w:val="422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March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2013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482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110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314</w:t>
            </w:r>
          </w:p>
        </w:tc>
      </w:tr>
      <w:tr>
        <w:trPr>
          <w:trHeight w:val="444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June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2013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863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110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544</w:t>
            </w:r>
          </w:p>
        </w:tc>
      </w:tr>
      <w:tr>
        <w:trPr>
          <w:trHeight w:val="425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September</w:t>
            </w:r>
            <w:r>
              <w:rPr>
                <w:rFonts w:ascii="Arial"/>
                <w:spacing w:val="-7"/>
                <w:sz w:val="23"/>
              </w:rPr>
              <w:t> </w:t>
            </w:r>
            <w:r>
              <w:rPr>
                <w:rFonts w:ascii="Arial"/>
                <w:sz w:val="23"/>
              </w:rPr>
              <w:t>2013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642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883</w:t>
            </w:r>
          </w:p>
        </w:tc>
      </w:tr>
      <w:tr>
        <w:trPr>
          <w:trHeight w:val="444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December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2013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559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489</w:t>
            </w:r>
          </w:p>
        </w:tc>
      </w:tr>
      <w:tr>
        <w:trPr>
          <w:trHeight w:val="425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March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2014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610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423</w:t>
            </w:r>
          </w:p>
        </w:tc>
      </w:tr>
      <w:tr>
        <w:trPr>
          <w:trHeight w:val="444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June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2014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137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944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999</w:t>
            </w:r>
          </w:p>
        </w:tc>
      </w:tr>
      <w:tr>
        <w:trPr>
          <w:trHeight w:val="425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September</w:t>
            </w:r>
            <w:r>
              <w:rPr>
                <w:rFonts w:ascii="Arial"/>
                <w:spacing w:val="-7"/>
                <w:sz w:val="23"/>
              </w:rPr>
              <w:t> </w:t>
            </w:r>
            <w:r>
              <w:rPr>
                <w:rFonts w:ascii="Arial"/>
                <w:sz w:val="23"/>
              </w:rPr>
              <w:t>2014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353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379</w:t>
            </w:r>
          </w:p>
        </w:tc>
      </w:tr>
      <w:tr>
        <w:trPr>
          <w:trHeight w:val="444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December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2014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137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607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5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160</w:t>
            </w:r>
          </w:p>
        </w:tc>
      </w:tr>
      <w:tr>
        <w:trPr>
          <w:trHeight w:val="422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March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2015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307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979</w:t>
            </w:r>
          </w:p>
        </w:tc>
      </w:tr>
      <w:tr>
        <w:trPr>
          <w:trHeight w:val="444" w:hRule="exact"/>
        </w:trPr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10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June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z w:val="23"/>
              </w:rPr>
              <w:t>2015</w:t>
            </w:r>
          </w:p>
        </w:tc>
        <w:tc>
          <w:tcPr>
            <w:tcW w:w="2321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138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440</w:t>
            </w:r>
          </w:p>
        </w:tc>
        <w:tc>
          <w:tcPr>
            <w:tcW w:w="2323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67"/>
              <w:ind w:left="74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019</w:t>
            </w:r>
          </w:p>
        </w:tc>
      </w:tr>
      <w:tr>
        <w:trPr>
          <w:trHeight w:val="425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September</w:t>
            </w:r>
            <w:r>
              <w:rPr>
                <w:rFonts w:ascii="Arial"/>
                <w:spacing w:val="-7"/>
                <w:sz w:val="23"/>
              </w:rPr>
              <w:t> </w:t>
            </w:r>
            <w:r>
              <w:rPr>
                <w:rFonts w:ascii="Arial"/>
                <w:sz w:val="23"/>
              </w:rPr>
              <w:t>2015</w:t>
            </w:r>
          </w:p>
        </w:tc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139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277</w:t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55"/>
              <w:ind w:left="74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109</w:t>
            </w:r>
            <w:r>
              <w:rPr>
                <w:rFonts w:ascii="Arial"/>
                <w:spacing w:val="-5"/>
                <w:sz w:val="23"/>
              </w:rPr>
              <w:t> </w:t>
            </w:r>
            <w:r>
              <w:rPr>
                <w:rFonts w:ascii="Arial"/>
                <w:sz w:val="23"/>
              </w:rPr>
              <w:t>919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0" w:lineRule="exact"/>
        <w:ind w:left="14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7"/>
        <w:ind w:right="1415" w:hanging="1"/>
        <w:jc w:val="both"/>
      </w:pPr>
      <w:bookmarkStart w:name="_bookmark0" w:id="2"/>
      <w:bookmarkEnd w:id="2"/>
      <w:r>
        <w:rPr/>
      </w:r>
      <w:r>
        <w:rPr>
          <w:position w:val="6"/>
          <w:sz w:val="13"/>
          <w:szCs w:val="13"/>
        </w:rPr>
        <w:t>1</w:t>
      </w:r>
      <w:r>
        <w:rPr>
          <w:spacing w:val="16"/>
          <w:position w:val="6"/>
          <w:sz w:val="13"/>
          <w:szCs w:val="13"/>
        </w:rPr>
        <w:t> </w:t>
      </w:r>
      <w:r>
        <w:rPr/>
        <w:t>‘Headcount’</w:t>
      </w:r>
      <w:r>
        <w:rPr>
          <w:spacing w:val="27"/>
        </w:rPr>
        <w:t> </w:t>
      </w:r>
      <w:r>
        <w:rPr/>
        <w:t>is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snapshot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employees</w:t>
      </w:r>
      <w:r>
        <w:rPr>
          <w:spacing w:val="29"/>
        </w:rPr>
        <w:t> </w:t>
      </w:r>
      <w:r>
        <w:rPr/>
        <w:t>as</w:t>
      </w:r>
      <w:r>
        <w:rPr>
          <w:spacing w:val="27"/>
        </w:rPr>
        <w:t> </w:t>
      </w:r>
      <w:r>
        <w:rPr/>
        <w:t>at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last</w:t>
      </w:r>
      <w:r>
        <w:rPr>
          <w:spacing w:val="25"/>
        </w:rPr>
        <w:t> </w:t>
      </w:r>
      <w:r>
        <w:rPr/>
        <w:t>pay</w:t>
      </w:r>
      <w:r>
        <w:rPr>
          <w:spacing w:val="24"/>
        </w:rPr>
        <w:t> </w:t>
      </w:r>
      <w:r>
        <w:rPr/>
        <w:t>period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quarter,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includes</w:t>
      </w:r>
      <w:r>
        <w:rPr>
          <w:spacing w:val="27"/>
        </w:rPr>
        <w:t> </w:t>
      </w:r>
      <w:r>
        <w:rPr/>
        <w:t>all</w:t>
      </w:r>
      <w:r>
        <w:rPr>
          <w:w w:val="99"/>
        </w:rPr>
        <w:t> </w:t>
      </w:r>
      <w:r>
        <w:rPr/>
        <w:t>permanent, fixed term and paid casual employees during that pay</w:t>
      </w:r>
      <w:r>
        <w:rPr>
          <w:spacing w:val="-32"/>
        </w:rPr>
        <w:t> </w:t>
      </w:r>
      <w:r>
        <w:rPr/>
        <w:t>period.</w:t>
      </w:r>
    </w:p>
    <w:p>
      <w:pPr>
        <w:pStyle w:val="BodyText"/>
        <w:spacing w:line="240" w:lineRule="auto"/>
        <w:ind w:right="1411"/>
        <w:jc w:val="both"/>
      </w:pPr>
      <w:r>
        <w:rPr/>
        <w:pict>
          <v:group style="position:absolute;margin-left:0pt;margin-top:70.219887pt;width:594.950pt;height:73.75pt;mso-position-horizontal-relative:page;mso-position-vertical-relative:paragraph;z-index:1168" coordorigin="0,1404" coordsize="11899,1475">
            <v:shape style="position:absolute;left:0;top:1404;width:11899;height:1475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8;top:2282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778;top:2282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3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" w:id="3"/>
      <w:bookmarkEnd w:id="3"/>
      <w:r>
        <w:rPr/>
      </w:r>
      <w:r>
        <w:rPr>
          <w:position w:val="6"/>
          <w:sz w:val="13"/>
          <w:szCs w:val="13"/>
        </w:rPr>
        <w:t>2</w:t>
      </w:r>
      <w:r>
        <w:rPr>
          <w:spacing w:val="16"/>
          <w:position w:val="6"/>
          <w:sz w:val="13"/>
          <w:szCs w:val="13"/>
        </w:rPr>
        <w:t> </w:t>
      </w:r>
      <w:r>
        <w:rPr/>
        <w:t>Paid</w:t>
      </w:r>
      <w:r>
        <w:rPr>
          <w:spacing w:val="8"/>
        </w:rPr>
        <w:t> </w:t>
      </w:r>
      <w:r>
        <w:rPr/>
        <w:t>FTE’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snapshot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employees</w:t>
      </w:r>
      <w:r>
        <w:rPr>
          <w:spacing w:val="12"/>
        </w:rPr>
        <w:t> </w:t>
      </w:r>
      <w:r>
        <w:rPr/>
        <w:t>who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paid</w:t>
      </w:r>
      <w:r>
        <w:rPr>
          <w:spacing w:val="10"/>
        </w:rPr>
        <w:t> </w:t>
      </w:r>
      <w:r>
        <w:rPr/>
        <w:t>during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last</w:t>
      </w:r>
      <w:r>
        <w:rPr>
          <w:spacing w:val="8"/>
        </w:rPr>
        <w:t> </w:t>
      </w:r>
      <w:r>
        <w:rPr/>
        <w:t>pay</w:t>
      </w:r>
      <w:r>
        <w:rPr>
          <w:spacing w:val="5"/>
        </w:rPr>
        <w:t> </w:t>
      </w:r>
      <w:r>
        <w:rPr/>
        <w:t>period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quarter.</w:t>
      </w:r>
      <w:r>
        <w:rPr>
          <w:spacing w:val="8"/>
        </w:rPr>
        <w:t> </w:t>
      </w:r>
      <w:r>
        <w:rPr/>
        <w:t>This</w:t>
      </w:r>
      <w:r>
        <w:rPr>
          <w:w w:val="99"/>
        </w:rPr>
        <w:t> </w:t>
      </w:r>
      <w:r>
        <w:rPr/>
        <w:t>methodology </w:t>
      </w:r>
      <w:r>
        <w:rPr>
          <w:spacing w:val="2"/>
        </w:rPr>
        <w:t>may </w:t>
      </w:r>
      <w:r>
        <w:rPr/>
        <w:t>differ from those used by public sector agencies in their own operational</w:t>
      </w:r>
      <w:r>
        <w:rPr>
          <w:spacing w:val="7"/>
        </w:rPr>
        <w:t> </w:t>
      </w:r>
      <w:r>
        <w:rPr/>
        <w:t>workforce</w:t>
      </w:r>
      <w:r>
        <w:rPr>
          <w:w w:val="99"/>
        </w:rPr>
        <w:t> </w:t>
      </w:r>
      <w:r>
        <w:rPr/>
        <w:t>management process. As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quality of</w:t>
      </w:r>
      <w:r>
        <w:rPr>
          <w:spacing w:val="55"/>
        </w:rPr>
        <w:t> </w:t>
      </w:r>
      <w:r>
        <w:rPr/>
        <w:t>agency</w:t>
      </w:r>
      <w:r>
        <w:rPr>
          <w:spacing w:val="55"/>
        </w:rPr>
        <w:t> </w:t>
      </w:r>
      <w:r>
        <w:rPr/>
        <w:t>data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continuously being reviewed,</w:t>
      </w:r>
      <w:r>
        <w:rPr>
          <w:spacing w:val="10"/>
        </w:rPr>
        <w:t> </w:t>
      </w:r>
      <w:r>
        <w:rPr/>
        <w:t>some</w:t>
      </w:r>
      <w:r>
        <w:rPr>
          <w:w w:val="99"/>
        </w:rPr>
        <w:t> </w:t>
      </w:r>
      <w:r>
        <w:rPr/>
        <w:t>adjustments in FTE figures may</w:t>
      </w:r>
      <w:r>
        <w:rPr>
          <w:spacing w:val="-18"/>
        </w:rPr>
        <w:t> </w:t>
      </w:r>
      <w:r>
        <w:rPr/>
        <w:t>occur.</w:t>
      </w:r>
    </w:p>
    <w:p>
      <w:pPr>
        <w:spacing w:after="0" w:line="240" w:lineRule="auto"/>
        <w:jc w:val="both"/>
        <w:sectPr>
          <w:pgSz w:w="11910" w:h="16850"/>
          <w:pgMar w:top="1560" w:bottom="0" w:left="0" w:right="0"/>
        </w:sectPr>
      </w:pPr>
    </w:p>
    <w:p>
      <w:pPr>
        <w:pStyle w:val="Heading2"/>
        <w:spacing w:line="240" w:lineRule="auto" w:before="122"/>
        <w:ind w:right="1800"/>
        <w:jc w:val="left"/>
        <w:rPr>
          <w:b w:val="0"/>
          <w:bCs w:val="0"/>
        </w:rPr>
      </w:pPr>
      <w:r>
        <w:rPr/>
        <w:t>Table 2 Western Australian public sector</w:t>
      </w:r>
      <w:r>
        <w:rPr>
          <w:spacing w:val="-25"/>
        </w:rPr>
        <w:t> </w:t>
      </w:r>
      <w:r>
        <w:rPr/>
        <w:t>entities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9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4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1" w:hRule="exact"/>
        </w:trPr>
        <w:tc>
          <w:tcPr>
            <w:tcW w:w="4536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Education</w:t>
            </w:r>
          </w:p>
        </w:tc>
        <w:tc>
          <w:tcPr>
            <w:tcW w:w="1274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3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49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983</w:t>
            </w:r>
          </w:p>
        </w:tc>
        <w:tc>
          <w:tcPr>
            <w:tcW w:w="1277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36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887</w:t>
            </w:r>
          </w:p>
        </w:tc>
        <w:tc>
          <w:tcPr>
            <w:tcW w:w="1630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+973</w:t>
            </w:r>
          </w:p>
        </w:tc>
        <w:tc>
          <w:tcPr>
            <w:tcW w:w="1630" w:type="dxa"/>
            <w:tcBorders>
              <w:top w:val="nil" w:sz="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+921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Health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3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876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3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992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+318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+895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Corrective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Services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427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162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-161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+42</w:t>
            </w:r>
          </w:p>
        </w:tc>
      </w:tr>
      <w:tr>
        <w:trPr>
          <w:trHeight w:val="790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76" w:lineRule="auto" w:before="131"/>
              <w:ind w:left="103" w:right="5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for Child Protection and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Support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557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4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191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Western Australia Police (Police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Service)</w:t>
            </w:r>
            <w:hyperlink w:history="true" w:anchor="_bookmark2">
              <w:r>
                <w:rPr>
                  <w:rFonts w:ascii="Arial"/>
                  <w:position w:val="6"/>
                  <w:sz w:val="13"/>
                </w:rPr>
                <w:t>3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544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861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-239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the Attorney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General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719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497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-55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Disability Services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695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490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-171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Department of Parks and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Wildlife</w:t>
            </w:r>
            <w:hyperlink w:history="true" w:anchor="_bookmark3">
              <w:r>
                <w:rPr>
                  <w:rFonts w:ascii="Arial"/>
                  <w:position w:val="6"/>
                  <w:sz w:val="13"/>
                </w:rPr>
                <w:t>4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664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432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-124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Housing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657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543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+42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Public Transport Authority of Western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653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586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+53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+114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Fire and Emergency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Services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620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514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+71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Transport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520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4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397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-29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z w:val="20"/>
              </w:rPr>
              <w:t>Finance</w:t>
            </w:r>
            <w:hyperlink w:history="true" w:anchor="_bookmark4">
              <w:r>
                <w:rPr>
                  <w:rFonts w:ascii="Arial"/>
                  <w:position w:val="6"/>
                  <w:sz w:val="13"/>
                </w:rPr>
                <w:t>5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205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-179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Central Institute of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130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847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-135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Polytechnic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West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118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921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-96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Agriculture and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Food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087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974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-109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-179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Main Roads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4"/>
                <w:sz w:val="20"/>
              </w:rPr>
              <w:t>WA</w:t>
            </w:r>
            <w:hyperlink w:history="true" w:anchor="_bookmark5">
              <w:r>
                <w:rPr>
                  <w:rFonts w:ascii="Arial"/>
                  <w:spacing w:val="4"/>
                  <w:position w:val="6"/>
                  <w:sz w:val="13"/>
                </w:rPr>
                <w:t>6</w:t>
              </w:r>
              <w:r>
                <w:rPr>
                  <w:rFonts w:ascii="Arial"/>
                  <w:spacing w:val="4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073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014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-56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" w:lineRule="exact"/>
        <w:ind w:left="14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7"/>
        <w:ind w:right="1414" w:hanging="1"/>
        <w:jc w:val="left"/>
      </w:pPr>
      <w:bookmarkStart w:name="_bookmark2" w:id="4"/>
      <w:bookmarkEnd w:id="4"/>
      <w:r>
        <w:rPr/>
      </w: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> </w:t>
      </w:r>
      <w:r>
        <w:rPr/>
        <w:t>Police</w:t>
      </w:r>
      <w:r>
        <w:rPr>
          <w:spacing w:val="25"/>
        </w:rPr>
        <w:t> </w:t>
      </w:r>
      <w:r>
        <w:rPr/>
        <w:t>auxiliary</w:t>
      </w:r>
      <w:r>
        <w:rPr>
          <w:spacing w:val="21"/>
        </w:rPr>
        <w:t> </w:t>
      </w:r>
      <w:r>
        <w:rPr/>
        <w:t>officers</w:t>
      </w:r>
      <w:r>
        <w:rPr>
          <w:spacing w:val="27"/>
        </w:rPr>
        <w:t> </w:t>
      </w:r>
      <w:r>
        <w:rPr/>
        <w:t>were</w:t>
      </w:r>
      <w:r>
        <w:rPr>
          <w:spacing w:val="25"/>
        </w:rPr>
        <w:t> </w:t>
      </w:r>
      <w:r>
        <w:rPr/>
        <w:t>identified</w:t>
      </w:r>
      <w:r>
        <w:rPr>
          <w:spacing w:val="25"/>
        </w:rPr>
        <w:t> </w:t>
      </w:r>
      <w:r>
        <w:rPr/>
        <w:t>as</w:t>
      </w:r>
      <w:r>
        <w:rPr>
          <w:spacing w:val="27"/>
        </w:rPr>
        <w:t> </w:t>
      </w:r>
      <w:r>
        <w:rPr/>
        <w:t>non-public</w:t>
      </w:r>
      <w:r>
        <w:rPr>
          <w:spacing w:val="27"/>
        </w:rPr>
        <w:t> </w:t>
      </w:r>
      <w:r>
        <w:rPr/>
        <w:t>sector</w:t>
      </w:r>
      <w:r>
        <w:rPr>
          <w:spacing w:val="26"/>
        </w:rPr>
        <w:t> </w:t>
      </w:r>
      <w:r>
        <w:rPr/>
        <w:t>employees,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hence</w:t>
      </w:r>
      <w:r>
        <w:rPr>
          <w:spacing w:val="25"/>
        </w:rPr>
        <w:t> </w:t>
      </w:r>
      <w:r>
        <w:rPr/>
        <w:t>excluded</w:t>
      </w:r>
      <w:r>
        <w:rPr>
          <w:spacing w:val="25"/>
        </w:rPr>
        <w:t> </w:t>
      </w:r>
      <w:r>
        <w:rPr/>
        <w:t>from</w:t>
      </w:r>
      <w:r>
        <w:rPr>
          <w:spacing w:val="-1"/>
          <w:w w:val="99"/>
        </w:rPr>
        <w:t> </w:t>
      </w:r>
      <w:r>
        <w:rPr/>
        <w:t>this report, since September</w:t>
      </w:r>
      <w:r>
        <w:rPr>
          <w:spacing w:val="-22"/>
        </w:rPr>
        <w:t> </w:t>
      </w:r>
      <w:r>
        <w:rPr/>
        <w:t>2014.</w:t>
      </w:r>
    </w:p>
    <w:p>
      <w:pPr>
        <w:pStyle w:val="BodyText"/>
        <w:spacing w:line="240" w:lineRule="auto"/>
        <w:ind w:right="1414" w:hanging="1"/>
        <w:jc w:val="left"/>
      </w:pPr>
      <w:bookmarkStart w:name="_bookmark3" w:id="5"/>
      <w:bookmarkEnd w:id="5"/>
      <w:r>
        <w:rPr/>
      </w:r>
      <w:r>
        <w:rPr>
          <w:position w:val="6"/>
          <w:sz w:val="13"/>
        </w:rPr>
        <w:t>4</w:t>
      </w:r>
      <w:r>
        <w:rPr>
          <w:spacing w:val="19"/>
          <w:position w:val="6"/>
          <w:sz w:val="13"/>
        </w:rPr>
        <w:t> </w:t>
      </w:r>
      <w:r>
        <w:rPr/>
        <w:t>The</w:t>
      </w:r>
      <w:r>
        <w:rPr>
          <w:spacing w:val="32"/>
        </w:rPr>
        <w:t> </w:t>
      </w:r>
      <w:r>
        <w:rPr/>
        <w:t>role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functions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2"/>
        </w:rPr>
        <w:t> </w:t>
      </w:r>
      <w:r>
        <w:rPr/>
        <w:t>Swan</w:t>
      </w:r>
      <w:r>
        <w:rPr>
          <w:spacing w:val="32"/>
        </w:rPr>
        <w:t> </w:t>
      </w:r>
      <w:r>
        <w:rPr/>
        <w:t>River</w:t>
      </w:r>
      <w:r>
        <w:rPr>
          <w:spacing w:val="33"/>
        </w:rPr>
        <w:t> </w:t>
      </w:r>
      <w:r>
        <w:rPr/>
        <w:t>Trust</w:t>
      </w:r>
      <w:r>
        <w:rPr>
          <w:spacing w:val="32"/>
        </w:rPr>
        <w:t> </w:t>
      </w:r>
      <w:r>
        <w:rPr/>
        <w:t>were</w:t>
      </w:r>
      <w:r>
        <w:rPr>
          <w:spacing w:val="32"/>
        </w:rPr>
        <w:t> </w:t>
      </w:r>
      <w:r>
        <w:rPr/>
        <w:t>merged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Department</w:t>
      </w:r>
      <w:r>
        <w:rPr>
          <w:spacing w:val="32"/>
        </w:rPr>
        <w:t> </w:t>
      </w:r>
      <w:r>
        <w:rPr/>
        <w:t>of</w:t>
      </w:r>
      <w:r>
        <w:rPr>
          <w:spacing w:val="35"/>
        </w:rPr>
        <w:t> </w:t>
      </w:r>
      <w:r>
        <w:rPr/>
        <w:t>Parks</w:t>
      </w:r>
      <w:r>
        <w:rPr>
          <w:spacing w:val="34"/>
        </w:rPr>
        <w:t> </w:t>
      </w:r>
      <w:r>
        <w:rPr/>
        <w:t>and</w:t>
      </w:r>
      <w:r>
        <w:rPr>
          <w:spacing w:val="-1"/>
          <w:w w:val="99"/>
        </w:rPr>
        <w:t> </w:t>
      </w:r>
      <w:r>
        <w:rPr/>
        <w:t>Wildlife from 1 July</w:t>
      </w:r>
      <w:r>
        <w:rPr>
          <w:spacing w:val="-12"/>
        </w:rPr>
        <w:t> </w:t>
      </w:r>
      <w:r>
        <w:rPr/>
        <w:t>2015.</w:t>
      </w:r>
    </w:p>
    <w:p>
      <w:pPr>
        <w:pStyle w:val="BodyText"/>
        <w:spacing w:line="240" w:lineRule="auto"/>
        <w:ind w:right="1414"/>
        <w:jc w:val="left"/>
      </w:pPr>
      <w:bookmarkStart w:name="_bookmark4" w:id="6"/>
      <w:bookmarkEnd w:id="6"/>
      <w:r>
        <w:rPr/>
      </w:r>
      <w:r>
        <w:rPr>
          <w:position w:val="6"/>
          <w:sz w:val="13"/>
          <w:szCs w:val="13"/>
        </w:rPr>
        <w:t>5 </w:t>
      </w:r>
      <w:r>
        <w:rPr/>
        <w:t>The Fremantle Prison was transferred from the Department of Finance’s Building Management</w:t>
      </w:r>
      <w:r>
        <w:rPr>
          <w:spacing w:val="52"/>
        </w:rPr>
        <w:t> </w:t>
      </w:r>
      <w:r>
        <w:rPr/>
        <w:t>and</w:t>
      </w:r>
      <w:r>
        <w:rPr>
          <w:spacing w:val="-1"/>
          <w:w w:val="99"/>
        </w:rPr>
        <w:t> </w:t>
      </w:r>
      <w:r>
        <w:rPr/>
        <w:t>Works division to the State Heritage Office on 1 July</w:t>
      </w:r>
      <w:r>
        <w:rPr>
          <w:spacing w:val="-26"/>
        </w:rPr>
        <w:t> </w:t>
      </w:r>
      <w:r>
        <w:rPr/>
        <w:t>2015.</w:t>
      </w:r>
    </w:p>
    <w:p>
      <w:pPr>
        <w:pStyle w:val="BodyText"/>
        <w:spacing w:line="240" w:lineRule="auto"/>
        <w:ind w:right="1414"/>
        <w:jc w:val="left"/>
      </w:pPr>
      <w:r>
        <w:rPr/>
        <w:pict>
          <v:group style="position:absolute;margin-left:0pt;margin-top:37.339882pt;width:594.950pt;height:73.75pt;mso-position-horizontal-relative:page;mso-position-vertical-relative:paragraph;z-index:1264" coordorigin="0,747" coordsize="11899,1475">
            <v:shape style="position:absolute;left:0;top:747;width:11899;height:1475" type="#_x0000_t75" stroked="false">
              <v:imagedata r:id="rId9" o:title=""/>
            </v:shape>
            <v:shape style="position:absolute;left:1418;top:1625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625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5" w:id="7"/>
      <w:bookmarkEnd w:id="7"/>
      <w:r>
        <w:rPr/>
      </w:r>
      <w:r>
        <w:rPr>
          <w:position w:val="6"/>
          <w:sz w:val="13"/>
        </w:rPr>
        <w:t>6</w:t>
      </w:r>
      <w:r>
        <w:rPr>
          <w:spacing w:val="16"/>
          <w:position w:val="6"/>
          <w:sz w:val="13"/>
        </w:rPr>
        <w:t> </w:t>
      </w:r>
      <w:r>
        <w:rPr/>
        <w:t>Office</w:t>
      </w:r>
      <w:r>
        <w:rPr>
          <w:spacing w:val="27"/>
        </w:rPr>
        <w:t> </w:t>
      </w:r>
      <w:r>
        <w:rPr/>
        <w:t>of</w:t>
      </w:r>
      <w:r>
        <w:rPr>
          <w:spacing w:val="30"/>
        </w:rPr>
        <w:t> </w:t>
      </w:r>
      <w:r>
        <w:rPr/>
        <w:t>Road</w:t>
      </w:r>
      <w:r>
        <w:rPr>
          <w:spacing w:val="30"/>
        </w:rPr>
        <w:t> </w:t>
      </w:r>
      <w:r>
        <w:rPr/>
        <w:t>Safety</w:t>
      </w:r>
      <w:r>
        <w:rPr>
          <w:spacing w:val="25"/>
        </w:rPr>
        <w:t> </w:t>
      </w:r>
      <w:r>
        <w:rPr/>
        <w:t>moved</w:t>
      </w:r>
      <w:r>
        <w:rPr>
          <w:spacing w:val="30"/>
        </w:rPr>
        <w:t> </w:t>
      </w:r>
      <w:r>
        <w:rPr/>
        <w:t>out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Main</w:t>
      </w:r>
      <w:r>
        <w:rPr>
          <w:spacing w:val="30"/>
        </w:rPr>
        <w:t> </w:t>
      </w:r>
      <w:r>
        <w:rPr/>
        <w:t>Roads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become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stand-alone</w:t>
      </w:r>
      <w:r>
        <w:rPr>
          <w:spacing w:val="30"/>
        </w:rPr>
        <w:t> </w:t>
      </w:r>
      <w:r>
        <w:rPr/>
        <w:t>department</w:t>
      </w:r>
      <w:r>
        <w:rPr>
          <w:spacing w:val="28"/>
        </w:rPr>
        <w:t> </w:t>
      </w:r>
      <w:r>
        <w:rPr/>
        <w:t>called</w:t>
      </w:r>
      <w:r>
        <w:rPr>
          <w:spacing w:val="27"/>
        </w:rPr>
        <w:t> </w:t>
      </w:r>
      <w:r>
        <w:rPr/>
        <w:t>the</w:t>
      </w:r>
      <w:r>
        <w:rPr>
          <w:spacing w:val="-1"/>
          <w:w w:val="99"/>
        </w:rPr>
        <w:t> </w:t>
      </w:r>
      <w:r>
        <w:rPr/>
        <w:t>Road Safety Commission from 1 July</w:t>
      </w:r>
      <w:r>
        <w:rPr>
          <w:spacing w:val="-19"/>
        </w:rPr>
        <w:t> </w:t>
      </w:r>
      <w:r>
        <w:rPr/>
        <w:t>2015.</w:t>
      </w:r>
    </w:p>
    <w:p>
      <w:pPr>
        <w:spacing w:after="0" w:line="240" w:lineRule="auto"/>
        <w:jc w:val="left"/>
        <w:sectPr>
          <w:pgSz w:w="11910" w:h="16850"/>
          <w:pgMar w:top="1600" w:bottom="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7"/>
          <w:szCs w:val="7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7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1" w:hRule="exact"/>
        </w:trPr>
        <w:tc>
          <w:tcPr>
            <w:tcW w:w="4536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Department of Culture and the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Arts</w:t>
            </w:r>
            <w:hyperlink w:history="true" w:anchor="_bookmark6">
              <w:r>
                <w:rPr>
                  <w:rFonts w:ascii="Arial"/>
                  <w:position w:val="6"/>
                  <w:sz w:val="13"/>
                </w:rPr>
                <w:t>7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875</w:t>
            </w:r>
          </w:p>
        </w:tc>
        <w:tc>
          <w:tcPr>
            <w:tcW w:w="1277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695</w:t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+86</w:t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6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+108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Mines and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Petroleum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844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-37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Commerce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-146</w:t>
            </w:r>
          </w:p>
        </w:tc>
      </w:tr>
      <w:tr>
        <w:trPr>
          <w:trHeight w:val="7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6" w:lineRule="auto" w:before="119"/>
              <w:ind w:left="108" w:right="22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Landgate (Western Australian Land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Authority)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-18</w:t>
            </w:r>
          </w:p>
        </w:tc>
      </w:tr>
      <w:tr>
        <w:trPr>
          <w:trHeight w:val="51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Challenger Institute of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619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-93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the Premier and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Cabinet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546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-33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Fisheries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525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474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-7</w:t>
            </w:r>
          </w:p>
        </w:tc>
      </w:tr>
      <w:tr>
        <w:trPr>
          <w:trHeight w:val="780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8" w:lineRule="auto" w:before="119"/>
              <w:ind w:left="108" w:right="10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Training 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Workforce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524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481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-74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</w:t>
            </w:r>
          </w:p>
        </w:tc>
      </w:tr>
      <w:tr>
        <w:trPr>
          <w:trHeight w:val="514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Water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513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Planning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469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431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-31</w:t>
            </w:r>
          </w:p>
        </w:tc>
      </w:tr>
      <w:tr>
        <w:trPr>
          <w:trHeight w:val="790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76" w:lineRule="auto" w:before="131"/>
              <w:ind w:left="103" w:right="1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VenuesWest (Western Australian Sports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Centre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Trust)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460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Insurance Commission of Western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396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+23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Mental Health Commission</w:t>
            </w:r>
            <w:hyperlink w:history="true" w:anchor="_bookmark7">
              <w:r>
                <w:rPr>
                  <w:rFonts w:ascii="Arial"/>
                  <w:position w:val="6"/>
                  <w:sz w:val="13"/>
                </w:rPr>
                <w:t>8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352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+193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+201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West Coast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348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-28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Environment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Regulation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341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-30</w:t>
            </w:r>
          </w:p>
        </w:tc>
      </w:tr>
      <w:tr>
        <w:trPr>
          <w:trHeight w:val="7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6" w:lineRule="auto" w:before="119"/>
              <w:ind w:left="108" w:right="108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Local Government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Communities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336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-35</w:t>
            </w:r>
          </w:p>
        </w:tc>
      </w:tr>
      <w:tr>
        <w:trPr>
          <w:trHeight w:val="51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Treasury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319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+13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Legal Aid Commission of Western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-24</w:t>
            </w:r>
          </w:p>
        </w:tc>
      </w:tr>
      <w:tr>
        <w:trPr>
          <w:trHeight w:val="518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South West Institute of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-53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line="20" w:lineRule="exact"/>
        <w:ind w:left="14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9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7"/>
        <w:ind w:right="1414"/>
        <w:jc w:val="left"/>
      </w:pPr>
      <w:bookmarkStart w:name="_bookmark6" w:id="8"/>
      <w:bookmarkEnd w:id="8"/>
      <w:r>
        <w:rPr/>
      </w:r>
      <w:r>
        <w:rPr>
          <w:position w:val="6"/>
          <w:sz w:val="13"/>
        </w:rPr>
        <w:t>7 </w:t>
      </w:r>
      <w:r>
        <w:rPr/>
        <w:t>The Perth Theatre Trust transitioned its outsourced venues management operations in-house from</w:t>
      </w:r>
      <w:r>
        <w:rPr>
          <w:spacing w:val="42"/>
        </w:rPr>
        <w:t> </w:t>
      </w:r>
      <w:r>
        <w:rPr/>
        <w:t>1</w:t>
      </w:r>
      <w:r>
        <w:rPr>
          <w:w w:val="99"/>
        </w:rPr>
        <w:t> </w:t>
      </w:r>
      <w:r>
        <w:rPr/>
        <w:t>January</w:t>
      </w:r>
      <w:r>
        <w:rPr>
          <w:spacing w:val="-9"/>
        </w:rPr>
        <w:t> </w:t>
      </w:r>
      <w:r>
        <w:rPr/>
        <w:t>2015.</w:t>
      </w:r>
    </w:p>
    <w:p>
      <w:pPr>
        <w:pStyle w:val="BodyText"/>
        <w:spacing w:line="240" w:lineRule="auto"/>
        <w:ind w:right="1800"/>
        <w:jc w:val="left"/>
      </w:pPr>
      <w:r>
        <w:rPr/>
        <w:pict>
          <v:group style="position:absolute;margin-left:0pt;margin-top:25.819885pt;width:594.950pt;height:73.75pt;mso-position-horizontal-relative:page;mso-position-vertical-relative:paragraph;z-index:1360" coordorigin="0,516" coordsize="11899,1475">
            <v:shape style="position:absolute;left:0;top:516;width:11899;height:1475" type="#_x0000_t75" stroked="false">
              <v:imagedata r:id="rId9" o:title=""/>
            </v:shape>
            <v:shape style="position:absolute;left:1418;top:1394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394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5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7" w:id="9"/>
      <w:bookmarkEnd w:id="9"/>
      <w:r>
        <w:rPr/>
      </w:r>
      <w:r>
        <w:rPr>
          <w:position w:val="6"/>
          <w:sz w:val="13"/>
        </w:rPr>
        <w:t>8 </w:t>
      </w:r>
      <w:r>
        <w:rPr/>
        <w:t>The Mental Health Commission and the Drug and Alcohol Office amalgamated from 1 July</w:t>
      </w:r>
      <w:r>
        <w:rPr>
          <w:spacing w:val="-14"/>
        </w:rPr>
        <w:t> </w:t>
      </w:r>
      <w:r>
        <w:rPr/>
        <w:t>2015.</w:t>
      </w:r>
    </w:p>
    <w:p>
      <w:pPr>
        <w:spacing w:after="0" w:line="240" w:lineRule="auto"/>
        <w:jc w:val="left"/>
        <w:sectPr>
          <w:pgSz w:w="11910" w:h="16850"/>
          <w:pgMar w:top="1520" w:bottom="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0pt;margin-top:765pt;width:594.950pt;height:73.75pt;mso-position-horizontal-relative:page;mso-position-vertical-relative:page;z-index:1432" coordorigin="0,15300" coordsize="11899,1475">
            <v:shape style="position:absolute;left:0;top:15300;width:11899;height:1475" type="#_x0000_t75" stroked="false">
              <v:imagedata r:id="rId9" o:title=""/>
            </v:shape>
            <v:shape style="position:absolute;left:1418;top:16178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6178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0" w:hRule="exact"/>
        </w:trPr>
        <w:tc>
          <w:tcPr>
            <w:tcW w:w="4536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Durack Institute of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269</w:t>
            </w:r>
          </w:p>
        </w:tc>
        <w:tc>
          <w:tcPr>
            <w:tcW w:w="1277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206</w:t>
            </w:r>
          </w:p>
        </w:tc>
        <w:tc>
          <w:tcPr>
            <w:tcW w:w="1630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-13</w:t>
            </w:r>
          </w:p>
        </w:tc>
        <w:tc>
          <w:tcPr>
            <w:tcW w:w="1630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Director of Public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Prosecutions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Great Southern Institute of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-38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Lands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222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+49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Lotterywest (Lotteries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Commission)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222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+12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Zoological Parks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+5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Sport and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Recreation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Kimberley Training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203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 Curriculum and Standards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Public Sector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-15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State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Forest Products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165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-12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Regional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+7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Metropolitan Cemeteries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Board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151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Pilbara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151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-67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WorkCover Western Australia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149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Botanic Gardens and Parks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148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Auditor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General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145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+6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Metropolitan Redevelopment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143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+24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Corruption and Crime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142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135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-27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Country High School Hostels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142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106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Aboriginal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Affairs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127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 Y O'Connor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-18</w:t>
            </w:r>
          </w:p>
        </w:tc>
      </w:tr>
      <w:tr>
        <w:trPr>
          <w:trHeight w:val="518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Goldfields Institute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50"/>
          <w:pgMar w:top="1520" w:bottom="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5" w:space="0" w:color="auto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0" w:hRule="exact"/>
        </w:trPr>
        <w:tc>
          <w:tcPr>
            <w:tcW w:w="4536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Chemistry Centre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(WA)</w:t>
            </w:r>
          </w:p>
        </w:tc>
        <w:tc>
          <w:tcPr>
            <w:tcW w:w="1274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119</w:t>
            </w:r>
          </w:p>
        </w:tc>
        <w:tc>
          <w:tcPr>
            <w:tcW w:w="1277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1630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5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Education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Services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Rottnest Island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-9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Racing, Gaming and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Liquor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111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6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-7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Western Australian Tourism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Environmental Protection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89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-24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Department of the State Heritage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Office</w:t>
            </w:r>
            <w:hyperlink w:history="true" w:anchor="_bookmark8">
              <w:r>
                <w:rPr>
                  <w:rFonts w:ascii="Arial"/>
                  <w:position w:val="6"/>
                  <w:sz w:val="13"/>
                </w:rPr>
                <w:t>9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83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8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N/A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Animal Resources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68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7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6" w:lineRule="auto" w:before="119"/>
              <w:ind w:left="108" w:right="25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Parliamentary Commissioner for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Administrative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Investigations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(Ombudsman)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66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</w:tr>
      <w:tr>
        <w:trPr>
          <w:trHeight w:val="514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Small Business Development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Corporation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59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Economic Regulation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Legal Practice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Board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52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Western Australian Electoral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790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76" w:lineRule="auto" w:before="131"/>
              <w:ind w:left="103" w:right="22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Government Employees Superannuation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Board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(GESB)</w:t>
            </w:r>
            <w:r>
              <w:rPr>
                <w:rFonts w:ascii="Arial"/>
                <w:spacing w:val="7"/>
                <w:sz w:val="20"/>
              </w:rPr>
              <w:t> </w:t>
            </w:r>
            <w:hyperlink w:history="true" w:anchor="_bookmark9">
              <w:r>
                <w:rPr>
                  <w:rFonts w:ascii="Arial"/>
                  <w:position w:val="6"/>
                  <w:sz w:val="13"/>
                </w:rPr>
                <w:t>10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8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-29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7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-171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National Trust of Australia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(W.A.)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42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Perth Market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36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</w:t>
            </w:r>
          </w:p>
        </w:tc>
      </w:tr>
      <w:tr>
        <w:trPr>
          <w:trHeight w:val="7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6" w:lineRule="auto" w:before="119"/>
              <w:ind w:left="108" w:right="21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Department of the Registrar Western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Australian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Industrial Relations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-5</w:t>
            </w:r>
          </w:p>
        </w:tc>
      </w:tr>
      <w:tr>
        <w:trPr>
          <w:trHeight w:val="51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Equal Opportunity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South West Development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4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7"/>
        <w:ind w:right="1411" w:hanging="1"/>
        <w:jc w:val="both"/>
      </w:pPr>
      <w:bookmarkStart w:name="_bookmark8" w:id="10"/>
      <w:bookmarkEnd w:id="10"/>
      <w:r>
        <w:rPr/>
      </w:r>
      <w:r>
        <w:rPr>
          <w:position w:val="6"/>
          <w:sz w:val="13"/>
          <w:szCs w:val="13"/>
        </w:rPr>
        <w:t>9 </w:t>
      </w:r>
      <w:r>
        <w:rPr/>
        <w:t>The State Heritage Office became a stand-alone government department from 1 July 2014.</w:t>
      </w:r>
      <w:r>
        <w:rPr>
          <w:spacing w:val="47"/>
        </w:rPr>
        <w:t> </w:t>
      </w:r>
      <w:r>
        <w:rPr/>
        <w:t>The</w:t>
      </w:r>
      <w:r>
        <w:rPr>
          <w:w w:val="99"/>
        </w:rPr>
        <w:t> </w:t>
      </w:r>
      <w:r>
        <w:rPr/>
        <w:t>Fremantle Prison was transferred from the Department of Finance’s Building Management and</w:t>
      </w:r>
      <w:r>
        <w:rPr>
          <w:spacing w:val="51"/>
        </w:rPr>
        <w:t> </w:t>
      </w:r>
      <w:r>
        <w:rPr/>
        <w:t>Works</w:t>
      </w:r>
      <w:r>
        <w:rPr>
          <w:w w:val="99"/>
        </w:rPr>
        <w:t> </w:t>
      </w:r>
      <w:r>
        <w:rPr/>
        <w:t>division to the State Heritage Office on 1 July</w:t>
      </w:r>
      <w:r>
        <w:rPr>
          <w:spacing w:val="-18"/>
        </w:rPr>
        <w:t> </w:t>
      </w:r>
      <w:r>
        <w:rPr/>
        <w:t>2015.</w:t>
      </w: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0pt;margin-top:25.819885pt;width:594.950pt;height:73.75pt;mso-position-horizontal-relative:page;mso-position-vertical-relative:paragraph;z-index:1528" coordorigin="0,516" coordsize="11899,1475">
            <v:shape style="position:absolute;left:0;top:516;width:11899;height:1475" type="#_x0000_t75" stroked="false">
              <v:imagedata r:id="rId9" o:title=""/>
            </v:shape>
            <v:shape style="position:absolute;left:1418;top:1394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394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7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9" w:id="11"/>
      <w:bookmarkEnd w:id="11"/>
      <w:r>
        <w:rPr/>
      </w:r>
      <w:r>
        <w:rPr>
          <w:position w:val="6"/>
          <w:sz w:val="13"/>
        </w:rPr>
        <w:t>10 </w:t>
      </w:r>
      <w:r>
        <w:rPr/>
        <w:t>GESB outsourced its superannuation administration services to Link from 1 July</w:t>
      </w:r>
      <w:r>
        <w:rPr>
          <w:spacing w:val="-14"/>
        </w:rPr>
        <w:t> </w:t>
      </w:r>
      <w:r>
        <w:rPr/>
        <w:t>2014.</w:t>
      </w:r>
    </w:p>
    <w:p>
      <w:pPr>
        <w:spacing w:after="0" w:line="240" w:lineRule="auto"/>
        <w:jc w:val="both"/>
        <w:sectPr>
          <w:pgSz w:w="11910" w:h="16850"/>
          <w:pgMar w:top="1520" w:bottom="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7"/>
          <w:szCs w:val="7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7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1" w:hRule="exact"/>
        </w:trPr>
        <w:tc>
          <w:tcPr>
            <w:tcW w:w="4536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Pilbara Development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</w:t>
            </w:r>
          </w:p>
        </w:tc>
        <w:tc>
          <w:tcPr>
            <w:tcW w:w="1277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Health and Disability Services Complaints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Office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  <w:tr>
        <w:trPr>
          <w:trHeight w:val="790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78" w:lineRule="auto" w:before="129"/>
              <w:ind w:left="103" w:right="53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Commissioner for Children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Young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People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+4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Inspector of Custodial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Services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Training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Fund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  <w:tr>
        <w:trPr>
          <w:trHeight w:val="778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6" w:lineRule="auto" w:before="119"/>
              <w:ind w:left="108" w:right="104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Healthway (Western Australian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Promotion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Foundation)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-3</w:t>
            </w:r>
          </w:p>
        </w:tc>
      </w:tr>
      <w:tr>
        <w:trPr>
          <w:trHeight w:val="51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20"/>
              </w:rPr>
              <w:t>Road Safety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  <w:hyperlink w:history="true" w:anchor="_bookmark10">
              <w:r>
                <w:rPr>
                  <w:rFonts w:ascii="Arial"/>
                  <w:position w:val="6"/>
                  <w:sz w:val="13"/>
                </w:rPr>
                <w:t>11</w:t>
              </w:r>
              <w:r>
                <w:rPr>
                  <w:rFonts w:ascii="Arial"/>
                  <w:sz w:val="13"/>
                </w:rPr>
              </w:r>
            </w:hyperlink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N/A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N/A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Wheatbelt Development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Mid West Development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Western Australian Meat Industry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Goldfields-Esperance Development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31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Great Southern Development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6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Keep Australia Beautiful Council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(W.A.)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Office of the Information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Commissioner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Peel Development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9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+3</w:t>
            </w:r>
          </w:p>
        </w:tc>
      </w:tr>
      <w:tr>
        <w:trPr>
          <w:trHeight w:val="780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78" w:lineRule="auto" w:before="119"/>
              <w:ind w:left="108" w:right="7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Potato Marketing Corporation of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Western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7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4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Gascoyne Development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7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+2</w:t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9"/>
              <w:ind w:left="9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506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Kimberley Development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Commission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3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Veterinary Surgeons’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Board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right="276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right="28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Burswood Park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Board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-2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line="20" w:lineRule="exact"/>
        <w:ind w:left="14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9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7"/>
        <w:ind w:right="1414"/>
        <w:jc w:val="left"/>
      </w:pPr>
      <w:r>
        <w:rPr/>
        <w:pict>
          <v:group style="position:absolute;margin-left:0pt;margin-top:41.189884pt;width:594.950pt;height:73.75pt;mso-position-horizontal-relative:page;mso-position-vertical-relative:paragraph;z-index:1624" coordorigin="0,824" coordsize="11899,1475">
            <v:shape style="position:absolute;left:0;top:824;width:11899;height:1475" type="#_x0000_t75" stroked="false">
              <v:imagedata r:id="rId9" o:title=""/>
            </v:shape>
            <v:shape style="position:absolute;left:1418;top:1702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702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8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0" w:id="12"/>
      <w:bookmarkEnd w:id="12"/>
      <w:r>
        <w:rPr/>
      </w:r>
      <w:r>
        <w:rPr>
          <w:position w:val="6"/>
          <w:sz w:val="13"/>
        </w:rPr>
        <w:t>11</w:t>
      </w:r>
      <w:r>
        <w:rPr>
          <w:spacing w:val="17"/>
          <w:position w:val="6"/>
          <w:sz w:val="13"/>
        </w:rPr>
        <w:t> </w:t>
      </w:r>
      <w:r>
        <w:rPr/>
        <w:t>Office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/>
        <w:t>Road</w:t>
      </w:r>
      <w:r>
        <w:rPr>
          <w:spacing w:val="25"/>
        </w:rPr>
        <w:t> </w:t>
      </w:r>
      <w:r>
        <w:rPr/>
        <w:t>Safety</w:t>
      </w:r>
      <w:r>
        <w:rPr>
          <w:spacing w:val="20"/>
        </w:rPr>
        <w:t> </w:t>
      </w:r>
      <w:r>
        <w:rPr/>
        <w:t>moved</w:t>
      </w:r>
      <w:r>
        <w:rPr>
          <w:spacing w:val="25"/>
        </w:rPr>
        <w:t> </w:t>
      </w:r>
      <w:r>
        <w:rPr/>
        <w:t>out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Main</w:t>
      </w:r>
      <w:r>
        <w:rPr>
          <w:spacing w:val="25"/>
        </w:rPr>
        <w:t> </w:t>
      </w:r>
      <w:r>
        <w:rPr/>
        <w:t>Roads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become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stand-alone</w:t>
      </w:r>
      <w:r>
        <w:rPr>
          <w:spacing w:val="23"/>
        </w:rPr>
        <w:t> </w:t>
      </w:r>
      <w:r>
        <w:rPr/>
        <w:t>department</w:t>
      </w:r>
      <w:r>
        <w:rPr>
          <w:spacing w:val="23"/>
        </w:rPr>
        <w:t> </w:t>
      </w:r>
      <w:r>
        <w:rPr/>
        <w:t>called</w:t>
      </w:r>
      <w:r>
        <w:rPr>
          <w:spacing w:val="23"/>
        </w:rPr>
        <w:t> </w:t>
      </w:r>
      <w:r>
        <w:rPr/>
        <w:t>the</w:t>
      </w:r>
      <w:r>
        <w:rPr>
          <w:spacing w:val="2"/>
          <w:w w:val="99"/>
        </w:rPr>
        <w:t> </w:t>
      </w:r>
      <w:r>
        <w:rPr/>
        <w:t>Road Safety Commission from 1 July</w:t>
      </w:r>
      <w:r>
        <w:rPr>
          <w:spacing w:val="-18"/>
        </w:rPr>
        <w:t> </w:t>
      </w:r>
      <w:r>
        <w:rPr/>
        <w:t>2015.</w:t>
      </w:r>
    </w:p>
    <w:p>
      <w:pPr>
        <w:spacing w:after="0" w:line="240" w:lineRule="auto"/>
        <w:jc w:val="left"/>
        <w:sectPr>
          <w:pgSz w:w="11910" w:h="16850"/>
          <w:pgMar w:top="1520" w:bottom="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0pt;margin-top:765pt;width:594.950pt;height:73.75pt;mso-position-horizontal-relative:page;mso-position-vertical-relative:page;z-index:1696" coordorigin="0,15300" coordsize="11899,1475">
            <v:shape style="position:absolute;left:0;top:15300;width:11899;height:1475" type="#_x0000_t75" stroked="false">
              <v:imagedata r:id="rId9" o:title=""/>
            </v:shape>
            <v:shape style="position:absolute;left:1418;top:16178;width:74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5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5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pub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tor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2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w w:val="99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rk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rc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3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pt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mb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2"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DDDEDF"/>
                        <w:spacing w:val="-1"/>
                        <w:w w:val="99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10380;top:16178;width:1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DDDEDF"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1274"/>
        <w:gridCol w:w="1277"/>
        <w:gridCol w:w="1630"/>
        <w:gridCol w:w="1630"/>
      </w:tblGrid>
      <w:tr>
        <w:trPr>
          <w:trHeight w:val="977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Headcount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Sep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2015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Paid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89" w:right="152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Sep-14)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F1F1F1"/>
              <w:right w:val="nil" w:sz="6" w:space="0" w:color="auto"/>
            </w:tcBorders>
            <w:shd w:val="clear" w:color="auto" w:fill="00376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170" w:right="171" w:firstLine="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change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(from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Sep-13)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1" w:hRule="exact"/>
        </w:trPr>
        <w:tc>
          <w:tcPr>
            <w:tcW w:w="4536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Salaries and Allowances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Tribunal</w:t>
            </w:r>
          </w:p>
        </w:tc>
        <w:tc>
          <w:tcPr>
            <w:tcW w:w="1274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right="276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right="28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nil" w:sz="6" w:space="0" w:color="auto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2"/>
              <w:ind w:left="9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-1</w:t>
            </w:r>
          </w:p>
        </w:tc>
      </w:tr>
      <w:tr>
        <w:trPr>
          <w:trHeight w:val="504" w:hRule="exact"/>
        </w:trPr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Architects Board of Western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right="28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>
              <w:pStyle w:val="TableParagraph"/>
              <w:spacing w:line="240" w:lineRule="auto" w:before="119"/>
              <w:ind w:left="9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+1</w:t>
            </w:r>
          </w:p>
        </w:tc>
      </w:tr>
      <w:tr>
        <w:trPr>
          <w:trHeight w:val="785" w:hRule="exact"/>
        </w:trPr>
        <w:tc>
          <w:tcPr>
            <w:tcW w:w="4536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78" w:lineRule="auto" w:before="129"/>
              <w:ind w:left="103" w:right="6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Minerals and Energy Research Institute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Western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Australia</w:t>
            </w:r>
          </w:p>
        </w:tc>
        <w:tc>
          <w:tcPr>
            <w:tcW w:w="1274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right="27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right="2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29"/>
              <w:ind w:left="10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4" w:hRule="exact"/>
        </w:trPr>
        <w:tc>
          <w:tcPr>
            <w:tcW w:w="4536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7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Western Australian public sector</w:t>
            </w:r>
            <w:r>
              <w:rPr>
                <w:rFonts w:ascii="Arial"/>
                <w:b/>
                <w:spacing w:val="-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7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139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277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7"/>
              <w:ind w:left="2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109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919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+540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30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</w:tcPr>
          <w:p>
            <w:pPr>
              <w:pStyle w:val="TableParagraph"/>
              <w:spacing w:line="240" w:lineRule="auto" w:before="117"/>
              <w:ind w:left="7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+36</w:t>
            </w:r>
            <w:r>
              <w:rPr>
                <w:rFonts w:ascii="Arial"/>
                <w:sz w:val="20"/>
              </w:rPr>
            </w:r>
          </w:p>
        </w:tc>
      </w:tr>
    </w:tbl>
    <w:sectPr>
      <w:pgSz w:w="11910" w:h="16850"/>
      <w:pgMar w:top="15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701" w:hanging="284"/>
      </w:pPr>
      <w:rPr>
        <w:rFonts w:hint="default" w:ascii="Symbol" w:hAnsi="Symbol" w:eastAsia="Symbol"/>
        <w:w w:val="100"/>
        <w:sz w:val="23"/>
        <w:szCs w:val="23"/>
      </w:rPr>
    </w:lvl>
    <w:lvl w:ilvl="1">
      <w:start w:val="1"/>
      <w:numFmt w:val="bullet"/>
      <w:lvlText w:val="•"/>
      <w:lvlJc w:val="left"/>
      <w:pPr>
        <w:ind w:left="272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18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18"/>
      <w:outlineLvl w:val="1"/>
    </w:pPr>
    <w:rPr>
      <w:rFonts w:ascii="Arial" w:hAnsi="Arial" w:eastAsia="Arial"/>
      <w:sz w:val="23"/>
      <w:szCs w:val="23"/>
    </w:rPr>
  </w:style>
  <w:style w:styleId="Heading2" w:type="paragraph">
    <w:name w:val="Heading 2"/>
    <w:basedOn w:val="Normal"/>
    <w:uiPriority w:val="1"/>
    <w:qFormat/>
    <w:pPr>
      <w:ind w:left="1418"/>
      <w:outlineLvl w:val="2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tateadministrator@psc.wa.gov.au" TargetMode="External"/><Relationship Id="rId7" Type="http://schemas.openxmlformats.org/officeDocument/2006/relationships/hyperlink" Target="http://www.publicsector.wa.gov.au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lee</dc:creator>
  <dcterms:created xsi:type="dcterms:W3CDTF">2015-12-22T13:40:12Z</dcterms:created>
  <dcterms:modified xsi:type="dcterms:W3CDTF">2015-12-22T13:40:12Z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2015-12-22T00:00:00Z</vt:filetime>
  </property>
</Properties>
</file>