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9CFD" w14:textId="28DFFA4F" w:rsidR="00BA1912" w:rsidRPr="008C07D8" w:rsidRDefault="00BA1912" w:rsidP="00B453E3">
      <w:pPr>
        <w:pBdr>
          <w:bottom w:val="single" w:sz="4" w:space="1" w:color="auto"/>
        </w:pBdr>
        <w:spacing w:before="2880" w:after="0"/>
        <w:jc w:val="center"/>
        <w:rPr>
          <w:rFonts w:eastAsia="Times New Roman" w:cs="Times New Roman"/>
          <w:sz w:val="78"/>
          <w:szCs w:val="78"/>
        </w:rPr>
      </w:pPr>
      <w:r w:rsidRPr="008C07D8">
        <w:rPr>
          <w:rFonts w:eastAsia="Times New Roman" w:cs="Times New Roman"/>
          <w:sz w:val="78"/>
          <w:szCs w:val="78"/>
        </w:rPr>
        <w:t xml:space="preserve">Summary of </w:t>
      </w:r>
      <w:r w:rsidR="00B453E3">
        <w:rPr>
          <w:rFonts w:eastAsia="Times New Roman" w:cs="Times New Roman"/>
          <w:sz w:val="78"/>
          <w:szCs w:val="78"/>
        </w:rPr>
        <w:t xml:space="preserve">State      Supply Commission    policy amendments          </w:t>
      </w:r>
      <w:r w:rsidR="000E5D64">
        <w:rPr>
          <w:rFonts w:eastAsia="Times New Roman" w:cs="Times New Roman"/>
          <w:sz w:val="78"/>
          <w:szCs w:val="78"/>
        </w:rPr>
        <w:t>June</w:t>
      </w:r>
      <w:r w:rsidR="000E7E17">
        <w:rPr>
          <w:rFonts w:eastAsia="Times New Roman" w:cs="Times New Roman"/>
          <w:sz w:val="78"/>
          <w:szCs w:val="78"/>
        </w:rPr>
        <w:t xml:space="preserve"> 2020</w:t>
      </w:r>
    </w:p>
    <w:p w14:paraId="7DF66029" w14:textId="087093BA" w:rsidR="00BA1912" w:rsidRPr="005E2FA8" w:rsidRDefault="00BA1912" w:rsidP="008C07D8">
      <w:pPr>
        <w:pStyle w:val="Subtitle"/>
        <w:spacing w:before="480"/>
        <w:jc w:val="center"/>
        <w:rPr>
          <w:rFonts w:eastAsia="Times New Roman" w:cs="Times New Roman"/>
          <w:spacing w:val="0"/>
          <w:szCs w:val="28"/>
        </w:rPr>
      </w:pPr>
      <w:r w:rsidRPr="005E2FA8">
        <w:rPr>
          <w:rFonts w:eastAsia="Times New Roman" w:cs="Times New Roman"/>
          <w:spacing w:val="0"/>
          <w:szCs w:val="28"/>
        </w:rPr>
        <w:t xml:space="preserve">Identifies the relevant changes made to each </w:t>
      </w:r>
      <w:r w:rsidR="000E7E17">
        <w:rPr>
          <w:rFonts w:eastAsia="Times New Roman" w:cs="Times New Roman"/>
          <w:spacing w:val="0"/>
          <w:szCs w:val="28"/>
        </w:rPr>
        <w:t>policy</w:t>
      </w:r>
      <w:r w:rsidRPr="005E2FA8">
        <w:rPr>
          <w:rFonts w:eastAsia="Times New Roman" w:cs="Times New Roman"/>
          <w:spacing w:val="0"/>
          <w:szCs w:val="28"/>
        </w:rPr>
        <w:t>.</w:t>
      </w:r>
    </w:p>
    <w:p w14:paraId="0F6C8356" w14:textId="1436CD63" w:rsidR="000E7E17" w:rsidRDefault="000E7E17" w:rsidP="000E7E1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7785"/>
        </w:tabs>
        <w:spacing w:before="5880"/>
        <w:rPr>
          <w:rFonts w:eastAsia="Times New Roman" w:cs="Times New Roman"/>
          <w:spacing w:val="0"/>
          <w:sz w:val="22"/>
          <w:szCs w:val="22"/>
        </w:rPr>
      </w:pP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</w:p>
    <w:p w14:paraId="3197B140" w14:textId="77777777" w:rsidR="00F76412" w:rsidRDefault="00F76412" w:rsidP="000E7E17">
      <w:pPr>
        <w:tabs>
          <w:tab w:val="center" w:pos="4513"/>
          <w:tab w:val="left" w:pos="7785"/>
        </w:tabs>
      </w:pPr>
    </w:p>
    <w:p w14:paraId="0B96AB6F" w14:textId="77777777" w:rsidR="00F76412" w:rsidRDefault="00F76412" w:rsidP="000E7E17">
      <w:pPr>
        <w:tabs>
          <w:tab w:val="center" w:pos="4513"/>
          <w:tab w:val="left" w:pos="7785"/>
        </w:tabs>
      </w:pPr>
    </w:p>
    <w:p w14:paraId="257ED31F" w14:textId="7C136ECE" w:rsidR="00CE3AC8" w:rsidRDefault="00255BA6" w:rsidP="00255BA6">
      <w:r>
        <w:t xml:space="preserve">The Open and Effective Competition policy and the Procurement Planning, Evaluation Reports and Contract Management policy have been amended with temporary changes </w:t>
      </w:r>
      <w:r w:rsidR="00CE3AC8">
        <w:t>to support economic recovery</w:t>
      </w:r>
      <w:r w:rsidR="00CE3AC8" w:rsidRPr="00CE3AC8">
        <w:t xml:space="preserve">.  </w:t>
      </w:r>
    </w:p>
    <w:p w14:paraId="1DF3C4D9" w14:textId="4B9BBA91" w:rsidR="00CE3AC8" w:rsidRDefault="00CE3AC8" w:rsidP="00255BA6">
      <w:r w:rsidRPr="00CE3AC8">
        <w:t>The changes will apply until 31 December 2020 unless otherwise revised.</w:t>
      </w:r>
    </w:p>
    <w:p w14:paraId="305126BE" w14:textId="5E5A7B57" w:rsidR="00F56264" w:rsidRDefault="00787F06" w:rsidP="00255BA6">
      <w:r w:rsidRPr="00787F06">
        <w:t>A Procurement Practice G</w:t>
      </w:r>
      <w:r w:rsidR="00F56264" w:rsidRPr="00787F06">
        <w:t>uide</w:t>
      </w:r>
      <w:r w:rsidRPr="00787F06">
        <w:t>line</w:t>
      </w:r>
      <w:r w:rsidR="00F56264" w:rsidRPr="00787F06">
        <w:t xml:space="preserve"> to support these policy changes is available on </w:t>
      </w:r>
      <w:hyperlink r:id="rId11" w:history="1">
        <w:r w:rsidR="00F56264" w:rsidRPr="00787F06">
          <w:rPr>
            <w:rStyle w:val="Hyperlink"/>
            <w:rFonts w:cs="Arial"/>
            <w:sz w:val="24"/>
          </w:rPr>
          <w:t>wa.gov.au</w:t>
        </w:r>
      </w:hyperlink>
      <w:r w:rsidR="00F56264" w:rsidRPr="00787F06">
        <w:t>.</w:t>
      </w:r>
    </w:p>
    <w:p w14:paraId="67C351F1" w14:textId="6F63007E" w:rsidR="00255BA6" w:rsidRDefault="00255BA6" w:rsidP="00BA1912">
      <w:pPr>
        <w:rPr>
          <w:b/>
        </w:rPr>
      </w:pPr>
    </w:p>
    <w:p w14:paraId="4D2BF0F9" w14:textId="64929DF9" w:rsidR="009614D5" w:rsidRPr="009614D5" w:rsidRDefault="009614D5" w:rsidP="00BA1912">
      <w:pPr>
        <w:rPr>
          <w:b/>
        </w:rPr>
      </w:pPr>
      <w:r w:rsidRPr="009614D5">
        <w:rPr>
          <w:b/>
        </w:rPr>
        <w:t xml:space="preserve">Open and Effective Competition policy </w:t>
      </w:r>
    </w:p>
    <w:p w14:paraId="5F4D97F2" w14:textId="410EFA5A" w:rsidR="00CE3AC8" w:rsidRDefault="008C2B1A" w:rsidP="00CE3AC8">
      <w:r>
        <w:t>Revision</w:t>
      </w:r>
      <w:r w:rsidR="009614D5">
        <w:t xml:space="preserve"> to the </w:t>
      </w:r>
      <w:proofErr w:type="spellStart"/>
      <w:r w:rsidR="009614D5">
        <w:t>SSC’s</w:t>
      </w:r>
      <w:proofErr w:type="spellEnd"/>
      <w:r w:rsidR="009614D5">
        <w:t xml:space="preserve"> Open and E</w:t>
      </w:r>
      <w:r>
        <w:t xml:space="preserve">ffective Competition policy monetary thresholds have been made to </w:t>
      </w:r>
      <w:r w:rsidR="00D873B2">
        <w:t>support</w:t>
      </w:r>
      <w:r w:rsidR="00CE3AC8">
        <w:t xml:space="preserve"> economic recovery</w:t>
      </w:r>
      <w:r w:rsidR="00CE3AC8" w:rsidRPr="00CE3AC8">
        <w:t xml:space="preserve"> by reducing barriers of entry, expediting contract award and maximising opportunities for local businesses.  </w:t>
      </w:r>
    </w:p>
    <w:p w14:paraId="55B93BAC" w14:textId="77777777" w:rsidR="00CE3AC8" w:rsidRDefault="00CE3AC8" w:rsidP="00CE3AC8">
      <w:pPr>
        <w:pStyle w:val="Bullet-1"/>
        <w:numPr>
          <w:ilvl w:val="0"/>
          <w:numId w:val="0"/>
        </w:numPr>
        <w:spacing w:after="120"/>
        <w:rPr>
          <w:rFonts w:cs="Arial"/>
          <w:szCs w:val="24"/>
        </w:rPr>
      </w:pPr>
      <w:r w:rsidRPr="00E80251">
        <w:rPr>
          <w:rFonts w:cs="Arial"/>
          <w:szCs w:val="24"/>
        </w:rPr>
        <w:t xml:space="preserve">The procurement </w:t>
      </w:r>
      <w:r>
        <w:rPr>
          <w:rFonts w:cs="Arial"/>
          <w:szCs w:val="24"/>
        </w:rPr>
        <w:t>monetary thresholds will be adjusted as</w:t>
      </w:r>
      <w:r w:rsidRPr="00E80251">
        <w:rPr>
          <w:rFonts w:cs="Arial"/>
          <w:szCs w:val="24"/>
        </w:rPr>
        <w:t xml:space="preserve"> follows: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48"/>
        <w:gridCol w:w="2075"/>
        <w:gridCol w:w="4610"/>
      </w:tblGrid>
      <w:tr w:rsidR="00CE3AC8" w14:paraId="7A7D1DB0" w14:textId="77777777" w:rsidTr="0061632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156E" w14:textId="77777777" w:rsidR="00CE3AC8" w:rsidRDefault="00CE3AC8" w:rsidP="0061632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Original Monetary Threshold</w:t>
            </w:r>
            <w:r>
              <w:rPr>
                <w:rStyle w:val="FootnoteReference"/>
                <w:b/>
                <w:bCs/>
                <w:sz w:val="20"/>
              </w:rPr>
              <w:footnoteReference w:id="1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FA52" w14:textId="77777777" w:rsidR="00CE3AC8" w:rsidRDefault="00CE3AC8" w:rsidP="0061632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Temporary Monetary Thresholds*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0212" w14:textId="77777777" w:rsidR="00CE3AC8" w:rsidRDefault="00CE3AC8" w:rsidP="0061632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Requirements</w:t>
            </w:r>
          </w:p>
        </w:tc>
      </w:tr>
      <w:tr w:rsidR="00CE3AC8" w14:paraId="7BA96390" w14:textId="77777777" w:rsidTr="0061632E">
        <w:trPr>
          <w:trHeight w:val="6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EF23" w14:textId="77777777" w:rsidR="00CE3AC8" w:rsidRDefault="00CE3AC8" w:rsidP="0061632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Up to $50,000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AD17A" w14:textId="77777777" w:rsidR="00CE3AC8" w:rsidRPr="00E80251" w:rsidRDefault="00CE3AC8" w:rsidP="0061632E">
            <w:pPr>
              <w:spacing w:before="60" w:after="60"/>
              <w:rPr>
                <w:sz w:val="20"/>
                <w:szCs w:val="20"/>
              </w:rPr>
            </w:pPr>
            <w:r w:rsidRPr="005E443C">
              <w:rPr>
                <w:rStyle w:val="normaltextrun"/>
                <w:bCs/>
                <w:color w:val="000000"/>
                <w:sz w:val="20"/>
                <w:szCs w:val="20"/>
              </w:rPr>
              <w:t>Up to $250,000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A134" w14:textId="77777777" w:rsidR="00D873B2" w:rsidRDefault="00D873B2" w:rsidP="00D873B2">
            <w:pPr>
              <w:numPr>
                <w:ilvl w:val="0"/>
                <w:numId w:val="37"/>
              </w:numPr>
              <w:spacing w:before="60" w:after="60"/>
              <w:ind w:left="288" w:hanging="288"/>
              <w:jc w:val="both"/>
              <w:rPr>
                <w:sz w:val="20"/>
              </w:rPr>
            </w:pPr>
            <w:r w:rsidRPr="00395929">
              <w:rPr>
                <w:sz w:val="20"/>
              </w:rPr>
              <w:t>Public authorities may determine the most appropriate procurement method including direct sourcing, verbal</w:t>
            </w:r>
            <w:r>
              <w:rPr>
                <w:sz w:val="20"/>
              </w:rPr>
              <w:t xml:space="preserve"> quotations (up to $50,000) </w:t>
            </w:r>
            <w:r w:rsidRPr="00395929">
              <w:rPr>
                <w:sz w:val="20"/>
              </w:rPr>
              <w:t>or written quotations based on assessment of the nature of the market, complexity and risk, and process efficiency</w:t>
            </w:r>
            <w:r>
              <w:rPr>
                <w:sz w:val="20"/>
              </w:rPr>
              <w:t>.</w:t>
            </w:r>
          </w:p>
          <w:p w14:paraId="52B811EB" w14:textId="77777777" w:rsidR="00D873B2" w:rsidRDefault="00D873B2" w:rsidP="00D873B2">
            <w:pPr>
              <w:numPr>
                <w:ilvl w:val="0"/>
                <w:numId w:val="37"/>
              </w:numPr>
              <w:spacing w:before="60" w:after="60"/>
              <w:ind w:left="288" w:hanging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Where the total estimated value is $50,000 up to $250,000, verbal quotations are not acceptable.  The direct source or quotation must be requested in </w:t>
            </w:r>
            <w:r w:rsidRPr="00994C5B">
              <w:rPr>
                <w:sz w:val="20"/>
              </w:rPr>
              <w:t>writing</w:t>
            </w:r>
            <w:r>
              <w:rPr>
                <w:sz w:val="20"/>
              </w:rPr>
              <w:t xml:space="preserve"> and any offer must be </w:t>
            </w:r>
            <w:r w:rsidRPr="00395929">
              <w:rPr>
                <w:sz w:val="20"/>
              </w:rPr>
              <w:t>received in writing.</w:t>
            </w:r>
          </w:p>
          <w:p w14:paraId="28B32544" w14:textId="7A944FE4" w:rsidR="00CE3AC8" w:rsidRPr="00E80251" w:rsidRDefault="00D873B2" w:rsidP="00D873B2">
            <w:pPr>
              <w:numPr>
                <w:ilvl w:val="0"/>
                <w:numId w:val="37"/>
              </w:numPr>
              <w:spacing w:before="60" w:after="60"/>
              <w:ind w:left="252" w:hanging="252"/>
              <w:jc w:val="both"/>
              <w:rPr>
                <w:sz w:val="20"/>
              </w:rPr>
            </w:pPr>
            <w:r>
              <w:rPr>
                <w:sz w:val="20"/>
              </w:rPr>
              <w:t>Appropriate documentation of decisions must be retained.</w:t>
            </w:r>
          </w:p>
        </w:tc>
      </w:tr>
      <w:tr w:rsidR="00CE3AC8" w14:paraId="1A3C6709" w14:textId="77777777" w:rsidTr="0061632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7E8E" w14:textId="77777777" w:rsidR="00CE3AC8" w:rsidRDefault="00CE3AC8" w:rsidP="0061632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$50,000 up to $250,000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CCF27" w14:textId="77777777" w:rsidR="00CE3AC8" w:rsidRPr="00E80251" w:rsidRDefault="00CE3AC8" w:rsidP="0061632E">
            <w:pPr>
              <w:spacing w:before="60" w:after="60"/>
              <w:rPr>
                <w:sz w:val="20"/>
                <w:szCs w:val="20"/>
              </w:rPr>
            </w:pPr>
            <w:r w:rsidRPr="005E443C">
              <w:rPr>
                <w:rStyle w:val="normaltextrun"/>
                <w:bCs/>
                <w:color w:val="000000"/>
                <w:sz w:val="20"/>
                <w:szCs w:val="20"/>
              </w:rPr>
              <w:t>$250,000 up to $500,000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BC2B" w14:textId="77777777" w:rsidR="00CE3AC8" w:rsidRDefault="00CE3AC8" w:rsidP="00CE3AC8">
            <w:pPr>
              <w:numPr>
                <w:ilvl w:val="0"/>
                <w:numId w:val="37"/>
              </w:numPr>
              <w:spacing w:before="60" w:after="60"/>
              <w:ind w:left="252" w:hanging="252"/>
              <w:jc w:val="both"/>
              <w:rPr>
                <w:sz w:val="20"/>
              </w:rPr>
            </w:pPr>
            <w:r>
              <w:rPr>
                <w:sz w:val="20"/>
              </w:rPr>
              <w:t>Request quotations in writing.</w:t>
            </w:r>
          </w:p>
          <w:p w14:paraId="18C6B5E2" w14:textId="77777777" w:rsidR="00CE3AC8" w:rsidRDefault="00CE3AC8" w:rsidP="00CE3AC8">
            <w:pPr>
              <w:numPr>
                <w:ilvl w:val="0"/>
                <w:numId w:val="37"/>
              </w:numPr>
              <w:spacing w:before="60" w:after="60"/>
              <w:ind w:left="252" w:hanging="252"/>
              <w:jc w:val="both"/>
              <w:rPr>
                <w:sz w:val="20"/>
              </w:rPr>
            </w:pPr>
            <w:r>
              <w:rPr>
                <w:sz w:val="20"/>
              </w:rPr>
              <w:t>Offers must be received in writing.</w:t>
            </w:r>
          </w:p>
        </w:tc>
      </w:tr>
      <w:tr w:rsidR="00CE3AC8" w14:paraId="5ED2F143" w14:textId="77777777" w:rsidTr="0061632E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622" w14:textId="77777777" w:rsidR="00CE3AC8" w:rsidRDefault="00CE3AC8" w:rsidP="0061632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$250,000 and above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B933B" w14:textId="77777777" w:rsidR="00CE3AC8" w:rsidRPr="00E80251" w:rsidRDefault="00CE3AC8" w:rsidP="0061632E">
            <w:pPr>
              <w:spacing w:before="60" w:after="60"/>
              <w:rPr>
                <w:sz w:val="20"/>
                <w:szCs w:val="20"/>
              </w:rPr>
            </w:pPr>
            <w:r w:rsidRPr="005E443C">
              <w:rPr>
                <w:rStyle w:val="normaltextrun"/>
                <w:bCs/>
                <w:color w:val="000000"/>
                <w:sz w:val="20"/>
                <w:szCs w:val="20"/>
              </w:rPr>
              <w:t>$500,000 and above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FD8" w14:textId="77777777" w:rsidR="00CE3AC8" w:rsidRDefault="00CE3AC8" w:rsidP="00CE3AC8">
            <w:pPr>
              <w:numPr>
                <w:ilvl w:val="0"/>
                <w:numId w:val="37"/>
              </w:numPr>
              <w:spacing w:before="60" w:after="60"/>
              <w:ind w:left="252" w:hanging="252"/>
              <w:jc w:val="both"/>
              <w:rPr>
                <w:sz w:val="20"/>
              </w:rPr>
            </w:pPr>
            <w:r>
              <w:rPr>
                <w:sz w:val="20"/>
              </w:rPr>
              <w:t>Open tender through a public advertisement.</w:t>
            </w:r>
          </w:p>
        </w:tc>
      </w:tr>
    </w:tbl>
    <w:p w14:paraId="1FAFAE3F" w14:textId="77777777" w:rsidR="00F56264" w:rsidRDefault="00F56264" w:rsidP="00F56264"/>
    <w:p w14:paraId="4B58F1E3" w14:textId="77777777" w:rsidR="0084254D" w:rsidRPr="0084254D" w:rsidRDefault="0084254D" w:rsidP="0084254D">
      <w:r w:rsidRPr="0084254D">
        <w:t>*The temporary thresholds apply when there is an opportunity to purchase from a local business and one or more local businesses will be invited to submit an offer.</w:t>
      </w:r>
    </w:p>
    <w:p w14:paraId="56D442DD" w14:textId="40608541" w:rsidR="00CE3AC8" w:rsidRPr="00F56264" w:rsidRDefault="00CE3AC8" w:rsidP="00F56264">
      <w:r w:rsidRPr="00F56264">
        <w:t xml:space="preserve">The original thresholds will be applied if local suppliers are not given the opportunity to bid.  </w:t>
      </w:r>
    </w:p>
    <w:p w14:paraId="08CCD50D" w14:textId="6508CDC0" w:rsidR="007F7561" w:rsidRDefault="00BC112E" w:rsidP="001D030A">
      <w:r>
        <w:t xml:space="preserve">In addition, </w:t>
      </w:r>
      <w:r w:rsidR="003A1EAE">
        <w:t>the Involvement of the Department of Finance section</w:t>
      </w:r>
      <w:r w:rsidR="00F023D3">
        <w:t xml:space="preserve"> of the policy</w:t>
      </w:r>
      <w:r w:rsidR="003A1EAE">
        <w:t xml:space="preserve"> has been amended to clarify that Department of Finance involvement is not required for the COVID-19 Special Contract Variation</w:t>
      </w:r>
      <w:r w:rsidR="000C524C">
        <w:t xml:space="preserve"> Memo</w:t>
      </w:r>
      <w:bookmarkStart w:id="0" w:name="_GoBack"/>
      <w:bookmarkEnd w:id="0"/>
      <w:r w:rsidR="003A1EAE">
        <w:t xml:space="preserve">. A footnote has been included </w:t>
      </w:r>
      <w:r w:rsidR="00F023D3">
        <w:t>stating</w:t>
      </w:r>
      <w:r w:rsidR="003A1EAE">
        <w:t xml:space="preserve"> that the COVID-19 Special Contract Variation is referenced in the Procurement Planning, Evaluation Reports and Contract Management policy.</w:t>
      </w:r>
    </w:p>
    <w:p w14:paraId="1249B6E1" w14:textId="2B3E8296" w:rsidR="001A564F" w:rsidRDefault="001A564F" w:rsidP="001D030A"/>
    <w:p w14:paraId="37784EB5" w14:textId="77777777" w:rsidR="00F80527" w:rsidRDefault="00F8052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8247EE6" w14:textId="7226041A" w:rsidR="001A564F" w:rsidRDefault="001A564F" w:rsidP="001D030A">
      <w:pPr>
        <w:rPr>
          <w:b/>
        </w:rPr>
      </w:pPr>
      <w:r w:rsidRPr="001A564F">
        <w:rPr>
          <w:b/>
        </w:rPr>
        <w:lastRenderedPageBreak/>
        <w:t>Procurement Planning, Evaluation Reports and Contract Management policy</w:t>
      </w:r>
    </w:p>
    <w:p w14:paraId="29D19C12" w14:textId="76A67B77" w:rsidR="001A564F" w:rsidRDefault="001A564F" w:rsidP="00FF04C0">
      <w:r w:rsidRPr="001A564F">
        <w:t xml:space="preserve">This policy has been amended to </w:t>
      </w:r>
      <w:r w:rsidR="00FF04C0">
        <w:t>include the option for</w:t>
      </w:r>
      <w:r w:rsidR="00630D4D">
        <w:t xml:space="preserve"> partially</w:t>
      </w:r>
      <w:r w:rsidR="00FF04C0">
        <w:t xml:space="preserve"> </w:t>
      </w:r>
      <w:r w:rsidR="00255BA6">
        <w:t xml:space="preserve">exempt </w:t>
      </w:r>
      <w:r w:rsidR="00FF04C0">
        <w:t xml:space="preserve">public authorities to vary existing contracts with local businesses for a period of up to two years. </w:t>
      </w:r>
      <w:r w:rsidR="000F158B">
        <w:t xml:space="preserve">This option </w:t>
      </w:r>
      <w:r w:rsidR="00630D4D">
        <w:t>is available for:</w:t>
      </w:r>
    </w:p>
    <w:p w14:paraId="6C0FB1AB" w14:textId="65819430" w:rsidR="00630D4D" w:rsidRDefault="00630D4D" w:rsidP="00630D4D">
      <w:pPr>
        <w:pStyle w:val="ListParagraph"/>
        <w:numPr>
          <w:ilvl w:val="0"/>
          <w:numId w:val="33"/>
        </w:numPr>
        <w:spacing w:after="120"/>
        <w:ind w:left="714" w:hanging="357"/>
      </w:pPr>
      <w:r>
        <w:t>Contracts that expire on or before 31 June 2021;</w:t>
      </w:r>
    </w:p>
    <w:p w14:paraId="371ED93E" w14:textId="352018E1" w:rsidR="00630D4D" w:rsidRDefault="00630D4D" w:rsidP="00630D4D">
      <w:pPr>
        <w:pStyle w:val="ListParagraph"/>
        <w:numPr>
          <w:ilvl w:val="0"/>
          <w:numId w:val="33"/>
        </w:numPr>
        <w:spacing w:after="120"/>
        <w:ind w:left="714" w:hanging="357"/>
      </w:pPr>
      <w:r>
        <w:t>Contracts of any value; and</w:t>
      </w:r>
    </w:p>
    <w:p w14:paraId="3B58978B" w14:textId="4FFAEC15" w:rsidR="00261C3B" w:rsidRPr="00B06317" w:rsidRDefault="00261C3B" w:rsidP="00261C3B">
      <w:pPr>
        <w:pStyle w:val="ListParagraph"/>
        <w:numPr>
          <w:ilvl w:val="0"/>
          <w:numId w:val="33"/>
        </w:numPr>
        <w:spacing w:after="120"/>
        <w:ind w:left="714" w:hanging="357"/>
      </w:pPr>
      <w:r>
        <w:t>P</w:t>
      </w:r>
      <w:r w:rsidRPr="00B06317">
        <w:t>anel arrangements</w:t>
      </w:r>
      <w:r>
        <w:t>,</w:t>
      </w:r>
      <w:r w:rsidRPr="00B06317">
        <w:t xml:space="preserve"> if all contractors are local businesses. </w:t>
      </w:r>
    </w:p>
    <w:p w14:paraId="65F2F78B" w14:textId="0CD9DA59" w:rsidR="000F158B" w:rsidRDefault="000F158B" w:rsidP="00B56A7B">
      <w:pPr>
        <w:spacing w:before="120"/>
      </w:pPr>
      <w:r w:rsidRPr="000F158B">
        <w:t>The COVID-19 Special Contract Variation does not require the Department of Finance</w:t>
      </w:r>
      <w:r w:rsidR="00255BA6">
        <w:t>’s</w:t>
      </w:r>
      <w:r w:rsidRPr="000F158B">
        <w:t xml:space="preserve"> involvement and does not need to b</w:t>
      </w:r>
      <w:r w:rsidR="000C524C">
        <w:t>e submitted to the State Tender</w:t>
      </w:r>
      <w:r w:rsidRPr="000F158B">
        <w:t xml:space="preserve"> Review Committee or the Community Services Procurement Review Committee, regardless of value.</w:t>
      </w:r>
    </w:p>
    <w:p w14:paraId="7B390E37" w14:textId="5A7E54A6" w:rsidR="000F158B" w:rsidRDefault="000F158B" w:rsidP="00FF04C0">
      <w:r>
        <w:t xml:space="preserve">A template for the COVID-19 Special </w:t>
      </w:r>
      <w:r w:rsidR="00255BA6">
        <w:t>Contract Variation</w:t>
      </w:r>
      <w:r w:rsidR="000C524C">
        <w:t xml:space="preserve"> Memo</w:t>
      </w:r>
      <w:r>
        <w:t xml:space="preserve"> is available on </w:t>
      </w:r>
      <w:hyperlink r:id="rId12" w:history="1">
        <w:r w:rsidRPr="003E634B">
          <w:rPr>
            <w:rStyle w:val="Hyperlink"/>
            <w:rFonts w:cs="Arial"/>
            <w:sz w:val="24"/>
          </w:rPr>
          <w:t>wa.gov.au</w:t>
        </w:r>
      </w:hyperlink>
      <w:r>
        <w:t>.</w:t>
      </w:r>
    </w:p>
    <w:p w14:paraId="010BCB22" w14:textId="1A5DF2F8" w:rsidR="003E634B" w:rsidRDefault="003E634B" w:rsidP="00FF04C0"/>
    <w:p w14:paraId="79A118B5" w14:textId="2AF8B068" w:rsidR="003E634B" w:rsidRDefault="003E634B" w:rsidP="003E634B">
      <w:pPr>
        <w:rPr>
          <w:b/>
        </w:rPr>
      </w:pPr>
      <w:r>
        <w:rPr>
          <w:b/>
        </w:rPr>
        <w:t>Disposal of Goods</w:t>
      </w:r>
      <w:r w:rsidRPr="001A564F">
        <w:rPr>
          <w:b/>
        </w:rPr>
        <w:t xml:space="preserve"> policy</w:t>
      </w:r>
    </w:p>
    <w:p w14:paraId="67B8B7EC" w14:textId="4F1DE14A" w:rsidR="003E634B" w:rsidRPr="003E634B" w:rsidRDefault="003E634B" w:rsidP="003E634B">
      <w:r w:rsidRPr="003E634B">
        <w:t xml:space="preserve">The </w:t>
      </w:r>
      <w:hyperlink r:id="rId13" w:history="1">
        <w:r w:rsidRPr="003E634B">
          <w:rPr>
            <w:rStyle w:val="Hyperlink"/>
            <w:rFonts w:cs="Arial"/>
            <w:sz w:val="24"/>
          </w:rPr>
          <w:t>Waste Avoidance and Resource Recovery Strategy 2030</w:t>
        </w:r>
      </w:hyperlink>
      <w:r w:rsidRPr="003E634B">
        <w:t xml:space="preserve"> (Strategy) was released in February 2019, and provides an update to the long-term waste strategy for the State as required by the Waste Avoidance and Resource Recovery Act 2007. </w:t>
      </w:r>
    </w:p>
    <w:p w14:paraId="3474B69F" w14:textId="5270B912" w:rsidR="003E634B" w:rsidRDefault="003E634B" w:rsidP="003E634B">
      <w:r>
        <w:t xml:space="preserve">The </w:t>
      </w:r>
      <w:r w:rsidRPr="003E634B">
        <w:t xml:space="preserve">amendments to the </w:t>
      </w:r>
      <w:proofErr w:type="spellStart"/>
      <w:r w:rsidRPr="003E634B">
        <w:t>SSC</w:t>
      </w:r>
      <w:proofErr w:type="spellEnd"/>
      <w:r w:rsidRPr="003E634B">
        <w:t xml:space="preserve"> Disposal of Goods policy are to ensure alignment with the Strategy and provide greater clarity as to the objective, requirements, guiding principles and disposal methods for both non-hazardous and hazardous goods.</w:t>
      </w:r>
    </w:p>
    <w:p w14:paraId="4978D7C8" w14:textId="45CFE919" w:rsidR="00787F06" w:rsidRPr="003E634B" w:rsidRDefault="00787F06" w:rsidP="003E634B">
      <w:r>
        <w:t xml:space="preserve">A new version of the </w:t>
      </w:r>
      <w:hyperlink r:id="rId14" w:history="1">
        <w:r w:rsidRPr="00787F06">
          <w:rPr>
            <w:rStyle w:val="Hyperlink"/>
            <w:rFonts w:cs="Arial"/>
            <w:sz w:val="24"/>
          </w:rPr>
          <w:t>Procurement Practice Guideline – Disposal of Goods</w:t>
        </w:r>
      </w:hyperlink>
      <w:r>
        <w:t xml:space="preserve"> is available.</w:t>
      </w:r>
    </w:p>
    <w:p w14:paraId="6F1DC328" w14:textId="1C1838B6" w:rsidR="003C5BD5" w:rsidRDefault="003C5BD5" w:rsidP="000F158B"/>
    <w:p w14:paraId="684452CA" w14:textId="2B6FAE55" w:rsidR="0009583C" w:rsidRPr="003C5BD5" w:rsidRDefault="0009583C" w:rsidP="0009583C">
      <w:r>
        <w:t xml:space="preserve">All State Supply Commission policies and Glossary of Terms can be found </w:t>
      </w:r>
      <w:hyperlink r:id="rId15" w:history="1">
        <w:r w:rsidRPr="0009583C">
          <w:rPr>
            <w:rStyle w:val="Hyperlink"/>
            <w:rFonts w:cs="Arial"/>
            <w:sz w:val="24"/>
          </w:rPr>
          <w:t>here</w:t>
        </w:r>
      </w:hyperlink>
      <w:r>
        <w:t xml:space="preserve">. </w:t>
      </w:r>
    </w:p>
    <w:sectPr w:rsidR="0009583C" w:rsidRPr="003C5BD5" w:rsidSect="00423183">
      <w:headerReference w:type="default" r:id="rId16"/>
      <w:footerReference w:type="default" r:id="rId17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9A15" w14:textId="77777777" w:rsidR="00EA2A72" w:rsidRDefault="00EA2A72" w:rsidP="003F6190">
      <w:pPr>
        <w:spacing w:after="0"/>
      </w:pPr>
      <w:r>
        <w:separator/>
      </w:r>
    </w:p>
  </w:endnote>
  <w:endnote w:type="continuationSeparator" w:id="0">
    <w:p w14:paraId="19E414D6" w14:textId="77777777" w:rsidR="00EA2A72" w:rsidRDefault="00EA2A72" w:rsidP="003F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153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484772" w14:textId="240AF802" w:rsidR="00F90332" w:rsidRDefault="00F903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4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6842" w14:textId="77777777" w:rsidR="00EA2A72" w:rsidRDefault="00EA2A72" w:rsidP="003F6190">
      <w:pPr>
        <w:spacing w:after="0"/>
      </w:pPr>
      <w:r>
        <w:separator/>
      </w:r>
    </w:p>
  </w:footnote>
  <w:footnote w:type="continuationSeparator" w:id="0">
    <w:p w14:paraId="09F4F60A" w14:textId="77777777" w:rsidR="00EA2A72" w:rsidRDefault="00EA2A72" w:rsidP="003F6190">
      <w:pPr>
        <w:spacing w:after="0"/>
      </w:pPr>
      <w:r>
        <w:continuationSeparator/>
      </w:r>
    </w:p>
  </w:footnote>
  <w:footnote w:id="1">
    <w:p w14:paraId="2816078E" w14:textId="77777777" w:rsidR="00CE3AC8" w:rsidRDefault="00CE3AC8" w:rsidP="00CE3AC8">
      <w:pPr>
        <w:tabs>
          <w:tab w:val="left" w:pos="180"/>
        </w:tabs>
        <w:ind w:left="180" w:hanging="180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ab/>
        <w:t>Monetary thresholds are based on the total estimated value, including any extension options, and are inclusive of GST.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5C96" w14:textId="2B38F23F" w:rsidR="00F90332" w:rsidRPr="00AB2997" w:rsidRDefault="00F90332" w:rsidP="00AB2997">
    <w:pPr>
      <w:pStyle w:val="Header"/>
      <w:rPr>
        <w:rStyle w:val="Strong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5E6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A147C"/>
    <w:multiLevelType w:val="hybridMultilevel"/>
    <w:tmpl w:val="1ACC8BC6"/>
    <w:lvl w:ilvl="0" w:tplc="8E6682E4">
      <w:start w:val="28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412"/>
    <w:multiLevelType w:val="hybridMultilevel"/>
    <w:tmpl w:val="A4F0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84988"/>
    <w:multiLevelType w:val="multilevel"/>
    <w:tmpl w:val="5C24259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56E4439"/>
    <w:multiLevelType w:val="hybridMultilevel"/>
    <w:tmpl w:val="13F0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5637"/>
    <w:multiLevelType w:val="hybridMultilevel"/>
    <w:tmpl w:val="A6C8D06C"/>
    <w:lvl w:ilvl="0" w:tplc="16A05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C24E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85147"/>
    <w:multiLevelType w:val="hybridMultilevel"/>
    <w:tmpl w:val="ABF6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724"/>
    <w:multiLevelType w:val="hybridMultilevel"/>
    <w:tmpl w:val="CA00F432"/>
    <w:lvl w:ilvl="0" w:tplc="448E6E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36FB"/>
    <w:multiLevelType w:val="hybridMultilevel"/>
    <w:tmpl w:val="11740E42"/>
    <w:lvl w:ilvl="0" w:tplc="EC58857C">
      <w:start w:val="1"/>
      <w:numFmt w:val="upp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715E2"/>
    <w:multiLevelType w:val="hybridMultilevel"/>
    <w:tmpl w:val="39E0CE88"/>
    <w:lvl w:ilvl="0" w:tplc="8E1655D8">
      <w:start w:val="1"/>
      <w:numFmt w:val="bullet"/>
      <w:pStyle w:val="Bullet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706788">
      <w:start w:val="1"/>
      <w:numFmt w:val="bullet"/>
      <w:pStyle w:val="Bullet-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EEE214">
      <w:start w:val="1"/>
      <w:numFmt w:val="bullet"/>
      <w:pStyle w:val="Bullet-3"/>
      <w:lvlText w:val="–"/>
      <w:lvlJc w:val="left"/>
      <w:pPr>
        <w:ind w:left="2160" w:hanging="360"/>
      </w:pPr>
      <w:rPr>
        <w:rFonts w:ascii="Arial" w:hAnsi="Arial" w:hint="default"/>
        <w:sz w:val="1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F3203"/>
    <w:multiLevelType w:val="hybridMultilevel"/>
    <w:tmpl w:val="9F94A248"/>
    <w:lvl w:ilvl="0" w:tplc="1BC253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7C01"/>
    <w:multiLevelType w:val="hybridMultilevel"/>
    <w:tmpl w:val="7F2C3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0392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A5E0B6F"/>
    <w:multiLevelType w:val="hybridMultilevel"/>
    <w:tmpl w:val="4488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9065A"/>
    <w:multiLevelType w:val="hybridMultilevel"/>
    <w:tmpl w:val="9A76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344F9"/>
    <w:multiLevelType w:val="hybridMultilevel"/>
    <w:tmpl w:val="B22CCF50"/>
    <w:lvl w:ilvl="0" w:tplc="EC58857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B55C24E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0000FF"/>
      </w:rPr>
    </w:lvl>
    <w:lvl w:ilvl="2" w:tplc="EC58857C">
      <w:start w:val="1"/>
      <w:numFmt w:val="upperLetter"/>
      <w:lvlText w:val="(%3)"/>
      <w:lvlJc w:val="left"/>
      <w:pPr>
        <w:tabs>
          <w:tab w:val="num" w:pos="2525"/>
        </w:tabs>
        <w:ind w:left="2525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80532"/>
    <w:multiLevelType w:val="hybridMultilevel"/>
    <w:tmpl w:val="EFE0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F492B"/>
    <w:multiLevelType w:val="hybridMultilevel"/>
    <w:tmpl w:val="68E6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16B8F"/>
    <w:multiLevelType w:val="hybridMultilevel"/>
    <w:tmpl w:val="A03E04BC"/>
    <w:lvl w:ilvl="0" w:tplc="9110959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909AB"/>
    <w:multiLevelType w:val="hybridMultilevel"/>
    <w:tmpl w:val="C1A0C4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74013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15D2C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7526243"/>
    <w:multiLevelType w:val="hybridMultilevel"/>
    <w:tmpl w:val="BB80D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B0ABB"/>
    <w:multiLevelType w:val="hybridMultilevel"/>
    <w:tmpl w:val="E24645D2"/>
    <w:lvl w:ilvl="0" w:tplc="E7322AB8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244"/>
        </w:tabs>
        <w:ind w:left="3244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4144"/>
        </w:tabs>
        <w:ind w:left="41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23" w15:restartNumberingAfterBreak="0">
    <w:nsid w:val="494F25B0"/>
    <w:multiLevelType w:val="hybridMultilevel"/>
    <w:tmpl w:val="FA70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36551"/>
    <w:multiLevelType w:val="hybridMultilevel"/>
    <w:tmpl w:val="3C68F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90391"/>
    <w:multiLevelType w:val="hybridMultilevel"/>
    <w:tmpl w:val="1144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72B5D"/>
    <w:multiLevelType w:val="hybridMultilevel"/>
    <w:tmpl w:val="92B6B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3FF1"/>
    <w:multiLevelType w:val="hybridMultilevel"/>
    <w:tmpl w:val="28F45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41379"/>
    <w:multiLevelType w:val="hybridMultilevel"/>
    <w:tmpl w:val="57AAABF4"/>
    <w:lvl w:ilvl="0" w:tplc="3386ECBA">
      <w:start w:val="1"/>
      <w:numFmt w:val="bullet"/>
      <w:pStyle w:val="Hintsandtips"/>
      <w:lvlText w:val="L"/>
      <w:lvlJc w:val="left"/>
      <w:pPr>
        <w:ind w:left="5062" w:hanging="360"/>
      </w:pPr>
      <w:rPr>
        <w:rFonts w:ascii="Webdings" w:hAnsi="Web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65F5321B"/>
    <w:multiLevelType w:val="hybridMultilevel"/>
    <w:tmpl w:val="C0D8C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22F2"/>
    <w:multiLevelType w:val="hybridMultilevel"/>
    <w:tmpl w:val="CEB21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E5161"/>
    <w:multiLevelType w:val="hybridMultilevel"/>
    <w:tmpl w:val="8C5C4EDA"/>
    <w:lvl w:ilvl="0" w:tplc="27927BCE">
      <w:start w:val="1"/>
      <w:numFmt w:val="lowerLetter"/>
      <w:lvlText w:val="(%1)"/>
      <w:lvlJc w:val="left"/>
      <w:pPr>
        <w:ind w:left="126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 w15:restartNumberingAfterBreak="0">
    <w:nsid w:val="6AF44DE7"/>
    <w:multiLevelType w:val="hybridMultilevel"/>
    <w:tmpl w:val="B12A1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F7193"/>
    <w:multiLevelType w:val="hybridMultilevel"/>
    <w:tmpl w:val="68AC221A"/>
    <w:lvl w:ilvl="0" w:tplc="67443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03EAF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7019437D"/>
    <w:multiLevelType w:val="hybridMultilevel"/>
    <w:tmpl w:val="1054A6D8"/>
    <w:lvl w:ilvl="0" w:tplc="88F234A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42B87"/>
    <w:multiLevelType w:val="hybridMultilevel"/>
    <w:tmpl w:val="3D80A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37FAD"/>
    <w:multiLevelType w:val="hybridMultilevel"/>
    <w:tmpl w:val="C742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7"/>
  </w:num>
  <w:num w:numId="4">
    <w:abstractNumId w:val="18"/>
  </w:num>
  <w:num w:numId="5">
    <w:abstractNumId w:val="22"/>
  </w:num>
  <w:num w:numId="6">
    <w:abstractNumId w:val="0"/>
  </w:num>
  <w:num w:numId="7">
    <w:abstractNumId w:val="5"/>
  </w:num>
  <w:num w:numId="8">
    <w:abstractNumId w:val="1"/>
  </w:num>
  <w:num w:numId="9">
    <w:abstractNumId w:val="31"/>
  </w:num>
  <w:num w:numId="10">
    <w:abstractNumId w:val="28"/>
  </w:num>
  <w:num w:numId="11">
    <w:abstractNumId w:val="14"/>
  </w:num>
  <w:num w:numId="12">
    <w:abstractNumId w:val="15"/>
  </w:num>
  <w:num w:numId="13">
    <w:abstractNumId w:val="8"/>
  </w:num>
  <w:num w:numId="14">
    <w:abstractNumId w:val="12"/>
  </w:num>
  <w:num w:numId="15">
    <w:abstractNumId w:val="36"/>
  </w:num>
  <w:num w:numId="16">
    <w:abstractNumId w:val="3"/>
  </w:num>
  <w:num w:numId="17">
    <w:abstractNumId w:val="2"/>
  </w:num>
  <w:num w:numId="18">
    <w:abstractNumId w:val="35"/>
  </w:num>
  <w:num w:numId="19">
    <w:abstractNumId w:val="34"/>
  </w:num>
  <w:num w:numId="20">
    <w:abstractNumId w:val="21"/>
  </w:num>
  <w:num w:numId="21">
    <w:abstractNumId w:val="20"/>
  </w:num>
  <w:num w:numId="22">
    <w:abstractNumId w:val="23"/>
  </w:num>
  <w:num w:numId="23">
    <w:abstractNumId w:val="16"/>
  </w:num>
  <w:num w:numId="24">
    <w:abstractNumId w:val="29"/>
  </w:num>
  <w:num w:numId="25">
    <w:abstractNumId w:val="26"/>
  </w:num>
  <w:num w:numId="26">
    <w:abstractNumId w:val="32"/>
  </w:num>
  <w:num w:numId="27">
    <w:abstractNumId w:val="24"/>
  </w:num>
  <w:num w:numId="28">
    <w:abstractNumId w:val="37"/>
  </w:num>
  <w:num w:numId="29">
    <w:abstractNumId w:val="17"/>
  </w:num>
  <w:num w:numId="30">
    <w:abstractNumId w:val="25"/>
  </w:num>
  <w:num w:numId="31">
    <w:abstractNumId w:val="4"/>
  </w:num>
  <w:num w:numId="32">
    <w:abstractNumId w:val="11"/>
  </w:num>
  <w:num w:numId="33">
    <w:abstractNumId w:val="33"/>
  </w:num>
  <w:num w:numId="34">
    <w:abstractNumId w:val="10"/>
  </w:num>
  <w:num w:numId="35">
    <w:abstractNumId w:val="9"/>
  </w:num>
  <w:num w:numId="36">
    <w:abstractNumId w:val="19"/>
  </w:num>
  <w:num w:numId="37">
    <w:abstractNumId w:val="6"/>
  </w:num>
  <w:num w:numId="38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2"/>
    <w:rsid w:val="00000F9B"/>
    <w:rsid w:val="000148EB"/>
    <w:rsid w:val="00020406"/>
    <w:rsid w:val="000229AA"/>
    <w:rsid w:val="00023222"/>
    <w:rsid w:val="00025220"/>
    <w:rsid w:val="000618E3"/>
    <w:rsid w:val="000728BA"/>
    <w:rsid w:val="00083750"/>
    <w:rsid w:val="00083814"/>
    <w:rsid w:val="00095426"/>
    <w:rsid w:val="0009583C"/>
    <w:rsid w:val="000B2113"/>
    <w:rsid w:val="000C524C"/>
    <w:rsid w:val="000D3A87"/>
    <w:rsid w:val="000E5D64"/>
    <w:rsid w:val="000E7E17"/>
    <w:rsid w:val="000F158B"/>
    <w:rsid w:val="000F38DD"/>
    <w:rsid w:val="0010570B"/>
    <w:rsid w:val="00114A68"/>
    <w:rsid w:val="00116405"/>
    <w:rsid w:val="00121BBA"/>
    <w:rsid w:val="00143F6D"/>
    <w:rsid w:val="00144D64"/>
    <w:rsid w:val="00147385"/>
    <w:rsid w:val="001473E2"/>
    <w:rsid w:val="00166525"/>
    <w:rsid w:val="0017489A"/>
    <w:rsid w:val="001762ED"/>
    <w:rsid w:val="001875D3"/>
    <w:rsid w:val="001939D5"/>
    <w:rsid w:val="001A564F"/>
    <w:rsid w:val="001B7E4C"/>
    <w:rsid w:val="001C1703"/>
    <w:rsid w:val="001C1DD5"/>
    <w:rsid w:val="001D030A"/>
    <w:rsid w:val="001D23FA"/>
    <w:rsid w:val="001D4628"/>
    <w:rsid w:val="001E51D5"/>
    <w:rsid w:val="00204296"/>
    <w:rsid w:val="00211373"/>
    <w:rsid w:val="002221E7"/>
    <w:rsid w:val="002230EC"/>
    <w:rsid w:val="00244D78"/>
    <w:rsid w:val="002477BE"/>
    <w:rsid w:val="00255BA6"/>
    <w:rsid w:val="00261C3B"/>
    <w:rsid w:val="00263021"/>
    <w:rsid w:val="0027513D"/>
    <w:rsid w:val="002757A9"/>
    <w:rsid w:val="00292EBC"/>
    <w:rsid w:val="002947F2"/>
    <w:rsid w:val="0029615D"/>
    <w:rsid w:val="002A48ED"/>
    <w:rsid w:val="002A5253"/>
    <w:rsid w:val="002B2D43"/>
    <w:rsid w:val="002C5EEF"/>
    <w:rsid w:val="002F3F3B"/>
    <w:rsid w:val="00323B58"/>
    <w:rsid w:val="00343828"/>
    <w:rsid w:val="00343D61"/>
    <w:rsid w:val="00346186"/>
    <w:rsid w:val="00354B23"/>
    <w:rsid w:val="00356433"/>
    <w:rsid w:val="00357FA4"/>
    <w:rsid w:val="0036122E"/>
    <w:rsid w:val="00365B2F"/>
    <w:rsid w:val="00382182"/>
    <w:rsid w:val="003A1EAE"/>
    <w:rsid w:val="003A44EC"/>
    <w:rsid w:val="003A75C7"/>
    <w:rsid w:val="003B6385"/>
    <w:rsid w:val="003C5BD5"/>
    <w:rsid w:val="003E634B"/>
    <w:rsid w:val="003F2A4F"/>
    <w:rsid w:val="003F6190"/>
    <w:rsid w:val="003F7F55"/>
    <w:rsid w:val="00423183"/>
    <w:rsid w:val="00426C75"/>
    <w:rsid w:val="004323EB"/>
    <w:rsid w:val="00432AAE"/>
    <w:rsid w:val="00435F73"/>
    <w:rsid w:val="00464855"/>
    <w:rsid w:val="00464AFB"/>
    <w:rsid w:val="00482020"/>
    <w:rsid w:val="004A1A9F"/>
    <w:rsid w:val="004A74CC"/>
    <w:rsid w:val="004B6DE2"/>
    <w:rsid w:val="004C1618"/>
    <w:rsid w:val="004C37D7"/>
    <w:rsid w:val="004C688A"/>
    <w:rsid w:val="004E2EE1"/>
    <w:rsid w:val="004E594F"/>
    <w:rsid w:val="004F032D"/>
    <w:rsid w:val="004F4C59"/>
    <w:rsid w:val="005127C5"/>
    <w:rsid w:val="00515F9B"/>
    <w:rsid w:val="005203C9"/>
    <w:rsid w:val="005275AB"/>
    <w:rsid w:val="005343F9"/>
    <w:rsid w:val="00547966"/>
    <w:rsid w:val="00557260"/>
    <w:rsid w:val="005805C9"/>
    <w:rsid w:val="00582DAB"/>
    <w:rsid w:val="005C4CDA"/>
    <w:rsid w:val="005C58E6"/>
    <w:rsid w:val="005E2FA8"/>
    <w:rsid w:val="005E4BCB"/>
    <w:rsid w:val="005E5668"/>
    <w:rsid w:val="006010F8"/>
    <w:rsid w:val="006176F9"/>
    <w:rsid w:val="00627503"/>
    <w:rsid w:val="00630D4D"/>
    <w:rsid w:val="00631A01"/>
    <w:rsid w:val="006320D1"/>
    <w:rsid w:val="00675CE2"/>
    <w:rsid w:val="00681C57"/>
    <w:rsid w:val="00683C83"/>
    <w:rsid w:val="00696CA4"/>
    <w:rsid w:val="006B5210"/>
    <w:rsid w:val="006C2CB2"/>
    <w:rsid w:val="006C2F92"/>
    <w:rsid w:val="006C672F"/>
    <w:rsid w:val="006D0FF7"/>
    <w:rsid w:val="006D2ACE"/>
    <w:rsid w:val="006F32C3"/>
    <w:rsid w:val="006F32E0"/>
    <w:rsid w:val="006F3C45"/>
    <w:rsid w:val="00725286"/>
    <w:rsid w:val="007304F9"/>
    <w:rsid w:val="007420F0"/>
    <w:rsid w:val="0075137F"/>
    <w:rsid w:val="00774484"/>
    <w:rsid w:val="00780629"/>
    <w:rsid w:val="007838FB"/>
    <w:rsid w:val="00785B5A"/>
    <w:rsid w:val="00787EE0"/>
    <w:rsid w:val="00787F06"/>
    <w:rsid w:val="00790D5E"/>
    <w:rsid w:val="007A13C3"/>
    <w:rsid w:val="007A7648"/>
    <w:rsid w:val="007A79EF"/>
    <w:rsid w:val="007A7F6A"/>
    <w:rsid w:val="007B76C2"/>
    <w:rsid w:val="007D0B60"/>
    <w:rsid w:val="007E4136"/>
    <w:rsid w:val="007F3B7A"/>
    <w:rsid w:val="007F7561"/>
    <w:rsid w:val="00803D19"/>
    <w:rsid w:val="00832B1B"/>
    <w:rsid w:val="00835D23"/>
    <w:rsid w:val="0084254D"/>
    <w:rsid w:val="00847FB5"/>
    <w:rsid w:val="00852651"/>
    <w:rsid w:val="0086094D"/>
    <w:rsid w:val="008647A8"/>
    <w:rsid w:val="008651CF"/>
    <w:rsid w:val="00873521"/>
    <w:rsid w:val="0089781B"/>
    <w:rsid w:val="008A1AC5"/>
    <w:rsid w:val="008A1B10"/>
    <w:rsid w:val="008B5486"/>
    <w:rsid w:val="008C07D8"/>
    <w:rsid w:val="008C2B1A"/>
    <w:rsid w:val="008D2CB2"/>
    <w:rsid w:val="008E22A0"/>
    <w:rsid w:val="008F5687"/>
    <w:rsid w:val="00912282"/>
    <w:rsid w:val="009133BC"/>
    <w:rsid w:val="00935702"/>
    <w:rsid w:val="009439FD"/>
    <w:rsid w:val="009440CC"/>
    <w:rsid w:val="00945AD5"/>
    <w:rsid w:val="009614D5"/>
    <w:rsid w:val="00973D6C"/>
    <w:rsid w:val="0098537F"/>
    <w:rsid w:val="00995203"/>
    <w:rsid w:val="009A47A4"/>
    <w:rsid w:val="009B4BD1"/>
    <w:rsid w:val="009D20C0"/>
    <w:rsid w:val="009D39B4"/>
    <w:rsid w:val="009E494A"/>
    <w:rsid w:val="009F143C"/>
    <w:rsid w:val="009F30ED"/>
    <w:rsid w:val="009F7AD9"/>
    <w:rsid w:val="00A001EA"/>
    <w:rsid w:val="00A00B2E"/>
    <w:rsid w:val="00A04F5E"/>
    <w:rsid w:val="00A13EE1"/>
    <w:rsid w:val="00A33B8A"/>
    <w:rsid w:val="00A61733"/>
    <w:rsid w:val="00A77655"/>
    <w:rsid w:val="00A83E83"/>
    <w:rsid w:val="00A919F0"/>
    <w:rsid w:val="00AA0D23"/>
    <w:rsid w:val="00AB2997"/>
    <w:rsid w:val="00AC1BDF"/>
    <w:rsid w:val="00AC5FEB"/>
    <w:rsid w:val="00B00CB2"/>
    <w:rsid w:val="00B13A9A"/>
    <w:rsid w:val="00B247EE"/>
    <w:rsid w:val="00B32029"/>
    <w:rsid w:val="00B41A3C"/>
    <w:rsid w:val="00B453E3"/>
    <w:rsid w:val="00B5048F"/>
    <w:rsid w:val="00B5382C"/>
    <w:rsid w:val="00B53DBA"/>
    <w:rsid w:val="00B56A7B"/>
    <w:rsid w:val="00B572DD"/>
    <w:rsid w:val="00B77011"/>
    <w:rsid w:val="00B7758F"/>
    <w:rsid w:val="00B811AE"/>
    <w:rsid w:val="00B81E25"/>
    <w:rsid w:val="00B90591"/>
    <w:rsid w:val="00B932B1"/>
    <w:rsid w:val="00B956FA"/>
    <w:rsid w:val="00B97C10"/>
    <w:rsid w:val="00BA1912"/>
    <w:rsid w:val="00BA3789"/>
    <w:rsid w:val="00BC112E"/>
    <w:rsid w:val="00BE1193"/>
    <w:rsid w:val="00BF0E32"/>
    <w:rsid w:val="00C0017D"/>
    <w:rsid w:val="00C051DD"/>
    <w:rsid w:val="00C056CE"/>
    <w:rsid w:val="00C12703"/>
    <w:rsid w:val="00C2600F"/>
    <w:rsid w:val="00C3393E"/>
    <w:rsid w:val="00C4544E"/>
    <w:rsid w:val="00C67788"/>
    <w:rsid w:val="00C72C92"/>
    <w:rsid w:val="00C759F1"/>
    <w:rsid w:val="00C935A4"/>
    <w:rsid w:val="00C96709"/>
    <w:rsid w:val="00CB2D7D"/>
    <w:rsid w:val="00CB2FC8"/>
    <w:rsid w:val="00CD3A0F"/>
    <w:rsid w:val="00CD7BCA"/>
    <w:rsid w:val="00CE2E1B"/>
    <w:rsid w:val="00CE3AC8"/>
    <w:rsid w:val="00CF50C8"/>
    <w:rsid w:val="00CF50C9"/>
    <w:rsid w:val="00CF6942"/>
    <w:rsid w:val="00D107DC"/>
    <w:rsid w:val="00D21046"/>
    <w:rsid w:val="00D2558B"/>
    <w:rsid w:val="00D30467"/>
    <w:rsid w:val="00D635C3"/>
    <w:rsid w:val="00D6501B"/>
    <w:rsid w:val="00D873B2"/>
    <w:rsid w:val="00DA6177"/>
    <w:rsid w:val="00DA69C4"/>
    <w:rsid w:val="00DB4E7D"/>
    <w:rsid w:val="00DB7321"/>
    <w:rsid w:val="00DC01A7"/>
    <w:rsid w:val="00DC1B45"/>
    <w:rsid w:val="00DC2513"/>
    <w:rsid w:val="00DC67AF"/>
    <w:rsid w:val="00DC6CD4"/>
    <w:rsid w:val="00DE3A84"/>
    <w:rsid w:val="00DE7F3B"/>
    <w:rsid w:val="00E00EE4"/>
    <w:rsid w:val="00E03C00"/>
    <w:rsid w:val="00E05368"/>
    <w:rsid w:val="00E12D07"/>
    <w:rsid w:val="00E14808"/>
    <w:rsid w:val="00E24800"/>
    <w:rsid w:val="00E2671E"/>
    <w:rsid w:val="00E31551"/>
    <w:rsid w:val="00E33220"/>
    <w:rsid w:val="00E5399C"/>
    <w:rsid w:val="00E62D7B"/>
    <w:rsid w:val="00E7662D"/>
    <w:rsid w:val="00E779C6"/>
    <w:rsid w:val="00EA2A72"/>
    <w:rsid w:val="00EB0A45"/>
    <w:rsid w:val="00F0137A"/>
    <w:rsid w:val="00F0191B"/>
    <w:rsid w:val="00F023D3"/>
    <w:rsid w:val="00F12731"/>
    <w:rsid w:val="00F22835"/>
    <w:rsid w:val="00F47E4C"/>
    <w:rsid w:val="00F52658"/>
    <w:rsid w:val="00F55B82"/>
    <w:rsid w:val="00F56264"/>
    <w:rsid w:val="00F56EC7"/>
    <w:rsid w:val="00F76412"/>
    <w:rsid w:val="00F80527"/>
    <w:rsid w:val="00F83813"/>
    <w:rsid w:val="00F90332"/>
    <w:rsid w:val="00F91BB2"/>
    <w:rsid w:val="00F930CB"/>
    <w:rsid w:val="00FD3C86"/>
    <w:rsid w:val="00FE74DE"/>
    <w:rsid w:val="00FE7E2D"/>
    <w:rsid w:val="00FF04C0"/>
    <w:rsid w:val="00FF0F61"/>
    <w:rsid w:val="00FF34F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4D2D09"/>
  <w15:chartTrackingRefBased/>
  <w15:docId w15:val="{666D980A-5E4C-4D91-A0A5-A10A320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58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A1912"/>
    <w:pPr>
      <w:spacing w:after="600" w:line="276" w:lineRule="auto"/>
    </w:pPr>
    <w:rPr>
      <w:rFonts w:eastAsiaTheme="majorEastAsia" w:cstheme="majorBidi"/>
      <w:i/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912"/>
    <w:rPr>
      <w:rFonts w:eastAsiaTheme="majorEastAsia" w:cstheme="majorBidi"/>
      <w:i/>
      <w:iCs/>
      <w:spacing w:val="13"/>
      <w:sz w:val="28"/>
      <w:szCs w:val="24"/>
    </w:rPr>
  </w:style>
  <w:style w:type="character" w:styleId="Hyperlink">
    <w:name w:val="Hyperlink"/>
    <w:basedOn w:val="DefaultParagraphFont"/>
    <w:uiPriority w:val="99"/>
    <w:rsid w:val="00BA1912"/>
    <w:rPr>
      <w:rFonts w:ascii="Arial" w:hAnsi="Arial" w:cs="Times New Roman"/>
      <w:color w:val="701471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1912"/>
    <w:pPr>
      <w:keepNext w:val="0"/>
      <w:keepLines w:val="0"/>
      <w:spacing w:before="0" w:after="360"/>
      <w:jc w:val="center"/>
      <w:outlineLvl w:val="9"/>
    </w:pPr>
    <w:rPr>
      <w:rFonts w:ascii="Arial" w:hAnsi="Arial"/>
      <w:b/>
      <w:bCs/>
      <w:color w:val="auto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E4C"/>
    <w:pPr>
      <w:tabs>
        <w:tab w:val="right" w:leader="dot" w:pos="9016"/>
      </w:tabs>
      <w:spacing w:before="120" w:line="276" w:lineRule="auto"/>
    </w:pPr>
    <w:rPr>
      <w:rFonts w:asciiTheme="minorHAnsi" w:eastAsia="Times New Roman" w:hAnsiTheme="minorHAnsi" w:cstheme="minorHAns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1912"/>
    <w:pPr>
      <w:spacing w:after="0" w:line="276" w:lineRule="auto"/>
      <w:ind w:left="220"/>
    </w:pPr>
    <w:rPr>
      <w:rFonts w:asciiTheme="minorHAnsi" w:eastAsiaTheme="minorEastAsia" w:hAnsiTheme="minorHAnsi" w:cstheme="minorHAnsi"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6190"/>
  </w:style>
  <w:style w:type="paragraph" w:styleId="Footer">
    <w:name w:val="footer"/>
    <w:basedOn w:val="Normal"/>
    <w:link w:val="FooterChar"/>
    <w:uiPriority w:val="99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190"/>
  </w:style>
  <w:style w:type="character" w:customStyle="1" w:styleId="Instruction">
    <w:name w:val="Instruction"/>
    <w:rsid w:val="007D0B60"/>
    <w:rPr>
      <w:i/>
      <w:color w:val="FF0000"/>
    </w:rPr>
  </w:style>
  <w:style w:type="paragraph" w:styleId="BodyText">
    <w:name w:val="Body Text"/>
    <w:aliases w:val="body text,Body Text 1,Body,Heading 1 text,BodyText,heading3,Body Text - Level 2,bt,Body Text Char1 Char Char,Body Text Char1 Char"/>
    <w:basedOn w:val="Normal"/>
    <w:link w:val="BodyTextChar"/>
    <w:uiPriority w:val="1"/>
    <w:qFormat/>
    <w:rsid w:val="007D0B60"/>
    <w:pPr>
      <w:spacing w:before="80"/>
      <w:ind w:left="902"/>
      <w:jc w:val="both"/>
    </w:pPr>
    <w:rPr>
      <w:rFonts w:eastAsia="Times New Roman" w:cs="Times New Roman"/>
      <w:szCs w:val="24"/>
      <w:lang w:val="x-none"/>
    </w:rPr>
  </w:style>
  <w:style w:type="character" w:customStyle="1" w:styleId="BodyTextChar">
    <w:name w:val="Body Text Char"/>
    <w:aliases w:val="body text Char,Body Text 1 Char,Body Char,Heading 1 text Char,BodyText Char,heading3 Char,Body Text - Level 2 Char,bt Char,Body Text Char1 Char Char Char,Body Text Char1 Char Char1"/>
    <w:basedOn w:val="DefaultParagraphFont"/>
    <w:link w:val="BodyText"/>
    <w:uiPriority w:val="1"/>
    <w:rsid w:val="007D0B60"/>
    <w:rPr>
      <w:rFonts w:eastAsia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unhideWhenUsed/>
    <w:rsid w:val="007D0B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60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1B7E4C"/>
    <w:rPr>
      <w:b/>
      <w:bCs/>
    </w:rPr>
  </w:style>
  <w:style w:type="paragraph" w:customStyle="1" w:styleId="TableText">
    <w:name w:val="Table Text"/>
    <w:basedOn w:val="BodyText"/>
    <w:link w:val="TableTextChar"/>
    <w:uiPriority w:val="99"/>
    <w:rsid w:val="001B7E4C"/>
    <w:pPr>
      <w:spacing w:before="40" w:after="80"/>
      <w:ind w:left="0"/>
      <w:jc w:val="left"/>
    </w:pPr>
    <w:rPr>
      <w:sz w:val="20"/>
    </w:rPr>
  </w:style>
  <w:style w:type="character" w:customStyle="1" w:styleId="Optional">
    <w:name w:val="Optional"/>
    <w:rsid w:val="001B7E4C"/>
    <w:rPr>
      <w:color w:val="0000FF"/>
    </w:rPr>
  </w:style>
  <w:style w:type="character" w:customStyle="1" w:styleId="TableTextChar">
    <w:name w:val="Table Text Char"/>
    <w:link w:val="TableText"/>
    <w:uiPriority w:val="99"/>
    <w:locked/>
    <w:rsid w:val="001B7E4C"/>
    <w:rPr>
      <w:rFonts w:eastAsia="Times New Roman" w:cs="Times New Roman"/>
      <w:sz w:val="20"/>
      <w:szCs w:val="24"/>
      <w:lang w:val="x-none"/>
    </w:rPr>
  </w:style>
  <w:style w:type="paragraph" w:customStyle="1" w:styleId="BodyTextbullet">
    <w:name w:val="Body Text (bullet)"/>
    <w:basedOn w:val="BodyText"/>
    <w:rsid w:val="0027513D"/>
    <w:pPr>
      <w:numPr>
        <w:numId w:val="5"/>
      </w:numPr>
    </w:pPr>
  </w:style>
  <w:style w:type="paragraph" w:customStyle="1" w:styleId="Respondent">
    <w:name w:val="Respondent"/>
    <w:basedOn w:val="BodyText"/>
    <w:rsid w:val="00912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NormTextIndent">
    <w:name w:val="Norm Text Indent"/>
    <w:basedOn w:val="Normal"/>
    <w:rsid w:val="0086094D"/>
    <w:pPr>
      <w:spacing w:before="80"/>
      <w:ind w:left="360"/>
      <w:jc w:val="both"/>
    </w:pPr>
    <w:rPr>
      <w:rFonts w:eastAsia="Times New Roman" w:cs="Times New Roman"/>
      <w:szCs w:val="24"/>
      <w:lang w:val="x-none"/>
    </w:rPr>
  </w:style>
  <w:style w:type="character" w:customStyle="1" w:styleId="OptionalBold">
    <w:name w:val="Optional (Bold)"/>
    <w:rsid w:val="0086094D"/>
    <w:rPr>
      <w:b/>
      <w:color w:val="0000FF"/>
    </w:rPr>
  </w:style>
  <w:style w:type="character" w:customStyle="1" w:styleId="Instructionbold">
    <w:name w:val="Instruction (bold)"/>
    <w:rsid w:val="0086094D"/>
    <w:rPr>
      <w:b/>
      <w:i/>
      <w:color w:val="FF0000"/>
    </w:rPr>
  </w:style>
  <w:style w:type="paragraph" w:customStyle="1" w:styleId="NormTextIndentbullet">
    <w:name w:val="Norm Text Indent (bullet)"/>
    <w:basedOn w:val="Normal"/>
    <w:rsid w:val="0086094D"/>
    <w:pPr>
      <w:tabs>
        <w:tab w:val="left" w:pos="900"/>
      </w:tabs>
      <w:spacing w:before="80"/>
      <w:ind w:left="900" w:hanging="540"/>
      <w:jc w:val="both"/>
    </w:pPr>
    <w:rPr>
      <w:rFonts w:eastAsia="Times New Roman" w:cs="Times New Roman"/>
      <w:szCs w:val="24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21BBA"/>
    <w:pPr>
      <w:spacing w:after="0"/>
      <w:ind w:left="720"/>
    </w:pPr>
    <w:rPr>
      <w:rFonts w:eastAsia="Times New Roman" w:cs="Times New Roman"/>
      <w:szCs w:val="24"/>
    </w:rPr>
  </w:style>
  <w:style w:type="paragraph" w:customStyle="1" w:styleId="Headline">
    <w:name w:val="Headline"/>
    <w:basedOn w:val="BodyText"/>
    <w:next w:val="BodyText"/>
    <w:rsid w:val="0086094D"/>
    <w:pPr>
      <w:spacing w:before="480"/>
    </w:pPr>
    <w:rPr>
      <w:b/>
      <w:sz w:val="36"/>
    </w:rPr>
  </w:style>
  <w:style w:type="paragraph" w:customStyle="1" w:styleId="Part">
    <w:name w:val="Part"/>
    <w:basedOn w:val="BodyText"/>
    <w:next w:val="Heading1"/>
    <w:rsid w:val="0086094D"/>
    <w:pPr>
      <w:keepNext/>
      <w:keepLines/>
      <w:ind w:left="0"/>
    </w:pPr>
    <w:rPr>
      <w:b/>
      <w:bCs/>
      <w:spacing w:val="4"/>
      <w:sz w:val="36"/>
    </w:rPr>
  </w:style>
  <w:style w:type="paragraph" w:customStyle="1" w:styleId="BodyText0after">
    <w:name w:val="Body Text (0 after)"/>
    <w:basedOn w:val="BodyText"/>
    <w:rsid w:val="0086094D"/>
    <w:pPr>
      <w:spacing w:after="0"/>
    </w:pPr>
  </w:style>
  <w:style w:type="paragraph" w:styleId="ListNumber">
    <w:name w:val="List Number"/>
    <w:aliases w:val="Blue  Numbered a"/>
    <w:basedOn w:val="Normal"/>
    <w:rsid w:val="00A00B2E"/>
    <w:pPr>
      <w:numPr>
        <w:numId w:val="6"/>
      </w:numPr>
      <w:tabs>
        <w:tab w:val="clear" w:pos="360"/>
        <w:tab w:val="num" w:pos="1134"/>
      </w:tabs>
      <w:ind w:left="1134" w:hanging="567"/>
      <w:jc w:val="both"/>
    </w:pPr>
    <w:rPr>
      <w:rFonts w:eastAsia="Times New Roman" w:cs="Times New Roman"/>
      <w:color w:val="0000FF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2997"/>
    <w:pPr>
      <w:spacing w:after="100"/>
      <w:ind w:left="460"/>
    </w:pPr>
  </w:style>
  <w:style w:type="paragraph" w:customStyle="1" w:styleId="InstructionOR">
    <w:name w:val="Instruction (OR)"/>
    <w:basedOn w:val="BodyText"/>
    <w:next w:val="BodyText"/>
    <w:rsid w:val="00426C75"/>
    <w:pPr>
      <w:jc w:val="center"/>
    </w:pPr>
    <w:rPr>
      <w:b/>
      <w:color w:val="FF0000"/>
    </w:rPr>
  </w:style>
  <w:style w:type="paragraph" w:customStyle="1" w:styleId="Hintsandtips">
    <w:name w:val="Hints and tips"/>
    <w:basedOn w:val="Normal"/>
    <w:qFormat/>
    <w:rsid w:val="00A919F0"/>
    <w:pPr>
      <w:numPr>
        <w:numId w:val="10"/>
      </w:numPr>
      <w:spacing w:before="120" w:line="300" w:lineRule="auto"/>
      <w:ind w:left="623" w:right="113" w:hanging="510"/>
      <w:jc w:val="both"/>
    </w:pPr>
    <w:rPr>
      <w:szCs w:val="40"/>
    </w:rPr>
  </w:style>
  <w:style w:type="character" w:customStyle="1" w:styleId="Item">
    <w:name w:val="Item"/>
    <w:rsid w:val="00D107DC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1BBA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7AD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E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1">
    <w:name w:val="Bullet-1"/>
    <w:basedOn w:val="Normal"/>
    <w:qFormat/>
    <w:rsid w:val="00CE3AC8"/>
    <w:pPr>
      <w:keepLines/>
      <w:numPr>
        <w:numId w:val="35"/>
      </w:numPr>
      <w:spacing w:after="0"/>
      <w:jc w:val="both"/>
    </w:pPr>
    <w:rPr>
      <w:rFonts w:eastAsia="Times New Roman" w:cs="Times New Roman"/>
      <w:szCs w:val="20"/>
    </w:rPr>
  </w:style>
  <w:style w:type="paragraph" w:customStyle="1" w:styleId="Bullet-2">
    <w:name w:val="Bullet-2"/>
    <w:basedOn w:val="Bullet-1"/>
    <w:qFormat/>
    <w:rsid w:val="00CE3AC8"/>
    <w:pPr>
      <w:numPr>
        <w:ilvl w:val="1"/>
      </w:numPr>
      <w:ind w:left="714" w:hanging="357"/>
    </w:pPr>
  </w:style>
  <w:style w:type="paragraph" w:customStyle="1" w:styleId="Bullet-3">
    <w:name w:val="Bullet-3"/>
    <w:basedOn w:val="Bullet-2"/>
    <w:qFormat/>
    <w:rsid w:val="00CE3AC8"/>
    <w:pPr>
      <w:numPr>
        <w:ilvl w:val="2"/>
      </w:numPr>
      <w:ind w:left="1071" w:hanging="357"/>
    </w:pPr>
  </w:style>
  <w:style w:type="character" w:styleId="FootnoteReference">
    <w:name w:val="footnote reference"/>
    <w:uiPriority w:val="99"/>
    <w:semiHidden/>
    <w:unhideWhenUsed/>
    <w:rsid w:val="00CE3AC8"/>
    <w:rPr>
      <w:rFonts w:ascii="Times New Roman" w:hAnsi="Times New Roman" w:cs="Times New Roman" w:hint="default"/>
      <w:vertAlign w:val="superscript"/>
    </w:rPr>
  </w:style>
  <w:style w:type="character" w:customStyle="1" w:styleId="normaltextrun">
    <w:name w:val="normaltextrun"/>
    <w:rsid w:val="00CE3AC8"/>
  </w:style>
  <w:style w:type="paragraph" w:styleId="ListBullet">
    <w:name w:val="List Bullet"/>
    <w:basedOn w:val="Normal"/>
    <w:rsid w:val="00261C3B"/>
    <w:pPr>
      <w:keepLines/>
      <w:spacing w:before="120" w:after="0"/>
    </w:pPr>
    <w:rPr>
      <w:rFonts w:eastAsia="Arial Unicode MS"/>
      <w:sz w:val="22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steauthority.wa.gov.au/publications/view/strategy/waste-avoidance-and-resource-recovery-strategy-20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document-collections/goods-and-services-templat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supporting-economic-recovery-local-businesses-procurement-guidelin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a.gov.au/government/document-collections/state-supply-commission-polic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.gov.au/government/document-collections/goods-and-services-procurement-practic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503FD089E8479847157E35E70A83" ma:contentTypeVersion="4" ma:contentTypeDescription="Create a new document." ma:contentTypeScope="" ma:versionID="641eab4041022c09fac276e1222cf4e2">
  <xsd:schema xmlns:xsd="http://www.w3.org/2001/XMLSchema" xmlns:xs="http://www.w3.org/2001/XMLSchema" xmlns:p="http://schemas.microsoft.com/office/2006/metadata/properties" xmlns:ns2="ae942d74-e4ea-4a4c-9cea-deeffee34568" targetNamespace="http://schemas.microsoft.com/office/2006/metadata/properties" ma:root="true" ma:fieldsID="761ed3406188a7d3f87530cd51375a0f" ns2:_="">
    <xsd:import namespace="ae942d74-e4ea-4a4c-9cea-deeffee3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2d74-e4ea-4a4c-9cea-deeffee3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A2AC-7A9C-460D-A32B-5B6E337CE8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e942d74-e4ea-4a4c-9cea-deeffee345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18E2CB-CF00-4F9F-A3F7-1791E2A9D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6E9BA-39B8-45C9-9E21-DDAAFB75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42d74-e4ea-4a4c-9cea-deeffee3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1E674-99BB-41D6-8109-1E24E71C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Abbott</dc:creator>
  <cp:keywords/>
  <dc:description/>
  <cp:lastModifiedBy>Bulbeck, Emily</cp:lastModifiedBy>
  <cp:revision>9</cp:revision>
  <dcterms:created xsi:type="dcterms:W3CDTF">2020-05-27T08:27:00Z</dcterms:created>
  <dcterms:modified xsi:type="dcterms:W3CDTF">2020-05-28T23:42:00Z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0x01010095AB503FD089E8479847157E35E70A83</vt:lpwstr>
  </property>
</Properties>
</file>