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DE78B1" w:rsidRDefault="00FB5745" w:rsidP="00C226AF">
      <w:pPr>
        <w:pStyle w:val="FlyerSubtitle"/>
        <w:pBdr>
          <w:bottom w:val="single" w:sz="4" w:space="1" w:color="auto"/>
        </w:pBdr>
        <w:tabs>
          <w:tab w:val="left" w:pos="8931"/>
          <w:tab w:val="right" w:pos="9865"/>
        </w:tabs>
      </w:pPr>
      <w:r w:rsidRPr="00FB5745">
        <w:t>Implementation of the Policy Framework for Substantive Equality</w:t>
      </w:r>
      <w:r w:rsidR="006C536E">
        <w:tab/>
      </w:r>
    </w:p>
    <w:p w:rsidR="00DE78B1" w:rsidRDefault="006C536E" w:rsidP="005E6350">
      <w:pPr>
        <w:pStyle w:val="FlyerTitle"/>
      </w:pPr>
      <w:r w:rsidRPr="006C536E">
        <w:t>Public</w:t>
      </w:r>
      <w:r>
        <w:t xml:space="preserve"> Sector Commissioner's Circular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10"/>
      </w:tblGrid>
      <w:tr w:rsidR="006C536E" w:rsidTr="00240D3D">
        <w:tc>
          <w:tcPr>
            <w:tcW w:w="5245" w:type="dxa"/>
          </w:tcPr>
          <w:p w:rsidR="006C536E" w:rsidRDefault="006C536E" w:rsidP="006C536E">
            <w:r w:rsidRPr="006C536E">
              <w:rPr>
                <w:b/>
              </w:rPr>
              <w:t>Enquiries To:</w:t>
            </w:r>
            <w:r>
              <w:t xml:space="preserve"> </w:t>
            </w:r>
            <w:r w:rsidR="00FB5745" w:rsidRPr="00FB5745">
              <w:t>Diana MacTiernan, 9216 3900, Manager Community Education, Equal Opportunity Commission</w:t>
            </w:r>
          </w:p>
        </w:tc>
        <w:tc>
          <w:tcPr>
            <w:tcW w:w="4610" w:type="dxa"/>
          </w:tcPr>
          <w:p w:rsidR="006C536E" w:rsidRDefault="006C536E" w:rsidP="00CE6A03">
            <w:r w:rsidRPr="006C536E">
              <w:rPr>
                <w:b/>
              </w:rPr>
              <w:t>Number:</w:t>
            </w:r>
            <w:r>
              <w:t xml:space="preserve"> </w:t>
            </w:r>
            <w:r w:rsidR="00FB5745">
              <w:t>2015</w:t>
            </w:r>
            <w:r w:rsidR="00A01F9A" w:rsidRPr="00A01F9A">
              <w:t>-01</w:t>
            </w:r>
            <w:r>
              <w:t xml:space="preserve"> </w:t>
            </w:r>
            <w:r>
              <w:br/>
            </w:r>
            <w:r w:rsidRPr="006C536E">
              <w:rPr>
                <w:b/>
              </w:rPr>
              <w:t>Issued Date:</w:t>
            </w:r>
            <w:r>
              <w:tab/>
            </w:r>
            <w:r w:rsidR="00FB5745" w:rsidRPr="00FB5745">
              <w:t>1 February 2015</w:t>
            </w:r>
            <w:r w:rsidR="003504BE" w:rsidRPr="003504BE">
              <w:t xml:space="preserve"> </w:t>
            </w:r>
            <w:r w:rsidR="00C10BCA" w:rsidRPr="00C10BCA">
              <w:t xml:space="preserve"> </w:t>
            </w:r>
            <w:r>
              <w:t xml:space="preserve"> </w:t>
            </w:r>
            <w:r>
              <w:br/>
            </w:r>
            <w:r w:rsidRPr="006C536E">
              <w:rPr>
                <w:b/>
              </w:rPr>
              <w:t>Next Review Date:</w:t>
            </w:r>
            <w:r>
              <w:t xml:space="preserve"> </w:t>
            </w:r>
            <w:r w:rsidR="00FB5745" w:rsidRPr="00FB5745">
              <w:t>1 February 2018</w:t>
            </w:r>
          </w:p>
        </w:tc>
      </w:tr>
    </w:tbl>
    <w:p w:rsidR="006C536E" w:rsidRDefault="006C536E" w:rsidP="006C536E">
      <w:r w:rsidRPr="006C536E">
        <w:rPr>
          <w:b/>
        </w:rPr>
        <w:t>Supersedes:</w:t>
      </w:r>
      <w:r>
        <w:tab/>
      </w:r>
      <w:r w:rsidR="00FB5745" w:rsidRPr="00FB5745">
        <w:t>Public Sector Commissioner's Circular 2009-23</w:t>
      </w:r>
    </w:p>
    <w:p w:rsidR="00FB5745" w:rsidRDefault="00FB5745" w:rsidP="00FF0C8F">
      <w:pPr>
        <w:pStyle w:val="Heading2"/>
      </w:pPr>
      <w:r w:rsidRPr="00FB5745">
        <w:t>SUBSTANTIVE EQUALITY - IMPLEMENTATION OF THE POLICY FRAMEWORK (ADDRESSING SYSTEMIC DISCRIMINATION IN SERVICE DELIVERY)</w:t>
      </w:r>
    </w:p>
    <w:p w:rsidR="00FF0C8F" w:rsidRPr="00FF0C8F" w:rsidRDefault="00FF0C8F" w:rsidP="00FF0C8F">
      <w:pPr>
        <w:pStyle w:val="Heading2"/>
      </w:pPr>
      <w:r w:rsidRPr="00FF0C8F">
        <w:t>Policy</w:t>
      </w:r>
    </w:p>
    <w:p w:rsidR="00FB5745" w:rsidRDefault="00FB5745" w:rsidP="00FB5745">
      <w:r>
        <w:t>The requirement to implement The Policy Framework for Substantive Equality (the Policy Framework) first introduced in 2004 remains in place for those departments listed in the attached schedule. The scope of the Policy Framework is to address all forms of systemic discrimination in service delivery, as per the grounds of the Equal Opportunity Act 1984.</w:t>
      </w:r>
    </w:p>
    <w:p w:rsidR="00FB5745" w:rsidRDefault="00FB5745" w:rsidP="00FB5745">
      <w:r>
        <w:t>In implementing the Policy Framework there should be:</w:t>
      </w:r>
    </w:p>
    <w:p w:rsidR="00FB5745" w:rsidRDefault="00FB5745" w:rsidP="00FB5745">
      <w:pPr>
        <w:pStyle w:val="BulletList"/>
      </w:pPr>
      <w:r>
        <w:t>mechanisms specified to achieve the Policy Framework's objectives (reflected in operational strategic and departmental plans or specific implementation plans)</w:t>
      </w:r>
    </w:p>
    <w:p w:rsidR="00FB5745" w:rsidRDefault="00FB5745" w:rsidP="00FB5745">
      <w:pPr>
        <w:pStyle w:val="BulletList"/>
      </w:pPr>
      <w:r>
        <w:t>identification of areas of high relevance with a particular focus on services which have a substantial effect on discrimination or equality of opportunity</w:t>
      </w:r>
    </w:p>
    <w:p w:rsidR="00FB5745" w:rsidRDefault="00FB5745" w:rsidP="00FB5745">
      <w:pPr>
        <w:pStyle w:val="BulletList"/>
      </w:pPr>
      <w:r>
        <w:t>processes to assess new policy and major initiatives for their impact on disadvantaged groups</w:t>
      </w:r>
    </w:p>
    <w:p w:rsidR="00FB5745" w:rsidRDefault="00FB5745" w:rsidP="00FB5745">
      <w:pPr>
        <w:pStyle w:val="BulletList"/>
      </w:pPr>
      <w:r>
        <w:t>mechanisms to address systemic discrimination reported in the Annual Report</w:t>
      </w:r>
    </w:p>
    <w:p w:rsidR="00FF0C8F" w:rsidRPr="00FF0C8F" w:rsidRDefault="00FB5745" w:rsidP="00FB5745">
      <w:pPr>
        <w:pStyle w:val="BulletList"/>
        <w:rPr>
          <w:rFonts w:eastAsia="Arial Unicode MS"/>
        </w:rPr>
      </w:pPr>
      <w:r>
        <w:t>scrutiny of tenderers for community services to ensure they address the issue of substantive equality.</w:t>
      </w:r>
    </w:p>
    <w:p w:rsidR="00FF0C8F" w:rsidRPr="00FF0C8F" w:rsidRDefault="00FF0C8F" w:rsidP="00FF0C8F">
      <w:pPr>
        <w:pStyle w:val="Heading2"/>
      </w:pPr>
      <w:r w:rsidRPr="00FF0C8F">
        <w:t>Background</w:t>
      </w:r>
    </w:p>
    <w:p w:rsidR="00FB5745" w:rsidRDefault="00FB5745" w:rsidP="00FB5745">
      <w:r>
        <w:t>The Government of Western Australia is committed to identifying and eliminating institutions barriers wherever they exist. Substantive equality builds upon the Government's approach towards equality of opportunity for all Western Australians.</w:t>
      </w:r>
    </w:p>
    <w:p w:rsidR="00FB5745" w:rsidRDefault="00FB5745" w:rsidP="00FB5745">
      <w:r>
        <w:t>Substantive equality recognises that while some systems and processes may outwardly appear as non-discriminatory, the may not in fact be fully responsive to the needs and aspirations of different people and groups, and as a result can unintentionally create further inequalities.</w:t>
      </w:r>
    </w:p>
    <w:p w:rsidR="00FB5745" w:rsidRDefault="00FB5745" w:rsidP="00FB5745">
      <w:r>
        <w:t>The objective of the Policy Framework is therefore to achieve substantive equality in the Western Australian public sector by:</w:t>
      </w:r>
    </w:p>
    <w:p w:rsidR="00FB5745" w:rsidRDefault="00FB5745" w:rsidP="00FB5745">
      <w:pPr>
        <w:pStyle w:val="BulletList"/>
      </w:pPr>
      <w:r>
        <w:t>eliminating systemic forms of discrimination in the provision of public sector services, and</w:t>
      </w:r>
    </w:p>
    <w:p w:rsidR="00FF0C8F" w:rsidRPr="00FF0C8F" w:rsidRDefault="00FB5745" w:rsidP="00FB5745">
      <w:pPr>
        <w:pStyle w:val="BulletList"/>
        <w:rPr>
          <w:rFonts w:eastAsia="Arial Unicode MS"/>
        </w:rPr>
      </w:pPr>
      <w:r>
        <w:t>promoting awareness of the different needs of a client groups,</w:t>
      </w:r>
    </w:p>
    <w:p w:rsidR="00FB5745" w:rsidRDefault="00FB5745">
      <w:pPr>
        <w:spacing w:before="0" w:after="0" w:line="240" w:lineRule="auto"/>
      </w:pPr>
      <w:r>
        <w:br w:type="page"/>
      </w:r>
    </w:p>
    <w:p w:rsidR="00FB5745" w:rsidRDefault="00FB5745" w:rsidP="00FB5745">
      <w:pPr>
        <w:pStyle w:val="Heading2"/>
      </w:pPr>
      <w:r>
        <w:lastRenderedPageBreak/>
        <w:t>Current status</w:t>
      </w:r>
    </w:p>
    <w:p w:rsidR="00ED546E" w:rsidRPr="00FF0C8F" w:rsidRDefault="00FB5745" w:rsidP="00FB5745">
      <w:r>
        <w:t>Some support to public sector entities in implementing the Policy Framework is provided by the Equal Opportunity Commission (EOC) through general education forums, workshops and online resources. The Commissioner for Equal Opportunity through the function of section 80 of the Equal Opportunity Act 1984 may also consult directly with departments on specific issues that have been brought to her/his attention. Nevertheless the CEOs of those agencies to which this circular applies remain responsible for the implementation of the Policy Framework.</w:t>
      </w:r>
    </w:p>
    <w:p w:rsidR="00FB5745" w:rsidRDefault="00FB5745" w:rsidP="00FB5745">
      <w:pPr>
        <w:pStyle w:val="Heading2"/>
      </w:pPr>
      <w:r>
        <w:t>Resources</w:t>
      </w:r>
    </w:p>
    <w:p w:rsidR="00FB5745" w:rsidRDefault="00FB5745" w:rsidP="00FB5745">
      <w:r>
        <w:t xml:space="preserve">To assist CEOs there is a range of tools available on the Equal Opprtunity Commission website at: </w:t>
      </w:r>
      <w:hyperlink r:id="rId11" w:history="1">
        <w:r w:rsidRPr="00955DC6">
          <w:rPr>
            <w:rStyle w:val="Hyperlink"/>
          </w:rPr>
          <w:t>http://www.eoc.wa.gov.au/substantive-equality/resources</w:t>
        </w:r>
      </w:hyperlink>
      <w:r>
        <w:t xml:space="preserve"> </w:t>
      </w:r>
    </w:p>
    <w:p w:rsidR="00FB5745" w:rsidRDefault="00FB5745" w:rsidP="00FB5745">
      <w:pPr>
        <w:pStyle w:val="BulletList"/>
      </w:pPr>
      <w:r>
        <w:t>Implementation Guide</w:t>
      </w:r>
    </w:p>
    <w:p w:rsidR="00FB5745" w:rsidRDefault="00FB5745" w:rsidP="00FB5745">
      <w:pPr>
        <w:pStyle w:val="BulletList"/>
      </w:pPr>
      <w:r>
        <w:t>Substantive equality face sheet</w:t>
      </w:r>
    </w:p>
    <w:p w:rsidR="00FB5745" w:rsidRDefault="00FB5745" w:rsidP="00FB5745">
      <w:pPr>
        <w:pStyle w:val="BulletList"/>
      </w:pPr>
      <w:r>
        <w:t>New and revised policies, services and major initiatives guide</w:t>
      </w:r>
    </w:p>
    <w:p w:rsidR="00FB5745" w:rsidRDefault="00FB5745" w:rsidP="00FB5745">
      <w:pPr>
        <w:pStyle w:val="BulletList"/>
      </w:pPr>
      <w:r>
        <w:t>Tools for undertaking a needs and impact assessment</w:t>
      </w:r>
    </w:p>
    <w:p w:rsidR="00FB5745" w:rsidRDefault="00FB5745" w:rsidP="00FB5745">
      <w:pPr>
        <w:pStyle w:val="BulletList"/>
      </w:pPr>
      <w:r>
        <w:t>Case studies and other resources</w:t>
      </w:r>
    </w:p>
    <w:p w:rsidR="00FB5745" w:rsidRDefault="00FB5745" w:rsidP="00FB5745">
      <w:r>
        <w:t>Over the next three years the EOC will also assist in providing case studies and networking opportunities for Framework agencies.</w:t>
      </w:r>
    </w:p>
    <w:p w:rsidR="00FB5745" w:rsidRDefault="00FB5745" w:rsidP="00FB5745">
      <w:r>
        <w:t>Contact the Equal Opportunity Commission for further information.</w:t>
      </w:r>
    </w:p>
    <w:p w:rsidR="00FB5745" w:rsidRDefault="00FB5745" w:rsidP="00FB5745">
      <w:r>
        <w:t xml:space="preserve">Further information in relation to the requirement for tenderers for community services (including the Request for Tender template) can be found at the Department of Finance </w:t>
      </w:r>
      <w:hyperlink r:id="rId12" w:history="1">
        <w:r w:rsidRPr="00FB5745">
          <w:rPr>
            <w:rStyle w:val="Hyperlink"/>
          </w:rPr>
          <w:t>website</w:t>
        </w:r>
      </w:hyperlink>
      <w:r>
        <w:t>.</w:t>
      </w:r>
    </w:p>
    <w:p w:rsidR="00FB5745" w:rsidRDefault="00FB5745" w:rsidP="00FB5745"/>
    <w:p w:rsidR="00FF0C8F" w:rsidRDefault="00FB5745" w:rsidP="00FB5745">
      <w:r>
        <w:t>M C Wauchope</w:t>
      </w:r>
      <w:r>
        <w:br/>
      </w:r>
      <w:r>
        <w:t>PUBLIC SECTOR COMMISSIONER</w:t>
      </w:r>
    </w:p>
    <w:p w:rsidR="00FB5745" w:rsidRDefault="00FB5745">
      <w:pPr>
        <w:spacing w:before="0" w:after="0" w:line="240" w:lineRule="auto"/>
        <w:rPr>
          <w:b/>
          <w:color w:val="003767"/>
          <w:sz w:val="40"/>
          <w:szCs w:val="40"/>
        </w:rPr>
      </w:pPr>
      <w:r>
        <w:br w:type="page"/>
      </w:r>
    </w:p>
    <w:p w:rsidR="00FB5745" w:rsidRDefault="00FB5745" w:rsidP="00FB5745">
      <w:pPr>
        <w:pStyle w:val="FlyerTitle"/>
      </w:pPr>
      <w:r>
        <w:lastRenderedPageBreak/>
        <w:t>Attachment to public sector commissioner circular 2009/23</w:t>
      </w:r>
    </w:p>
    <w:p w:rsidR="00FB5745" w:rsidRDefault="00FB5745" w:rsidP="00FB5745">
      <w:pPr>
        <w:pStyle w:val="Heading1"/>
      </w:pPr>
      <w:r>
        <w:t>Schedule of departments</w:t>
      </w:r>
    </w:p>
    <w:p w:rsidR="00FB5745" w:rsidRDefault="00FB5745" w:rsidP="00FB5745">
      <w:pPr>
        <w:pStyle w:val="ListParagraph"/>
        <w:numPr>
          <w:ilvl w:val="0"/>
          <w:numId w:val="34"/>
        </w:numPr>
      </w:pPr>
      <w:r>
        <w:t>Aboriginal Affairs</w:t>
      </w:r>
    </w:p>
    <w:p w:rsidR="00FB5745" w:rsidRDefault="00FB5745" w:rsidP="00FB5745">
      <w:pPr>
        <w:pStyle w:val="ListParagraph"/>
        <w:numPr>
          <w:ilvl w:val="0"/>
          <w:numId w:val="34"/>
        </w:numPr>
      </w:pPr>
      <w:r>
        <w:t>Agriculture and Food</w:t>
      </w:r>
    </w:p>
    <w:p w:rsidR="00FB5745" w:rsidRDefault="00FB5745" w:rsidP="00FB5745">
      <w:pPr>
        <w:pStyle w:val="ListParagraph"/>
        <w:numPr>
          <w:ilvl w:val="0"/>
          <w:numId w:val="34"/>
        </w:numPr>
      </w:pPr>
      <w:r>
        <w:t>Attorney General</w:t>
      </w:r>
    </w:p>
    <w:p w:rsidR="00FB5745" w:rsidRDefault="00FB5745" w:rsidP="00FB5745">
      <w:pPr>
        <w:pStyle w:val="ListParagraph"/>
        <w:numPr>
          <w:ilvl w:val="0"/>
          <w:numId w:val="34"/>
        </w:numPr>
      </w:pPr>
      <w:r>
        <w:t>Child Protection and Family Support</w:t>
      </w:r>
    </w:p>
    <w:p w:rsidR="00FB5745" w:rsidRDefault="00FB5745" w:rsidP="00FB5745">
      <w:pPr>
        <w:pStyle w:val="ListParagraph"/>
        <w:numPr>
          <w:ilvl w:val="0"/>
          <w:numId w:val="34"/>
        </w:numPr>
      </w:pPr>
      <w:r>
        <w:t>Commerce</w:t>
      </w:r>
    </w:p>
    <w:p w:rsidR="00FB5745" w:rsidRDefault="00FB5745" w:rsidP="00FB5745">
      <w:pPr>
        <w:pStyle w:val="ListParagraph"/>
        <w:numPr>
          <w:ilvl w:val="0"/>
          <w:numId w:val="34"/>
        </w:numPr>
      </w:pPr>
      <w:r>
        <w:t>Corrective Services</w:t>
      </w:r>
    </w:p>
    <w:p w:rsidR="00FB5745" w:rsidRDefault="00FB5745" w:rsidP="00FB5745">
      <w:pPr>
        <w:pStyle w:val="ListParagraph"/>
        <w:numPr>
          <w:ilvl w:val="0"/>
          <w:numId w:val="34"/>
        </w:numPr>
      </w:pPr>
      <w:r>
        <w:t>Culture and the Arts</w:t>
      </w:r>
    </w:p>
    <w:p w:rsidR="00FB5745" w:rsidRDefault="00FB5745" w:rsidP="00FB5745">
      <w:pPr>
        <w:pStyle w:val="ListParagraph"/>
        <w:numPr>
          <w:ilvl w:val="0"/>
          <w:numId w:val="34"/>
        </w:numPr>
      </w:pPr>
      <w:r>
        <w:t>Disability Services Commission</w:t>
      </w:r>
    </w:p>
    <w:p w:rsidR="00FB5745" w:rsidRDefault="00FB5745" w:rsidP="00FB5745">
      <w:pPr>
        <w:pStyle w:val="ListParagraph"/>
        <w:numPr>
          <w:ilvl w:val="0"/>
          <w:numId w:val="34"/>
        </w:numPr>
      </w:pPr>
      <w:r>
        <w:t>Education</w:t>
      </w:r>
    </w:p>
    <w:p w:rsidR="00FB5745" w:rsidRDefault="00FB5745" w:rsidP="00FB5745">
      <w:pPr>
        <w:pStyle w:val="ListParagraph"/>
        <w:numPr>
          <w:ilvl w:val="0"/>
          <w:numId w:val="34"/>
        </w:numPr>
      </w:pPr>
      <w:r>
        <w:t>Environment Regulation</w:t>
      </w:r>
    </w:p>
    <w:p w:rsidR="00FB5745" w:rsidRDefault="00FB5745" w:rsidP="00FB5745">
      <w:pPr>
        <w:pStyle w:val="ListParagraph"/>
        <w:numPr>
          <w:ilvl w:val="0"/>
          <w:numId w:val="34"/>
        </w:numPr>
      </w:pPr>
      <w:r>
        <w:t>Finance</w:t>
      </w:r>
    </w:p>
    <w:p w:rsidR="00FB5745" w:rsidRDefault="00FB5745" w:rsidP="00FB5745">
      <w:pPr>
        <w:pStyle w:val="ListParagraph"/>
        <w:numPr>
          <w:ilvl w:val="0"/>
          <w:numId w:val="34"/>
        </w:numPr>
      </w:pPr>
      <w:r>
        <w:t>Fire and Emergency Services</w:t>
      </w:r>
    </w:p>
    <w:p w:rsidR="00FB5745" w:rsidRDefault="00FB5745" w:rsidP="00FB5745">
      <w:pPr>
        <w:pStyle w:val="ListParagraph"/>
        <w:numPr>
          <w:ilvl w:val="0"/>
          <w:numId w:val="34"/>
        </w:numPr>
      </w:pPr>
      <w:r>
        <w:t>Fisheries</w:t>
      </w:r>
    </w:p>
    <w:p w:rsidR="00FB5745" w:rsidRDefault="00FB5745" w:rsidP="00FB5745">
      <w:pPr>
        <w:pStyle w:val="ListParagraph"/>
        <w:numPr>
          <w:ilvl w:val="0"/>
          <w:numId w:val="34"/>
        </w:numPr>
      </w:pPr>
      <w:r>
        <w:t>Health</w:t>
      </w:r>
    </w:p>
    <w:p w:rsidR="00FB5745" w:rsidRDefault="00FB5745" w:rsidP="00FB5745">
      <w:pPr>
        <w:pStyle w:val="ListParagraph"/>
        <w:numPr>
          <w:ilvl w:val="0"/>
          <w:numId w:val="34"/>
        </w:numPr>
      </w:pPr>
      <w:r>
        <w:t>Housing</w:t>
      </w:r>
    </w:p>
    <w:p w:rsidR="00FB5745" w:rsidRDefault="00FB5745" w:rsidP="00FB5745">
      <w:pPr>
        <w:pStyle w:val="ListParagraph"/>
        <w:numPr>
          <w:ilvl w:val="0"/>
          <w:numId w:val="34"/>
        </w:numPr>
      </w:pPr>
      <w:r>
        <w:t>Lands</w:t>
      </w:r>
    </w:p>
    <w:p w:rsidR="00FB5745" w:rsidRDefault="00FB5745" w:rsidP="00FB5745">
      <w:pPr>
        <w:pStyle w:val="ListParagraph"/>
        <w:numPr>
          <w:ilvl w:val="0"/>
          <w:numId w:val="34"/>
        </w:numPr>
      </w:pPr>
      <w:r>
        <w:t>Local Government and Communities</w:t>
      </w:r>
    </w:p>
    <w:p w:rsidR="00FB5745" w:rsidRDefault="00FB5745" w:rsidP="00FB5745">
      <w:pPr>
        <w:pStyle w:val="ListParagraph"/>
        <w:numPr>
          <w:ilvl w:val="0"/>
          <w:numId w:val="34"/>
        </w:numPr>
      </w:pPr>
      <w:r>
        <w:t>Mines and Petroleum</w:t>
      </w:r>
    </w:p>
    <w:p w:rsidR="00FB5745" w:rsidRDefault="00FB5745" w:rsidP="00FB5745">
      <w:pPr>
        <w:pStyle w:val="ListParagraph"/>
        <w:numPr>
          <w:ilvl w:val="0"/>
          <w:numId w:val="34"/>
        </w:numPr>
      </w:pPr>
      <w:r>
        <w:t>Parks and Wildlife</w:t>
      </w:r>
    </w:p>
    <w:p w:rsidR="00FB5745" w:rsidRDefault="00FB5745" w:rsidP="00FB5745">
      <w:pPr>
        <w:pStyle w:val="ListParagraph"/>
        <w:numPr>
          <w:ilvl w:val="0"/>
          <w:numId w:val="34"/>
        </w:numPr>
      </w:pPr>
      <w:r>
        <w:t>Planning</w:t>
      </w:r>
    </w:p>
    <w:p w:rsidR="00FB5745" w:rsidRDefault="00FB5745" w:rsidP="00FB5745">
      <w:pPr>
        <w:pStyle w:val="ListParagraph"/>
        <w:numPr>
          <w:ilvl w:val="0"/>
          <w:numId w:val="34"/>
        </w:numPr>
      </w:pPr>
      <w:r>
        <w:t>Police Service (Western Australia Police)</w:t>
      </w:r>
    </w:p>
    <w:p w:rsidR="00FB5745" w:rsidRDefault="00FB5745" w:rsidP="00FB5745">
      <w:pPr>
        <w:pStyle w:val="ListParagraph"/>
        <w:numPr>
          <w:ilvl w:val="0"/>
          <w:numId w:val="34"/>
        </w:numPr>
      </w:pPr>
      <w:r>
        <w:t>Premier and Cabinet</w:t>
      </w:r>
    </w:p>
    <w:p w:rsidR="00FB5745" w:rsidRDefault="00FB5745" w:rsidP="00FB5745">
      <w:pPr>
        <w:pStyle w:val="ListParagraph"/>
        <w:numPr>
          <w:ilvl w:val="0"/>
          <w:numId w:val="34"/>
        </w:numPr>
      </w:pPr>
      <w:r>
        <w:t>Public Sector Commission</w:t>
      </w:r>
    </w:p>
    <w:p w:rsidR="00FB5745" w:rsidRDefault="00FB5745" w:rsidP="00FB5745">
      <w:pPr>
        <w:pStyle w:val="ListParagraph"/>
        <w:numPr>
          <w:ilvl w:val="0"/>
          <w:numId w:val="34"/>
        </w:numPr>
      </w:pPr>
      <w:r>
        <w:t>Racing, Gaming and Liquor</w:t>
      </w:r>
    </w:p>
    <w:p w:rsidR="00FB5745" w:rsidRDefault="00FB5745" w:rsidP="00FB5745">
      <w:pPr>
        <w:pStyle w:val="ListParagraph"/>
        <w:numPr>
          <w:ilvl w:val="0"/>
          <w:numId w:val="34"/>
        </w:numPr>
      </w:pPr>
      <w:r>
        <w:t>Regional Development</w:t>
      </w:r>
    </w:p>
    <w:p w:rsidR="00FB5745" w:rsidRDefault="00FB5745" w:rsidP="00FB5745">
      <w:pPr>
        <w:pStyle w:val="ListParagraph"/>
        <w:numPr>
          <w:ilvl w:val="0"/>
          <w:numId w:val="34"/>
        </w:numPr>
      </w:pPr>
      <w:r>
        <w:t>Sport and Recreation</w:t>
      </w:r>
    </w:p>
    <w:p w:rsidR="00FB5745" w:rsidRDefault="00FB5745" w:rsidP="00FB5745">
      <w:pPr>
        <w:pStyle w:val="ListParagraph"/>
        <w:numPr>
          <w:ilvl w:val="0"/>
          <w:numId w:val="34"/>
        </w:numPr>
      </w:pPr>
      <w:r>
        <w:t>State Development</w:t>
      </w:r>
    </w:p>
    <w:p w:rsidR="00FB5745" w:rsidRDefault="00FB5745" w:rsidP="00FB5745">
      <w:pPr>
        <w:pStyle w:val="ListParagraph"/>
        <w:numPr>
          <w:ilvl w:val="0"/>
          <w:numId w:val="34"/>
        </w:numPr>
      </w:pPr>
      <w:r>
        <w:t>Transport</w:t>
      </w:r>
    </w:p>
    <w:p w:rsidR="00FB5745" w:rsidRDefault="00FB5745" w:rsidP="00FB5745">
      <w:pPr>
        <w:pStyle w:val="ListParagraph"/>
        <w:numPr>
          <w:ilvl w:val="0"/>
          <w:numId w:val="34"/>
        </w:numPr>
      </w:pPr>
      <w:r>
        <w:t>Training and Workforce Development</w:t>
      </w:r>
    </w:p>
    <w:p w:rsidR="00FB5745" w:rsidRDefault="00FB5745" w:rsidP="00FB5745">
      <w:pPr>
        <w:pStyle w:val="ListParagraph"/>
        <w:numPr>
          <w:ilvl w:val="0"/>
          <w:numId w:val="34"/>
        </w:numPr>
      </w:pPr>
      <w:r>
        <w:t>Treasury</w:t>
      </w:r>
    </w:p>
    <w:p w:rsidR="00FB5745" w:rsidRPr="00FB5745" w:rsidRDefault="00FB5745" w:rsidP="00FB5745">
      <w:pPr>
        <w:pStyle w:val="ListParagraph"/>
        <w:numPr>
          <w:ilvl w:val="0"/>
          <w:numId w:val="34"/>
        </w:numPr>
      </w:pPr>
      <w:bookmarkStart w:id="0" w:name="_GoBack"/>
      <w:bookmarkEnd w:id="0"/>
      <w:r>
        <w:t>Water</w:t>
      </w:r>
    </w:p>
    <w:sectPr w:rsidR="00FB5745" w:rsidRPr="00FB5745" w:rsidSect="00091880">
      <w:headerReference w:type="even" r:id="rId13"/>
      <w:footerReference w:type="even" r:id="rId14"/>
      <w:footerReference w:type="default" r:id="rId15"/>
      <w:headerReference w:type="first" r:id="rId16"/>
      <w:footerReference w:type="first" r:id="rId17"/>
      <w:type w:val="continuous"/>
      <w:pgSz w:w="11907" w:h="16840" w:code="9"/>
      <w:pgMar w:top="1863" w:right="1021" w:bottom="1021" w:left="1021"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22E" w:rsidRDefault="000D322E" w:rsidP="00F74F80">
      <w:r>
        <w:separator/>
      </w:r>
    </w:p>
  </w:endnote>
  <w:endnote w:type="continuationSeparator" w:id="0">
    <w:p w:rsidR="000D322E" w:rsidRDefault="000D322E"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2545CF">
    <w:pPr>
      <w:pStyle w:val="Footer"/>
    </w:pPr>
    <w:r w:rsidRPr="003D1360">
      <w:t xml:space="preserve">Page </w:t>
    </w:r>
    <w:r>
      <w:fldChar w:fldCharType="begin"/>
    </w:r>
    <w:r>
      <w:instrText xml:space="preserve"> PAGE </w:instrText>
    </w:r>
    <w:r>
      <w:fldChar w:fldCharType="separate"/>
    </w:r>
    <w:r w:rsidR="00FB5745">
      <w:rPr>
        <w:noProof/>
      </w:rPr>
      <w:t>3</w:t>
    </w:r>
    <w:r>
      <w:rPr>
        <w:noProof/>
      </w:rPr>
      <w:fldChar w:fldCharType="end"/>
    </w:r>
    <w:r w:rsidRPr="003D1360">
      <w:t xml:space="preserve"> of </w:t>
    </w:r>
    <w:r>
      <w:fldChar w:fldCharType="begin"/>
    </w:r>
    <w:r>
      <w:instrText xml:space="preserve"> NUMPAGES </w:instrText>
    </w:r>
    <w:r>
      <w:fldChar w:fldCharType="separate"/>
    </w:r>
    <w:r w:rsidR="00FB5745">
      <w:rPr>
        <w:noProof/>
      </w:rPr>
      <w:t>3</w:t>
    </w:r>
    <w:r>
      <w:rPr>
        <w:noProof/>
      </w:rPr>
      <w:fldChar w:fldCharType="end"/>
    </w:r>
    <w:r>
      <w:rPr>
        <w:noProof/>
      </w:rPr>
      <w:t xml:space="preserve"> </w:t>
    </w:r>
    <w:r>
      <w:rPr>
        <w:noProof/>
      </w:rPr>
      <w:tab/>
    </w:r>
    <w:r w:rsidR="00FB5745" w:rsidRPr="00FB5745">
      <w:rPr>
        <w:noProof/>
      </w:rPr>
      <w:t>Implementation of the Policy Framework for Substantive Equality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sidRPr="003D1360">
      <w:t xml:space="preserve">Page </w:t>
    </w:r>
    <w:r>
      <w:fldChar w:fldCharType="begin"/>
    </w:r>
    <w:r>
      <w:instrText xml:space="preserve"> PAGE </w:instrText>
    </w:r>
    <w:r>
      <w:fldChar w:fldCharType="separate"/>
    </w:r>
    <w:r w:rsidR="00FB5745">
      <w:rPr>
        <w:noProof/>
      </w:rPr>
      <w:t>1</w:t>
    </w:r>
    <w:r>
      <w:rPr>
        <w:noProof/>
      </w:rPr>
      <w:fldChar w:fldCharType="end"/>
    </w:r>
    <w:r w:rsidRPr="003D1360">
      <w:t xml:space="preserve"> of </w:t>
    </w:r>
    <w:r>
      <w:fldChar w:fldCharType="begin"/>
    </w:r>
    <w:r>
      <w:instrText xml:space="preserve"> NUMPAGES </w:instrText>
    </w:r>
    <w:r>
      <w:fldChar w:fldCharType="separate"/>
    </w:r>
    <w:r w:rsidR="00FB5745">
      <w:rPr>
        <w:noProof/>
      </w:rPr>
      <w:t>3</w:t>
    </w:r>
    <w:r>
      <w:rPr>
        <w:noProof/>
      </w:rPr>
      <w:fldChar w:fldCharType="end"/>
    </w:r>
    <w:r>
      <w:rPr>
        <w:noProof/>
      </w:rPr>
      <w:t xml:space="preserve"> </w:t>
    </w:r>
    <w:r>
      <w:rPr>
        <w:noProof/>
      </w:rPr>
      <w:tab/>
    </w:r>
    <w:r w:rsidR="00FB5745" w:rsidRPr="00FB5745">
      <w:rPr>
        <w:noProof/>
      </w:rPr>
      <w:t>Implementation of the Policy Framework for Substantive 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22E" w:rsidRDefault="000D322E" w:rsidP="00F74F80">
      <w:r>
        <w:separator/>
      </w:r>
    </w:p>
  </w:footnote>
  <w:footnote w:type="continuationSeparator" w:id="0">
    <w:p w:rsidR="000D322E" w:rsidRDefault="000D322E"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E6350">
    <w:pPr>
      <w:pStyle w:val="Header"/>
      <w:spacing w:after="1200"/>
    </w:pPr>
    <w:r>
      <w:rPr>
        <w:noProof/>
        <w:lang w:val="en-AU" w:eastAsia="en-AU"/>
      </w:rPr>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1809750" cy="1148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6065"/>
                  <a:stretch/>
                </pic:blipFill>
                <pic:spPr bwMode="auto">
                  <a:xfrm>
                    <a:off x="0" y="0"/>
                    <a:ext cx="1809750"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00765D"/>
    <w:multiLevelType w:val="hybridMultilevel"/>
    <w:tmpl w:val="3D288E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8B2B44"/>
    <w:multiLevelType w:val="hybridMultilevel"/>
    <w:tmpl w:val="32543E5C"/>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EF11574"/>
    <w:multiLevelType w:val="hybridMultilevel"/>
    <w:tmpl w:val="4E989AF6"/>
    <w:lvl w:ilvl="0" w:tplc="6DF616BC">
      <w:start w:val="1"/>
      <w:numFmt w:val="bullet"/>
      <w:pStyle w:val="BulletLis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5A535E"/>
    <w:multiLevelType w:val="hybridMultilevel"/>
    <w:tmpl w:val="A1EA10FC"/>
    <w:lvl w:ilvl="0" w:tplc="483A3278">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0630E0"/>
    <w:multiLevelType w:val="hybridMultilevel"/>
    <w:tmpl w:val="9984F7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4"/>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7"/>
  </w:num>
  <w:num w:numId="17">
    <w:abstractNumId w:val="17"/>
  </w:num>
  <w:num w:numId="18">
    <w:abstractNumId w:val="33"/>
  </w:num>
  <w:num w:numId="19">
    <w:abstractNumId w:val="23"/>
  </w:num>
  <w:num w:numId="20">
    <w:abstractNumId w:val="11"/>
  </w:num>
  <w:num w:numId="21">
    <w:abstractNumId w:val="28"/>
  </w:num>
  <w:num w:numId="22">
    <w:abstractNumId w:val="13"/>
  </w:num>
  <w:num w:numId="23">
    <w:abstractNumId w:val="10"/>
  </w:num>
  <w:num w:numId="24">
    <w:abstractNumId w:val="18"/>
  </w:num>
  <w:num w:numId="25">
    <w:abstractNumId w:val="14"/>
  </w:num>
  <w:num w:numId="26">
    <w:abstractNumId w:val="26"/>
  </w:num>
  <w:num w:numId="27">
    <w:abstractNumId w:val="22"/>
  </w:num>
  <w:num w:numId="28">
    <w:abstractNumId w:val="25"/>
  </w:num>
  <w:num w:numId="29">
    <w:abstractNumId w:val="32"/>
  </w:num>
  <w:num w:numId="30">
    <w:abstractNumId w:val="30"/>
  </w:num>
  <w:num w:numId="31">
    <w:abstractNumId w:val="19"/>
  </w:num>
  <w:num w:numId="32">
    <w:abstractNumId w:val="29"/>
  </w:num>
  <w:num w:numId="33">
    <w:abstractNumId w:val="3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C73"/>
    <w:rsid w:val="00031D44"/>
    <w:rsid w:val="00032C2C"/>
    <w:rsid w:val="000355A4"/>
    <w:rsid w:val="00037D7F"/>
    <w:rsid w:val="00042C03"/>
    <w:rsid w:val="00043626"/>
    <w:rsid w:val="0004726C"/>
    <w:rsid w:val="00050CF7"/>
    <w:rsid w:val="00052770"/>
    <w:rsid w:val="00055EC0"/>
    <w:rsid w:val="000565B1"/>
    <w:rsid w:val="000569B6"/>
    <w:rsid w:val="00063972"/>
    <w:rsid w:val="0007230F"/>
    <w:rsid w:val="00072F7A"/>
    <w:rsid w:val="0008298E"/>
    <w:rsid w:val="00087A62"/>
    <w:rsid w:val="00091880"/>
    <w:rsid w:val="00093A65"/>
    <w:rsid w:val="00094C97"/>
    <w:rsid w:val="000A2CC6"/>
    <w:rsid w:val="000B0487"/>
    <w:rsid w:val="000B2253"/>
    <w:rsid w:val="000B61BC"/>
    <w:rsid w:val="000B6F31"/>
    <w:rsid w:val="000C4C8C"/>
    <w:rsid w:val="000C5700"/>
    <w:rsid w:val="000D0123"/>
    <w:rsid w:val="000D035A"/>
    <w:rsid w:val="000D322E"/>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6AA8"/>
    <w:rsid w:val="001D6BA0"/>
    <w:rsid w:val="001E6DEC"/>
    <w:rsid w:val="001E7A9B"/>
    <w:rsid w:val="001F1D41"/>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40D3D"/>
    <w:rsid w:val="00246A90"/>
    <w:rsid w:val="002475A8"/>
    <w:rsid w:val="00250469"/>
    <w:rsid w:val="0025219B"/>
    <w:rsid w:val="002530C3"/>
    <w:rsid w:val="002545CF"/>
    <w:rsid w:val="00256AD0"/>
    <w:rsid w:val="00257DDA"/>
    <w:rsid w:val="00270E18"/>
    <w:rsid w:val="00272EBB"/>
    <w:rsid w:val="002759D1"/>
    <w:rsid w:val="002808DC"/>
    <w:rsid w:val="002855B5"/>
    <w:rsid w:val="00294E54"/>
    <w:rsid w:val="002A0598"/>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504BE"/>
    <w:rsid w:val="003548FA"/>
    <w:rsid w:val="003556A0"/>
    <w:rsid w:val="00362DD7"/>
    <w:rsid w:val="003641FF"/>
    <w:rsid w:val="00367309"/>
    <w:rsid w:val="00375E13"/>
    <w:rsid w:val="0038688B"/>
    <w:rsid w:val="00387CB9"/>
    <w:rsid w:val="00390A0C"/>
    <w:rsid w:val="0039148C"/>
    <w:rsid w:val="0039377C"/>
    <w:rsid w:val="003A2C15"/>
    <w:rsid w:val="003B3FB2"/>
    <w:rsid w:val="003B6D97"/>
    <w:rsid w:val="003C2B86"/>
    <w:rsid w:val="003C30B6"/>
    <w:rsid w:val="003C5DEA"/>
    <w:rsid w:val="003D1360"/>
    <w:rsid w:val="003D14F3"/>
    <w:rsid w:val="003D2E92"/>
    <w:rsid w:val="003D3900"/>
    <w:rsid w:val="003D7097"/>
    <w:rsid w:val="003E62FD"/>
    <w:rsid w:val="003F4B83"/>
    <w:rsid w:val="00405D10"/>
    <w:rsid w:val="0041281D"/>
    <w:rsid w:val="00414BF3"/>
    <w:rsid w:val="00421CB7"/>
    <w:rsid w:val="00421EA9"/>
    <w:rsid w:val="00421FAC"/>
    <w:rsid w:val="004245CB"/>
    <w:rsid w:val="0042643B"/>
    <w:rsid w:val="004303A6"/>
    <w:rsid w:val="00436875"/>
    <w:rsid w:val="0045011E"/>
    <w:rsid w:val="004608C9"/>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4C85"/>
    <w:rsid w:val="00536C3D"/>
    <w:rsid w:val="00541CD2"/>
    <w:rsid w:val="0054251A"/>
    <w:rsid w:val="00543FDC"/>
    <w:rsid w:val="005460B5"/>
    <w:rsid w:val="00546AE5"/>
    <w:rsid w:val="00550A88"/>
    <w:rsid w:val="00555B3F"/>
    <w:rsid w:val="00556F37"/>
    <w:rsid w:val="00561C21"/>
    <w:rsid w:val="005659E0"/>
    <w:rsid w:val="00574B44"/>
    <w:rsid w:val="00583274"/>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5E6350"/>
    <w:rsid w:val="00600196"/>
    <w:rsid w:val="006011F7"/>
    <w:rsid w:val="0060184B"/>
    <w:rsid w:val="00607788"/>
    <w:rsid w:val="006126F0"/>
    <w:rsid w:val="00614383"/>
    <w:rsid w:val="00615E7B"/>
    <w:rsid w:val="00616D01"/>
    <w:rsid w:val="00616EFA"/>
    <w:rsid w:val="006170B1"/>
    <w:rsid w:val="006179A2"/>
    <w:rsid w:val="00620415"/>
    <w:rsid w:val="0063313B"/>
    <w:rsid w:val="00640B6E"/>
    <w:rsid w:val="006434C2"/>
    <w:rsid w:val="006536F6"/>
    <w:rsid w:val="00654D78"/>
    <w:rsid w:val="00671648"/>
    <w:rsid w:val="00673A30"/>
    <w:rsid w:val="006753CE"/>
    <w:rsid w:val="00675614"/>
    <w:rsid w:val="00675E27"/>
    <w:rsid w:val="00682F49"/>
    <w:rsid w:val="00691D5E"/>
    <w:rsid w:val="006A5FFA"/>
    <w:rsid w:val="006A6585"/>
    <w:rsid w:val="006A7D4B"/>
    <w:rsid w:val="006B2AE4"/>
    <w:rsid w:val="006B3598"/>
    <w:rsid w:val="006B5388"/>
    <w:rsid w:val="006B5638"/>
    <w:rsid w:val="006C1AAF"/>
    <w:rsid w:val="006C319C"/>
    <w:rsid w:val="006C43CF"/>
    <w:rsid w:val="006C536E"/>
    <w:rsid w:val="006C67DC"/>
    <w:rsid w:val="006E004D"/>
    <w:rsid w:val="006F399C"/>
    <w:rsid w:val="006F3B0D"/>
    <w:rsid w:val="006F53CC"/>
    <w:rsid w:val="006F7AD3"/>
    <w:rsid w:val="00705E90"/>
    <w:rsid w:val="007070AB"/>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5CB5"/>
    <w:rsid w:val="00766704"/>
    <w:rsid w:val="00767696"/>
    <w:rsid w:val="007704F5"/>
    <w:rsid w:val="00770995"/>
    <w:rsid w:val="00776960"/>
    <w:rsid w:val="0078171E"/>
    <w:rsid w:val="00790BE5"/>
    <w:rsid w:val="00794FC1"/>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C3241"/>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612A"/>
    <w:rsid w:val="009412F2"/>
    <w:rsid w:val="009452B4"/>
    <w:rsid w:val="00952427"/>
    <w:rsid w:val="00954FCD"/>
    <w:rsid w:val="00967979"/>
    <w:rsid w:val="00973629"/>
    <w:rsid w:val="00974EF5"/>
    <w:rsid w:val="0097575E"/>
    <w:rsid w:val="00975FE2"/>
    <w:rsid w:val="00991412"/>
    <w:rsid w:val="009916A3"/>
    <w:rsid w:val="00994075"/>
    <w:rsid w:val="009A3613"/>
    <w:rsid w:val="009A3702"/>
    <w:rsid w:val="009B230D"/>
    <w:rsid w:val="009B62AC"/>
    <w:rsid w:val="009C76CE"/>
    <w:rsid w:val="009D3E7D"/>
    <w:rsid w:val="009D56AD"/>
    <w:rsid w:val="009E05EA"/>
    <w:rsid w:val="009E05FE"/>
    <w:rsid w:val="009E3314"/>
    <w:rsid w:val="009E49E3"/>
    <w:rsid w:val="009E57E6"/>
    <w:rsid w:val="009E5968"/>
    <w:rsid w:val="009E72F5"/>
    <w:rsid w:val="009F11B7"/>
    <w:rsid w:val="009F15B4"/>
    <w:rsid w:val="009F7DE1"/>
    <w:rsid w:val="00A01F9A"/>
    <w:rsid w:val="00A06ABB"/>
    <w:rsid w:val="00A06B74"/>
    <w:rsid w:val="00A10FFD"/>
    <w:rsid w:val="00A13537"/>
    <w:rsid w:val="00A13CB6"/>
    <w:rsid w:val="00A14B5A"/>
    <w:rsid w:val="00A2032D"/>
    <w:rsid w:val="00A304E6"/>
    <w:rsid w:val="00A30C3E"/>
    <w:rsid w:val="00A46011"/>
    <w:rsid w:val="00A529C6"/>
    <w:rsid w:val="00A67AB9"/>
    <w:rsid w:val="00A74344"/>
    <w:rsid w:val="00A75DD3"/>
    <w:rsid w:val="00A834F3"/>
    <w:rsid w:val="00A8506D"/>
    <w:rsid w:val="00A97017"/>
    <w:rsid w:val="00A97349"/>
    <w:rsid w:val="00A97DF2"/>
    <w:rsid w:val="00AA095D"/>
    <w:rsid w:val="00AA14E3"/>
    <w:rsid w:val="00AA4662"/>
    <w:rsid w:val="00AA7426"/>
    <w:rsid w:val="00AC1ED9"/>
    <w:rsid w:val="00AC1F4E"/>
    <w:rsid w:val="00AC4051"/>
    <w:rsid w:val="00AC555C"/>
    <w:rsid w:val="00AD50C0"/>
    <w:rsid w:val="00AE13D5"/>
    <w:rsid w:val="00AF51FC"/>
    <w:rsid w:val="00B0128F"/>
    <w:rsid w:val="00B0440C"/>
    <w:rsid w:val="00B051FE"/>
    <w:rsid w:val="00B069A3"/>
    <w:rsid w:val="00B0743C"/>
    <w:rsid w:val="00B119BC"/>
    <w:rsid w:val="00B1288D"/>
    <w:rsid w:val="00B16659"/>
    <w:rsid w:val="00B23004"/>
    <w:rsid w:val="00B26612"/>
    <w:rsid w:val="00B2667C"/>
    <w:rsid w:val="00B2685C"/>
    <w:rsid w:val="00B271C5"/>
    <w:rsid w:val="00B31053"/>
    <w:rsid w:val="00B43440"/>
    <w:rsid w:val="00B54329"/>
    <w:rsid w:val="00B6463B"/>
    <w:rsid w:val="00B6741C"/>
    <w:rsid w:val="00B7453D"/>
    <w:rsid w:val="00B80B0B"/>
    <w:rsid w:val="00B86718"/>
    <w:rsid w:val="00B92A88"/>
    <w:rsid w:val="00B949AE"/>
    <w:rsid w:val="00B96343"/>
    <w:rsid w:val="00BA040B"/>
    <w:rsid w:val="00BA06A2"/>
    <w:rsid w:val="00BA15C6"/>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0BCA"/>
    <w:rsid w:val="00C1383E"/>
    <w:rsid w:val="00C145E9"/>
    <w:rsid w:val="00C17786"/>
    <w:rsid w:val="00C226AF"/>
    <w:rsid w:val="00C30718"/>
    <w:rsid w:val="00C30E25"/>
    <w:rsid w:val="00C3141D"/>
    <w:rsid w:val="00C34000"/>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E6A03"/>
    <w:rsid w:val="00CF1311"/>
    <w:rsid w:val="00CF48CA"/>
    <w:rsid w:val="00CF562A"/>
    <w:rsid w:val="00D03CBC"/>
    <w:rsid w:val="00D05770"/>
    <w:rsid w:val="00D07401"/>
    <w:rsid w:val="00D1280E"/>
    <w:rsid w:val="00D24A6F"/>
    <w:rsid w:val="00D33BCF"/>
    <w:rsid w:val="00D35026"/>
    <w:rsid w:val="00D36DCD"/>
    <w:rsid w:val="00D423C0"/>
    <w:rsid w:val="00D4427C"/>
    <w:rsid w:val="00D50980"/>
    <w:rsid w:val="00D56826"/>
    <w:rsid w:val="00D577A6"/>
    <w:rsid w:val="00D57E4C"/>
    <w:rsid w:val="00D66825"/>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60528"/>
    <w:rsid w:val="00E60DB7"/>
    <w:rsid w:val="00E612C0"/>
    <w:rsid w:val="00E6341F"/>
    <w:rsid w:val="00E70804"/>
    <w:rsid w:val="00E7622E"/>
    <w:rsid w:val="00E7794C"/>
    <w:rsid w:val="00E85955"/>
    <w:rsid w:val="00E911EE"/>
    <w:rsid w:val="00E91280"/>
    <w:rsid w:val="00E9159B"/>
    <w:rsid w:val="00EA509C"/>
    <w:rsid w:val="00EA6B52"/>
    <w:rsid w:val="00EA7876"/>
    <w:rsid w:val="00EB0365"/>
    <w:rsid w:val="00EB3040"/>
    <w:rsid w:val="00EB7B29"/>
    <w:rsid w:val="00EC10A5"/>
    <w:rsid w:val="00ED1F56"/>
    <w:rsid w:val="00ED538A"/>
    <w:rsid w:val="00ED546E"/>
    <w:rsid w:val="00EE0334"/>
    <w:rsid w:val="00EE1DE7"/>
    <w:rsid w:val="00EE2649"/>
    <w:rsid w:val="00EE61F5"/>
    <w:rsid w:val="00F00DBD"/>
    <w:rsid w:val="00F046EC"/>
    <w:rsid w:val="00F04BFA"/>
    <w:rsid w:val="00F05FA9"/>
    <w:rsid w:val="00F2038D"/>
    <w:rsid w:val="00F208EB"/>
    <w:rsid w:val="00F20CA1"/>
    <w:rsid w:val="00F21368"/>
    <w:rsid w:val="00F230A0"/>
    <w:rsid w:val="00F27118"/>
    <w:rsid w:val="00F3217F"/>
    <w:rsid w:val="00F36EF8"/>
    <w:rsid w:val="00F40A03"/>
    <w:rsid w:val="00F45CF3"/>
    <w:rsid w:val="00F563E3"/>
    <w:rsid w:val="00F57513"/>
    <w:rsid w:val="00F665F2"/>
    <w:rsid w:val="00F67F1F"/>
    <w:rsid w:val="00F717F3"/>
    <w:rsid w:val="00F71F40"/>
    <w:rsid w:val="00F74F80"/>
    <w:rsid w:val="00F75190"/>
    <w:rsid w:val="00F7647D"/>
    <w:rsid w:val="00F840B5"/>
    <w:rsid w:val="00F86EEC"/>
    <w:rsid w:val="00F90248"/>
    <w:rsid w:val="00F90627"/>
    <w:rsid w:val="00F91442"/>
    <w:rsid w:val="00F95D81"/>
    <w:rsid w:val="00FA14EB"/>
    <w:rsid w:val="00FA6CE1"/>
    <w:rsid w:val="00FA6DF2"/>
    <w:rsid w:val="00FA70F1"/>
    <w:rsid w:val="00FB1ED3"/>
    <w:rsid w:val="00FB2E6E"/>
    <w:rsid w:val="00FB5745"/>
    <w:rsid w:val="00FB5D8F"/>
    <w:rsid w:val="00FC3239"/>
    <w:rsid w:val="00FC401E"/>
    <w:rsid w:val="00FC7B5F"/>
    <w:rsid w:val="00FD63B1"/>
    <w:rsid w:val="00FE4307"/>
    <w:rsid w:val="00FF0C8F"/>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F01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Strong" w:uiPriority="22"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B6"/>
    <w:pPr>
      <w:spacing w:before="120" w:after="120" w:line="276" w:lineRule="auto"/>
    </w:pPr>
    <w:rPr>
      <w:rFonts w:ascii="Arial" w:hAnsi="Arial"/>
      <w:sz w:val="23"/>
      <w:lang w:val="en-US" w:eastAsia="zh-CN"/>
    </w:rPr>
  </w:style>
  <w:style w:type="paragraph" w:styleId="Heading1">
    <w:name w:val="heading 1"/>
    <w:basedOn w:val="Normal"/>
    <w:next w:val="Normal"/>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paragraph" w:styleId="Heading4">
    <w:name w:val="heading 4"/>
    <w:basedOn w:val="Normal"/>
    <w:next w:val="Normal"/>
    <w:link w:val="Heading4Char"/>
    <w:semiHidden/>
    <w:unhideWhenUsed/>
    <w:qFormat/>
    <w:rsid w:val="004608C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ind w:left="284" w:hanging="284"/>
    </w:pPr>
    <w:rPr>
      <w:rFonts w:eastAsia="Times New Roman" w:cs="Arial"/>
      <w:szCs w:val="23"/>
      <w:lang w:val="en-AU"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ind w:left="425" w:hanging="425"/>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character" w:styleId="FollowedHyperlink">
    <w:name w:val="FollowedHyperlink"/>
    <w:basedOn w:val="DefaultParagraphFont"/>
    <w:rsid w:val="006C536E"/>
    <w:rPr>
      <w:color w:val="954F72" w:themeColor="followedHyperlink"/>
      <w:u w:val="single"/>
    </w:rPr>
  </w:style>
  <w:style w:type="paragraph" w:styleId="NormalWeb">
    <w:name w:val="Normal (Web)"/>
    <w:basedOn w:val="Normal"/>
    <w:uiPriority w:val="99"/>
    <w:unhideWhenUsed/>
    <w:rsid w:val="00FF0C8F"/>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Strong">
    <w:name w:val="Strong"/>
    <w:basedOn w:val="DefaultParagraphFont"/>
    <w:uiPriority w:val="22"/>
    <w:qFormat/>
    <w:rsid w:val="00FF0C8F"/>
    <w:rPr>
      <w:b/>
      <w:bCs/>
    </w:rPr>
  </w:style>
  <w:style w:type="character" w:customStyle="1" w:styleId="Heading4Char">
    <w:name w:val="Heading 4 Char"/>
    <w:basedOn w:val="DefaultParagraphFont"/>
    <w:link w:val="Heading4"/>
    <w:semiHidden/>
    <w:rsid w:val="004608C9"/>
    <w:rPr>
      <w:rFonts w:asciiTheme="majorHAnsi" w:eastAsiaTheme="majorEastAsia" w:hAnsiTheme="majorHAnsi" w:cstheme="majorBidi"/>
      <w:i/>
      <w:iCs/>
      <w:color w:val="2E74B5" w:themeColor="accent1" w:themeShade="BF"/>
      <w:sz w:val="23"/>
      <w:lang w:val="en-US" w:eastAsia="zh-CN"/>
    </w:rPr>
  </w:style>
  <w:style w:type="table" w:styleId="GridTable7Colorful">
    <w:name w:val="Grid Table 7 Colorful"/>
    <w:basedOn w:val="TableNormal"/>
    <w:uiPriority w:val="52"/>
    <w:rsid w:val="004608C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8923">
      <w:bodyDiv w:val="1"/>
      <w:marLeft w:val="0"/>
      <w:marRight w:val="0"/>
      <w:marTop w:val="0"/>
      <w:marBottom w:val="0"/>
      <w:divBdr>
        <w:top w:val="none" w:sz="0" w:space="0" w:color="auto"/>
        <w:left w:val="none" w:sz="0" w:space="0" w:color="auto"/>
        <w:bottom w:val="none" w:sz="0" w:space="0" w:color="auto"/>
        <w:right w:val="none" w:sz="0" w:space="0" w:color="auto"/>
      </w:divBdr>
    </w:div>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466164444">
      <w:bodyDiv w:val="1"/>
      <w:marLeft w:val="0"/>
      <w:marRight w:val="0"/>
      <w:marTop w:val="0"/>
      <w:marBottom w:val="0"/>
      <w:divBdr>
        <w:top w:val="none" w:sz="0" w:space="0" w:color="auto"/>
        <w:left w:val="none" w:sz="0" w:space="0" w:color="auto"/>
        <w:bottom w:val="none" w:sz="0" w:space="0" w:color="auto"/>
        <w:right w:val="none" w:sz="0" w:space="0" w:color="auto"/>
      </w:divBdr>
    </w:div>
    <w:div w:id="1313869298">
      <w:bodyDiv w:val="1"/>
      <w:marLeft w:val="0"/>
      <w:marRight w:val="0"/>
      <w:marTop w:val="0"/>
      <w:marBottom w:val="0"/>
      <w:divBdr>
        <w:top w:val="none" w:sz="0" w:space="0" w:color="auto"/>
        <w:left w:val="none" w:sz="0" w:space="0" w:color="auto"/>
        <w:bottom w:val="none" w:sz="0" w:space="0" w:color="auto"/>
        <w:right w:val="none" w:sz="0" w:space="0" w:color="auto"/>
      </w:divBdr>
    </w:div>
    <w:div w:id="1414618435">
      <w:bodyDiv w:val="1"/>
      <w:marLeft w:val="0"/>
      <w:marRight w:val="0"/>
      <w:marTop w:val="0"/>
      <w:marBottom w:val="0"/>
      <w:divBdr>
        <w:top w:val="none" w:sz="0" w:space="0" w:color="auto"/>
        <w:left w:val="none" w:sz="0" w:space="0" w:color="auto"/>
        <w:bottom w:val="none" w:sz="0" w:space="0" w:color="auto"/>
        <w:right w:val="none" w:sz="0" w:space="0" w:color="auto"/>
      </w:divBdr>
    </w:div>
    <w:div w:id="1444109880">
      <w:bodyDiv w:val="1"/>
      <w:marLeft w:val="0"/>
      <w:marRight w:val="0"/>
      <w:marTop w:val="0"/>
      <w:marBottom w:val="0"/>
      <w:divBdr>
        <w:top w:val="none" w:sz="0" w:space="0" w:color="auto"/>
        <w:left w:val="none" w:sz="0" w:space="0" w:color="auto"/>
        <w:bottom w:val="none" w:sz="0" w:space="0" w:color="auto"/>
        <w:right w:val="none" w:sz="0" w:space="0" w:color="auto"/>
      </w:divBdr>
    </w:div>
    <w:div w:id="1461805433">
      <w:bodyDiv w:val="1"/>
      <w:marLeft w:val="0"/>
      <w:marRight w:val="0"/>
      <w:marTop w:val="0"/>
      <w:marBottom w:val="0"/>
      <w:divBdr>
        <w:top w:val="none" w:sz="0" w:space="0" w:color="auto"/>
        <w:left w:val="none" w:sz="0" w:space="0" w:color="auto"/>
        <w:bottom w:val="none" w:sz="0" w:space="0" w:color="auto"/>
        <w:right w:val="none" w:sz="0" w:space="0" w:color="auto"/>
      </w:divBdr>
    </w:div>
    <w:div w:id="1640957445">
      <w:bodyDiv w:val="1"/>
      <w:marLeft w:val="0"/>
      <w:marRight w:val="0"/>
      <w:marTop w:val="0"/>
      <w:marBottom w:val="0"/>
      <w:divBdr>
        <w:top w:val="none" w:sz="0" w:space="0" w:color="auto"/>
        <w:left w:val="none" w:sz="0" w:space="0" w:color="auto"/>
        <w:bottom w:val="none" w:sz="0" w:space="0" w:color="auto"/>
        <w:right w:val="none" w:sz="0" w:space="0" w:color="auto"/>
      </w:divBdr>
    </w:div>
    <w:div w:id="1689060270">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1779832195">
      <w:bodyDiv w:val="1"/>
      <w:marLeft w:val="0"/>
      <w:marRight w:val="0"/>
      <w:marTop w:val="0"/>
      <w:marBottom w:val="0"/>
      <w:divBdr>
        <w:top w:val="none" w:sz="0" w:space="0" w:color="auto"/>
        <w:left w:val="none" w:sz="0" w:space="0" w:color="auto"/>
        <w:bottom w:val="none" w:sz="0" w:space="0" w:color="auto"/>
        <w:right w:val="none" w:sz="0" w:space="0" w:color="auto"/>
      </w:divBdr>
    </w:div>
    <w:div w:id="2091267762">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a.gov.au/organisation/department-of-finance?utm_source=redirect&amp;utm_medium=finance_wa_mai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oc.wa.gov.au/substantive-equality/resour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E53F-8CD5-42BC-83D6-3BA3B2FC20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4.xml><?xml version="1.0" encoding="utf-8"?>
<ds:datastoreItem xmlns:ds="http://schemas.openxmlformats.org/officeDocument/2006/customXml" ds:itemID="{5C6DBDC7-9EAE-4210-9C0A-74D470C2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2020-07-02T04:51:00Z</dcterms:created>
  <dcterms:modified xsi:type="dcterms:W3CDTF">2020-07-02T04:58:00Z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-1964038884</vt:i4>
  </property>
  <property fmtid="{D5CDD505-2E9C-101B-9397-08002B2CF9AE}" pid="4" name="_NewReviewCycle">
    <vt:lpwstr/>
  </property>
  <property fmtid="{D5CDD505-2E9C-101B-9397-08002B2CF9AE}" pid="5" name="_ReviewingToolsShownOnce">
    <vt:lpwstr/>
  </property>
</Properties>
</file>